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 SECURITIES AND EXCHANGE COMMISSION</w:t>
      </w:r>
    </w:p>
    <w:p>
      <w:pPr>
        <w:spacing w:after="0" w:line="3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169545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7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61"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46" w:lineRule="exact"/>
        <w:rPr>
          <w:sz w:val="24"/>
          <w:szCs w:val="24"/>
          <w:color w:val="auto"/>
        </w:rPr>
      </w:pPr>
    </w:p>
    <w:p>
      <w:pPr>
        <w:ind w:left="1620"/>
        <w:spacing w:after="0"/>
        <w:rPr>
          <w:sz w:val="20"/>
          <w:szCs w:val="20"/>
          <w:color w:val="auto"/>
        </w:rPr>
      </w:pPr>
      <w:r>
        <w:rPr>
          <w:rFonts w:ascii="Arial" w:cs="Arial" w:eastAsia="Arial" w:hAnsi="Arial"/>
          <w:sz w:val="18"/>
          <w:szCs w:val="18"/>
          <w:color w:val="auto"/>
        </w:rPr>
        <w:t>Commission file number 1-6714</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Graham Holdings Company</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45" w:lineRule="exact"/>
        <w:rPr>
          <w:sz w:val="24"/>
          <w:szCs w:val="24"/>
          <w:color w:val="auto"/>
        </w:rPr>
      </w:pPr>
    </w:p>
    <w:tbl>
      <w:tblPr>
        <w:tblLayout w:type="fixed"/>
        <w:tblInd w:w="1300" w:type="dxa"/>
        <w:tblCellMar>
          <w:top w:w="0" w:type="dxa"/>
          <w:left w:w="0" w:type="dxa"/>
          <w:bottom w:w="0" w:type="dxa"/>
          <w:right w:w="0" w:type="dxa"/>
        </w:tblCellMar>
      </w:tblPr>
      <w:tr>
        <w:trPr>
          <w:trHeight w:val="243"/>
        </w:trPr>
        <w:tc>
          <w:tcPr>
            <w:tcW w:w="4620" w:type="dxa"/>
            <w:vAlign w:val="bottom"/>
          </w:tcPr>
          <w:p>
            <w:pPr>
              <w:jc w:val="center"/>
              <w:ind w:right="1495"/>
              <w:spacing w:after="0"/>
              <w:rPr>
                <w:sz w:val="20"/>
                <w:szCs w:val="20"/>
                <w:color w:val="auto"/>
              </w:rPr>
            </w:pPr>
            <w:r>
              <w:rPr>
                <w:rFonts w:ascii="Arial" w:cs="Arial" w:eastAsia="Arial" w:hAnsi="Arial"/>
                <w:sz w:val="18"/>
                <w:szCs w:val="18"/>
                <w:color w:val="auto"/>
                <w:w w:val="99"/>
              </w:rPr>
              <w:t>Delaware</w:t>
            </w:r>
          </w:p>
        </w:tc>
        <w:tc>
          <w:tcPr>
            <w:tcW w:w="4060" w:type="dxa"/>
            <w:vAlign w:val="bottom"/>
          </w:tcPr>
          <w:p>
            <w:pPr>
              <w:jc w:val="right"/>
              <w:ind w:right="674"/>
              <w:spacing w:after="0"/>
              <w:rPr>
                <w:sz w:val="20"/>
                <w:szCs w:val="20"/>
                <w:color w:val="auto"/>
              </w:rPr>
            </w:pPr>
            <w:r>
              <w:rPr>
                <w:rFonts w:ascii="Arial" w:cs="Arial" w:eastAsia="Arial" w:hAnsi="Arial"/>
                <w:sz w:val="18"/>
                <w:szCs w:val="18"/>
                <w:color w:val="auto"/>
              </w:rPr>
              <w:t>53-0182885</w:t>
            </w:r>
          </w:p>
        </w:tc>
      </w:tr>
      <w:tr>
        <w:trPr>
          <w:trHeight w:val="208"/>
        </w:trPr>
        <w:tc>
          <w:tcPr>
            <w:tcW w:w="4620" w:type="dxa"/>
            <w:vAlign w:val="bottom"/>
          </w:tcPr>
          <w:p>
            <w:pPr>
              <w:jc w:val="center"/>
              <w:ind w:right="1495"/>
              <w:spacing w:after="0"/>
              <w:rPr>
                <w:sz w:val="20"/>
                <w:szCs w:val="20"/>
                <w:color w:val="auto"/>
              </w:rPr>
            </w:pPr>
            <w:r>
              <w:rPr>
                <w:rFonts w:ascii="Arial" w:cs="Arial" w:eastAsia="Arial" w:hAnsi="Arial"/>
                <w:sz w:val="16"/>
                <w:szCs w:val="16"/>
                <w:color w:val="auto"/>
              </w:rPr>
              <w:t>(State or other jurisdiction of incorporation</w:t>
            </w:r>
          </w:p>
        </w:tc>
        <w:tc>
          <w:tcPr>
            <w:tcW w:w="4060" w:type="dxa"/>
            <w:vAlign w:val="bottom"/>
          </w:tcPr>
          <w:p>
            <w:pPr>
              <w:jc w:val="center"/>
              <w:ind w:left="1474"/>
              <w:spacing w:after="0"/>
              <w:rPr>
                <w:sz w:val="20"/>
                <w:szCs w:val="20"/>
                <w:color w:val="auto"/>
              </w:rPr>
            </w:pPr>
            <w:r>
              <w:rPr>
                <w:rFonts w:ascii="Arial" w:cs="Arial" w:eastAsia="Arial" w:hAnsi="Arial"/>
                <w:sz w:val="16"/>
                <w:szCs w:val="16"/>
                <w:color w:val="auto"/>
              </w:rPr>
              <w:t>(I.R.S. Employer Identification No.)</w:t>
            </w:r>
          </w:p>
        </w:tc>
      </w:tr>
      <w:tr>
        <w:trPr>
          <w:trHeight w:val="219"/>
        </w:trPr>
        <w:tc>
          <w:tcPr>
            <w:tcW w:w="4620" w:type="dxa"/>
            <w:vAlign w:val="bottom"/>
          </w:tcPr>
          <w:p>
            <w:pPr>
              <w:jc w:val="center"/>
              <w:ind w:right="1495"/>
              <w:spacing w:after="0"/>
              <w:rPr>
                <w:sz w:val="20"/>
                <w:szCs w:val="20"/>
                <w:color w:val="auto"/>
              </w:rPr>
            </w:pPr>
            <w:r>
              <w:rPr>
                <w:rFonts w:ascii="Arial" w:cs="Arial" w:eastAsia="Arial" w:hAnsi="Arial"/>
                <w:sz w:val="16"/>
                <w:szCs w:val="16"/>
                <w:color w:val="auto"/>
              </w:rPr>
              <w:t>or organization)</w:t>
            </w:r>
          </w:p>
        </w:tc>
        <w:tc>
          <w:tcPr>
            <w:tcW w:w="4060" w:type="dxa"/>
            <w:vAlign w:val="bottom"/>
          </w:tcPr>
          <w:p>
            <w:pPr>
              <w:spacing w:after="0"/>
              <w:rPr>
                <w:sz w:val="19"/>
                <w:szCs w:val="19"/>
                <w:color w:val="auto"/>
              </w:rPr>
            </w:pPr>
          </w:p>
        </w:tc>
      </w:tr>
      <w:tr>
        <w:trPr>
          <w:trHeight w:val="492"/>
        </w:trPr>
        <w:tc>
          <w:tcPr>
            <w:tcW w:w="4620" w:type="dxa"/>
            <w:vAlign w:val="bottom"/>
          </w:tcPr>
          <w:p>
            <w:pPr>
              <w:jc w:val="center"/>
              <w:ind w:right="1495"/>
              <w:spacing w:after="0"/>
              <w:rPr>
                <w:sz w:val="20"/>
                <w:szCs w:val="20"/>
                <w:color w:val="auto"/>
              </w:rPr>
            </w:pPr>
            <w:r>
              <w:rPr>
                <w:rFonts w:ascii="Arial" w:cs="Arial" w:eastAsia="Arial" w:hAnsi="Arial"/>
                <w:sz w:val="18"/>
                <w:szCs w:val="18"/>
                <w:color w:val="auto"/>
                <w:w w:val="98"/>
              </w:rPr>
              <w:t>1150 15th St., N.W., Washington, D.C.</w:t>
            </w:r>
          </w:p>
        </w:tc>
        <w:tc>
          <w:tcPr>
            <w:tcW w:w="4060" w:type="dxa"/>
            <w:vAlign w:val="bottom"/>
          </w:tcPr>
          <w:p>
            <w:pPr>
              <w:jc w:val="right"/>
              <w:ind w:right="914"/>
              <w:spacing w:after="0"/>
              <w:rPr>
                <w:sz w:val="20"/>
                <w:szCs w:val="20"/>
                <w:color w:val="auto"/>
              </w:rPr>
            </w:pPr>
            <w:r>
              <w:rPr>
                <w:rFonts w:ascii="Arial" w:cs="Arial" w:eastAsia="Arial" w:hAnsi="Arial"/>
                <w:sz w:val="18"/>
                <w:szCs w:val="18"/>
                <w:color w:val="auto"/>
              </w:rPr>
              <w:t>20071</w:t>
            </w:r>
          </w:p>
        </w:tc>
      </w:tr>
      <w:tr>
        <w:trPr>
          <w:trHeight w:val="251"/>
        </w:trPr>
        <w:tc>
          <w:tcPr>
            <w:tcW w:w="4620" w:type="dxa"/>
            <w:vAlign w:val="bottom"/>
          </w:tcPr>
          <w:p>
            <w:pPr>
              <w:jc w:val="center"/>
              <w:ind w:right="1495"/>
              <w:spacing w:after="0"/>
              <w:rPr>
                <w:sz w:val="20"/>
                <w:szCs w:val="20"/>
                <w:color w:val="auto"/>
              </w:rPr>
            </w:pPr>
            <w:r>
              <w:rPr>
                <w:rFonts w:ascii="Arial" w:cs="Arial" w:eastAsia="Arial" w:hAnsi="Arial"/>
                <w:sz w:val="16"/>
                <w:szCs w:val="16"/>
                <w:color w:val="auto"/>
              </w:rPr>
              <w:t>(Address of principal executive offices)</w:t>
            </w:r>
          </w:p>
        </w:tc>
        <w:tc>
          <w:tcPr>
            <w:tcW w:w="4060" w:type="dxa"/>
            <w:vAlign w:val="bottom"/>
          </w:tcPr>
          <w:p>
            <w:pPr>
              <w:jc w:val="center"/>
              <w:ind w:left="1474"/>
              <w:spacing w:after="0"/>
              <w:rPr>
                <w:sz w:val="20"/>
                <w:szCs w:val="20"/>
                <w:color w:val="auto"/>
              </w:rPr>
            </w:pPr>
            <w:r>
              <w:rPr>
                <w:rFonts w:ascii="Arial" w:cs="Arial" w:eastAsia="Arial" w:hAnsi="Arial"/>
                <w:sz w:val="16"/>
                <w:szCs w:val="16"/>
                <w:color w:val="auto"/>
              </w:rPr>
              <w:t>(Zip Code)</w:t>
            </w:r>
          </w:p>
        </w:tc>
      </w:tr>
    </w:tbl>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 (202) 334-6000</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6" w:lineRule="exact"/>
        <w:rPr>
          <w:sz w:val="24"/>
          <w:szCs w:val="24"/>
          <w:color w:val="auto"/>
        </w:rPr>
      </w:pPr>
    </w:p>
    <w:tbl>
      <w:tblPr>
        <w:tblLayout w:type="fixed"/>
        <w:tblInd w:w="20" w:type="dxa"/>
        <w:tblCellMar>
          <w:top w:w="0" w:type="dxa"/>
          <w:left w:w="0" w:type="dxa"/>
          <w:bottom w:w="0" w:type="dxa"/>
          <w:right w:w="0" w:type="dxa"/>
        </w:tblCellMar>
      </w:tblPr>
      <w:tr>
        <w:trPr>
          <w:trHeight w:val="248"/>
        </w:trPr>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440" w:type="dxa"/>
            <w:vAlign w:val="bottom"/>
          </w:tcPr>
          <w:p>
            <w:pPr>
              <w:spacing w:after="0"/>
              <w:rPr>
                <w:sz w:val="21"/>
                <w:szCs w:val="21"/>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05"/>
        </w:trPr>
        <w:tc>
          <w:tcPr>
            <w:tcW w:w="6040" w:type="dxa"/>
            <w:vAlign w:val="bottom"/>
            <w:gridSpan w:val="2"/>
          </w:tcPr>
          <w:p>
            <w:pPr>
              <w:jc w:val="center"/>
              <w:ind w:right="460"/>
              <w:spacing w:after="0" w:line="205" w:lineRule="exact"/>
              <w:rPr>
                <w:sz w:val="20"/>
                <w:szCs w:val="20"/>
                <w:color w:val="auto"/>
              </w:rPr>
            </w:pPr>
            <w:r>
              <w:rPr>
                <w:rFonts w:ascii="Arial" w:cs="Arial" w:eastAsia="Arial" w:hAnsi="Arial"/>
                <w:sz w:val="18"/>
                <w:szCs w:val="18"/>
                <w:color w:val="auto"/>
                <w:w w:val="99"/>
              </w:rPr>
              <w:t>Class B Common Stock, par value</w:t>
            </w:r>
          </w:p>
        </w:tc>
        <w:tc>
          <w:tcPr>
            <w:tcW w:w="5340" w:type="dxa"/>
            <w:vAlign w:val="bottom"/>
          </w:tcPr>
          <w:p>
            <w:pPr>
              <w:jc w:val="center"/>
              <w:spacing w:after="0" w:line="205" w:lineRule="exact"/>
              <w:rPr>
                <w:sz w:val="20"/>
                <w:szCs w:val="20"/>
                <w:color w:val="auto"/>
              </w:rPr>
            </w:pPr>
            <w:r>
              <w:rPr>
                <w:rFonts w:ascii="Arial" w:cs="Arial" w:eastAsia="Arial" w:hAnsi="Arial"/>
                <w:sz w:val="18"/>
                <w:szCs w:val="18"/>
                <w:color w:val="auto"/>
                <w:w w:val="98"/>
              </w:rPr>
              <w:t>New York Stock Exchange</w:t>
            </w:r>
          </w:p>
        </w:tc>
      </w:tr>
      <w:tr>
        <w:trPr>
          <w:trHeight w:val="243"/>
        </w:trPr>
        <w:tc>
          <w:tcPr>
            <w:tcW w:w="6040" w:type="dxa"/>
            <w:vAlign w:val="bottom"/>
            <w:gridSpan w:val="2"/>
          </w:tcPr>
          <w:p>
            <w:pPr>
              <w:jc w:val="center"/>
              <w:ind w:right="460"/>
              <w:spacing w:after="0"/>
              <w:rPr>
                <w:sz w:val="20"/>
                <w:szCs w:val="20"/>
                <w:color w:val="auto"/>
              </w:rPr>
            </w:pPr>
            <w:r>
              <w:rPr>
                <w:rFonts w:ascii="Arial" w:cs="Arial" w:eastAsia="Arial" w:hAnsi="Arial"/>
                <w:sz w:val="18"/>
                <w:szCs w:val="18"/>
                <w:color w:val="auto"/>
                <w:w w:val="99"/>
              </w:rPr>
              <w:t>$1.00 per share</w:t>
            </w:r>
          </w:p>
        </w:tc>
        <w:tc>
          <w:tcPr>
            <w:tcW w:w="5340" w:type="dxa"/>
            <w:vAlign w:val="bottom"/>
          </w:tcPr>
          <w:p>
            <w:pPr>
              <w:spacing w:after="0"/>
              <w:rPr>
                <w:sz w:val="21"/>
                <w:szCs w:val="21"/>
                <w:color w:val="auto"/>
              </w:rPr>
            </w:pPr>
          </w:p>
        </w:tc>
      </w:tr>
    </w:tbl>
    <w:p>
      <w:pPr>
        <w:spacing w:after="0" w:line="44" w:lineRule="exact"/>
        <w:rPr>
          <w:sz w:val="24"/>
          <w:szCs w:val="24"/>
          <w:color w:val="auto"/>
        </w:rPr>
      </w:pPr>
    </w:p>
    <w:p>
      <w:pPr>
        <w:ind w:right="1000"/>
        <w:spacing w:after="0" w:line="276"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ind w:right="60"/>
        <w:spacing w:after="0" w:line="23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 w:lineRule="exact"/>
        <w:rPr>
          <w:sz w:val="24"/>
          <w:szCs w:val="24"/>
          <w:color w:val="auto"/>
        </w:rPr>
      </w:pPr>
    </w:p>
    <w:p>
      <w:pPr>
        <w:ind w:right="40"/>
        <w:spacing w:after="0" w:line="23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 w:lineRule="exact"/>
        <w:rPr>
          <w:sz w:val="24"/>
          <w:szCs w:val="24"/>
          <w:color w:val="auto"/>
        </w:rPr>
      </w:pPr>
    </w:p>
    <w:p>
      <w:pPr>
        <w:ind w:right="160"/>
        <w:spacing w:after="0" w:line="231"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pacing w:after="0" w:line="85" w:lineRule="exact"/>
        <w:rPr>
          <w:sz w:val="24"/>
          <w:szCs w:val="24"/>
          <w:color w:val="auto"/>
        </w:rPr>
      </w:pPr>
    </w:p>
    <w:p>
      <w:pPr>
        <w:ind w:right="620" w:firstLine="41"/>
        <w:spacing w:after="0" w:line="290" w:lineRule="exact"/>
        <w:rPr>
          <w:sz w:val="20"/>
          <w:szCs w:val="20"/>
          <w:color w:val="auto"/>
        </w:rPr>
      </w:pPr>
      <w:r>
        <w:rPr>
          <w:rFonts w:ascii="Arial" w:cs="Arial" w:eastAsia="Arial" w:hAnsi="Arial"/>
          <w:sz w:val="18"/>
          <w:szCs w:val="18"/>
          <w:color w:val="auto"/>
        </w:rPr>
        <w:t xml:space="preserve">Large accelerated filer </w:t>
      </w:r>
      <w:r>
        <w:rPr>
          <w:rFonts w:ascii="Times New Roman" w:cs="Times New Roman" w:eastAsia="Times New Roman" w:hAnsi="Times New Roman"/>
          <w:sz w:val="18"/>
          <w:szCs w:val="18"/>
          <w:color w:val="auto"/>
        </w:rPr>
        <w:t>x</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ind w:right="900"/>
        <w:spacing w:after="0" w:line="281" w:lineRule="auto"/>
        <w:rPr>
          <w:sz w:val="20"/>
          <w:szCs w:val="20"/>
          <w:color w:val="auto"/>
        </w:rPr>
      </w:pPr>
      <w:r>
        <w:rPr>
          <w:rFonts w:ascii="Arial" w:cs="Arial" w:eastAsia="Arial" w:hAnsi="Arial"/>
          <w:sz w:val="18"/>
          <w:szCs w:val="18"/>
          <w:color w:val="auto"/>
        </w:rPr>
        <w:t>Aggregate market value of the registrant’s common equity held by non-affiliates on June 28, 2013, based on the closing price for the Company’s Class B Common Stock on the New York Stock Exchange on such date: approximately $2,100,000,000.</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outstanding at February 21, 2014:</w:t>
      </w:r>
    </w:p>
    <w:p>
      <w:pPr>
        <w:spacing w:after="0" w:line="63"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Class A Common Stock – 1,169,073 shares</w:t>
      </w:r>
    </w:p>
    <w:p>
      <w:pPr>
        <w:spacing w:after="0" w:line="3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Class B Common Stock – 6,217,926 shares</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Documents partially incorporated by reference:</w:t>
      </w:r>
    </w:p>
    <w:p>
      <w:pPr>
        <w:spacing w:after="0" w:line="63" w:lineRule="exact"/>
        <w:rPr>
          <w:sz w:val="24"/>
          <w:szCs w:val="24"/>
          <w:color w:val="auto"/>
        </w:rPr>
      </w:pPr>
    </w:p>
    <w:p>
      <w:pPr>
        <w:jc w:val="both"/>
        <w:ind w:left="2320" w:right="2360" w:firstLine="70"/>
        <w:spacing w:after="0" w:line="323" w:lineRule="auto"/>
        <w:rPr>
          <w:sz w:val="20"/>
          <w:szCs w:val="20"/>
          <w:color w:val="auto"/>
        </w:rPr>
      </w:pPr>
      <w:r>
        <w:rPr>
          <w:rFonts w:ascii="Arial" w:cs="Arial" w:eastAsia="Arial" w:hAnsi="Arial"/>
          <w:sz w:val="17"/>
          <w:szCs w:val="17"/>
          <w:color w:val="auto"/>
        </w:rPr>
        <w:t>Definitive Proxy Statement for the registrant’s 2014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117475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848" w:right="259" w:bottom="1440" w:gutter="0" w:footer="0" w:header="0"/>
        </w:sectPr>
      </w:pPr>
    </w:p>
    <w:bookmarkStart w:id="1" w:name="page2"/>
    <w:bookmarkEnd w:id="1"/>
    <w:p>
      <w:pPr>
        <w:jc w:val="center"/>
        <w:ind w:left="980"/>
        <w:spacing w:after="0"/>
        <w:rPr>
          <w:sz w:val="20"/>
          <w:szCs w:val="20"/>
          <w:color w:val="auto"/>
        </w:rPr>
      </w:pPr>
      <w:r>
        <w:rPr>
          <w:rFonts w:ascii="Arial" w:cs="Arial" w:eastAsia="Arial" w:hAnsi="Arial"/>
          <w:sz w:val="18"/>
          <w:szCs w:val="18"/>
          <w:color w:val="auto"/>
        </w:rPr>
        <w:t>GRAHAM HOLDINGS COMPANY 2013 FORM 10-K</w:t>
      </w:r>
    </w:p>
    <w:p>
      <w:pPr>
        <w:spacing w:after="0" w:line="200" w:lineRule="exact"/>
        <w:rPr>
          <w:sz w:val="20"/>
          <w:szCs w:val="20"/>
          <w:color w:val="auto"/>
        </w:rPr>
      </w:pPr>
    </w:p>
    <w:p>
      <w:pPr>
        <w:spacing w:after="0" w:line="227"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Business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Education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Cable Operations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Television Broadcasting</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Other Activities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Competition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Executive Officers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Employees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Forward-Looking Statements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Available Information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1A.</w:t>
      </w:r>
      <w:r>
        <w:rPr>
          <w:sz w:val="20"/>
          <w:szCs w:val="20"/>
          <w:color w:val="auto"/>
        </w:rPr>
        <w:tab/>
      </w:r>
      <w:r>
        <w:rPr>
          <w:rFonts w:ascii="Arial" w:cs="Arial" w:eastAsia="Arial" w:hAnsi="Arial"/>
          <w:sz w:val="15"/>
          <w:szCs w:val="15"/>
          <w:color w:val="auto"/>
        </w:rPr>
        <w:t>Risk Factors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1B.</w:t>
      </w:r>
      <w:r>
        <w:rPr>
          <w:sz w:val="20"/>
          <w:szCs w:val="20"/>
          <w:color w:val="auto"/>
        </w:rPr>
        <w:tab/>
      </w:r>
      <w:r>
        <w:rPr>
          <w:rFonts w:ascii="Arial" w:cs="Arial" w:eastAsia="Arial" w:hAnsi="Arial"/>
          <w:sz w:val="15"/>
          <w:szCs w:val="15"/>
          <w:color w:val="auto"/>
        </w:rPr>
        <w:t>Unresolved Staff Comments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Properties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Legal Proceedings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Mine Safety Disclosures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5.</w:t>
      </w:r>
      <w:r>
        <w:rPr>
          <w:sz w:val="20"/>
          <w:szCs w:val="20"/>
          <w:color w:val="auto"/>
        </w:rPr>
        <w:tab/>
      </w:r>
      <w:r>
        <w:rPr>
          <w:rFonts w:ascii="Arial" w:cs="Arial" w:eastAsia="Arial" w:hAnsi="Arial"/>
          <w:sz w:val="15"/>
          <w:szCs w:val="15"/>
          <w:color w:val="auto"/>
        </w:rPr>
        <w:t>Market for the Registrant’s Common Equity, Related Stockholder Matters and Issuer Purchases of Equity Securities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6.</w:t>
      </w:r>
      <w:r>
        <w:rPr>
          <w:sz w:val="20"/>
          <w:szCs w:val="20"/>
          <w:color w:val="auto"/>
        </w:rPr>
        <w:tab/>
      </w:r>
      <w:r>
        <w:rPr>
          <w:rFonts w:ascii="Arial" w:cs="Arial" w:eastAsia="Arial" w:hAnsi="Arial"/>
          <w:sz w:val="15"/>
          <w:szCs w:val="15"/>
          <w:color w:val="auto"/>
        </w:rPr>
        <w:t>Selected Financial Data</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7.</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7A.</w:t>
      </w:r>
      <w:r>
        <w:rPr>
          <w:sz w:val="20"/>
          <w:szCs w:val="20"/>
          <w:color w:val="auto"/>
        </w:rPr>
        <w:tab/>
      </w:r>
      <w:r>
        <w:rPr>
          <w:rFonts w:ascii="Arial" w:cs="Arial" w:eastAsia="Arial" w:hAnsi="Arial"/>
          <w:sz w:val="15"/>
          <w:szCs w:val="15"/>
          <w:color w:val="auto"/>
        </w:rPr>
        <w:t>Quantitative and Qualitative Disclosures About Market Risk</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8.</w:t>
      </w:r>
      <w:r>
        <w:rPr>
          <w:sz w:val="20"/>
          <w:szCs w:val="20"/>
          <w:color w:val="auto"/>
        </w:rPr>
        <w:tab/>
      </w:r>
      <w:r>
        <w:rPr>
          <w:rFonts w:ascii="Arial" w:cs="Arial" w:eastAsia="Arial" w:hAnsi="Arial"/>
          <w:sz w:val="15"/>
          <w:szCs w:val="15"/>
          <w:color w:val="auto"/>
        </w:rPr>
        <w:t>Financial Statements and Supplementary Data</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w:t>
      </w:r>
      <w:r>
        <w:rPr>
          <w:sz w:val="20"/>
          <w:szCs w:val="20"/>
          <w:color w:val="auto"/>
        </w:rPr>
        <w:tab/>
      </w:r>
      <w:r>
        <w:rPr>
          <w:rFonts w:ascii="Arial" w:cs="Arial" w:eastAsia="Arial" w:hAnsi="Arial"/>
          <w:sz w:val="15"/>
          <w:szCs w:val="15"/>
          <w:color w:val="auto"/>
        </w:rPr>
        <w:t>Changes in and Disagreements with Accountants on Accounting and Financial Disclosure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9A.</w:t>
      </w:r>
      <w:r>
        <w:rPr>
          <w:sz w:val="20"/>
          <w:szCs w:val="20"/>
          <w:color w:val="auto"/>
        </w:rPr>
        <w:tab/>
      </w:r>
      <w:r>
        <w:rPr>
          <w:rFonts w:ascii="Arial" w:cs="Arial" w:eastAsia="Arial" w:hAnsi="Arial"/>
          <w:sz w:val="15"/>
          <w:szCs w:val="15"/>
          <w:color w:val="auto"/>
        </w:rPr>
        <w:t>Controls and Procedures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9B.</w:t>
      </w:r>
      <w:r>
        <w:rPr>
          <w:sz w:val="20"/>
          <w:szCs w:val="20"/>
          <w:color w:val="auto"/>
        </w:rPr>
        <w:tab/>
      </w:r>
      <w:r>
        <w:rPr>
          <w:rFonts w:ascii="Arial" w:cs="Arial" w:eastAsia="Arial" w:hAnsi="Arial"/>
          <w:sz w:val="15"/>
          <w:szCs w:val="15"/>
          <w:color w:val="auto"/>
        </w:rPr>
        <w:t>Other Information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10.</w:t>
      </w:r>
      <w:r>
        <w:rPr>
          <w:sz w:val="20"/>
          <w:szCs w:val="20"/>
          <w:color w:val="auto"/>
        </w:rPr>
        <w:tab/>
      </w:r>
      <w:r>
        <w:rPr>
          <w:rFonts w:ascii="Arial" w:cs="Arial" w:eastAsia="Arial" w:hAnsi="Arial"/>
          <w:sz w:val="15"/>
          <w:szCs w:val="15"/>
          <w:color w:val="auto"/>
        </w:rPr>
        <w:t>Directors, Executive Officers and Corporate Governance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11.</w:t>
      </w:r>
      <w:r>
        <w:rPr>
          <w:sz w:val="20"/>
          <w:szCs w:val="20"/>
          <w:color w:val="auto"/>
        </w:rPr>
        <w:tab/>
      </w:r>
      <w:r>
        <w:rPr>
          <w:rFonts w:ascii="Arial" w:cs="Arial" w:eastAsia="Arial" w:hAnsi="Arial"/>
          <w:sz w:val="15"/>
          <w:szCs w:val="15"/>
          <w:color w:val="auto"/>
        </w:rPr>
        <w:t>Executive Compensation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12.</w:t>
      </w:r>
      <w:r>
        <w:rPr>
          <w:sz w:val="20"/>
          <w:szCs w:val="20"/>
          <w:color w:val="auto"/>
        </w:rPr>
        <w:tab/>
      </w:r>
      <w:r>
        <w:rPr>
          <w:rFonts w:ascii="Arial" w:cs="Arial" w:eastAsia="Arial" w:hAnsi="Arial"/>
          <w:sz w:val="15"/>
          <w:szCs w:val="15"/>
          <w:color w:val="auto"/>
        </w:rPr>
        <w:t>Security Ownership of Certain Beneficial Owners and Management and Related Stockholder Matters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13.</w:t>
      </w:r>
      <w:r>
        <w:rPr>
          <w:sz w:val="20"/>
          <w:szCs w:val="20"/>
          <w:color w:val="auto"/>
        </w:rPr>
        <w:tab/>
      </w:r>
      <w:r>
        <w:rPr>
          <w:rFonts w:ascii="Arial" w:cs="Arial" w:eastAsia="Arial" w:hAnsi="Arial"/>
          <w:sz w:val="15"/>
          <w:szCs w:val="15"/>
          <w:color w:val="auto"/>
        </w:rPr>
        <w:t>Certain Relationships and Related Transactions and Director Independence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14.</w:t>
      </w:r>
      <w:r>
        <w:rPr>
          <w:sz w:val="20"/>
          <w:szCs w:val="20"/>
          <w:color w:val="auto"/>
        </w:rPr>
        <w:tab/>
      </w:r>
      <w:r>
        <w:rPr>
          <w:rFonts w:ascii="Arial" w:cs="Arial" w:eastAsia="Arial" w:hAnsi="Arial"/>
          <w:sz w:val="15"/>
          <w:szCs w:val="15"/>
          <w:color w:val="auto"/>
        </w:rPr>
        <w:t>Principal Accounting Fees and Services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15.</w:t>
      </w:r>
      <w:r>
        <w:rPr>
          <w:sz w:val="20"/>
          <w:szCs w:val="20"/>
          <w:color w:val="auto"/>
        </w:rPr>
        <w:tab/>
      </w:r>
      <w:r>
        <w:rPr>
          <w:rFonts w:ascii="Arial" w:cs="Arial" w:eastAsia="Arial" w:hAnsi="Arial"/>
          <w:sz w:val="15"/>
          <w:szCs w:val="15"/>
          <w:color w:val="auto"/>
        </w:rPr>
        <w:t>Exhibits, Financial Statement Schedules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SIGNATURES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INDEX TO FINANCIAL INFORMATION</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Management’s Discussion and Analysis of Results of Operations and Financial Condition (Unaudited)</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Financial Statements:</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Management’s Report on Internal Control Over Financial Reporting</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Report of Independent Registered Public Accounting Firm</w:t>
      </w:r>
    </w:p>
    <w:p>
      <w:pPr>
        <w:spacing w:after="0" w:line="44" w:lineRule="exact"/>
        <w:rPr>
          <w:sz w:val="20"/>
          <w:szCs w:val="20"/>
          <w:color w:val="auto"/>
        </w:rPr>
      </w:pPr>
    </w:p>
    <w:p>
      <w:pPr>
        <w:ind w:left="240" w:right="3380"/>
        <w:spacing w:after="0" w:line="300" w:lineRule="auto"/>
        <w:rPr>
          <w:sz w:val="20"/>
          <w:szCs w:val="20"/>
          <w:color w:val="auto"/>
        </w:rPr>
      </w:pPr>
      <w:r>
        <w:rPr>
          <w:rFonts w:ascii="Arial" w:cs="Arial" w:eastAsia="Arial" w:hAnsi="Arial"/>
          <w:sz w:val="15"/>
          <w:szCs w:val="15"/>
          <w:color w:val="auto"/>
        </w:rPr>
        <w:t>Consolidated Statements of Operations for the Three Years Ended December 31, 2013 Consolidated Statements of Comprehensive Income for the Three Years Ended December 31, 2013 Consolidated Balance Sheets at December 31, 2013 and 2012</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Consolidated Statements of Cash Flows for the Three Years Ended December 31, 2013</w:t>
      </w:r>
    </w:p>
    <w:p>
      <w:pPr>
        <w:spacing w:after="0" w:line="44" w:lineRule="exact"/>
        <w:rPr>
          <w:sz w:val="20"/>
          <w:szCs w:val="20"/>
          <w:color w:val="auto"/>
        </w:rPr>
      </w:pPr>
    </w:p>
    <w:p>
      <w:pPr>
        <w:ind w:left="240" w:right="2140"/>
        <w:spacing w:after="0" w:line="300" w:lineRule="auto"/>
        <w:rPr>
          <w:sz w:val="20"/>
          <w:szCs w:val="20"/>
          <w:color w:val="auto"/>
        </w:rPr>
      </w:pPr>
      <w:r>
        <w:rPr>
          <w:rFonts w:ascii="Arial" w:cs="Arial" w:eastAsia="Arial" w:hAnsi="Arial"/>
          <w:sz w:val="15"/>
          <w:szCs w:val="15"/>
          <w:color w:val="auto"/>
        </w:rPr>
        <w:t>Consolidated Statements of Changes in Common Stockholders’ Equity for the Three Years Ended December 31, 2013 Notes to Consolidated Financial Statements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Five-Year Summary of Selected Historical Financial Data (Unaudited)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INDEX TO EXHIBITS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12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17</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19</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20</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21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21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3">
        <w:r>
          <w:rPr>
            <w:rFonts w:ascii="Arial" w:cs="Arial" w:eastAsia="Arial" w:hAnsi="Arial"/>
            <w:sz w:val="15"/>
            <w:szCs w:val="15"/>
            <w:u w:val="single" w:color="auto"/>
            <w:color w:val="0000EE"/>
          </w:rPr>
          <w:t>21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22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22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29</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29</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31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34</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34</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34</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35</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35</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35</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35</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35</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37</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38</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39</w:t>
        </w:r>
      </w:hyperlink>
    </w:p>
    <w:p>
      <w:pPr>
        <w:spacing w:after="0" w:line="260" w:lineRule="exact"/>
        <w:rPr>
          <w:sz w:val="20"/>
          <w:szCs w:val="20"/>
          <w:color w:val="auto"/>
        </w:rPr>
      </w:pPr>
    </w:p>
    <w:p>
      <w:pPr>
        <w:jc w:val="right"/>
        <w:spacing w:after="0"/>
        <w:rPr>
          <w:rFonts w:ascii="Arial" w:cs="Arial" w:eastAsia="Arial" w:hAnsi="Arial"/>
          <w:sz w:val="15"/>
          <w:szCs w:val="15"/>
          <w:u w:val="single" w:color="auto"/>
          <w:color w:val="0000EE"/>
        </w:rPr>
      </w:pPr>
      <w:hyperlink w:anchor="page57">
        <w:r>
          <w:rPr>
            <w:rFonts w:ascii="Arial" w:cs="Arial" w:eastAsia="Arial" w:hAnsi="Arial"/>
            <w:sz w:val="15"/>
            <w:szCs w:val="15"/>
            <w:u w:val="single" w:color="auto"/>
            <w:color w:val="0000EE"/>
          </w:rPr>
          <w:t>56</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58">
        <w:r>
          <w:rPr>
            <w:rFonts w:ascii="Arial" w:cs="Arial" w:eastAsia="Arial" w:hAnsi="Arial"/>
            <w:sz w:val="15"/>
            <w:szCs w:val="15"/>
            <w:u w:val="single" w:color="auto"/>
            <w:color w:val="0000EE"/>
          </w:rPr>
          <w:t>57</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59">
        <w:r>
          <w:rPr>
            <w:rFonts w:ascii="Arial" w:cs="Arial" w:eastAsia="Arial" w:hAnsi="Arial"/>
            <w:sz w:val="15"/>
            <w:szCs w:val="15"/>
            <w:u w:val="single" w:color="auto"/>
            <w:color w:val="0000EE"/>
          </w:rPr>
          <w:t>58</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0">
        <w:r>
          <w:rPr>
            <w:rFonts w:ascii="Arial" w:cs="Arial" w:eastAsia="Arial" w:hAnsi="Arial"/>
            <w:sz w:val="15"/>
            <w:szCs w:val="15"/>
            <w:u w:val="single" w:color="auto"/>
            <w:color w:val="0000EE"/>
          </w:rPr>
          <w:t>59</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60</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61</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4">
        <w:r>
          <w:rPr>
            <w:rFonts w:ascii="Arial" w:cs="Arial" w:eastAsia="Arial" w:hAnsi="Arial"/>
            <w:sz w:val="15"/>
            <w:szCs w:val="15"/>
            <w:u w:val="single" w:color="auto"/>
            <w:color w:val="0000EE"/>
          </w:rPr>
          <w:t>62</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63</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107">
        <w:r>
          <w:rPr>
            <w:rFonts w:ascii="Arial" w:cs="Arial" w:eastAsia="Arial" w:hAnsi="Arial"/>
            <w:sz w:val="15"/>
            <w:szCs w:val="15"/>
            <w:u w:val="single" w:color="auto"/>
            <w:color w:val="0000EE"/>
          </w:rPr>
          <w:t>99</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108">
        <w:r>
          <w:rPr>
            <w:rFonts w:ascii="Arial" w:cs="Arial" w:eastAsia="Arial" w:hAnsi="Arial"/>
            <w:sz w:val="15"/>
            <w:szCs w:val="15"/>
            <w:u w:val="single" w:color="auto"/>
            <w:color w:val="0000EE"/>
          </w:rPr>
          <w:t>100</w:t>
        </w:r>
      </w:hyperlink>
    </w:p>
    <w:p>
      <w:pPr>
        <w:sectPr>
          <w:pgSz w:w="11900" w:h="16838" w:orient="portrait"/>
          <w:cols w:equalWidth="0" w:num="2">
            <w:col w:w="10380" w:space="720"/>
            <w:col w:w="260"/>
          </w:cols>
          <w:pgMar w:left="280" w:top="738"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6"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cable systems, television broadcasting (through the ownership and operation of six television broadcast stations), Slate and Foreign Policy magazines.</w:t>
      </w:r>
    </w:p>
    <w:p>
      <w:pPr>
        <w:spacing w:after="0" w:line="111"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In the fourth quarter of 2013, the Company completed the sale of its newspaper publishing businesses, including The Washington Post (the Post) and its related website, to Nash Holdings LLC (the Buyer). The following subsidiaries were divested in the transaction: WP Company LLC, Express Publications Company, LLC, El Tiempo Latino LLC, Post–Newsweek Media, LLC, Greater Washington Publishing, LLC and Robinson Terminal Warehouse LLC. Following the completion of the sale, the Company changed its name to Graham Holdings Company.</w:t>
      </w:r>
    </w:p>
    <w:p>
      <w:pPr>
        <w:spacing w:after="0" w:line="11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Information concerning the consolidated operating revenues, consolidated income from operations and identifiable assets attributable to the principal segments of the Company’s business for the past three fiscal years is contained in Note 19 to the Company’s Consolidated Financial Statements appearing elsewhere in this Annual Report on Form 10-K, as required by Item 101(b) and 101(d) of Regulation S-K. Revenues for each segment are shown in Note 19 gross of intersegment sales. Consolidated revenues are reported net of intersegment sales, which did not exceed 0.1% of consolidated operating revenues.</w:t>
      </w:r>
    </w:p>
    <w:p>
      <w:pPr>
        <w:spacing w:after="0" w:line="111" w:lineRule="exact"/>
        <w:rPr>
          <w:sz w:val="20"/>
          <w:szCs w:val="20"/>
          <w:color w:val="auto"/>
        </w:rPr>
      </w:pPr>
    </w:p>
    <w:p>
      <w:pPr>
        <w:ind w:right="500"/>
        <w:spacing w:after="0" w:line="234" w:lineRule="auto"/>
        <w:rPr>
          <w:sz w:val="20"/>
          <w:szCs w:val="20"/>
          <w:color w:val="auto"/>
        </w:rPr>
      </w:pPr>
      <w:r>
        <w:rPr>
          <w:rFonts w:ascii="Arial" w:cs="Arial" w:eastAsia="Arial" w:hAnsi="Arial"/>
          <w:sz w:val="18"/>
          <w:szCs w:val="18"/>
          <w:color w:val="auto"/>
        </w:rPr>
        <w:t>The Company’s operations in geographic areas outside the U.S. consist primarily of Kaplan’s non-U.S. operations. During the fiscal years 2013, 2012 and 2011, these operations accounted for approximately 19%, 19% and 17%, respectively, of the Company’s consolidated revenues, and the identifiable assets attributable to non-U.S. operations represented approximately 11% and 13% of the Company’s consolidated assets at December 31, 2013, and 2012, respectively.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14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Kaplan, Inc., a subsidiary of the Company, provides an extensive range of education and related services worldwide for students and professionals. Kaplan conducts its operations through three segments: Kaplan Higher Education, Kaplan Test Preparation and Kaplan International. In addition, the results of the Kaplan Corporate segment include investment activities, identifying and investing in high-growth-potential education technology companies, as well as Colloquy, which enables its university partners to develop online educational programs by providing an array of research, marketing and design services.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for each of Kaplan’s segments: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2011</w:t>
            </w:r>
          </w:p>
        </w:tc>
      </w:tr>
      <w:tr>
        <w:trPr>
          <w:trHeight w:val="249"/>
        </w:trPr>
        <w:tc>
          <w:tcPr>
            <w:tcW w:w="7440" w:type="dxa"/>
            <w:vAlign w:val="bottom"/>
          </w:tcPr>
          <w:p>
            <w:pPr>
              <w:ind w:left="40"/>
              <w:spacing w:after="0"/>
              <w:rPr>
                <w:sz w:val="20"/>
                <w:szCs w:val="20"/>
                <w:color w:val="auto"/>
              </w:rPr>
            </w:pPr>
            <w:r>
              <w:rPr>
                <w:rFonts w:ascii="Arial" w:cs="Arial" w:eastAsia="Arial" w:hAnsi="Arial"/>
                <w:sz w:val="16"/>
                <w:szCs w:val="16"/>
                <w:color w:val="auto"/>
              </w:rPr>
              <w:t>Kaplan 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1,080,908</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1,149,407</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1,399,583</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Test Preparation</w:t>
            </w:r>
          </w:p>
        </w:tc>
        <w:tc>
          <w:tcPr>
            <w:tcW w:w="260" w:type="dxa"/>
            <w:vAlign w:val="bottom"/>
          </w:tcPr>
          <w:p>
            <w:pPr>
              <w:spacing w:after="0"/>
              <w:rPr>
                <w:sz w:val="23"/>
                <w:szCs w:val="23"/>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293,201</w:t>
            </w:r>
          </w:p>
        </w:tc>
        <w:tc>
          <w:tcPr>
            <w:tcW w:w="38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284,252</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303,093</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797,362</w:t>
            </w:r>
          </w:p>
        </w:tc>
        <w:tc>
          <w:tcPr>
            <w:tcW w:w="38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753,790</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690,226</w:t>
            </w:r>
          </w:p>
        </w:tc>
      </w:tr>
      <w:tr>
        <w:trPr>
          <w:trHeight w:val="279"/>
        </w:trPr>
        <w:tc>
          <w:tcPr>
            <w:tcW w:w="7440" w:type="dxa"/>
            <w:vAlign w:val="bottom"/>
          </w:tcPr>
          <w:p>
            <w:pPr>
              <w:ind w:left="40"/>
              <w:spacing w:after="0"/>
              <w:rPr>
                <w:sz w:val="20"/>
                <w:szCs w:val="20"/>
                <w:color w:val="auto"/>
              </w:rPr>
            </w:pPr>
            <w:r>
              <w:rPr>
                <w:rFonts w:ascii="Arial" w:cs="Arial" w:eastAsia="Arial" w:hAnsi="Arial"/>
                <w:sz w:val="16"/>
                <w:szCs w:val="16"/>
                <w:color w:val="auto"/>
              </w:rPr>
              <w:t>Kaplan Corporate and Intersegment Eliminations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6,037</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9,047</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11,557</w:t>
            </w:r>
          </w:p>
        </w:tc>
      </w:tr>
      <w:tr>
        <w:trPr>
          <w:trHeight w:val="269"/>
        </w:trPr>
        <w:tc>
          <w:tcPr>
            <w:tcW w:w="7440" w:type="dxa"/>
            <w:vAlign w:val="bottom"/>
          </w:tcPr>
          <w:p>
            <w:pPr>
              <w:ind w:left="280"/>
              <w:spacing w:after="0"/>
              <w:rPr>
                <w:sz w:val="20"/>
                <w:szCs w:val="20"/>
                <w:color w:val="auto"/>
              </w:rPr>
            </w:pPr>
            <w:r>
              <w:rPr>
                <w:rFonts w:ascii="Arial" w:cs="Arial" w:eastAsia="Arial" w:hAnsi="Arial"/>
                <w:sz w:val="16"/>
                <w:szCs w:val="16"/>
                <w:color w:val="auto"/>
              </w:rPr>
              <w:t>Total Kaplan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2,177,508</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2,196,496</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2,404,459</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Higher Education</w:t>
      </w:r>
    </w:p>
    <w:p>
      <w:pPr>
        <w:spacing w:after="0" w:line="146"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Kaplan Higher Education (KHE) provides a wide array of certificate, diploma and degree programs—on campus and online—designed to meet the needs of students seeking to advance their education and career goals.</w:t>
      </w:r>
    </w:p>
    <w:p>
      <w:pPr>
        <w:spacing w:after="0" w:line="92"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In 2013, Kaplan’s U.S.-based KHE division included the following businesses: Kaplan University and KHE Campuses. Each of these businesses is described briefly below.</w:t>
      </w:r>
    </w:p>
    <w:p>
      <w:pPr>
        <w:spacing w:after="0" w:line="92"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b w:val="1"/>
          <w:bCs w:val="1"/>
          <w:i w:val="1"/>
          <w:iCs w:val="1"/>
          <w:color w:val="auto"/>
        </w:rPr>
        <w:t xml:space="preserve">Kaplan University. </w:t>
      </w:r>
      <w:r>
        <w:rPr>
          <w:rFonts w:ascii="Arial" w:cs="Arial" w:eastAsia="Arial" w:hAnsi="Arial"/>
          <w:sz w:val="18"/>
          <w:szCs w:val="18"/>
          <w:color w:val="auto"/>
        </w:rPr>
        <w:t>Kaplan University specializes in online education, is accredited by the Higher Learning Commission of the North Central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 of Colleges and Schools and holds other programmatic accreditations. Most of Kaplan University’s programs are offered online, while some are offered in a traditional classroom format at 11 campuses in Iowa, Maine, Maryland and Nebraska, and four Kaplan University Learning Centers in four states. Kaplan University also includes Concord Law School, a fully online law school. At year-end 2013, Kaplan University had approximately 36,500 students enrolled in online programs and approximately 6,400 students enrolled in its classroom-based programs.</w:t>
      </w:r>
    </w:p>
    <w:p>
      <w:pPr>
        <w:spacing w:after="0" w:line="11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Also residing within Kaplan University is the School of Professional and Continuing Education (PACE). PACE offers a wide range of education solutions to assist professionals in advancing their careers by obtaining professional licenses, designations and certifications. This includes solutions for insurance, securities, mortgage and appraisal</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36" w:right="239" w:bottom="1440" w:gutter="0" w:footer="0" w:header="0"/>
        </w:sectPr>
      </w:pPr>
    </w:p>
    <w:bookmarkStart w:id="3" w:name="page4"/>
    <w:bookmarkEnd w:id="3"/>
    <w:p>
      <w:pPr>
        <w:ind w:right="220"/>
        <w:spacing w:after="0" w:line="260" w:lineRule="auto"/>
        <w:rPr>
          <w:sz w:val="20"/>
          <w:szCs w:val="20"/>
          <w:color w:val="auto"/>
        </w:rPr>
      </w:pPr>
      <w:r>
        <w:rPr>
          <w:rFonts w:ascii="Arial" w:cs="Arial" w:eastAsia="Arial" w:hAnsi="Arial"/>
          <w:sz w:val="18"/>
          <w:szCs w:val="18"/>
          <w:color w:val="auto"/>
        </w:rPr>
        <w:t>licensing exams and for advanced designations, such as CFA</w:t>
      </w:r>
      <w:r>
        <w:rPr>
          <w:rFonts w:ascii="Arial" w:cs="Arial" w:eastAsia="Arial" w:hAnsi="Arial"/>
          <w:sz w:val="10"/>
          <w:szCs w:val="10"/>
          <w:color w:val="auto"/>
        </w:rPr>
        <w:t>®</w:t>
      </w:r>
      <w:r>
        <w:rPr>
          <w:rFonts w:ascii="Arial" w:cs="Arial" w:eastAsia="Arial" w:hAnsi="Arial"/>
          <w:sz w:val="18"/>
          <w:szCs w:val="18"/>
          <w:color w:val="auto"/>
        </w:rPr>
        <w:t xml:space="preserve"> and CPA exams. PACE serves more than 3,100 business-to-business clients, including more than 70 Fortune 500 companies. In 2013, approximately 482,000 students used PACE’s exam preparation offerings.</w:t>
      </w:r>
    </w:p>
    <w:p>
      <w:pPr>
        <w:spacing w:after="0" w:line="9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b w:val="1"/>
          <w:bCs w:val="1"/>
          <w:i w:val="1"/>
          <w:iCs w:val="1"/>
          <w:color w:val="auto"/>
        </w:rPr>
        <w:t xml:space="preserve">KHE Campuses. </w:t>
      </w:r>
      <w:r>
        <w:rPr>
          <w:rFonts w:ascii="Arial" w:cs="Arial" w:eastAsia="Arial" w:hAnsi="Arial"/>
          <w:sz w:val="18"/>
          <w:szCs w:val="18"/>
          <w:color w:val="auto"/>
        </w:rPr>
        <w:t>At the end of 2013, the KHE Campuses business comprised 46 schools in 13 states that were providing classroom-based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instruction to approximately 17,400 students, which did not include the approximately 6,400 students enrolled at Kaplan University’s on-ground campuses. Each of these schools is accredited by one of several regional or national accrediting agencies recognized by the U.S. Department of Education (ED).</w:t>
      </w:r>
    </w:p>
    <w:p>
      <w:pPr>
        <w:spacing w:after="0" w:line="11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September 2012, KHE began implementing a plan to consolidate its market presence at certain of its fixed-facility campuses. Under the plan, KHE ceased new enrollments at nine ground campuses and consolidated operations of four other campuses into existing, nearby locations. In addition, during 2013, Kaplan’s Mount Washington College (formerly Hesser College) ceased enrollment at two of its locations. In each case, KHE has taught and will continue to teach all courses in progress at the campuses until their completion. As of the end of 2013, courses remained in progress at only two of these locations. Revenues at these two campuses represented approximately 0.3% of KHE’s total revenues and 0.1% of Kaplan, Inc.’s total revenues for 2013.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Offerings and Enrollment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KHE Campuses’ offer certificate and degree programs in a variety of subject areas. Among them are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Certificate</w:t>
            </w:r>
          </w:p>
        </w:tc>
        <w:tc>
          <w:tcPr>
            <w:tcW w:w="30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Associate’s</w:t>
            </w:r>
          </w:p>
        </w:tc>
        <w:tc>
          <w:tcPr>
            <w:tcW w:w="18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2"/>
          </w:tcPr>
          <w:p>
            <w:pPr>
              <w:ind w:left="1320"/>
              <w:spacing w:after="0"/>
              <w:rPr>
                <w:sz w:val="20"/>
                <w:szCs w:val="20"/>
                <w:color w:val="auto"/>
              </w:rPr>
            </w:pPr>
            <w:r>
              <w:rPr>
                <w:rFonts w:ascii="Arial" w:cs="Arial" w:eastAsia="Arial" w:hAnsi="Arial"/>
                <w:sz w:val="14"/>
                <w:szCs w:val="14"/>
                <w:b w:val="1"/>
                <w:bCs w:val="1"/>
                <w:color w:val="auto"/>
              </w:rPr>
              <w:t>Bachelor’s</w:t>
            </w: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Master’s</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40"/>
              <w:spacing w:after="0"/>
              <w:rPr>
                <w:sz w:val="20"/>
                <w:szCs w:val="20"/>
                <w:color w:val="auto"/>
              </w:rPr>
            </w:pPr>
            <w:r>
              <w:rPr>
                <w:rFonts w:ascii="Arial" w:cs="Arial" w:eastAsia="Arial" w:hAnsi="Arial"/>
                <w:sz w:val="14"/>
                <w:szCs w:val="14"/>
                <w:color w:val="auto"/>
              </w:rPr>
              <w:t>• Criminal Justice</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3140" w:type="dxa"/>
            <w:vAlign w:val="bottom"/>
          </w:tcPr>
          <w:p>
            <w:pPr>
              <w:ind w:left="80"/>
              <w:spacing w:after="0"/>
              <w:rPr>
                <w:sz w:val="20"/>
                <w:szCs w:val="20"/>
                <w:color w:val="auto"/>
              </w:rPr>
            </w:pPr>
            <w:r>
              <w:rPr>
                <w:rFonts w:ascii="Arial" w:cs="Arial" w:eastAsia="Arial" w:hAnsi="Arial"/>
                <w:sz w:val="14"/>
                <w:szCs w:val="14"/>
                <w:color w:val="auto"/>
              </w:rPr>
              <w:t>Arts and Sciences</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gridSpan w:val="2"/>
          </w:tcPr>
          <w:p>
            <w:pPr>
              <w:ind w:left="60"/>
              <w:spacing w:after="0"/>
              <w:rPr>
                <w:sz w:val="20"/>
                <w:szCs w:val="20"/>
                <w:color w:val="auto"/>
              </w:rPr>
            </w:pPr>
            <w:r>
              <w:rPr>
                <w:rFonts w:ascii="Arial" w:cs="Arial" w:eastAsia="Arial" w:hAnsi="Arial"/>
                <w:sz w:val="14"/>
                <w:szCs w:val="14"/>
                <w:color w:val="auto"/>
              </w:rPr>
              <w:t>Arts and Sciences</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1560" w:type="dxa"/>
            <w:vAlign w:val="bottom"/>
          </w:tcPr>
          <w:p>
            <w:pPr>
              <w:ind w:left="80"/>
              <w:spacing w:after="0"/>
              <w:rPr>
                <w:sz w:val="20"/>
                <w:szCs w:val="20"/>
                <w:color w:val="auto"/>
              </w:rPr>
            </w:pPr>
            <w:r>
              <w:rPr>
                <w:rFonts w:ascii="Arial" w:cs="Arial" w:eastAsia="Arial" w:hAnsi="Arial"/>
                <w:sz w:val="14"/>
                <w:szCs w:val="14"/>
                <w:color w:val="auto"/>
              </w:rPr>
              <w:t>Arts and Sciences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tcPr>
          <w:p>
            <w:pPr>
              <w:ind w:left="40"/>
              <w:spacing w:after="0"/>
              <w:rPr>
                <w:sz w:val="20"/>
                <w:szCs w:val="20"/>
                <w:color w:val="auto"/>
              </w:rPr>
            </w:pPr>
            <w:r>
              <w:rPr>
                <w:rFonts w:ascii="Arial" w:cs="Arial" w:eastAsia="Arial" w:hAnsi="Arial"/>
                <w:sz w:val="14"/>
                <w:szCs w:val="14"/>
                <w:color w:val="auto"/>
              </w:rPr>
              <w:t>• Health Sciences</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3140" w:type="dxa"/>
            <w:vAlign w:val="bottom"/>
          </w:tcPr>
          <w:p>
            <w:pPr>
              <w:ind w:left="80"/>
              <w:spacing w:after="0"/>
              <w:rPr>
                <w:sz w:val="20"/>
                <w:szCs w:val="20"/>
                <w:color w:val="auto"/>
              </w:rPr>
            </w:pPr>
            <w:r>
              <w:rPr>
                <w:rFonts w:ascii="Arial" w:cs="Arial" w:eastAsia="Arial" w:hAnsi="Arial"/>
                <w:sz w:val="14"/>
                <w:szCs w:val="14"/>
                <w:color w:val="auto"/>
              </w:rPr>
              <w:t>Business Management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gridSpan w:val="2"/>
          </w:tcPr>
          <w:p>
            <w:pPr>
              <w:ind w:left="60"/>
              <w:spacing w:after="0"/>
              <w:rPr>
                <w:sz w:val="20"/>
                <w:szCs w:val="20"/>
                <w:color w:val="auto"/>
              </w:rPr>
            </w:pPr>
            <w:r>
              <w:rPr>
                <w:rFonts w:ascii="Arial" w:cs="Arial" w:eastAsia="Arial" w:hAnsi="Arial"/>
                <w:sz w:val="14"/>
                <w:szCs w:val="14"/>
                <w:color w:val="auto"/>
              </w:rPr>
              <w:t>Business Management</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1560" w:type="dxa"/>
            <w:vAlign w:val="bottom"/>
          </w:tcPr>
          <w:p>
            <w:pPr>
              <w:ind w:left="80"/>
              <w:spacing w:after="0"/>
              <w:rPr>
                <w:sz w:val="20"/>
                <w:szCs w:val="20"/>
                <w:color w:val="auto"/>
              </w:rPr>
            </w:pPr>
            <w:r>
              <w:rPr>
                <w:rFonts w:ascii="Arial" w:cs="Arial" w:eastAsia="Arial" w:hAnsi="Arial"/>
                <w:sz w:val="14"/>
                <w:szCs w:val="14"/>
                <w:color w:val="auto"/>
              </w:rPr>
              <w:t>Business Management</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900" w:type="dxa"/>
            <w:vAlign w:val="bottom"/>
          </w:tcPr>
          <w:p>
            <w:pPr>
              <w:ind w:left="40"/>
              <w:spacing w:after="0"/>
              <w:rPr>
                <w:sz w:val="20"/>
                <w:szCs w:val="20"/>
                <w:color w:val="auto"/>
              </w:rPr>
            </w:pPr>
            <w:r>
              <w:rPr>
                <w:rFonts w:ascii="Arial" w:cs="Arial" w:eastAsia="Arial" w:hAnsi="Arial"/>
                <w:sz w:val="14"/>
                <w:szCs w:val="14"/>
                <w:color w:val="auto"/>
              </w:rPr>
              <w:t>• Information Systems and</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3140" w:type="dxa"/>
            <w:vAlign w:val="bottom"/>
          </w:tcPr>
          <w:p>
            <w:pPr>
              <w:ind w:left="80"/>
              <w:spacing w:after="0"/>
              <w:rPr>
                <w:sz w:val="20"/>
                <w:szCs w:val="20"/>
                <w:color w:val="auto"/>
              </w:rPr>
            </w:pPr>
            <w:r>
              <w:rPr>
                <w:rFonts w:ascii="Arial" w:cs="Arial" w:eastAsia="Arial" w:hAnsi="Arial"/>
                <w:sz w:val="14"/>
                <w:szCs w:val="14"/>
                <w:color w:val="auto"/>
              </w:rPr>
              <w:t>Criminal Justice</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3520" w:type="dxa"/>
            <w:vAlign w:val="bottom"/>
            <w:gridSpan w:val="2"/>
          </w:tcPr>
          <w:p>
            <w:pPr>
              <w:ind w:left="60"/>
              <w:spacing w:after="0"/>
              <w:rPr>
                <w:sz w:val="20"/>
                <w:szCs w:val="20"/>
                <w:color w:val="auto"/>
              </w:rPr>
            </w:pPr>
            <w:r>
              <w:rPr>
                <w:rFonts w:ascii="Arial" w:cs="Arial" w:eastAsia="Arial" w:hAnsi="Arial"/>
                <w:sz w:val="14"/>
                <w:szCs w:val="14"/>
                <w:color w:val="auto"/>
              </w:rPr>
              <w:t>Criminal Justice</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1560" w:type="dxa"/>
            <w:vAlign w:val="bottom"/>
          </w:tcPr>
          <w:p>
            <w:pPr>
              <w:ind w:left="80"/>
              <w:spacing w:after="0"/>
              <w:rPr>
                <w:sz w:val="20"/>
                <w:szCs w:val="20"/>
                <w:color w:val="auto"/>
              </w:rPr>
            </w:pPr>
            <w:r>
              <w:rPr>
                <w:rFonts w:ascii="Arial" w:cs="Arial" w:eastAsia="Arial" w:hAnsi="Arial"/>
                <w:sz w:val="14"/>
                <w:szCs w:val="14"/>
                <w:color w:val="auto"/>
              </w:rPr>
              <w:t>Criminal Justice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900" w:type="dxa"/>
            <w:vAlign w:val="bottom"/>
          </w:tcPr>
          <w:p>
            <w:pPr>
              <w:ind w:left="200"/>
              <w:spacing w:after="0"/>
              <w:rPr>
                <w:sz w:val="20"/>
                <w:szCs w:val="20"/>
                <w:color w:val="auto"/>
              </w:rPr>
            </w:pPr>
            <w:r>
              <w:rPr>
                <w:rFonts w:ascii="Arial" w:cs="Arial" w:eastAsia="Arial" w:hAnsi="Arial"/>
                <w:sz w:val="14"/>
                <w:szCs w:val="14"/>
                <w:color w:val="auto"/>
              </w:rPr>
              <w:t>Technology</w:t>
            </w:r>
          </w:p>
        </w:tc>
        <w:tc>
          <w:tcPr>
            <w:tcW w:w="3440" w:type="dxa"/>
            <w:vAlign w:val="bottom"/>
            <w:gridSpan w:val="2"/>
            <w:vMerge w:val="restart"/>
          </w:tcPr>
          <w:p>
            <w:pPr>
              <w:ind w:left="200"/>
              <w:spacing w:after="0"/>
              <w:rPr>
                <w:sz w:val="20"/>
                <w:szCs w:val="20"/>
                <w:color w:val="auto"/>
              </w:rPr>
            </w:pPr>
            <w:r>
              <w:rPr>
                <w:rFonts w:ascii="Arial" w:cs="Arial" w:eastAsia="Arial" w:hAnsi="Arial"/>
                <w:sz w:val="14"/>
                <w:szCs w:val="14"/>
                <w:color w:val="auto"/>
              </w:rPr>
              <w:t>•  Fire Safety and Emergency Management</w:t>
            </w:r>
          </w:p>
        </w:tc>
        <w:tc>
          <w:tcPr>
            <w:tcW w:w="3700" w:type="dxa"/>
            <w:vAlign w:val="bottom"/>
            <w:gridSpan w:val="3"/>
            <w:vMerge w:val="restart"/>
          </w:tcPr>
          <w:p>
            <w:pPr>
              <w:ind w:left="80"/>
              <w:spacing w:after="0"/>
              <w:rPr>
                <w:sz w:val="20"/>
                <w:szCs w:val="20"/>
                <w:color w:val="auto"/>
              </w:rPr>
            </w:pPr>
            <w:r>
              <w:rPr>
                <w:rFonts w:ascii="Arial" w:cs="Arial" w:eastAsia="Arial" w:hAnsi="Arial"/>
                <w:sz w:val="14"/>
                <w:szCs w:val="14"/>
                <w:color w:val="auto"/>
              </w:rPr>
              <w:t>•  Fire Safety and Emergency Management</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560" w:type="dxa"/>
            <w:vAlign w:val="bottom"/>
            <w:vMerge w:val="restart"/>
          </w:tcPr>
          <w:p>
            <w:pPr>
              <w:ind w:left="80"/>
              <w:spacing w:after="0"/>
              <w:rPr>
                <w:sz w:val="20"/>
                <w:szCs w:val="20"/>
                <w:color w:val="auto"/>
              </w:rPr>
            </w:pPr>
            <w:r>
              <w:rPr>
                <w:rFonts w:ascii="Arial" w:cs="Arial" w:eastAsia="Arial" w:hAnsi="Arial"/>
                <w:sz w:val="14"/>
                <w:szCs w:val="14"/>
                <w:color w:val="auto"/>
              </w:rPr>
              <w:t>Health Sciences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900" w:type="dxa"/>
            <w:vAlign w:val="bottom"/>
            <w:vMerge w:val="restart"/>
          </w:tcPr>
          <w:p>
            <w:pPr>
              <w:ind w:left="40"/>
              <w:spacing w:after="0"/>
              <w:rPr>
                <w:sz w:val="20"/>
                <w:szCs w:val="20"/>
                <w:color w:val="auto"/>
              </w:rPr>
            </w:pPr>
            <w:r>
              <w:rPr>
                <w:rFonts w:ascii="Arial" w:cs="Arial" w:eastAsia="Arial" w:hAnsi="Arial"/>
                <w:sz w:val="14"/>
                <w:szCs w:val="14"/>
                <w:color w:val="auto"/>
              </w:rPr>
              <w:t>• Nursing</w:t>
            </w:r>
          </w:p>
        </w:tc>
        <w:tc>
          <w:tcPr>
            <w:tcW w:w="3440" w:type="dxa"/>
            <w:vAlign w:val="bottom"/>
            <w:gridSpan w:val="2"/>
            <w:vMerge w:val="continue"/>
          </w:tcPr>
          <w:p>
            <w:pPr>
              <w:spacing w:after="0"/>
              <w:rPr>
                <w:sz w:val="5"/>
                <w:szCs w:val="5"/>
                <w:color w:val="auto"/>
              </w:rPr>
            </w:pPr>
          </w:p>
        </w:tc>
        <w:tc>
          <w:tcPr>
            <w:tcW w:w="3700" w:type="dxa"/>
            <w:vAlign w:val="bottom"/>
            <w:gridSpan w:val="3"/>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900" w:type="dxa"/>
            <w:vAlign w:val="bottom"/>
            <w:vMerge w:val="continue"/>
          </w:tcPr>
          <w:p>
            <w:pPr>
              <w:spacing w:after="0"/>
              <w:rPr>
                <w:sz w:val="14"/>
                <w:szCs w:val="14"/>
                <w:color w:val="auto"/>
              </w:rPr>
            </w:pPr>
          </w:p>
        </w:tc>
        <w:tc>
          <w:tcPr>
            <w:tcW w:w="30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3140" w:type="dxa"/>
            <w:vAlign w:val="bottom"/>
            <w:vMerge w:val="restart"/>
          </w:tcPr>
          <w:p>
            <w:pPr>
              <w:ind w:left="80"/>
              <w:spacing w:after="0"/>
              <w:rPr>
                <w:sz w:val="20"/>
                <w:szCs w:val="20"/>
                <w:color w:val="auto"/>
              </w:rPr>
            </w:pPr>
            <w:r>
              <w:rPr>
                <w:rFonts w:ascii="Arial" w:cs="Arial" w:eastAsia="Arial" w:hAnsi="Arial"/>
                <w:sz w:val="14"/>
                <w:szCs w:val="14"/>
                <w:color w:val="auto"/>
              </w:rPr>
              <w:t>Health Sciences</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3520" w:type="dxa"/>
            <w:vAlign w:val="bottom"/>
            <w:gridSpan w:val="2"/>
            <w:vMerge w:val="restart"/>
          </w:tcPr>
          <w:p>
            <w:pPr>
              <w:ind w:left="60"/>
              <w:spacing w:after="0"/>
              <w:rPr>
                <w:sz w:val="20"/>
                <w:szCs w:val="20"/>
                <w:color w:val="auto"/>
              </w:rPr>
            </w:pPr>
            <w:r>
              <w:rPr>
                <w:rFonts w:ascii="Arial" w:cs="Arial" w:eastAsia="Arial" w:hAnsi="Arial"/>
                <w:sz w:val="14"/>
                <w:szCs w:val="14"/>
                <w:color w:val="auto"/>
              </w:rPr>
              <w:t>Health Sciences</w:t>
            </w: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280" w:type="dxa"/>
            <w:vAlign w:val="bottom"/>
            <w:gridSpan w:val="2"/>
            <w:vMerge w:val="restart"/>
          </w:tcPr>
          <w:p>
            <w:pPr>
              <w:ind w:left="80"/>
              <w:spacing w:after="0"/>
              <w:rPr>
                <w:sz w:val="20"/>
                <w:szCs w:val="20"/>
                <w:color w:val="auto"/>
              </w:rPr>
            </w:pPr>
            <w:r>
              <w:rPr>
                <w:rFonts w:ascii="Arial" w:cs="Arial" w:eastAsia="Arial" w:hAnsi="Arial"/>
                <w:sz w:val="14"/>
                <w:szCs w:val="14"/>
                <w:color w:val="auto"/>
              </w:rPr>
              <w:t>Higher Education Studies</w:t>
            </w:r>
          </w:p>
        </w:tc>
        <w:tc>
          <w:tcPr>
            <w:tcW w:w="0" w:type="dxa"/>
            <w:vAlign w:val="bottom"/>
          </w:tcPr>
          <w:p>
            <w:pPr>
              <w:spacing w:after="0"/>
              <w:rPr>
                <w:sz w:val="1"/>
                <w:szCs w:val="1"/>
                <w:color w:val="auto"/>
              </w:rPr>
            </w:pPr>
          </w:p>
        </w:tc>
      </w:tr>
      <w:tr>
        <w:trPr>
          <w:trHeight w:val="68"/>
        </w:trPr>
        <w:tc>
          <w:tcPr>
            <w:tcW w:w="19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314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35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900" w:type="dxa"/>
            <w:vAlign w:val="bottom"/>
          </w:tcPr>
          <w:p>
            <w:pPr>
              <w:spacing w:after="0"/>
              <w:rPr>
                <w:sz w:val="17"/>
                <w:szCs w:val="17"/>
                <w:color w:val="auto"/>
              </w:rPr>
            </w:pPr>
          </w:p>
        </w:tc>
        <w:tc>
          <w:tcPr>
            <w:tcW w:w="3440" w:type="dxa"/>
            <w:vAlign w:val="bottom"/>
            <w:gridSpan w:val="2"/>
          </w:tcPr>
          <w:p>
            <w:pPr>
              <w:ind w:left="200"/>
              <w:spacing w:after="0"/>
              <w:rPr>
                <w:sz w:val="20"/>
                <w:szCs w:val="20"/>
                <w:color w:val="auto"/>
              </w:rPr>
            </w:pPr>
            <w:r>
              <w:rPr>
                <w:rFonts w:ascii="Arial" w:cs="Arial" w:eastAsia="Arial" w:hAnsi="Arial"/>
                <w:sz w:val="14"/>
                <w:szCs w:val="14"/>
                <w:color w:val="auto"/>
              </w:rPr>
              <w:t>•  Information Systems and Technology</w:t>
            </w:r>
          </w:p>
        </w:tc>
        <w:tc>
          <w:tcPr>
            <w:tcW w:w="3700" w:type="dxa"/>
            <w:vAlign w:val="bottom"/>
            <w:gridSpan w:val="3"/>
          </w:tcPr>
          <w:p>
            <w:pPr>
              <w:ind w:left="80"/>
              <w:spacing w:after="0"/>
              <w:rPr>
                <w:sz w:val="20"/>
                <w:szCs w:val="20"/>
                <w:color w:val="auto"/>
              </w:rPr>
            </w:pPr>
            <w:r>
              <w:rPr>
                <w:rFonts w:ascii="Arial" w:cs="Arial" w:eastAsia="Arial" w:hAnsi="Arial"/>
                <w:sz w:val="14"/>
                <w:szCs w:val="14"/>
                <w:color w:val="auto"/>
              </w:rPr>
              <w:t>•  Information Systems and Technology</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2280" w:type="dxa"/>
            <w:vAlign w:val="bottom"/>
            <w:gridSpan w:val="2"/>
          </w:tcPr>
          <w:p>
            <w:pPr>
              <w:ind w:left="80"/>
              <w:spacing w:after="0"/>
              <w:rPr>
                <w:sz w:val="20"/>
                <w:szCs w:val="20"/>
                <w:color w:val="auto"/>
              </w:rPr>
            </w:pPr>
            <w:r>
              <w:rPr>
                <w:rFonts w:ascii="Arial" w:cs="Arial" w:eastAsia="Arial" w:hAnsi="Arial"/>
                <w:sz w:val="14"/>
                <w:szCs w:val="14"/>
                <w:color w:val="auto"/>
              </w:rPr>
              <w:t>Information Systems and</w:t>
            </w:r>
          </w:p>
        </w:tc>
        <w:tc>
          <w:tcPr>
            <w:tcW w:w="0" w:type="dxa"/>
            <w:vAlign w:val="bottom"/>
          </w:tcPr>
          <w:p>
            <w:pPr>
              <w:spacing w:after="0"/>
              <w:rPr>
                <w:sz w:val="1"/>
                <w:szCs w:val="1"/>
                <w:color w:val="auto"/>
              </w:rPr>
            </w:pPr>
          </w:p>
        </w:tc>
      </w:tr>
      <w:tr>
        <w:trPr>
          <w:trHeight w:val="194"/>
        </w:trPr>
        <w:tc>
          <w:tcPr>
            <w:tcW w:w="1900" w:type="dxa"/>
            <w:vAlign w:val="bottom"/>
          </w:tcPr>
          <w:p>
            <w:pPr>
              <w:spacing w:after="0"/>
              <w:rPr>
                <w:sz w:val="16"/>
                <w:szCs w:val="16"/>
                <w:color w:val="auto"/>
              </w:rPr>
            </w:pPr>
          </w:p>
        </w:tc>
        <w:tc>
          <w:tcPr>
            <w:tcW w:w="3440" w:type="dxa"/>
            <w:vAlign w:val="bottom"/>
            <w:gridSpan w:val="2"/>
            <w:vMerge w:val="restart"/>
          </w:tcPr>
          <w:p>
            <w:pPr>
              <w:ind w:left="200"/>
              <w:spacing w:after="0"/>
              <w:rPr>
                <w:sz w:val="20"/>
                <w:szCs w:val="20"/>
                <w:color w:val="auto"/>
              </w:rPr>
            </w:pPr>
            <w:r>
              <w:rPr>
                <w:rFonts w:ascii="Arial" w:cs="Arial" w:eastAsia="Arial" w:hAnsi="Arial"/>
                <w:sz w:val="14"/>
                <w:szCs w:val="14"/>
                <w:color w:val="auto"/>
              </w:rPr>
              <w:t>•  Legal and Paralegal Studies</w:t>
            </w:r>
          </w:p>
        </w:tc>
        <w:tc>
          <w:tcPr>
            <w:tcW w:w="3700" w:type="dxa"/>
            <w:vAlign w:val="bottom"/>
            <w:gridSpan w:val="3"/>
            <w:vMerge w:val="restart"/>
          </w:tcPr>
          <w:p>
            <w:pPr>
              <w:ind w:left="80"/>
              <w:spacing w:after="0"/>
              <w:rPr>
                <w:sz w:val="20"/>
                <w:szCs w:val="20"/>
                <w:color w:val="auto"/>
              </w:rPr>
            </w:pPr>
            <w:r>
              <w:rPr>
                <w:rFonts w:ascii="Arial" w:cs="Arial" w:eastAsia="Arial" w:hAnsi="Arial"/>
                <w:sz w:val="14"/>
                <w:szCs w:val="14"/>
                <w:color w:val="auto"/>
              </w:rPr>
              <w:t>•  Legal and Paralegal Studies</w:t>
            </w:r>
          </w:p>
        </w:tc>
        <w:tc>
          <w:tcPr>
            <w:tcW w:w="100" w:type="dxa"/>
            <w:vAlign w:val="bottom"/>
          </w:tcPr>
          <w:p>
            <w:pPr>
              <w:spacing w:after="0"/>
              <w:rPr>
                <w:sz w:val="16"/>
                <w:szCs w:val="16"/>
                <w:color w:val="auto"/>
              </w:rPr>
            </w:pPr>
          </w:p>
        </w:tc>
        <w:tc>
          <w:tcPr>
            <w:tcW w:w="1560" w:type="dxa"/>
            <w:vAlign w:val="bottom"/>
          </w:tcPr>
          <w:p>
            <w:pPr>
              <w:ind w:left="80"/>
              <w:spacing w:after="0"/>
              <w:rPr>
                <w:sz w:val="20"/>
                <w:szCs w:val="20"/>
                <w:color w:val="auto"/>
              </w:rPr>
            </w:pPr>
            <w:r>
              <w:rPr>
                <w:rFonts w:ascii="Arial" w:cs="Arial" w:eastAsia="Arial" w:hAnsi="Arial"/>
                <w:sz w:val="14"/>
                <w:szCs w:val="14"/>
                <w:color w:val="auto"/>
              </w:rPr>
              <w:t>Technology</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900" w:type="dxa"/>
            <w:vAlign w:val="bottom"/>
          </w:tcPr>
          <w:p>
            <w:pPr>
              <w:spacing w:after="0"/>
              <w:rPr>
                <w:sz w:val="5"/>
                <w:szCs w:val="5"/>
                <w:color w:val="auto"/>
              </w:rPr>
            </w:pPr>
          </w:p>
        </w:tc>
        <w:tc>
          <w:tcPr>
            <w:tcW w:w="3440" w:type="dxa"/>
            <w:vAlign w:val="bottom"/>
            <w:gridSpan w:val="2"/>
            <w:vMerge w:val="continue"/>
          </w:tcPr>
          <w:p>
            <w:pPr>
              <w:spacing w:after="0"/>
              <w:rPr>
                <w:sz w:val="5"/>
                <w:szCs w:val="5"/>
                <w:color w:val="auto"/>
              </w:rPr>
            </w:pPr>
          </w:p>
        </w:tc>
        <w:tc>
          <w:tcPr>
            <w:tcW w:w="3700" w:type="dxa"/>
            <w:vAlign w:val="bottom"/>
            <w:gridSpan w:val="3"/>
            <w:vMerge w:val="continue"/>
          </w:tcPr>
          <w:p>
            <w:pPr>
              <w:spacing w:after="0"/>
              <w:rPr>
                <w:sz w:val="5"/>
                <w:szCs w:val="5"/>
                <w:color w:val="auto"/>
              </w:rPr>
            </w:pPr>
          </w:p>
        </w:tc>
        <w:tc>
          <w:tcPr>
            <w:tcW w:w="2380" w:type="dxa"/>
            <w:vAlign w:val="bottom"/>
            <w:gridSpan w:val="3"/>
            <w:vMerge w:val="restart"/>
          </w:tcPr>
          <w:p>
            <w:pPr>
              <w:ind w:left="20"/>
              <w:spacing w:after="0"/>
              <w:rPr>
                <w:sz w:val="20"/>
                <w:szCs w:val="20"/>
                <w:color w:val="auto"/>
              </w:rPr>
            </w:pPr>
            <w:r>
              <w:rPr>
                <w:rFonts w:ascii="Arial" w:cs="Arial" w:eastAsia="Arial" w:hAnsi="Arial"/>
                <w:sz w:val="14"/>
                <w:szCs w:val="14"/>
                <w:color w:val="auto"/>
              </w:rPr>
              <w:t>•  Legal and Paralegal Studies</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30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3140" w:type="dxa"/>
            <w:vAlign w:val="bottom"/>
            <w:vMerge w:val="restart"/>
          </w:tcPr>
          <w:p>
            <w:pPr>
              <w:ind w:left="80"/>
              <w:spacing w:after="0"/>
              <w:rPr>
                <w:sz w:val="20"/>
                <w:szCs w:val="20"/>
                <w:color w:val="auto"/>
              </w:rPr>
            </w:pPr>
            <w:r>
              <w:rPr>
                <w:rFonts w:ascii="Arial" w:cs="Arial" w:eastAsia="Arial" w:hAnsi="Arial"/>
                <w:sz w:val="14"/>
                <w:szCs w:val="14"/>
                <w:color w:val="auto"/>
              </w:rPr>
              <w:t>Nursing</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3520" w:type="dxa"/>
            <w:vAlign w:val="bottom"/>
            <w:gridSpan w:val="2"/>
            <w:vMerge w:val="restart"/>
          </w:tcPr>
          <w:p>
            <w:pPr>
              <w:ind w:left="60"/>
              <w:spacing w:after="0"/>
              <w:rPr>
                <w:sz w:val="20"/>
                <w:szCs w:val="20"/>
                <w:color w:val="auto"/>
              </w:rPr>
            </w:pPr>
            <w:r>
              <w:rPr>
                <w:rFonts w:ascii="Arial" w:cs="Arial" w:eastAsia="Arial" w:hAnsi="Arial"/>
                <w:sz w:val="14"/>
                <w:szCs w:val="14"/>
                <w:color w:val="auto"/>
              </w:rPr>
              <w:t>Nursing</w:t>
            </w:r>
          </w:p>
        </w:tc>
        <w:tc>
          <w:tcPr>
            <w:tcW w:w="2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9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314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3520" w:type="dxa"/>
            <w:vAlign w:val="bottom"/>
            <w:gridSpan w:val="2"/>
            <w:vMerge w:val="continue"/>
          </w:tcPr>
          <w:p>
            <w:pPr>
              <w:spacing w:after="0"/>
              <w:rPr>
                <w:sz w:val="5"/>
                <w:szCs w:val="5"/>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560" w:type="dxa"/>
            <w:vAlign w:val="bottom"/>
            <w:vMerge w:val="restart"/>
          </w:tcPr>
          <w:p>
            <w:pPr>
              <w:ind w:left="80"/>
              <w:spacing w:after="0"/>
              <w:rPr>
                <w:sz w:val="20"/>
                <w:szCs w:val="20"/>
                <w:color w:val="auto"/>
              </w:rPr>
            </w:pPr>
            <w:r>
              <w:rPr>
                <w:rFonts w:ascii="Arial" w:cs="Arial" w:eastAsia="Arial" w:hAnsi="Arial"/>
                <w:sz w:val="14"/>
                <w:szCs w:val="14"/>
                <w:color w:val="auto"/>
              </w:rPr>
              <w:t>Nursing</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3440" w:type="dxa"/>
            <w:vAlign w:val="bottom"/>
            <w:gridSpan w:val="2"/>
            <w:vMerge w:val="restart"/>
          </w:tcPr>
          <w:p>
            <w:pPr>
              <w:ind w:left="200"/>
              <w:spacing w:after="0"/>
              <w:rPr>
                <w:sz w:val="20"/>
                <w:szCs w:val="20"/>
                <w:color w:val="auto"/>
              </w:rPr>
            </w:pPr>
            <w:r>
              <w:rPr>
                <w:rFonts w:ascii="Arial" w:cs="Arial" w:eastAsia="Arial" w:hAnsi="Arial"/>
                <w:sz w:val="14"/>
                <w:szCs w:val="14"/>
                <w:color w:val="auto"/>
              </w:rPr>
              <w:t>•  Political Science and Public and Environmental</w:t>
            </w:r>
          </w:p>
        </w:tc>
        <w:tc>
          <w:tcPr>
            <w:tcW w:w="3700" w:type="dxa"/>
            <w:vAlign w:val="bottom"/>
            <w:gridSpan w:val="3"/>
            <w:vMerge w:val="restart"/>
          </w:tcPr>
          <w:p>
            <w:pPr>
              <w:ind w:left="80"/>
              <w:spacing w:after="0"/>
              <w:rPr>
                <w:sz w:val="20"/>
                <w:szCs w:val="20"/>
                <w:color w:val="auto"/>
              </w:rPr>
            </w:pPr>
            <w:r>
              <w:rPr>
                <w:rFonts w:ascii="Arial" w:cs="Arial" w:eastAsia="Arial" w:hAnsi="Arial"/>
                <w:sz w:val="14"/>
                <w:szCs w:val="14"/>
                <w:color w:val="auto"/>
              </w:rPr>
              <w:t>•  Political Science and Public</w:t>
            </w:r>
          </w:p>
        </w:tc>
        <w:tc>
          <w:tcPr>
            <w:tcW w:w="10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1900" w:type="dxa"/>
            <w:vAlign w:val="bottom"/>
          </w:tcPr>
          <w:p>
            <w:pPr>
              <w:spacing w:after="0"/>
              <w:rPr>
                <w:sz w:val="3"/>
                <w:szCs w:val="3"/>
                <w:color w:val="auto"/>
              </w:rPr>
            </w:pPr>
          </w:p>
        </w:tc>
        <w:tc>
          <w:tcPr>
            <w:tcW w:w="3440" w:type="dxa"/>
            <w:vAlign w:val="bottom"/>
            <w:gridSpan w:val="2"/>
            <w:vMerge w:val="continue"/>
          </w:tcPr>
          <w:p>
            <w:pPr>
              <w:spacing w:after="0"/>
              <w:rPr>
                <w:sz w:val="3"/>
                <w:szCs w:val="3"/>
                <w:color w:val="auto"/>
              </w:rPr>
            </w:pPr>
          </w:p>
        </w:tc>
        <w:tc>
          <w:tcPr>
            <w:tcW w:w="370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color w:val="auto"/>
              </w:rPr>
              <w:t>Policy</w:t>
            </w:r>
          </w:p>
        </w:tc>
        <w:tc>
          <w:tcPr>
            <w:tcW w:w="180" w:type="dxa"/>
            <w:vAlign w:val="bottom"/>
          </w:tcPr>
          <w:p>
            <w:pPr>
              <w:spacing w:after="0"/>
              <w:rPr>
                <w:sz w:val="16"/>
                <w:szCs w:val="16"/>
                <w:color w:val="auto"/>
              </w:rPr>
            </w:pPr>
          </w:p>
        </w:tc>
        <w:tc>
          <w:tcPr>
            <w:tcW w:w="3520" w:type="dxa"/>
            <w:vAlign w:val="bottom"/>
            <w:gridSpan w:val="2"/>
          </w:tcPr>
          <w:p>
            <w:pPr>
              <w:ind w:left="60"/>
              <w:spacing w:after="0"/>
              <w:rPr>
                <w:sz w:val="20"/>
                <w:szCs w:val="20"/>
                <w:color w:val="auto"/>
              </w:rPr>
            </w:pPr>
            <w:r>
              <w:rPr>
                <w:rFonts w:ascii="Arial" w:cs="Arial" w:eastAsia="Arial" w:hAnsi="Arial"/>
                <w:sz w:val="14"/>
                <w:szCs w:val="14"/>
                <w:color w:val="auto"/>
              </w:rPr>
              <w:t>and Environmental Policy</w:t>
            </w:r>
          </w:p>
        </w:tc>
        <w:tc>
          <w:tcPr>
            <w:tcW w:w="100" w:type="dxa"/>
            <w:vAlign w:val="bottom"/>
          </w:tcPr>
          <w:p>
            <w:pPr>
              <w:ind w:left="20"/>
              <w:spacing w:after="0"/>
              <w:rPr>
                <w:sz w:val="20"/>
                <w:szCs w:val="20"/>
                <w:color w:val="auto"/>
              </w:rPr>
            </w:pPr>
            <w:r>
              <w:rPr>
                <w:rFonts w:ascii="Arial" w:cs="Arial" w:eastAsia="Arial" w:hAnsi="Arial"/>
                <w:sz w:val="14"/>
                <w:szCs w:val="14"/>
                <w:color w:val="auto"/>
              </w:rPr>
              <w:t>•</w:t>
            </w:r>
          </w:p>
        </w:tc>
        <w:tc>
          <w:tcPr>
            <w:tcW w:w="1560" w:type="dxa"/>
            <w:vAlign w:val="bottom"/>
          </w:tcPr>
          <w:p>
            <w:pPr>
              <w:ind w:left="80"/>
              <w:spacing w:after="0"/>
              <w:rPr>
                <w:sz w:val="20"/>
                <w:szCs w:val="20"/>
                <w:color w:val="auto"/>
              </w:rPr>
            </w:pPr>
            <w:r>
              <w:rPr>
                <w:rFonts w:ascii="Arial" w:cs="Arial" w:eastAsia="Arial" w:hAnsi="Arial"/>
                <w:sz w:val="14"/>
                <w:szCs w:val="14"/>
                <w:color w:val="auto"/>
              </w:rPr>
              <w:t>Teacher Education</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9040" w:type="dxa"/>
            <w:vAlign w:val="bottom"/>
            <w:gridSpan w:val="6"/>
          </w:tcPr>
          <w:p>
            <w:pPr>
              <w:spacing w:after="0"/>
              <w:rPr>
                <w:sz w:val="20"/>
                <w:szCs w:val="20"/>
                <w:color w:val="auto"/>
              </w:rPr>
            </w:pPr>
            <w:r>
              <w:rPr>
                <w:rFonts w:ascii="Arial" w:cs="Arial" w:eastAsia="Arial" w:hAnsi="Arial"/>
                <w:sz w:val="18"/>
                <w:szCs w:val="18"/>
                <w:color w:val="auto"/>
              </w:rPr>
              <w:t>Kaplan University’s and KHE Campuses enrollments by certificate and degree programs were as follows:</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At 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52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49"/>
        </w:trPr>
        <w:tc>
          <w:tcPr>
            <w:tcW w:w="190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30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20" w:type="dxa"/>
            <w:vAlign w:val="bottom"/>
            <w:gridSpan w:val="2"/>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1"/>
                <w:szCs w:val="21"/>
                <w:color w:val="auto"/>
              </w:rPr>
            </w:pPr>
          </w:p>
        </w:tc>
        <w:tc>
          <w:tcPr>
            <w:tcW w:w="1560" w:type="dxa"/>
            <w:vAlign w:val="bottom"/>
          </w:tcPr>
          <w:p>
            <w:pPr>
              <w:jc w:val="right"/>
              <w:ind w:right="425"/>
              <w:spacing w:after="0"/>
              <w:rPr>
                <w:sz w:val="20"/>
                <w:szCs w:val="20"/>
                <w:color w:val="auto"/>
              </w:rPr>
            </w:pPr>
            <w:r>
              <w:rPr>
                <w:rFonts w:ascii="Arial" w:cs="Arial" w:eastAsia="Arial" w:hAnsi="Arial"/>
                <w:sz w:val="16"/>
                <w:szCs w:val="16"/>
                <w:color w:val="auto"/>
              </w:rPr>
              <w:t>23.2%</w:t>
            </w:r>
          </w:p>
        </w:tc>
        <w:tc>
          <w:tcPr>
            <w:tcW w:w="72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70"/>
        </w:trPr>
        <w:tc>
          <w:tcPr>
            <w:tcW w:w="190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3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520" w:type="dxa"/>
            <w:vAlign w:val="bottom"/>
            <w:gridSpan w:val="2"/>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23"/>
                <w:szCs w:val="23"/>
                <w:color w:val="auto"/>
              </w:rPr>
            </w:pPr>
          </w:p>
        </w:tc>
        <w:tc>
          <w:tcPr>
            <w:tcW w:w="1560" w:type="dxa"/>
            <w:vAlign w:val="bottom"/>
          </w:tcPr>
          <w:p>
            <w:pPr>
              <w:jc w:val="right"/>
              <w:ind w:right="425"/>
              <w:spacing w:after="0"/>
              <w:rPr>
                <w:sz w:val="20"/>
                <w:szCs w:val="20"/>
                <w:color w:val="auto"/>
              </w:rPr>
            </w:pPr>
            <w:r>
              <w:rPr>
                <w:rFonts w:ascii="Arial" w:cs="Arial" w:eastAsia="Arial" w:hAnsi="Arial"/>
                <w:sz w:val="16"/>
                <w:szCs w:val="16"/>
                <w:color w:val="auto"/>
              </w:rPr>
              <w:t>29.1%</w:t>
            </w:r>
          </w:p>
        </w:tc>
        <w:tc>
          <w:tcPr>
            <w:tcW w:w="72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70"/>
        </w:trPr>
        <w:tc>
          <w:tcPr>
            <w:tcW w:w="1900" w:type="dxa"/>
            <w:vAlign w:val="bottom"/>
          </w:tcPr>
          <w:p>
            <w:pPr>
              <w:ind w:left="40"/>
              <w:spacing w:after="0"/>
              <w:rPr>
                <w:sz w:val="20"/>
                <w:szCs w:val="20"/>
                <w:color w:val="auto"/>
              </w:rPr>
            </w:pPr>
            <w:r>
              <w:rPr>
                <w:rFonts w:ascii="Arial" w:cs="Arial" w:eastAsia="Arial" w:hAnsi="Arial"/>
                <w:sz w:val="16"/>
                <w:szCs w:val="16"/>
                <w:color w:val="auto"/>
              </w:rPr>
              <w:t>Bachelor's</w:t>
            </w:r>
          </w:p>
        </w:tc>
        <w:tc>
          <w:tcPr>
            <w:tcW w:w="3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520" w:type="dxa"/>
            <w:vAlign w:val="bottom"/>
            <w:gridSpan w:val="2"/>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23"/>
                <w:szCs w:val="23"/>
                <w:color w:val="auto"/>
              </w:rPr>
            </w:pPr>
          </w:p>
        </w:tc>
        <w:tc>
          <w:tcPr>
            <w:tcW w:w="1560" w:type="dxa"/>
            <w:vAlign w:val="bottom"/>
          </w:tcPr>
          <w:p>
            <w:pPr>
              <w:jc w:val="right"/>
              <w:ind w:right="425"/>
              <w:spacing w:after="0"/>
              <w:rPr>
                <w:sz w:val="20"/>
                <w:szCs w:val="20"/>
                <w:color w:val="auto"/>
              </w:rPr>
            </w:pPr>
            <w:r>
              <w:rPr>
                <w:rFonts w:ascii="Arial" w:cs="Arial" w:eastAsia="Arial" w:hAnsi="Arial"/>
                <w:sz w:val="16"/>
                <w:szCs w:val="16"/>
                <w:color w:val="auto"/>
              </w:rPr>
              <w:t>33.8%</w:t>
            </w:r>
          </w:p>
        </w:tc>
        <w:tc>
          <w:tcPr>
            <w:tcW w:w="720" w:type="dxa"/>
            <w:vAlign w:val="bottom"/>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79"/>
        </w:trPr>
        <w:tc>
          <w:tcPr>
            <w:tcW w:w="1900" w:type="dxa"/>
            <w:vAlign w:val="bottom"/>
          </w:tcPr>
          <w:p>
            <w:pPr>
              <w:ind w:left="40"/>
              <w:spacing w:after="0"/>
              <w:rPr>
                <w:sz w:val="20"/>
                <w:szCs w:val="20"/>
                <w:color w:val="auto"/>
              </w:rPr>
            </w:pPr>
            <w:r>
              <w:rPr>
                <w:rFonts w:ascii="Arial" w:cs="Arial" w:eastAsia="Arial" w:hAnsi="Arial"/>
                <w:sz w:val="16"/>
                <w:szCs w:val="16"/>
                <w:color w:val="auto"/>
              </w:rPr>
              <w:t>Master's</w:t>
            </w:r>
          </w:p>
        </w:tc>
        <w:tc>
          <w:tcPr>
            <w:tcW w:w="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425"/>
              <w:spacing w:after="0"/>
              <w:rPr>
                <w:sz w:val="20"/>
                <w:szCs w:val="20"/>
                <w:color w:val="auto"/>
              </w:rPr>
            </w:pPr>
            <w:r>
              <w:rPr>
                <w:rFonts w:ascii="Arial" w:cs="Arial" w:eastAsia="Arial" w:hAnsi="Arial"/>
                <w:sz w:val="16"/>
                <w:szCs w:val="16"/>
                <w:color w:val="auto"/>
              </w:rPr>
              <w:t>13.9%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69"/>
        </w:trPr>
        <w:tc>
          <w:tcPr>
            <w:tcW w:w="1900" w:type="dxa"/>
            <w:vAlign w:val="bottom"/>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52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3"/>
                <w:szCs w:val="23"/>
                <w:color w:val="auto"/>
              </w:rPr>
            </w:pPr>
          </w:p>
        </w:tc>
        <w:tc>
          <w:tcPr>
            <w:tcW w:w="1560" w:type="dxa"/>
            <w:vAlign w:val="bottom"/>
          </w:tcPr>
          <w:p>
            <w:pPr>
              <w:jc w:val="right"/>
              <w:ind w:right="425"/>
              <w:spacing w:after="0"/>
              <w:rPr>
                <w:sz w:val="20"/>
                <w:szCs w:val="20"/>
                <w:color w:val="auto"/>
              </w:rPr>
            </w:pPr>
            <w:r>
              <w:rPr>
                <w:rFonts w:ascii="Arial" w:cs="Arial" w:eastAsia="Arial" w:hAnsi="Arial"/>
                <w:sz w:val="16"/>
                <w:szCs w:val="16"/>
                <w:color w:val="auto"/>
              </w:rPr>
              <w:t>100.0%</w:t>
            </w:r>
          </w:p>
        </w:tc>
        <w:tc>
          <w:tcPr>
            <w:tcW w:w="72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Aid Programs and Regulatory Environment</w:t>
      </w:r>
    </w:p>
    <w:p>
      <w:pPr>
        <w:spacing w:after="0" w:line="146"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Funds provided under the U.S. Federal student financial aid programs that have been created under Title IV of the U.S. Federal Higher Education Act of 1965, as amended (Higher Education Act), historically have been responsible for a majority of KHE revenues. During 2013, funds received under Title IV programs accounted for approximately $819 million, or approximately 76%, of total KHE revenues, and 38% of Kaplan, Inc. revenues. The Company estimates that funds received from students borrowing under third-party private loan programs comprised approximately 0.5% of KHE revenues. Beginning in 2008 and continuing through 2013, as the private loan market deteriorated, KHE provided loans directly to some Kaplan students under its third-party institutional loan program. Lending under Kaplan’s institutional loan program totaled approximately 0.7% of KHE revenues in 2013. Direct student payments, funds received under various state and agency grant programs and corporate reimbursement under tuition assistance programs accounted for most of the remaining 2013 KHE revenues. The significant role of Title IV funding in the operations of KHE is expected to continue.</w:t>
      </w:r>
    </w:p>
    <w:p>
      <w:pPr>
        <w:spacing w:after="0" w:line="110" w:lineRule="exact"/>
        <w:rPr>
          <w:sz w:val="20"/>
          <w:szCs w:val="20"/>
          <w:color w:val="auto"/>
        </w:rPr>
      </w:pPr>
    </w:p>
    <w:p>
      <w:pPr>
        <w:ind w:right="540"/>
        <w:spacing w:after="0" w:line="234" w:lineRule="auto"/>
        <w:rPr>
          <w:sz w:val="20"/>
          <w:szCs w:val="20"/>
          <w:color w:val="auto"/>
        </w:rPr>
      </w:pPr>
      <w:r>
        <w:rPr>
          <w:rFonts w:ascii="Arial" w:cs="Arial" w:eastAsia="Arial" w:hAnsi="Arial"/>
          <w:sz w:val="18"/>
          <w:szCs w:val="18"/>
          <w:color w:val="auto"/>
        </w:rPr>
        <w:t>Title IV programs encompass various forms of student loans and non-repayable grants. In some cases, the U.S. Federal government subsidizes part of the interest expense of Title IV loans. Subsidized loans and grants are only available to students who can demonstrate financial need. During 2013, about 80% of the approximate $819 million of Title IV funds received by KHE came from student loans, and approximately 20% of such funds came from grants.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24" w:right="239" w:bottom="1440" w:gutter="0" w:footer="0" w:header="0"/>
        </w:sectPr>
      </w:pPr>
    </w:p>
    <w:bookmarkStart w:id="4" w:name="page5"/>
    <w:bookmarkEnd w:id="4"/>
    <w:p>
      <w:pPr>
        <w:spacing w:after="0" w:line="224" w:lineRule="auto"/>
        <w:rPr>
          <w:sz w:val="20"/>
          <w:szCs w:val="20"/>
          <w:color w:val="auto"/>
        </w:rPr>
      </w:pPr>
      <w:r>
        <w:rPr>
          <w:rFonts w:ascii="Arial" w:cs="Arial" w:eastAsia="Arial" w:hAnsi="Arial"/>
          <w:sz w:val="18"/>
          <w:szCs w:val="18"/>
          <w:b w:val="1"/>
          <w:bCs w:val="1"/>
          <w:i w:val="1"/>
          <w:iCs w:val="1"/>
          <w:color w:val="auto"/>
        </w:rPr>
        <w:t xml:space="preserve">Title IV Eligibility and Compliance With Title IV Program Requirements. </w:t>
      </w:r>
      <w:r>
        <w:rPr>
          <w:rFonts w:ascii="Arial" w:cs="Arial" w:eastAsia="Arial" w:hAnsi="Arial"/>
          <w:sz w:val="18"/>
          <w:szCs w:val="18"/>
          <w:color w:val="auto"/>
        </w:rPr>
        <w:t>To maintain eligibility to participate in Title IV programs, a school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must comply with extensive statutory and regulatory requirements relating to its financial aid management, educational programs, financial strength, administrative capability, compensation practices, facilities, recruiting practices and various other matters. In addition, the school must be licensed, or otherwise legally authorized, to offer postsecondary educational programs by the appropriate governmental body in the state or states in which it is physically located or is otherwise subject to state authorization requirements, be accredited by an accrediting agency recognized by the ED and be certified to participate in the Title IV programs by the ED. Schools are required periodically to apply for renewal of their authorization, accreditation or certification with the applicable state governmental bodies, accrediting agencies and the ED. In accordance with ED regulations, some KHE schools operate individually while others are combined into groups of two or more schools for the purpose of determining compliance with certain Title IV requirements, and each school or school group is assigned its own identification number, known as an OPEID number. As a result, as of the end of 2013, the schools in KHE have a total of 25 OPEID numbers. No assurance can be given that the Kaplan schools, or individual programs within schools, will maintain their Title IV eligibility, accreditation and state authorization in the future or that the ED might not successfully assert that one or more of such schools have previously failed to comply with Title IV requirements.</w:t>
      </w:r>
    </w:p>
    <w:p>
      <w:pPr>
        <w:spacing w:after="0" w:line="113"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ED may place a school on provisional certification status under certain circumstances, including, but not limited to, failure to satisfy certain standards of financial responsibility or administrative capability or upon a change in ownership resulting in a change of control. Provisional certification status carries fewer due process protections than full certification. As a result, the ED may withdraw an institution’s provisional certification more easily than if it is fully certified. In addition, the ED may subject an institution on provisional certification status to greater scrutiny in some instances, for example, when it applies for approval to add a new location or program or makes another substantive change. Provisional certification does not otherwise limit access to Title IV program funds by students attending the institution. As of December 31, 2013, no KHE OPEID is provisionally certified.</w:t>
      </w:r>
    </w:p>
    <w:p>
      <w:pPr>
        <w:spacing w:after="0" w:line="10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addition, if the ED finds that a school has failed to comply with Title IV requirements or improperly disbursed or retained Title IV program funds, it may take one or more of a number of actions, including fining the school, requiring the school to repay Title IV program funds, limiting or terminating the school’s eligibility to participate in Title IV programs, initiating an emergency action to suspend the school’s participation in the Title IV programs without prior notice or opportunity for a hearing, transferring the school to a method of Title IV payment that would adversely affect the timing of the institution’s receipt of Title IV funds, requiring the submission of a letter of credit, denying or refusing to consider the school’s application for renewal of its certification to participate in the Title IV programs or for approval to add a new campus or educational program and referring the matter for possible civil or criminal investigation. There can be no assurance that the ED will not take any of these or other actions in the future, whether as a result of a lawsuit, program review or otherwise. This list is not exhaustive. There may be other actions the ED may take and other legal theories under which a school could be sued as a result of alleged irregularities in the administration of student financial aid. See Item 1A. Risk Factors, including Failure to Comply With Statutory and Regulatory Requirements Could Result in Loss of Access to U.S. Federal Student Loans and Grants Under Title IV, a Requirement to Pay Fines or Monetary Liabilities or Other Sanctions.</w:t>
      </w:r>
    </w:p>
    <w:p>
      <w:pPr>
        <w:spacing w:after="0" w:line="113"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b w:val="1"/>
          <w:bCs w:val="1"/>
          <w:i w:val="1"/>
          <w:iCs w:val="1"/>
          <w:color w:val="auto"/>
        </w:rPr>
        <w:t xml:space="preserve">Student Default Rates. </w:t>
      </w:r>
      <w:r>
        <w:rPr>
          <w:rFonts w:ascii="Arial" w:cs="Arial" w:eastAsia="Arial" w:hAnsi="Arial"/>
          <w:sz w:val="18"/>
          <w:szCs w:val="18"/>
          <w:color w:val="auto"/>
        </w:rPr>
        <w:t>A school may lose its eligibility to participate in Title IV programs if student defaults on the repayment of Title IV loans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exceed specified rates, referred to as “cohort default rates.” The ED calculates a cohort default rate for each of KHE’s OPEID numbers. The schools in an OPEID number whose cohort default rate exceeds 40% for any single year lose their eligibility to participate in the U.S. Federal Pell Grant and Direct Loan programs for at least two fiscal years, effective 30 days after notification from the ED, except in the event of a successful adjustment or appeal. The schools in an OPEID number whose cohort default rate equals or exceeds 25% for three consecutive years lose their Title IV eligibility to participate in the U.S. Federal Family Education Loan (FFEL), Direct Loan and U.S. Federal Pell Grant programs effective 30 days after notification from the ED and for at least two fiscal years, except in the event of a successful adjustment or appeal. The schools in an OPEID number whose cohort default rate equals or exceeds 25% in any one of the three most recent fiscal years for which rates have been issued by the ED may be placed on provisional certification by the ED.</w:t>
      </w:r>
    </w:p>
    <w:p>
      <w:pPr>
        <w:spacing w:after="0" w:line="110"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enactment in August 2008 of the U.S. Federal Higher Education Opportunity Act (HEOA), which reauthorized the Higher Education Act, changed the methodology used to calculate cohort default rates. Under the revised law, the period of time for which student defaults are tracked and included in the cohort default rate calculation is being increased from two years to three years. This change has increased the cohort default rates for most institutions. The change to the calculation period became effective with the calculation of institutions’ official three-year cohort default rates for the U.S. Federal fiscal year ending September 30, 2009; those rates were issued by the ED in 2012. The ED will not impose sanctions based on rates calculated under this new methodology until official rates for three consecutive years have been calculated and issued by the ED, which is expected to occur in September 2014. Until that time, the ED continues to calculate rates under the old method and impose sanctions based on those rates. The revised law also increases the threshold for ending an institution’s participation in certain Title IV programs from 25% to 30% for three consecutive years, effective for three-year cohort default rates issued beginning in fiscal year 2012. In addition, the revised law changes the threshold for potential placement on</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24" w:right="259" w:bottom="1440" w:gutter="0" w:footer="0" w:header="0"/>
        </w:sectPr>
      </w:pPr>
    </w:p>
    <w:bookmarkStart w:id="5" w:name="page6"/>
    <w:bookmarkEnd w:id="5"/>
    <w:p>
      <w:pPr>
        <w:ind w:right="380"/>
        <w:spacing w:after="0" w:line="260" w:lineRule="auto"/>
        <w:rPr>
          <w:sz w:val="20"/>
          <w:szCs w:val="20"/>
          <w:color w:val="auto"/>
        </w:rPr>
      </w:pPr>
      <w:r>
        <w:rPr>
          <w:rFonts w:ascii="Arial" w:cs="Arial" w:eastAsia="Arial" w:hAnsi="Arial"/>
          <w:sz w:val="18"/>
          <w:szCs w:val="18"/>
          <w:color w:val="auto"/>
        </w:rPr>
        <w:t>provisional certification to 30% for two of the three most recent fiscal years for which the ED has published official three-year cohort default rates.</w:t>
      </w:r>
    </w:p>
    <w:p>
      <w:pPr>
        <w:spacing w:after="0" w:line="92" w:lineRule="exact"/>
        <w:rPr>
          <w:sz w:val="20"/>
          <w:szCs w:val="20"/>
          <w:color w:val="auto"/>
        </w:rPr>
      </w:pPr>
    </w:p>
    <w:p>
      <w:pPr>
        <w:ind w:right="400"/>
        <w:spacing w:after="0" w:line="245" w:lineRule="auto"/>
        <w:rPr>
          <w:sz w:val="20"/>
          <w:szCs w:val="20"/>
          <w:color w:val="auto"/>
        </w:rPr>
      </w:pPr>
      <w:r>
        <w:rPr>
          <w:rFonts w:ascii="Arial" w:cs="Arial" w:eastAsia="Arial" w:hAnsi="Arial"/>
          <w:sz w:val="17"/>
          <w:szCs w:val="17"/>
          <w:color w:val="auto"/>
        </w:rPr>
        <w:t>The two-year cohort default rates for Kaplan University for the U.S. Federal fiscal years ending 2011 and 2010 were 15.3% and 16.8%, respectively. The two-year cohort default rates for the remaining KHE reporting units for those U.S. Federal fiscal year periods ranged from</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7.5% to 21.8% for 2011 and from 7.5% to 25.3% for 2010. No campus had a two-year official rate over 25% for 2011. For 2011, the combined default rate for all KHE reporting units as a whole was 15.7%.</w:t>
      </w:r>
    </w:p>
    <w:p>
      <w:pPr>
        <w:spacing w:after="0" w:line="109"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The three-year cohort default rates for Kaplan University for the U.S. Federal fiscal years ending September 30, 2010 and 2009 were 26.2% and 25.9% respectively. The three-year cohort default rates for the remaining KHE reporting units for those U.S. federal fiscal years ranged from 14.9% to 33.9% for 2009 and from 14.1% to 35.3% for 2010. Four of KHE Campuses’ OPEIDs, representing 2.9% of KHE’s 2013 revenue, had three-year rates over 30% for 2010, and no KHE OPEID had a three-year rate over 40% for 2010. With respect to two of these campuses, representing 1.4% of KHE’s 2013 revenue, this was the second consecutive year in which these campuses had an official three-year cohort default rate over 30%.</w:t>
      </w:r>
    </w:p>
    <w:p>
      <w:pPr>
        <w:spacing w:after="0" w:line="112"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Kaplan believes that student loan default rates tend to correlate directly to a student’s family income level, such that lower income students will have higher default rates. KHE’s student population generally tends to come from lower income groups than those of other providers of higher education, including other for-profit providers. In addition, because KHE receives a significantly lower level of taxpayer-funded grants and subsidies than community colleges, state schools and not-for-profit schools, KHE’s schools are more dependent on tuition, and its students are more dependent on loans.</w:t>
      </w:r>
    </w:p>
    <w:p>
      <w:pPr>
        <w:spacing w:after="0" w:line="11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Kaplan has dedicated resources to help students who are at risk of default. Kaplan personnel contact students and provide assistance, which includes providing students with specific loan repayment information, lender contact information and debt counseling. Kaplan has also implemented a financial literacy and counseling program for current students and provides career counseling services. In addition, Kaplan also implemented the Kaplan Commitment program in 2010, which provides first-time students with a risk-free trial period. Students who withdraw or are subject to dismissal during the risk-free trial period do not incur any significant financial obligation. However, no assurances can be given that these resources or programs will enable Kaplan’s schools to maintain cohort default rates below the thresholds for sanctions.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Program Integrity Rulemaking</w:t>
      </w:r>
    </w:p>
    <w:p>
      <w:pPr>
        <w:spacing w:after="0" w:line="146" w:lineRule="exact"/>
        <w:rPr>
          <w:sz w:val="20"/>
          <w:szCs w:val="20"/>
          <w:color w:val="auto"/>
        </w:rPr>
      </w:pPr>
    </w:p>
    <w:p>
      <w:pPr>
        <w:ind w:right="120"/>
        <w:spacing w:after="0"/>
        <w:rPr>
          <w:sz w:val="20"/>
          <w:szCs w:val="20"/>
          <w:color w:val="auto"/>
        </w:rPr>
      </w:pPr>
      <w:r>
        <w:rPr>
          <w:rFonts w:ascii="Arial" w:cs="Arial" w:eastAsia="Arial" w:hAnsi="Arial"/>
          <w:sz w:val="18"/>
          <w:szCs w:val="18"/>
          <w:b w:val="1"/>
          <w:bCs w:val="1"/>
          <w:i w:val="1"/>
          <w:iCs w:val="1"/>
          <w:color w:val="auto"/>
        </w:rPr>
        <w:t xml:space="preserve">Negotiated Rulemaking. </w:t>
      </w:r>
      <w:r>
        <w:rPr>
          <w:rFonts w:ascii="Arial" w:cs="Arial" w:eastAsia="Arial" w:hAnsi="Arial"/>
          <w:sz w:val="18"/>
          <w:szCs w:val="18"/>
          <w:color w:val="auto"/>
        </w:rPr>
        <w:t>The ED has announced that it is planning to convene a negotiated rulemaking committee for meetings scheduled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place between February and April 2014. The sessions will be on Program Integrity and Improvement requirements and are expected to include the following topics:</w:t>
      </w: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State authorization for programs offered through distance education or correspondence education;</w:t>
      </w:r>
    </w:p>
    <w:p>
      <w:pPr>
        <w:spacing w:after="0" w:line="35" w:lineRule="exact"/>
        <w:rPr>
          <w:rFonts w:ascii="Times New Roman" w:cs="Times New Roman" w:eastAsia="Times New Roman" w:hAnsi="Times New Roman"/>
          <w:sz w:val="18"/>
          <w:szCs w:val="18"/>
          <w:color w:val="auto"/>
        </w:rPr>
      </w:pPr>
    </w:p>
    <w:p>
      <w:pPr>
        <w:ind w:left="340" w:right="160" w:hanging="332"/>
        <w:spacing w:after="0" w:line="250" w:lineRule="auto"/>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Cash management of funds provided under the Title IV Federal student aid programs, including the use of debit cards and the handling of Title IV credit balances;</w:t>
      </w: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State authorization for foreign locations of institutions located in a State;</w:t>
      </w:r>
    </w:p>
    <w:p>
      <w:pPr>
        <w:spacing w:after="0" w:line="3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Clock to credit hour conversion;</w:t>
      </w:r>
    </w:p>
    <w:p>
      <w:pPr>
        <w:spacing w:after="0" w:line="3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The definition of “adverse credit” for borrowers in the Federal Direct PLUS Loan Program; and</w:t>
      </w:r>
    </w:p>
    <w:p>
      <w:pPr>
        <w:spacing w:after="0" w:line="3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The application of the repeat coursework provisions to graduate and undergraduate programs.</w:t>
      </w:r>
    </w:p>
    <w:p>
      <w:pPr>
        <w:spacing w:after="0" w:line="143"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We believe that the state authorization rules will likely reinstate the distance-education state authorization requirements and may require Kaplan University to be registered in additional states. However, we cannot predict the ultimate scope and content of the regulations or their impact on our business.</w:t>
      </w:r>
    </w:p>
    <w:p>
      <w:pPr>
        <w:spacing w:after="0" w:line="106"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b w:val="1"/>
          <w:bCs w:val="1"/>
          <w:i w:val="1"/>
          <w:iCs w:val="1"/>
          <w:color w:val="auto"/>
        </w:rPr>
        <w:t>Gainful Employment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June 2011, the ED issued final regulations that tie an education program’s Title IV eligibility to whether the program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leads to gainful employment. On June 30, 2012, the United States District Court for the District of Columbia overturned most of the final regulations on gainful employment.</w:t>
      </w:r>
    </w:p>
    <w:p>
      <w:pPr>
        <w:spacing w:after="0" w:line="108"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The ED convened a negotiated rulemaking committee in September 2013 to develop new proposed gainful employment regulations. The ED prepared draft regulatory language for consideration by the committee at each of three sessions. The December 2013 draft regulatory language, the last made publicly available, would require each educational program subject to the gainful employment regulation to meet certain debt-to -earnings ratios and a programmatic level loan cohort default rate metric. Programs that fail to meet one or more of the proposed metrics over a period of time, ranging from two to four years, would become ineligible for Title IV aid. The draft regulatory language also would require an institution to provide warnings to students in programs that may lose Title IV eligibility at the end of an award year, limit its Title IV enrollment in these programs and submit a letter of credit or set aside funds to provide borrower relief to students in the event that the programs lose Title IV eligibility. The draft regulatory language also included revised requirements for obtaining approval of certain new educational programs,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24" w:right="239" w:bottom="1440" w:gutter="0" w:footer="0" w:header="0"/>
        </w:sectPr>
      </w:pPr>
    </w:p>
    <w:bookmarkStart w:id="6" w:name="page7"/>
    <w:bookmarkEnd w:id="6"/>
    <w:p>
      <w:pPr>
        <w:ind w:right="580"/>
        <w:spacing w:after="0" w:line="260" w:lineRule="auto"/>
        <w:rPr>
          <w:sz w:val="20"/>
          <w:szCs w:val="20"/>
          <w:color w:val="auto"/>
        </w:rPr>
      </w:pPr>
      <w:r>
        <w:rPr>
          <w:rFonts w:ascii="Arial" w:cs="Arial" w:eastAsia="Arial" w:hAnsi="Arial"/>
          <w:sz w:val="18"/>
          <w:szCs w:val="18"/>
          <w:color w:val="auto"/>
        </w:rPr>
        <w:t>reporting program information to the ED, making public disclosure of certain program outcomes and providing certification to the ED that educational programs are covered by required accreditations.</w:t>
      </w:r>
    </w:p>
    <w:p>
      <w:pPr>
        <w:spacing w:after="0" w:line="92"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Negotiated Rulemaking Committee concluded its sessions in December 2013 without reaching agreement on proposed regulations. Accordingly, the language and content of the anticipated proposed rules on gainful employment have not been finally determined and are subject to change by the ED. The ED is expected to publish proposed regulations for comment by the public during the first half of 2014 and may amend the proposed regulations further before publishing final regulations. New final regulations published on or before November 1, 2014, generally would have an effective date of July 1, 2015, although the ultimate effective date is unknown at this time. We cannot predict the ultimate timing or substance of gainful employment regulations, nor can we fully predict the impact on Kaplan programs or institutions. Moreover, some of the data needed to compute program eligibility under the draft regulatory language are not readily accessible; graduate incomes would be compiled by the Social Security Administration. In addition, the continuing eligibility of programs for Title IV funding may be affected by factors beyond Kaplan’s control, such as changes in the actual or deemed income level of its graduates, changes in student borrowing levels, increases in interest rates, changes in the U.S. Federal poverty income level relevant for calculating one of the proposed metrics and other factors. As a result, the ultimate outcome of gainful employment regulations and their impact on Kaplan’s operations is uncertain. The new regulations could cause Kaplan to eliminate or limit enrollments in certain educational programs at some or all of its schools, could result in the loss of student access to Title IV programs and could have a materially adverse effect on Kaplan's business and operations.</w:t>
      </w:r>
    </w:p>
    <w:p>
      <w:pPr>
        <w:spacing w:after="0" w:line="11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b w:val="1"/>
          <w:bCs w:val="1"/>
          <w:i w:val="1"/>
          <w:iCs w:val="1"/>
          <w:color w:val="auto"/>
        </w:rPr>
        <w:t>Incentive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incentive compensation rule, an institution participating in Title IV programs may not provide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 bonus or other incentive payment based directly or indirectly on success in securing enrollments or financial aid to any person or entity engaged in any student recruiting or admission activities or in making decisions regarding the awarding of Title IV funds. Effective July 1, 2011, the ED enacted changes to the incentive compensation rule that reduced the scope of permissible payments under the rule and expanded the scope of payments and employees subject to the rule. Prior to the effective date of the rule, the ED issued a “Dear Colleague Letter,” providing guidance on these rules. Kaplan has taken steps to comply fully with these rules and the guidance. Among the actions taken, Kaplan has revised its compensation plans for admissions personnel and eliminated enrollment results as a component in the determination of compensation. Kaplan believes that this change in its approach to recruiting has adversely impacted, and will continue to adversely impact, its enrollment rates, operating costs, business and results of operation. Kaplan cannot predict how the ED will interpret and enforce all aspects of the revised incentive compensation rule in the future.</w:t>
      </w:r>
    </w:p>
    <w:p>
      <w:pPr>
        <w:spacing w:after="0" w:line="114"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i w:val="1"/>
          <w:iCs w:val="1"/>
          <w:color w:val="auto"/>
        </w:rPr>
        <w:t xml:space="preserve">The 90/10 Rule. </w:t>
      </w:r>
      <w:r>
        <w:rPr>
          <w:rFonts w:ascii="Arial" w:cs="Arial" w:eastAsia="Arial" w:hAnsi="Arial"/>
          <w:sz w:val="18"/>
          <w:szCs w:val="18"/>
          <w:color w:val="auto"/>
        </w:rPr>
        <w:t>Under regulations referred to as the 90/10 rule, a KHE school would lose its eligibility to participate in Title IV programs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The 90/10 rule calculations are performed for each OPEID unit. The largest OPEID reporting unit in KHE in terms of revenue is Kaplan University, which accounted for approximately 69% of the Title IV funds received by the division in 2013. In 2013, Kaplan University derived less than 81% of its receipts from the Title IV programs, and other OPEID units derived between 69% and 89% of their receipts from Title IV programs. In 2012, Kaplan University derived less than 80% of its receipts from Title IV programs, and other OPEID units derived between 71% and 88% of their receipts from Title IV programs.</w:t>
      </w:r>
    </w:p>
    <w:p>
      <w:pPr>
        <w:spacing w:after="0" w:line="110"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 majority of KHE students are enrolled in certificate and associate’s degree programs. Revenue from certificate and associate’s degree programs is composed of a higher percentage of Title IV funds than is the case for revenue from KHE's bachelor’s and other degree programs. KHE is taking various measures to reduce the percentage of its receipts attributable to Title IV funds, including modifying student payment options; emphasizing direct-pay and employer-paid education programs; encouraging students to carefully evaluate the amount of their Title IV borrowing; eliminating some programs; cash-matching; and developing and offering additional non-Title IV-eligible certificate preparation, professional development and continuing education programs, some of which programs were acquired by certain KHE campuses in 2013 from other Kaplan businesses. Kaplan has taken steps to ensure that revenue from programs acquired by a KHE campus is eligible to be counted in that campus’ 90/10 calculation. However, there can be no guarantee that the ED will not challenge the inclusion of revenue from any recently acquired program in KHE's 90/10 calculations or will not issue an interpretation of the 90/10 rule that would exclude such revenue from the calculation. Absent the adoption of the changes mentioned above, and if current trends continue, management estimates that in 2014, three of the KHE Campuses’ OPEID units, representing approximately 1.7% of KHE’s 2013 revenues, could have a 90/10 ratio over 90%. As noted above, Kaplan is taking steps to address compliance with the 90/10 rule; however, there can be no guarantee that these measures will be adequate to prevent the 90/10 ratio at some or all schools from exceeding 90% in the future.</w:t>
      </w:r>
    </w:p>
    <w:p>
      <w:pPr>
        <w:spacing w:after="0" w:line="109"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b w:val="1"/>
          <w:bCs w:val="1"/>
          <w:i w:val="1"/>
          <w:iCs w:val="1"/>
          <w:color w:val="auto"/>
        </w:rPr>
        <w:t xml:space="preserve">Change of Control. </w:t>
      </w:r>
      <w:r>
        <w:rPr>
          <w:rFonts w:ascii="Arial" w:cs="Arial" w:eastAsia="Arial" w:hAnsi="Arial"/>
          <w:sz w:val="18"/>
          <w:szCs w:val="18"/>
          <w:color w:val="auto"/>
        </w:rPr>
        <w:t>If one or more of Kaplan’s schools experience a change of control under the standards of applicable state agencies,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accrediting agencies or the ED, the applicable schools governed by such agencies must</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24" w:right="259" w:bottom="1440" w:gutter="0" w:footer="0" w:header="0"/>
        </w:sectPr>
      </w:pPr>
    </w:p>
    <w:bookmarkStart w:id="7" w:name="page8"/>
    <w:bookmarkEnd w:id="7"/>
    <w:p>
      <w:pPr>
        <w:ind w:right="120"/>
        <w:spacing w:after="0" w:line="227" w:lineRule="auto"/>
        <w:rPr>
          <w:sz w:val="20"/>
          <w:szCs w:val="20"/>
          <w:color w:val="auto"/>
        </w:rPr>
      </w:pPr>
      <w:r>
        <w:rPr>
          <w:rFonts w:ascii="Arial" w:cs="Arial" w:eastAsia="Arial" w:hAnsi="Arial"/>
          <w:sz w:val="18"/>
          <w:szCs w:val="18"/>
          <w:color w:val="auto"/>
        </w:rPr>
        <w:t>seek the approval of the relevant agencies. A school that undergoes a change of control, which may include a change of control of a school’s parent corporation or other owners, must be reviewed and recertified by the ED and obtain approvals from certain state agencies and accrediting bodies, in some cases prior to the change of control. The standards pertaining to a change of control are not uniform and are subject to interpretation by the respective agencies. Certifications obtained from the ED following a change in control are granted on a provisional basis that permits the school to continue participating in Title IV programs, but provides fewer procedural protections than full certifications. As a result, the ED may withdraw an institution’s provisional certification more easily than if it is fully certified. In addition, the ED may subject an institution on provisional certification status to greater scrutiny in some instances, for example, when it applies for approval to add a new location or program or makes another substantive change.</w:t>
      </w:r>
    </w:p>
    <w:p>
      <w:pPr>
        <w:spacing w:after="0" w:line="108"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i w:val="1"/>
          <w:iCs w:val="1"/>
          <w:color w:val="auto"/>
        </w:rPr>
        <w:t xml:space="preserve">Standards of Financial Responsibility. </w:t>
      </w:r>
      <w:r>
        <w:rPr>
          <w:rFonts w:ascii="Arial" w:cs="Arial" w:eastAsia="Arial" w:hAnsi="Arial"/>
          <w:sz w:val="18"/>
          <w:szCs w:val="18"/>
          <w:color w:val="auto"/>
        </w:rPr>
        <w:t>An institution participating in Title IV programs must maintain a certain level of financial responsibility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determined under the Higher Education Act and under ED regulations. The ED measures an institution’s financial responsibility by compiling a composite score ranging from 0 to 3.0, pursuant to a formula that incorporates various financial data from annual financial statements submitted to the ED. If an institution fails to achieve a composite score of 1.5 or fails to comply with other financial responsibility standards, then the ED may place conditions on the institution’s participation in the Title IV programs and may require the institution to submit to the ED a letter of credit in an amount of at least 10% to 50% of the institution’s annual Title IV participation for its most recent fiscal year. For the 2013 fiscal year, Kaplan expects KHE to have a composite score of 2.82, based on its own assessment using ED methodology. However, the ED will make its determination once it receives and reviews Kaplan’s audited financial statements for the 2013 fiscal year.</w:t>
      </w:r>
    </w:p>
    <w:p>
      <w:pPr>
        <w:spacing w:after="0" w:line="108" w:lineRule="exact"/>
        <w:rPr>
          <w:sz w:val="20"/>
          <w:szCs w:val="20"/>
          <w:color w:val="auto"/>
        </w:rPr>
      </w:pPr>
    </w:p>
    <w:p>
      <w:pPr>
        <w:spacing w:after="0" w:line="234" w:lineRule="auto"/>
        <w:rPr>
          <w:sz w:val="20"/>
          <w:szCs w:val="20"/>
          <w:color w:val="auto"/>
        </w:rPr>
      </w:pPr>
      <w:r>
        <w:rPr>
          <w:rFonts w:ascii="Arial" w:cs="Arial" w:eastAsia="Arial" w:hAnsi="Arial"/>
          <w:sz w:val="18"/>
          <w:szCs w:val="18"/>
          <w:b w:val="1"/>
          <w:bCs w:val="1"/>
          <w:i w:val="1"/>
          <w:iCs w:val="1"/>
          <w:color w:val="auto"/>
        </w:rPr>
        <w:t xml:space="preserve">Administrative Capability. </w:t>
      </w:r>
      <w:r>
        <w:rPr>
          <w:rFonts w:ascii="Arial" w:cs="Arial" w:eastAsia="Arial" w:hAnsi="Arial"/>
          <w:sz w:val="18"/>
          <w:szCs w:val="18"/>
          <w:color w:val="auto"/>
        </w:rPr>
        <w:t>The Higher Education Act, as reauthorized, directs the ED to assess the administrative capability of each institution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participate in Title IV programs. The failure of an institution to satisfy any of the criteria used to assess administrative capability may cause the ED to determine that the institution lacks administrative capability and subject the institution to additional scrutiny, deny eligibility for Title IV programs or impose other sanctions. To meet the administrative capability standards, an institution must, among other things:</w:t>
      </w:r>
    </w:p>
    <w:p>
      <w:pPr>
        <w:spacing w:after="0" w:line="3"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Title IV programs;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procedures in place for awarding, disbursing and safeguarding Title IV funds and for maintaining required records;</w:t>
      </w:r>
    </w:p>
    <w:p>
      <w:pPr>
        <w:spacing w:after="0" w:line="3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Administer Title IV programs with adequate checks and balances in its system of internal control over financial reporting;</w:t>
      </w:r>
    </w:p>
    <w:p>
      <w:pPr>
        <w:spacing w:after="0" w:line="36" w:lineRule="exact"/>
        <w:rPr>
          <w:rFonts w:ascii="Arial" w:cs="Arial" w:eastAsia="Arial" w:hAnsi="Arial"/>
          <w:sz w:val="18"/>
          <w:szCs w:val="18"/>
          <w:color w:val="auto"/>
        </w:rPr>
      </w:pPr>
    </w:p>
    <w:p>
      <w:pPr>
        <w:ind w:left="340" w:right="26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U.S. Federal contracting or engaging in activity that is cause for debarment or suspension;</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36"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Refer to the ED’s Office of the Inspector General any credible information indicating that any student, parent, employee, third-party servicer or other agent of the institution has engaged in any fraud or other illegal conduct involving Title IV programs;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Submit in a timely way all required reports and financial statements; and</w:t>
      </w:r>
    </w:p>
    <w:p>
      <w:pPr>
        <w:spacing w:after="0" w:line="4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15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Although Kaplan endeavors to comply with the administrative capability requirements, Kaplan cannot guarantee that it will continue to comply with the administrative capability requirements or that its interpretation or application of the relevant rules will be upheld by the ED or other agencies, or upon judicial review.</w:t>
      </w:r>
    </w:p>
    <w:p>
      <w:pPr>
        <w:spacing w:after="0" w:line="108" w:lineRule="exact"/>
        <w:rPr>
          <w:sz w:val="20"/>
          <w:szCs w:val="20"/>
          <w:color w:val="auto"/>
        </w:rPr>
      </w:pPr>
    </w:p>
    <w:p>
      <w:pPr>
        <w:ind w:right="340"/>
        <w:spacing w:after="0" w:line="231" w:lineRule="auto"/>
        <w:rPr>
          <w:sz w:val="20"/>
          <w:szCs w:val="20"/>
          <w:color w:val="auto"/>
        </w:rPr>
      </w:pPr>
      <w:r>
        <w:rPr>
          <w:rFonts w:ascii="Arial" w:cs="Arial" w:eastAsia="Arial" w:hAnsi="Arial"/>
          <w:sz w:val="18"/>
          <w:szCs w:val="18"/>
          <w:b w:val="1"/>
          <w:bCs w:val="1"/>
          <w:i w:val="1"/>
          <w:iCs w:val="1"/>
          <w:color w:val="auto"/>
        </w:rPr>
        <w:t xml:space="preserve">State Authorization. </w:t>
      </w:r>
      <w:r>
        <w:rPr>
          <w:rFonts w:ascii="Arial" w:cs="Arial" w:eastAsia="Arial" w:hAnsi="Arial"/>
          <w:sz w:val="18"/>
          <w:szCs w:val="18"/>
          <w:color w:val="auto"/>
        </w:rPr>
        <w:t>Kaplan’s institutions are subject to state-level regulation and oversight by state licensing agencies, whose approval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necessary to allow an institution to operate and grant degrees or diplomas in the state. State laws may establish standards for instruction, qualifications of faculty, location and nature of facilities, financial policies and responsibility and other operational matters. Institutions that participate in Title IV programs must be legally authorized to operate in the state in which the institution is physically located or is otherwise subject to state authorization requirements.</w:t>
      </w:r>
    </w:p>
    <w:p>
      <w:pPr>
        <w:spacing w:after="0" w:line="111"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Some states have sought to assert jurisdiction over online educational institutions that offer education services to residents in the state or to institutions that advertise or recruit in the state, notwithstanding the lack of a physical location in the state. State regulatory requirements for online education vary among the states, are not well developed in many states, are imprecise or unclear in some states and are subject to change. If KHE is found not to be in compliance with an applicable state regulation and a state seeks to restrict one or more of KHE’s business activities within its boundaries, KHE may not be able to recruit or enroll students in that state and may have to cease providing services and advertising in that state.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724" w:right="259" w:bottom="1440" w:gutter="0" w:footer="0" w:header="0"/>
        </w:sectPr>
      </w:pPr>
    </w:p>
    <w:bookmarkStart w:id="8" w:name="page9"/>
    <w:bookmarkEnd w:id="8"/>
    <w:p>
      <w:pPr>
        <w:ind w:right="200"/>
        <w:spacing w:after="0" w:line="224" w:lineRule="auto"/>
        <w:rPr>
          <w:sz w:val="20"/>
          <w:szCs w:val="20"/>
          <w:color w:val="auto"/>
        </w:rPr>
      </w:pPr>
      <w:r>
        <w:rPr>
          <w:rFonts w:ascii="Arial" w:cs="Arial" w:eastAsia="Arial" w:hAnsi="Arial"/>
          <w:sz w:val="18"/>
          <w:szCs w:val="18"/>
          <w:color w:val="auto"/>
        </w:rPr>
        <w:t>ED regulations that became effective on July 1, 2011, expanded the requirements for an institution to be considered legally authorized in the state in which it is physically located for Title IV purposes. In some cases, the regulations required states to revise their current requirements and/or to license schools in order for institutions to be deemed legally authorized in those states and, in turn, to participate in the Title IV programs. If the states’ requirements are found not to be in compliance with these ED regulations or if KHE institutions do not receive state approvals where necessary, then the institutions could be deemed to lack the state authorization necessary to participate in the Title IV programs and be subject to loss of Title IV eligibility, repayment obligations and other sanctions. Due to an exemption, Kaplan University’s home state of Iowa does not require Kaplan University to be registered in Iowa. However, to comply with the law, Kaplan University was granted affirmative registration in Iowa. Kaplan believes that all of Kaplan University’s and KHE’s campuses currently meet the ED requirements to be considered legally authorized to provide the programs they offer in the states in which the campuses are located. The ED has stated that it will not publish a list of states that meet, or fail to meet, the state authorization requirements, and it is uncertain how the ED will interpret these requirements in each state.</w:t>
      </w:r>
    </w:p>
    <w:p>
      <w:pPr>
        <w:spacing w:after="0" w:line="11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addition, the ED regulations that took effect on July 1, 2011, also required institutions offering postsecondary education to students through distance education in a state in which the institution is not physically located, or in which it is otherwise subject to state jurisdiction as determined by the state, to meet any applicable state requirements for it to be legally offering postsecondary distance-education in that state. The regulations required an institution to document upon request by the ED that it had the applicable state approval. In June 2012, the U.S. Court of Appeals for the District of Columbia vacated the regulations with respect to distance education. The Court affirmed an order of a Federal District Court vacating the regulation requiring an institution to meet state requirements in a state in which it has distance education students, but in which it is not physically located or otherwise subject to state jurisdiction. The ED subsequently issued a “Dear Colleague Letter,” acknowledging the court’s decision and stating that the ED would not enforce the requirements of the regulation and commenting that institutions continue to be responsible for complying with all state laws as they relate to distance education. Between February and April 2014, the ED plans to convene a Negotiated Rulemaking Committee to develop proposed regulations on a variety of topics that are expected to include state authorization for programs offered through distance education or correspondence education. We believe that this process may result in new distance-education state authorization requirements that may require Kaplan University to be registered in additional states. Currently, Kaplan University is authorized to offer online instruction or is exempt from authorization in 48 states plus the District of Columbia. If the rules are reinstated or if the ED issues new state authorization rules governing distance education, Kaplan may need to seek additional or revised state authorizations in the future. If Kaplan is unable to obtain the required approvals for distance-education programs, then Kaplan students residing in the state for which approval was not obtained may be unable to receive Title IV funds, which could have a material adverse effect on Kaplan’s business and operations.</w:t>
      </w:r>
    </w:p>
    <w:p>
      <w:pPr>
        <w:spacing w:after="0" w:line="12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i w:val="1"/>
          <w:iCs w:val="1"/>
          <w:color w:val="auto"/>
        </w:rPr>
        <w:t xml:space="preserve">Congressional Reauthorization of Title IV Programs. </w:t>
      </w:r>
      <w:r>
        <w:rPr>
          <w:rFonts w:ascii="Arial" w:cs="Arial" w:eastAsia="Arial" w:hAnsi="Arial"/>
          <w:sz w:val="18"/>
          <w:szCs w:val="18"/>
          <w:color w:val="auto"/>
        </w:rPr>
        <w:t>All of the Title IV programs are subject to periodic legislative review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reauthorization. In addition, while Congress historically has not limited the amount of funding available for the various Title IV student loan programs, the availability of funding for the Title IV programs that provide for the payment of grants is primarily contingent upon the outcome of the annual U.S. Federal appropriations process. Congress also can make changes in the laws affecting Title IV programs in those annual appropriations bills and in other laws it enacts between Higher Education Act reauthorizations. In 2008, the Higher Education Act was reauthorized through September 2014. The Senate Health, Education, Labor and Pensions Committee (HELP) and the House Education and the Workforce Committee have begun a series of hearings on reauthorization of the Higher Education Act, but it is not known when Congress will make changes to that statute or to other laws affecting U.S. Federal student aid.</w:t>
      </w:r>
    </w:p>
    <w:p>
      <w:pPr>
        <w:spacing w:after="0" w:line="108" w:lineRule="exact"/>
        <w:rPr>
          <w:sz w:val="20"/>
          <w:szCs w:val="20"/>
          <w:color w:val="auto"/>
        </w:rPr>
      </w:pPr>
    </w:p>
    <w:p>
      <w:pPr>
        <w:ind w:right="420"/>
        <w:spacing w:after="0" w:line="231" w:lineRule="auto"/>
        <w:rPr>
          <w:sz w:val="20"/>
          <w:szCs w:val="20"/>
          <w:color w:val="auto"/>
        </w:rPr>
      </w:pPr>
      <w:r>
        <w:rPr>
          <w:rFonts w:ascii="Arial" w:cs="Arial" w:eastAsia="Arial" w:hAnsi="Arial"/>
          <w:sz w:val="18"/>
          <w:szCs w:val="18"/>
          <w:color w:val="auto"/>
        </w:rPr>
        <w:t>Whether as a result of changes in the laws and regulations governing Title IV programs, a reduction in Title IV program funding levels or a failure of schools within KHE to maintain eligibility to participate in Title IV programs, a material reduction in the amount of Title IV financial assistance available to the students attending those schools could have a material adverse effect on Kaplan’s business and operations. In addition, any development that has the effect of making the terms on which Title IV financial assistance is made available materially less attractive could also have a material adverse effect on Kaplan’s business and operations.</w:t>
      </w:r>
    </w:p>
    <w:p>
      <w:pPr>
        <w:spacing w:after="0" w:line="11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b w:val="1"/>
          <w:bCs w:val="1"/>
          <w:i w:val="1"/>
          <w:iCs w:val="1"/>
          <w:color w:val="auto"/>
        </w:rPr>
        <w:t xml:space="preserve">U.S. Senate Committee Review. </w:t>
      </w:r>
      <w:r>
        <w:rPr>
          <w:rFonts w:ascii="Arial" w:cs="Arial" w:eastAsia="Arial" w:hAnsi="Arial"/>
          <w:sz w:val="18"/>
          <w:szCs w:val="18"/>
          <w:color w:val="auto"/>
        </w:rPr>
        <w:t>In the summer of 2010, the Chairman of the HELP Committee commenced an industry-wide review of for-profit higher education institutions. The institutions owned and operated by KHE were included in the scope of this industry-wide review. In July 2012, the majority staff of the Committee issued a final report to conclude the review that included observations and recommendations for federal policy, but did not include or endorse any specific proposed legislation or regulations. The ultimate outcome of the review and any implications for the operation of KHE’s institutions remain unknown.</w:t>
      </w:r>
    </w:p>
    <w:p>
      <w:pPr>
        <w:spacing w:after="0" w:line="11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Other committees of Congress have also held hearings into, among other things, the standards and procedures of accrediting agencies, credit hours and program length and the portion of U.S. Federal student financial aid going to for-profit institutions, and enrollment of active-duty military personnel and veterans. A number of legislators have variously requested the U.S. Government Accountability Office to review and make recommendations regarding,</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724" w:right="279" w:bottom="1440" w:gutter="0" w:footer="0" w:header="0"/>
        </w:sectPr>
      </w:pPr>
    </w:p>
    <w:bookmarkStart w:id="9" w:name="page10"/>
    <w:bookmarkEnd w:id="9"/>
    <w:p>
      <w:pPr>
        <w:ind w:right="60"/>
        <w:spacing w:after="0" w:line="234" w:lineRule="auto"/>
        <w:rPr>
          <w:sz w:val="20"/>
          <w:szCs w:val="20"/>
          <w:color w:val="auto"/>
        </w:rPr>
      </w:pPr>
      <w:r>
        <w:rPr>
          <w:rFonts w:ascii="Arial" w:cs="Arial" w:eastAsia="Arial" w:hAnsi="Arial"/>
          <w:sz w:val="18"/>
          <w:szCs w:val="18"/>
          <w:color w:val="auto"/>
        </w:rPr>
        <w:t>among other things, student recruitment practices; educational quality; student outcomes; the sufficiency of integrity safeguards against waste, fraud and abuse in Title IV programs; and the percentage of proprietary institutions’ revenue coming from Title IV and other U.S. Federal funding sources. In addition, concerns generated by congressional or other activity or media reports may adversely affect enrollment in for-profit educational institutions.</w:t>
      </w:r>
    </w:p>
    <w:p>
      <w:pPr>
        <w:spacing w:after="0" w:line="111"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Kaplan cannot predict the extent to which these activities could result in further investigations, legislation or rulemaking affecting its participation in Title IV programs, other governmental actions and/or actions by state agencies or legislators or by accreditors. If any laws or regulations are adopted that significantly limit Kaplan’s participation in Title IV programs or the amount of student financial aid for which Kaplan’s students are eligible, then Kaplan’s results of operations and cash flows would be adversely and materially impacted.</w:t>
      </w:r>
    </w:p>
    <w:p>
      <w:pPr>
        <w:spacing w:after="0" w:line="111"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b w:val="1"/>
          <w:bCs w:val="1"/>
          <w:i w:val="1"/>
          <w:iCs w:val="1"/>
          <w:color w:val="auto"/>
        </w:rPr>
        <w:t xml:space="preserve">Program Reviews, Audits and Investigations. </w:t>
      </w:r>
      <w:r>
        <w:rPr>
          <w:rFonts w:ascii="Arial" w:cs="Arial" w:eastAsia="Arial" w:hAnsi="Arial"/>
          <w:sz w:val="18"/>
          <w:szCs w:val="18"/>
          <w:color w:val="auto"/>
        </w:rPr>
        <w:t>Kaplan’s schools are subject to audits or program compliance reviews by various external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agencies, including the ED, its Office of the Inspector General and state and accrediting agencies. While program reviews may be undertaken for a variety reasons, they are performed routinely as part of regulatory oversight of institutions that participate in Title IV or state student funding programs. If the ED or another regulatory agency determines that an institution has improperly disbursed Title IV or state program funds or violated a provision of the Higher Education Act or state law or regulations, the affected institution may be required to repay such funds to the ED or the appropriate state agency or lender and may be assessed an administrative fine and be subject to other sanctions. Although Kaplan endeavors to comply with all U.S. Federal and state laws and regulations, Kaplan cannot guarantee that its interpretation of the relevant rules will be upheld by the ED or other agencies, or upon judicial review.</w:t>
      </w:r>
    </w:p>
    <w:p>
      <w:pPr>
        <w:spacing w:after="0" w:line="10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September 2008, the ED began a program review at KHE’s Broomall, PA, campus. The ED has delayed issuing a final report on this review, pending the completion of a separate inquiry regarding the program from the U.S. Attorney’s Office for the Eastern District of Pennsylvania. In July 2011, Kaplan resolved the inquiry with the U.S. Attorney’s Office. The ED has not yet issued a final report on this review. No assurance can be given that the ED’s final report will not have a significant adverse effect on Kaplan’s ability to continue to operate this school. See further discussion in Item 3. Legal Proceedings.</w:t>
      </w:r>
    </w:p>
    <w:p>
      <w:pPr>
        <w:spacing w:after="0" w:line="11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ED also began a program review in October 2007 at KHE’s Pittsburgh, PA, location. Kaplan has responded to all requests for information and is cooperating fully in this review. The ED has not yet issued a final report on this review. No assurance can be given that the ED’s final report will not have a significant adverse effect on Kaplan’s ability to continue to operate this school.</w:t>
      </w:r>
    </w:p>
    <w:p>
      <w:pPr>
        <w:spacing w:after="0" w:line="108"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In September 2009, the ED began a program review of Kaplan University at its offices in Fort Lauderdale, FL. In May 2012, the ED issued a preliminary report containing several findings that required Kaplan University to conduct additional file reviews and submit additional data. In January 2013, Kaplan submitted a response to the ED’s data request. In December 2013, the ED issued its Final Program Review Report determining that Kaplan University was required to repay a nominal sum.</w:t>
      </w:r>
    </w:p>
    <w:p>
      <w:pPr>
        <w:spacing w:after="0" w:line="111"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In addition, in August 2012, the ED notified Kaplan University that it was conducting an offsite program review focused solely on Title IV verification processes, and the ED began this review in September 2012. In November 2012, the ED issued a program review Report containing one finding and requesting that Kaplan University update its verification policy and report on certain students whose verifications were not properly coded. In January 2013, Kaplan submitted a response to the ED confirming that it had taken the actions requested in the ED’s November report. The ED issued a Final Program Review Report in February 2013 indicating that no further action is required for the offsite program review.</w:t>
      </w:r>
    </w:p>
    <w:p>
      <w:pPr>
        <w:spacing w:after="0" w:line="112"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In February 2013, the ED conducted a program review of the Franklin Mills, PA, campus. In August 2013, the ED issued its Final Program Review Report, which contained one minor finding with no monetary liability. The issue in the finding has been resolved.</w:t>
      </w:r>
    </w:p>
    <w:p>
      <w:pPr>
        <w:spacing w:after="0" w:line="92"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On July 16, 2013, the ED notified KHE that it would conduct a remote program review known as a “desk audit” with respect to the KHE’s Houston campus. The Department's staff will not visit the campus, but instead requested information and data that they can review from their offices. Kaplan has provided that data. The ED has indicated that the period under review is 2008 to the present and will focus on the admission and qualification of Ability to Benefit (ATB) students, who are students without proof of graduation from high school or its equivalent. Consistent with broader KHE policy, the Houston campus has not accepted ATB students since 2009. The review is ongoing, and we do not have a timeline for completion. No assurance can be given that the ED’s final report will not have a significant adverse effect on Kaplan’s ability to continue to operate this school.</w:t>
      </w:r>
    </w:p>
    <w:p>
      <w:pPr>
        <w:spacing w:after="0" w:line="109"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In August 2013, the ED conducted a program review of Kaplan’s Mount Washington College (formerly Hesser College) campus in New Hampshire. In September 2013, the ED issued its Final Program Review Report finding no concerns.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24" w:right="259" w:bottom="1440" w:gutter="0" w:footer="0" w:header="0"/>
        </w:sectPr>
      </w:pPr>
    </w:p>
    <w:bookmarkStart w:id="10" w:name="page11"/>
    <w:bookmarkEnd w:id="10"/>
    <w:p>
      <w:pPr>
        <w:ind w:right="160"/>
        <w:spacing w:after="0" w:line="231" w:lineRule="auto"/>
        <w:rPr>
          <w:sz w:val="20"/>
          <w:szCs w:val="20"/>
          <w:color w:val="auto"/>
        </w:rPr>
      </w:pPr>
      <w:r>
        <w:rPr>
          <w:rFonts w:ascii="Arial" w:cs="Arial" w:eastAsia="Arial" w:hAnsi="Arial"/>
          <w:sz w:val="18"/>
          <w:szCs w:val="18"/>
          <w:b w:val="1"/>
          <w:bCs w:val="1"/>
          <w:i w:val="1"/>
          <w:iCs w:val="1"/>
          <w:color w:val="auto"/>
        </w:rPr>
        <w:t xml:space="preserve">Institutional and Programmatic Accreditation. </w:t>
      </w:r>
      <w:r>
        <w:rPr>
          <w:rFonts w:ascii="Arial" w:cs="Arial" w:eastAsia="Arial" w:hAnsi="Arial"/>
          <w:sz w:val="18"/>
          <w:szCs w:val="18"/>
          <w:color w:val="auto"/>
        </w:rPr>
        <w:t>Accreditation is a process through which an institution submits itself to qualitative review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organization of peer institutions. Pursuant to the Higher Education Act, the ED relies on accrediting agencies to determine whether the academic quality of an institution’s educational programs is sufficient to qualify the institution to participate in Title IV programs. As noted previously, to remain eligible to participate in Title IV programs, a school must maintain its institutional accreditation by an accrediting agency recognized by the ED. Kaplan’s schools are subject to reviews by the accrediting agencies that accredit them and their educational programs.</w:t>
      </w:r>
    </w:p>
    <w:p>
      <w:pPr>
        <w:spacing w:after="0" w:line="11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June 2012, the Accrediting Commission of Career Schools and Colleges (ACCSC), a KHE accreditor, issued a notice to three campuses (Baltimore, Dayton and Indianapolis Northwest) to “show cause” as to why their accreditation should not be withdrawn for failure to meet certain student achievement threshold requirements. The Indianapolis Northwest campus responded in October 2012, indicating that this campus will be closing and consolidating into an existing campus, also in Indianapolis. In December 2012, the ACCSC Commission voted to continue the Baltimore and Dayton campuses on “show cause” status. In May 2013, ACCSC agreed to remove the Baltimore and Dayton campuses from “show cause” status and reinstate full accreditation.</w:t>
      </w:r>
    </w:p>
    <w:p>
      <w:pPr>
        <w:spacing w:after="0" w:line="112"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In March 2011, Kaplan University’s institutional accreditor, the Higher Learning Commission of the North Central Association of Colleges and Schools (HLC), sent a request to Kaplan University asking for documents and a report detailing Kaplan University’s admissions practices and describing Kaplan University’s compliance with HLC Core Components and policies. Kaplan University complied with this request on April 29, 2011. Kaplan University provided additional information to the HLC in response to a follow-up request received on January 19, 2012. Kaplan University responded to additional requests for follow-up information throughout 2012 and 2013. In February 2014, HLC conducted a focused visit of Kaplan University’s compliance with HLC standards that were part of the original inquiry. There is no date for a formal response or determination from HLC, and Kaplan cannot predict the outcome of this visit or any required changes or issues that may result.</w:t>
      </w:r>
    </w:p>
    <w:p>
      <w:pPr>
        <w:spacing w:after="0" w:line="10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In December 2013, the Council on Occupational Education (COE) put the Nashville, Dallas and San Antonio (Ingram) campuses on probation for failure to meet certain programmatic outcomes for graduation and/or employment. In late 2013 and early 2014, the ED approved the San Antonio (Ingram), Dallas and Nashville campuses' switch to the Accrediting Council for Independent Colleges and Schools (ACICS) as their accrediting agency, and, therefore, COE will cease to be their accreditor. This will moot any issues with COE, and the campuses fully expect to meet all ACICS standards going forward. However, failure to comply with accreditation requirements could result in a revocation of accreditation and a loss of Title IV program participation eligibility.</w:t>
      </w:r>
    </w:p>
    <w:p>
      <w:pPr>
        <w:spacing w:after="0" w:line="11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In an effort to streamline campus accreditation requirements and overall campus management, the KHE Campuses business has begun the process of changing the accreditor of many of its nationally accredited campuses in order to have these institutions accredited by one accrediting agency, ACICS. As of December 2013, ACICS has accredited all of the KHE campuses. However, the ED must approve the change of accreditors for Title IV purposes. While the ED has already approved many of the schools’ accreditation changes, several remain outstanding. Schools are required to carry both accreditors (ACICS and the legacy accreditor) until ED approval of the change is final. Maintaining more than one accreditor can lead to issues of compliance where there are conflicting cohorts or requirements. At this time, KHE Campuses cannot predict when or if the ED will approve the remaining requests to change accrediting agencies.</w:t>
      </w:r>
    </w:p>
    <w:p>
      <w:pPr>
        <w:spacing w:after="0" w:line="109"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Programmatic accreditation is the process through which specific programs are reviewed and approved by industry-specific and program-specific accrediting entities. Although programmatic accreditation is not generally necessary for Title IV eligibility, such accreditation may be required to allow students to sit for certain licensure exams or to work in a particular profession or career or to meet other requirements.</w:t>
      </w:r>
    </w:p>
    <w:p>
      <w:pPr>
        <w:spacing w:after="0" w:line="108"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b w:val="1"/>
          <w:bCs w:val="1"/>
          <w:i w:val="1"/>
          <w:iCs w:val="1"/>
          <w:color w:val="auto"/>
        </w:rPr>
        <w:t xml:space="preserve">Return of Title IV Funds. </w:t>
      </w:r>
      <w:r>
        <w:rPr>
          <w:rFonts w:ascii="Arial" w:cs="Arial" w:eastAsia="Arial" w:hAnsi="Arial"/>
          <w:sz w:val="18"/>
          <w:szCs w:val="18"/>
          <w:color w:val="auto"/>
        </w:rPr>
        <w:t>ED regulations require schools participating in Title IV programs to calculate correctly and return on a timely basis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unearned Title IV funds disbursed to students who withdraw from a program of study prior to completion. These funds must be returned in a timely manner, generally within 45 days of the date the school determines that the student has withdrawn. Under ED regulations, failure to make timely returns of Title IV program funds for 5% or more of students sampled in a school’s annual compliance audit could result in a requirement that the school post a letter of credit in an amount equal to 25% of its prior-year returns of Title IV program funds. Currently, none of KHE’s schools is required to post a letter of credit. If unearned funds are not properly calculated and returned in a timely manner, an institution is subject to monetary liabilities, fines or other sanctions.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Test Preparation</w:t>
      </w:r>
    </w:p>
    <w:p>
      <w:pPr>
        <w:spacing w:after="0" w:line="146"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color w:val="auto"/>
        </w:rPr>
        <w:t>In 2013, Kaplan Test Preparation (KTP) included test preparation businesses in pre-college, graduate, health and bar review. KTP also published test preparation and other books through its Kaplan Publishing business. Each of these businesses is discussed below.</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24" w:right="239" w:bottom="1440" w:gutter="0" w:footer="0" w:header="0"/>
        </w:sectPr>
      </w:pPr>
    </w:p>
    <w:bookmarkStart w:id="11" w:name="page12"/>
    <w:bookmarkEnd w:id="11"/>
    <w:p>
      <w:pPr>
        <w:ind w:right="60"/>
        <w:spacing w:after="0" w:line="234" w:lineRule="auto"/>
        <w:rPr>
          <w:sz w:val="20"/>
          <w:szCs w:val="20"/>
          <w:color w:val="auto"/>
        </w:rPr>
      </w:pPr>
      <w:r>
        <w:rPr>
          <w:rFonts w:ascii="Arial" w:cs="Arial" w:eastAsia="Arial" w:hAnsi="Arial"/>
          <w:sz w:val="18"/>
          <w:szCs w:val="18"/>
          <w:b w:val="1"/>
          <w:bCs w:val="1"/>
          <w:i w:val="1"/>
          <w:iCs w:val="1"/>
          <w:color w:val="auto"/>
        </w:rPr>
        <w:t xml:space="preserve">Test Preparation. </w:t>
      </w:r>
      <w:r>
        <w:rPr>
          <w:rFonts w:ascii="Arial" w:cs="Arial" w:eastAsia="Arial" w:hAnsi="Arial"/>
          <w:sz w:val="18"/>
          <w:szCs w:val="18"/>
          <w:color w:val="auto"/>
        </w:rPr>
        <w:t>KTP’s pre-college and graduate businesses prepare students for a broad range of college and graduate school admissions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examinations, including the SAT, ACT, LSAT, GMAT, MCAT and GRE. KTP’s health business prepares students for medical and nursing licensure exams, including the USMLE and NCLEX. Kaplan Bar Review offers full-service bar review in 42 states and the District of Columbia, as well as review for the multistate portion of the bar exam nationwide.</w:t>
      </w:r>
    </w:p>
    <w:p>
      <w:pPr>
        <w:spacing w:after="0" w:line="111"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KTP delivers courses at numerous locations throughout the U.S., Canada, Puerto Rico, Mexico and London. These courses are taught at more than 60 KTP-branded locations and at numerous other locations such as hotels, schools and universities. KTP also offers courses online, which are delivered in a live online classroom and a self-study format. In addition, KTP licenses material for certain of its courses to third parties and to a Kaplan affiliate, which, during 2013, delivered courses at 64 locations in 21 countries outside the U.S. KTP also offers programs and services, including college admissions examination preparation courses, directly to schools and school districts for students in kindergarten through 12th grade, and customized online programs for children from kindergarten through 8th grade and private tutoring in select markets.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During 2013, KTP enrolled approximately 415,000 students in its courses, including more than 170,000 enrolled in online programs.</w:t>
      </w:r>
    </w:p>
    <w:p>
      <w:pPr>
        <w:spacing w:after="0" w:line="14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b w:val="1"/>
          <w:bCs w:val="1"/>
          <w:i w:val="1"/>
          <w:iCs w:val="1"/>
          <w:color w:val="auto"/>
        </w:rPr>
        <w:t xml:space="preserve">Publishing. </w:t>
      </w:r>
      <w:r>
        <w:rPr>
          <w:rFonts w:ascii="Arial" w:cs="Arial" w:eastAsia="Arial" w:hAnsi="Arial"/>
          <w:sz w:val="18"/>
          <w:szCs w:val="18"/>
          <w:color w:val="auto"/>
        </w:rPr>
        <w:t>Kaplan Publishing focuses on print test preparation resources sold through retail channels. At the end of 2013, Kaplan Publishing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had more than 540 products available in print and digital formats, including more than 320 digital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International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operates businesses in Europe and the Asia Pacific region. Each of these businesses is discussed below.</w:t>
      </w:r>
    </w:p>
    <w:p>
      <w:pPr>
        <w:spacing w:after="0" w:line="144"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b w:val="1"/>
          <w:bCs w:val="1"/>
          <w:i w:val="1"/>
          <w:iCs w:val="1"/>
          <w:color w:val="auto"/>
        </w:rPr>
        <w:t xml:space="preserve">Europe. </w:t>
      </w:r>
      <w:r>
        <w:rPr>
          <w:rFonts w:ascii="Arial" w:cs="Arial" w:eastAsia="Arial" w:hAnsi="Arial"/>
          <w:sz w:val="18"/>
          <w:szCs w:val="18"/>
          <w:color w:val="auto"/>
        </w:rPr>
        <w:t>In Europe, Kaplan International operates the following businesses, all of which are based in the U.K. and Ireland: Kaplan UK,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Kaplan International Colleges (KIC) and a set of higher education institutions.</w:t>
      </w:r>
    </w:p>
    <w:p>
      <w:pPr>
        <w:spacing w:after="0" w:line="92" w:lineRule="exact"/>
        <w:rPr>
          <w:sz w:val="20"/>
          <w:szCs w:val="20"/>
          <w:color w:val="auto"/>
        </w:rPr>
      </w:pPr>
    </w:p>
    <w:p>
      <w:pPr>
        <w:ind w:right="420"/>
        <w:spacing w:after="0" w:line="231" w:lineRule="auto"/>
        <w:rPr>
          <w:sz w:val="20"/>
          <w:szCs w:val="20"/>
          <w:color w:val="auto"/>
        </w:rPr>
      </w:pPr>
      <w:r>
        <w:rPr>
          <w:rFonts w:ascii="Arial" w:cs="Arial" w:eastAsia="Arial" w:hAnsi="Arial"/>
          <w:sz w:val="18"/>
          <w:szCs w:val="18"/>
          <w:color w:val="auto"/>
        </w:rPr>
        <w:t>The Kaplan UK business in Europe is a provider of training, test preparation services and degrees for accounting and financial services professionals, including those studying for ACCA, CIMA and ICAEW qualifications. In addition, Kaplan UK provides legal and professional training, including the operation of a U.K. law school in collaboration with Nottingham Trent University’s Nottingham Law School. In 2013, Kaplan UK provided courses to approximately 65,000 students, of whom 48,000 were dedicated to accounting and financial services coursework. Kaplan UK is headquartered in London, England, and has 27 training centers located throughout the U.K.</w:t>
      </w:r>
    </w:p>
    <w:p>
      <w:pPr>
        <w:spacing w:after="0" w:line="11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The KIC business comprises a university pathways business and an English-language training business. The university pathways business offers academic preparation programs especially designed for international students who wish to study in English-speaking countries. In 2013, university preparation programs were being delivered in Australia, China, Kurdistan, Nigeria, Singapore, the U.K. and the U.S., servicing 12,000 students in partnership with 50 universities.</w:t>
      </w:r>
    </w:p>
    <w:p>
      <w:pPr>
        <w:spacing w:after="0" w:line="111"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 English-language business provides English-language training, academic preparation programs and test preparation for English proficiency exams, principally for students wishing to study and travel in English-speaking countries. KIC operates a total of 42 English-language schools, with 21 located in the U.K., Ireland, Australia, New Zealand and Canada, and 21 located in the U.S., where they operate under the name Kaplan International Centers. During 2013, the English-language business served approximately 59,000 students for in-class English-language instruction provided by Kaplan.</w:t>
      </w:r>
    </w:p>
    <w:p>
      <w:pPr>
        <w:spacing w:after="0" w:line="111"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Kaplan also operates three higher education institutions in Europe, located in the U.K. and Ireland. These institutions are Dublin Business School, Holborn College and Kaplan Open Learning. At the end of 2013, these institutions enrolled an aggregate of approximately 7,100 students.</w:t>
      </w:r>
    </w:p>
    <w:p>
      <w:pPr>
        <w:spacing w:after="0" w:line="10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Certain Kaplan International businesses serve a significant number of international students; therefore, the ability to sponsor students from outside the European Economic Area (EEA) and Switzerland to come to the U.K. is critical to these businesses. Pursuant to regulations administered by the United Kingdom Visa and Immigration Department (UKVI), KIC’s university pathways business, Holborn College and Kaplan Financial Limited are required to hold or operate Tier 4 sponsorship licenses to permit international students to come to the U.K. to study the courses they deliver. All of KIC’s English-language schools also have Tier 4 licenses to enable them to teach international students, although, generally, students studying the English language can choose to enter the U.K. on a student visitor visa as opposed to a Tier 4 visa.</w:t>
      </w:r>
    </w:p>
    <w:p>
      <w:pPr>
        <w:spacing w:after="0" w:line="10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Each Tier 4 license holder is also required to have Highly Trusted Sponsor (HTS) status and Educational Oversight accreditation. Without HTS status, effective April 2012, Kaplan International’s schools would not be permitted to issue a Confirmation for Acceptance of Studies (CAS) to potential incoming international students, which is a</w:t>
      </w: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724" w:right="279" w:bottom="1440" w:gutter="0" w:footer="0" w:header="0"/>
        </w:sectPr>
      </w:pPr>
    </w:p>
    <w:bookmarkStart w:id="12" w:name="page13"/>
    <w:bookmarkEnd w:id="12"/>
    <w:p>
      <w:pPr>
        <w:ind w:right="100"/>
        <w:spacing w:after="0" w:line="234" w:lineRule="auto"/>
        <w:rPr>
          <w:sz w:val="20"/>
          <w:szCs w:val="20"/>
          <w:color w:val="auto"/>
        </w:rPr>
      </w:pPr>
      <w:r>
        <w:rPr>
          <w:rFonts w:ascii="Arial" w:cs="Arial" w:eastAsia="Arial" w:hAnsi="Arial"/>
          <w:sz w:val="18"/>
          <w:szCs w:val="18"/>
          <w:color w:val="auto"/>
        </w:rPr>
        <w:t>prerequisite to a student obtaining a Tier 4 student visa. The revised immigration rules also require all private institutions to obtain Educational Oversight accreditation. Educational Oversight requires a current and satisfactory full inspection, audit or review by the appropriate academic standards body. Failure to comply with these new rules has the potential to adversely impact the number of international students studying through Kaplan International.</w:t>
      </w:r>
    </w:p>
    <w:p>
      <w:pPr>
        <w:spacing w:after="0" w:line="111"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For Kaplan UK, both Kaplan Financial Limited and Holborn College now have HTS status and Educational Oversight accreditation. Holborn gained “commendable progress” status in The Educational Oversight Annual Monitoring. Kaplan Financial Limited gained “acceptable progress” in the same review. Both Kaplan Financial and Holborn College have successfully renewed their underlying Tier 4 licenses for the period 2013 to 2017.</w:t>
      </w:r>
    </w:p>
    <w:p>
      <w:pPr>
        <w:spacing w:after="0" w:line="11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On December 15, 2011, the U.K. Border Authority (UKBA) conducted a compliance review at Kaplan UK’s Borough High Street Centre in London, England. The review focused on Kaplan UK’s compliance with regulations regarding Tier 4 students, who are non-EEA adult students, seeking to study in the U.K. Kaplan UK fully cooperated with this inquiry, and on October 18, 2012, the UKBA revisited the site to ensure that the changes that Kaplan UK had stated were being implemented had taken place. The UKBA provided verbal communication that the agency was satisfied with the changes that had been made and with the information reviewed. The UKBA also confirmed that its compliance review was complete. Kaplan UK, therefore, has continued to meet the UKVI requirements throughout 2013.</w:t>
      </w:r>
    </w:p>
    <w:p>
      <w:pPr>
        <w:spacing w:after="0" w:line="112"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With respect to KIC’s businesses in the U.K., the pathways group of colleges continues to retain HTS and Educational Oversight and all gained the status of “commendable progress” in the QAA Educational Oversight Annual Monitoring. The English-language schools also all have HTS status and have completed annual monitoring achieving “exceeded Expectations” from ISI. One of the most recent embedded pathways colleges within the University of West of England is currently under the host university’s Tier 4 sponsor license and HTS status, but will move toward obtaining Educational Oversight in summer 2014. The pathway college at the University of Brighton now issues its own CAS as a branch of KICL. KIC was the first multiple group to undergo and achieve educational oversight in April 2012. KIC has continued to maintain a favorable track record in its HTS renewals, maintaining high scores in the core measurable requirements. Twelve of the colleges completed their HTS renewals in summer 2013. Three other colleges will undergo their HTS renewals in February 2014 and have met core HTS measurable requirements. In addition, additional renewal applications were made for the core Tier 4 licenses in January 2013. (These licenses are on a four-year cycle.) In connection with these applications, eleven of the colleges had UKBA visits in the fourth quarter of 2013, and no compliance concerns were raised. All Tier 4 licenses were granted with expiry in 2017.</w:t>
      </w:r>
    </w:p>
    <w:p>
      <w:pPr>
        <w:spacing w:after="0" w:line="11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Changes continue to be made to U.K. immigration rules. The UKVI continues to tighten the regulations around sponsoring students from outside the EEA and Switzerland. Changes over the past three years have included the introduction of a rule that restricts to five years the time a sponsored student can spend studying at or above degree level in the U.K. The post-study work visa, which permitted postgraduate students to work in the U.K. without being sponsored, has been closed to new applicants. In addition, sponsored students who do not attend an institution that qualifies as a Higher Educational Institution (HEI), which includes students attending Kaplan UK’s colleges, are no longer permitted to work part time while studying. In 2013, the biggest change was the introduction of a new screening process called a “Credibility Check” for potential students. This interview process can affect the number of visa refusals Kaplan International’s businesses receive, which is a risk factor for loss of the relevant license. However, Kaplan International has not experienced a significant increase in visa refusals. Since the introduction of the new rules, sponsored students are also monitored in terms of their attendance and course progression, and failure to meet thresholds set by the UKVI obliges Kaplan International to withdraw sponsorship and report these students to the UKVI. The introduction of revised immigration rules has negatively impacted Kaplan UK’s enrollment rate in relation to students from outside the EEA and Switzerland.</w:t>
      </w:r>
    </w:p>
    <w:p>
      <w:pPr>
        <w:spacing w:after="0" w:line="117"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No assurance can be given that each Kaplan International business in the U.K. will be able to maintain its HTS status and Educational Oversight accreditation. Maintenance of each of these approvals requires compliance with several core metrics that may be difficult to attain. Loss of either HTS status or Educational Oversight accreditation would have a material adverse effect on Kaplan Europe’s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Asia Pacific. </w:t>
      </w:r>
      <w:r>
        <w:rPr>
          <w:rFonts w:ascii="Arial" w:cs="Arial" w:eastAsia="Arial" w:hAnsi="Arial"/>
          <w:sz w:val="18"/>
          <w:szCs w:val="18"/>
          <w:color w:val="auto"/>
        </w:rPr>
        <w:t>In the Asia Pacific region, Kaplan operates businesses primarily in Singapore, Australia, Hong Kong and China.</w:t>
      </w:r>
    </w:p>
    <w:p>
      <w:pPr>
        <w:spacing w:after="0" w:line="144"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In Singapore, Kaplan operates three business units: Kaplan Higher Education, Kaplan Financial and Kaplan Professional. During 2013, the Higher Education and Financial divisions served more than 18,000 students from Singapore and 3,000 students from other countries throughout Asia. Kaplan Professional provided short courses to approximately 15,000 trainees in 2013.</w:t>
      </w:r>
    </w:p>
    <w:p>
      <w:pPr>
        <w:spacing w:after="0" w:line="10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Kaplan Singapore’s Higher Education business provides students with the opportunity to earn bachelor’s and postgraduate degrees in various fields on either a part-time or full-time basis. Kaplan Singapore’s students receive</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72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degrees from affiliated educational institutions in Australia and the U.K. In addition, this division offers pre-university and diploma programs.</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Kaplan Singapore’s Financial business provides preparatory courses for professional qualifications in accountancy and finance, such as the Association of Chartered Certified Accountants (ACCA) and the Chartered Financial Analyst (CFA). Kaplan Singapore’s Professional business, which is an authorized Workforce Development Agency Continuing Education Training (CET) Centre, provides professionals with various skills training to help them to rejoin the workforce, shift to new careers or catch up with changes that occur in the workplace.</w:t>
      </w:r>
    </w:p>
    <w:p>
      <w:pPr>
        <w:spacing w:after="0" w:line="11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Australia, Kaplan delivers a broad range of financial services education and professional development courses. In 2013, this business provided courses to approximately 11,500 students through classroom programs and to more than 50,400 students through online or distance-learning programs. In 2012 and 2013, Kaplan Australia underwent significant operational restructuring and now offers its programs through three business units: English Language and Pathways; Vocational Education; and Higher Education.</w:t>
      </w:r>
    </w:p>
    <w:p>
      <w:pPr>
        <w:spacing w:after="0" w:line="11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Kaplan Australia’s English Language and Pathways business is part of KIC, which operates locations in Australia and one location in New Zealand, teaching more than 7,000 students per year. Also included in this division are Murdoch Institute of Technology and Bradford College, which continue to offer pathways education for students wishing to enter university.</w:t>
      </w:r>
    </w:p>
    <w:p>
      <w:pPr>
        <w:spacing w:after="0" w:line="10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Vocational Education business of Kaplan Australia includes Kaplan Professional Education (KPE) and Franklyn Scholar. KPE offers financial services education programs and continuing professional development courses primarily to a business-to-business market, including major banks and numerous industry sectors. Approximately 43,000 students are taught through KPE each year. Franklyn Scholar offers a wide range of custom-developed programs to business clients. More than 15,500 students are taught through Franklyn Scholar each year.</w:t>
      </w:r>
    </w:p>
    <w:p>
      <w:pPr>
        <w:spacing w:after="0" w:line="111"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The higher education business of Kaplan Australia comprises Kaplan Online Higher Education (KOHE) and Kaplan Business School (KBS), which offer diploma, bachelor’s and master’s degree programs. KBS has recently opened a new school in Brisbane and now operates in four states in Australia, teaching approximately 1,300 students each year. KOHE teaches approximately 400 students annually in postgraduate courses primarily in the financial services sector. KBS and KOHE launched an MBA program in 2013 and have enrolled approximately 100 students in the new program.</w:t>
      </w:r>
    </w:p>
    <w:p>
      <w:pPr>
        <w:spacing w:after="0" w:line="11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Kaplan Australia announced the closure of the Carrick group of schools in 2013. Certain of Carrick's higher education, English-language and vocational programs have been transferred to other Kaplan Australia businesses. All Carrick students have either been transferred to other Kaplan Australia schools or to third-party schools, or are being taught until the completion of the programs in which they are enrolled and then the programs will be discontinued.</w:t>
      </w:r>
    </w:p>
    <w:p>
      <w:pPr>
        <w:spacing w:after="0" w:line="111" w:lineRule="exact"/>
        <w:rPr>
          <w:sz w:val="20"/>
          <w:szCs w:val="20"/>
          <w:color w:val="auto"/>
        </w:rPr>
      </w:pPr>
    </w:p>
    <w:p>
      <w:pPr>
        <w:ind w:right="440"/>
        <w:spacing w:after="0" w:line="234" w:lineRule="auto"/>
        <w:rPr>
          <w:sz w:val="20"/>
          <w:szCs w:val="20"/>
          <w:color w:val="auto"/>
        </w:rPr>
      </w:pPr>
      <w:r>
        <w:rPr>
          <w:rFonts w:ascii="Arial" w:cs="Arial" w:eastAsia="Arial" w:hAnsi="Arial"/>
          <w:sz w:val="18"/>
          <w:szCs w:val="18"/>
          <w:color w:val="auto"/>
        </w:rPr>
        <w:t>In Hong Kong, Kaplan offers a comprehensive array of programs, ranging from language education and standardized test preparation to corporate and financial training and higher education degree courses. During 2013, Kaplan’s Hong Kong business provided courses to approximately 8,000 students. In 2013, new enrollments were suspended at Kaplan Business and Accountancy School due to insufficient enrollments and unfavorable market conditions.</w:t>
      </w:r>
    </w:p>
    <w:p>
      <w:pPr>
        <w:spacing w:after="0" w:line="11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In China, in addition to its extensive university preparation programs, Kaplan delivers A-Level programs and cooperates with several Chinese universities to provide ACCA training programs to the students.</w:t>
      </w:r>
    </w:p>
    <w:p>
      <w:pPr>
        <w:spacing w:after="0" w:line="92"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Each of Kaplan’s international businesses is subject to unique and often complex regulatory environments in the countries in which they operate. The degree of consistency in the application and interpretation of such regulations can vary significantly in certain jurisdictions, which can make compliance challenging. No assurance can be given that Kaplan will be able to comply with foreign regulations, and failure to do so could materially and adversely affect its operating results.</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Cable Operations</w:t>
      </w:r>
    </w:p>
    <w:p>
      <w:pPr>
        <w:spacing w:after="0" w:line="146"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Through its subsidiary Cable One, Inc. (Cable ONE), the Company owns and operates cable systems that provide video, Internet and voice service to subscribers in 18 midwestern, western and southern states. At the end of 2013, Cable ONE provided cable service to approximately 538,894 video subscribers, representing about 36% of the 1,449,971 homes passed by the systems, had approximately 472,631 subscriptions to high-speed data (HSD) service and 177,483 subscriptions to VoIP (digital voice) service.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Cable and Related Matters</w:t>
      </w:r>
    </w:p>
    <w:p>
      <w:pPr>
        <w:spacing w:after="0" w:line="146" w:lineRule="exact"/>
        <w:rPr>
          <w:sz w:val="20"/>
          <w:szCs w:val="20"/>
          <w:color w:val="auto"/>
        </w:rPr>
      </w:pPr>
    </w:p>
    <w:p>
      <w:pPr>
        <w:ind w:right="960"/>
        <w:spacing w:after="0" w:line="260" w:lineRule="auto"/>
        <w:rPr>
          <w:sz w:val="20"/>
          <w:szCs w:val="20"/>
          <w:color w:val="auto"/>
        </w:rPr>
      </w:pPr>
      <w:r>
        <w:rPr>
          <w:rFonts w:ascii="Arial" w:cs="Arial" w:eastAsia="Arial" w:hAnsi="Arial"/>
          <w:sz w:val="18"/>
          <w:szCs w:val="18"/>
          <w:color w:val="auto"/>
        </w:rPr>
        <w:t>Cable ONE’s cable, Internet and voice operations are subject to various requirements imposed by the U.S. local, state and Federal governmental authorities. The regulation of certain cable rates pursuant to procedures</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724" w:right="299" w:bottom="1440" w:gutter="0" w:footer="0" w:header="0"/>
        </w:sectPr>
      </w:pPr>
    </w:p>
    <w:bookmarkStart w:id="14" w:name="page15"/>
    <w:bookmarkEnd w:id="14"/>
    <w:p>
      <w:pPr>
        <w:ind w:right="540"/>
        <w:spacing w:after="0" w:line="260" w:lineRule="auto"/>
        <w:rPr>
          <w:sz w:val="20"/>
          <w:szCs w:val="20"/>
          <w:color w:val="auto"/>
        </w:rPr>
      </w:pPr>
      <w:r>
        <w:rPr>
          <w:rFonts w:ascii="Arial" w:cs="Arial" w:eastAsia="Arial" w:hAnsi="Arial"/>
          <w:sz w:val="18"/>
          <w:szCs w:val="18"/>
          <w:color w:val="auto"/>
        </w:rPr>
        <w:t>established by Congress has negatively affected Cable ONE’s revenue. Certain other legislative and regulatory matters discussed in this section also have the potential to adversely affect Cable ONE’s cable, Internet and voice businesses.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U.S. Federal law requires or authorizes the imposition of a wide range of regulations on cable operations.</w:t>
      </w:r>
    </w:p>
    <w:p>
      <w:pPr>
        <w:spacing w:after="0" w:line="144"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i w:val="1"/>
          <w:iCs w:val="1"/>
          <w:color w:val="auto"/>
        </w:rPr>
        <w:t xml:space="preserve">Franchising. </w:t>
      </w:r>
      <w:r>
        <w:rPr>
          <w:rFonts w:ascii="Arial" w:cs="Arial" w:eastAsia="Arial" w:hAnsi="Arial"/>
          <w:sz w:val="18"/>
          <w:szCs w:val="18"/>
          <w:color w:val="auto"/>
        </w:rPr>
        <w:t>Cable ONE’s cable systems are required to obtain franchises from state or local governmental authorities to operate. Those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franchises typically are nonexclusive and limited in time, contain various conditions and limitations and provide for the payment of fees to the local authority, determined generally as a percentage of revenues. Failure to comply with all of the terms and conditions of a franchise may give rise to rights of termination by the franchising authority. The U.S. Federal Communications Commission (FCC) has adopted rules designed to expedite the process of awarding competitive franchises and relieving applicants for competing franchises of some locally imposed franchise obligations. This development, which is especially beneficial to new entrants, is expected to continue to accelerate the competition Cable ONE is experiencing in the video service marketplace.</w:t>
      </w:r>
    </w:p>
    <w:p>
      <w:pPr>
        <w:spacing w:after="0" w:line="109"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b w:val="1"/>
          <w:bCs w:val="1"/>
          <w:i w:val="1"/>
          <w:iCs w:val="1"/>
          <w:color w:val="auto"/>
        </w:rPr>
        <w:t xml:space="preserve">Rate Regulation. </w:t>
      </w:r>
      <w:r>
        <w:rPr>
          <w:rFonts w:ascii="Arial" w:cs="Arial" w:eastAsia="Arial" w:hAnsi="Arial"/>
          <w:sz w:val="18"/>
          <w:szCs w:val="18"/>
          <w:color w:val="auto"/>
        </w:rPr>
        <w:t>FCC regulations prohibit local franchising authorities or the FCC from regulating the rates that cable systems charge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levels of video cable service, equipment and service calls when those cable systems are subject to “effective competition.” The FCC has confirmed that some of the cable systems owned by Cable ONE fall within the effective-competition exemption. Nevertheless, monthly subscription rates charged for the basic tier of cable service, as well as rates charged for equipment rentals and service calls for many of Cable ONE’s cable systems, remain subject to regulation by local franchising authorities in accordance with FCC rules.</w:t>
      </w:r>
    </w:p>
    <w:p>
      <w:pPr>
        <w:spacing w:after="0" w:line="111" w:lineRule="exact"/>
        <w:rPr>
          <w:sz w:val="20"/>
          <w:szCs w:val="20"/>
          <w:color w:val="auto"/>
        </w:rPr>
      </w:pPr>
    </w:p>
    <w:p>
      <w:pPr>
        <w:jc w:val="both"/>
        <w:ind w:right="100"/>
        <w:spacing w:after="0"/>
        <w:rPr>
          <w:sz w:val="20"/>
          <w:szCs w:val="20"/>
          <w:color w:val="auto"/>
        </w:rPr>
      </w:pPr>
      <w:r>
        <w:rPr>
          <w:rFonts w:ascii="Arial" w:cs="Arial" w:eastAsia="Arial" w:hAnsi="Arial"/>
          <w:sz w:val="18"/>
          <w:szCs w:val="18"/>
          <w:b w:val="1"/>
          <w:bCs w:val="1"/>
          <w:i w:val="1"/>
          <w:iCs w:val="1"/>
          <w:color w:val="auto"/>
        </w:rPr>
        <w:t xml:space="preserve">“Must-Carry” and Retransmission Consent. </w:t>
      </w:r>
      <w:r>
        <w:rPr>
          <w:rFonts w:ascii="Arial" w:cs="Arial" w:eastAsia="Arial" w:hAnsi="Arial"/>
          <w:sz w:val="18"/>
          <w:szCs w:val="18"/>
          <w:color w:val="auto"/>
        </w:rPr>
        <w:t>U.S. Federal law provides that a television broadcast station may, subject to certain limitations,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insist on carriage of its signal on cable systems located within the station’s prescribed area. As a result, certain of Cable ONE’s cable systems must carry broadcast stations that they might not otherwise have elected to carry.</w:t>
      </w:r>
    </w:p>
    <w:p>
      <w:pPr>
        <w:spacing w:after="0" w:line="10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other cases, Cable ONE has been required to provide consideration to broadcasters to obtain retransmission consent, such as commitments to carry other program services offered by a station or an affiliated company, to purchase advertising on a station or to provide advertising availabilities on cable to a station, or to provide cash compensation. This development results in increased operating costs for cable systems, which ultimately increases the rates cable systems charge subscribers. Recent public retransmission consent disputes between broadcasters and cable providers may prompt the FCC or Congress to impose new requirements in this area, which could affect our business.</w:t>
      </w:r>
    </w:p>
    <w:p>
      <w:pPr>
        <w:spacing w:after="0" w:line="11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b w:val="1"/>
          <w:bCs w:val="1"/>
          <w:i w:val="1"/>
          <w:iCs w:val="1"/>
          <w:color w:val="auto"/>
        </w:rPr>
        <w:t xml:space="preserve">Pole Attachments. </w:t>
      </w:r>
      <w:r>
        <w:rPr>
          <w:rFonts w:ascii="Arial" w:cs="Arial" w:eastAsia="Arial" w:hAnsi="Arial"/>
          <w:sz w:val="18"/>
          <w:szCs w:val="18"/>
          <w:color w:val="auto"/>
        </w:rPr>
        <w:t>U.S. Federal law requires most telephone and power utilities to charge reasonable rates to cable operators for utilizing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space on utility poles or in underground conduits. In May 2010 and again in April 2011, the FCC adopted new requirements relating to pole access and construction practices that were expected to improve the ability of cable operators to attach to utility poles on a timely basis and to lower the pole attachment rate for telecommunications services. The Company cannot predict the extent to which these and other rule changes will affect its ability over time to secure timely access to poles at reasonable rates. As a general matter, changes to Cable ONE’s pole attachment rate structure could significantly increase its annual pole attachment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U.S. Federal Copyright Issues. </w:t>
      </w:r>
      <w:r>
        <w:rPr>
          <w:rFonts w:ascii="Arial" w:cs="Arial" w:eastAsia="Arial" w:hAnsi="Arial"/>
          <w:sz w:val="18"/>
          <w:szCs w:val="18"/>
          <w:color w:val="auto"/>
        </w:rPr>
        <w:t>The U.S. Federal Copyright Act of 1976, as amended, gives cable systems the ability, under certain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 and assuming that any applicable retransmission consents have been obtained, to retransmit the signals of television stations pursuant to a compulsory copyright license.</w:t>
      </w:r>
    </w:p>
    <w:p>
      <w:pPr>
        <w:spacing w:after="0" w:line="108"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U.S. Federal Copyright Office is considering requests for clarification and revisions of certain cable compulsory copyright license reporting requirements, and from time to time, other revisions to the cable compulsory copyright rules are considered. Cable ONE cannot predict the outcome of any such inquiries. However, it is possible that changes in the rules or copyright compulsory license fee computations or compliance procedures could have an adverse effect on its business by increasing copyright compulsory license fee costs or by causing Cable ONE to reduce or discontinue carriage of certain broadcast signals that it currently carries on a discretionary basis.</w:t>
      </w:r>
    </w:p>
    <w:p>
      <w:pPr>
        <w:spacing w:after="0" w:line="111"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b w:val="1"/>
          <w:bCs w:val="1"/>
          <w:i w:val="1"/>
          <w:iCs w:val="1"/>
          <w:color w:val="auto"/>
        </w:rPr>
        <w:t xml:space="preserve">Telephone Company Competition. </w:t>
      </w:r>
      <w:r>
        <w:rPr>
          <w:rFonts w:ascii="Arial" w:cs="Arial" w:eastAsia="Arial" w:hAnsi="Arial"/>
          <w:sz w:val="18"/>
          <w:szCs w:val="18"/>
          <w:color w:val="auto"/>
        </w:rPr>
        <w:t>U.S. Federal law permits telephone companies to offer video programming services. Over the past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decade, telephone companies have pursued multiple strategies to enter the market for the delivery of multichannel video programming services, such as partnering with direct broadcast satellite (DBS) operators or obtaining local franchise agreements. Increased competition from telephone companies that provide competing services could have a material effect on Cable ONE’s business.</w:t>
      </w:r>
    </w:p>
    <w:p>
      <w:pPr>
        <w:spacing w:after="0" w:line="111" w:lineRule="exact"/>
        <w:rPr>
          <w:sz w:val="20"/>
          <w:szCs w:val="20"/>
          <w:color w:val="auto"/>
        </w:rPr>
      </w:pPr>
    </w:p>
    <w:p>
      <w:pPr>
        <w:jc w:val="both"/>
        <w:ind w:right="360"/>
        <w:spacing w:after="0"/>
        <w:rPr>
          <w:sz w:val="20"/>
          <w:szCs w:val="20"/>
          <w:color w:val="auto"/>
        </w:rPr>
      </w:pPr>
      <w:r>
        <w:rPr>
          <w:rFonts w:ascii="Arial" w:cs="Arial" w:eastAsia="Arial" w:hAnsi="Arial"/>
          <w:sz w:val="18"/>
          <w:szCs w:val="18"/>
          <w:b w:val="1"/>
          <w:bCs w:val="1"/>
          <w:i w:val="1"/>
          <w:iCs w:val="1"/>
          <w:color w:val="auto"/>
        </w:rPr>
        <w:t xml:space="preserve">“Over-the-Top” Video Programming. </w:t>
      </w:r>
      <w:r>
        <w:rPr>
          <w:rFonts w:ascii="Arial" w:cs="Arial" w:eastAsia="Arial" w:hAnsi="Arial"/>
          <w:sz w:val="18"/>
          <w:szCs w:val="18"/>
          <w:color w:val="auto"/>
        </w:rPr>
        <w:t>The continued proliferation of broadband services in the U.S. has enabled cable programmers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broadcast television stations to “stream” their video content to consumers over the Internet. Although the Company has benefited generally from the growth in broadband due to its role as a provider of</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24" w:right="259" w:bottom="1440" w:gutter="0" w:footer="0" w:header="0"/>
        </w:sectPr>
      </w:pPr>
    </w:p>
    <w:bookmarkStart w:id="15" w:name="page16"/>
    <w:bookmarkEnd w:id="15"/>
    <w:p>
      <w:pPr>
        <w:spacing w:after="0" w:line="227" w:lineRule="auto"/>
        <w:rPr>
          <w:sz w:val="20"/>
          <w:szCs w:val="20"/>
          <w:color w:val="auto"/>
        </w:rPr>
      </w:pPr>
      <w:r>
        <w:rPr>
          <w:rFonts w:ascii="Arial" w:cs="Arial" w:eastAsia="Arial" w:hAnsi="Arial"/>
          <w:sz w:val="18"/>
          <w:szCs w:val="18"/>
          <w:color w:val="auto"/>
        </w:rPr>
        <w:t>broadband services, the continued and growing availability of cable programming and broadcast television content on the Internet may result in less demand for the Company’s cable service offering. Some providers of cable service are marketing their own version of “over-the-top” video programming, thus enabling their subscribers to access cable programming outside of their home or business. In addition, online video distributors and other over-the-top video distributors have begun to stream broadcast programming over the Internet. Broadcasters have challenged this practice, and the U.S. Supreme Court has agreed to review the legality of this practice. The Company cannot predict how widespread these practices may become or the extent to which the integrated functionality and ease of use of the cable platform will continue to appeal to the majority of its subscribers. Cable ONE will be purchasing set-top devices that will allow its customers to access Internet content on their televisions.</w:t>
      </w:r>
    </w:p>
    <w:p>
      <w:pPr>
        <w:spacing w:after="0" w:line="10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b w:val="1"/>
          <w:bCs w:val="1"/>
          <w:i w:val="1"/>
          <w:iCs w:val="1"/>
          <w:color w:val="auto"/>
        </w:rPr>
        <w:t xml:space="preserve">Wireless Services. </w:t>
      </w:r>
      <w:r>
        <w:rPr>
          <w:rFonts w:ascii="Arial" w:cs="Arial" w:eastAsia="Arial" w:hAnsi="Arial"/>
          <w:sz w:val="18"/>
          <w:szCs w:val="18"/>
          <w:color w:val="auto"/>
        </w:rPr>
        <w:t>Beginning in 2004, the FCC adopted rule changes that allowed the 2.5 GHz band to be used for nonvideo services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permitted transmitters to be deployed in cellular patterns. As a result of FCC rule changes that began in 2004, the 2.5 GHz and other frequency bands, including the 1.7 GHz and 2.1 GHz bands in which the FCC auctioned spectrum in 2006, are now being adopted for the delivery of two-way broadband digital data and high-speed Internet access services capable of covering large areas.</w:t>
      </w:r>
    </w:p>
    <w:p>
      <w:pPr>
        <w:spacing w:after="0" w:line="111"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December 2006, Cable ONE purchased in the FCC’s Advanced Wireless Service auction approximately 20 MHz of spectrum in the 1.7 GHz and 2.1 GHz frequency bands in areas that cover more than 85% of the homes passed by Cable ONE’s systems. This spectrum can be used to provide a variety of advanced wireless services, including fixed and mobile high-speed Internet access using WiMAX and other digital transmission systems. Licenses for this spectrum have an initial 15-year term and 10-year renewal terms. Licensees will be required to show that they have provided substantial service by the end of the initial license term to be eligible to renew, but there are no interim construction or service requirements. Cable ONE is evaluating how best to utilize its spectrum.</w:t>
      </w:r>
    </w:p>
    <w:p>
      <w:pPr>
        <w:spacing w:after="0" w:line="11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In 2008, the FCC auctioned additional spectrum in the 700 MHz band, which historically has been used for television broadcasting, and it is expected that this additional spectrum will be used to deliver broadband, video and other services to mobile devices. Although it is not yet clear what effect, if any, the increased availability of mobile video services will have on the cable industry, these developments likely will increase the number of competitive alternatives to Cable ONE’s services.</w:t>
      </w:r>
    </w:p>
    <w:p>
      <w:pPr>
        <w:spacing w:after="0" w:line="11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FCC is in the process of establishing rules to auction additional spectrum, including spectrum currently in the television broadcast band, for use by wireless broadband providers. These rules will provide for both the auction of spectrum and a “repacking,” whereby the FCC would require certain broadcast stations to move to new channel allotments so as to free up a nationwide block of spectrum for wireless broadband use. The availability of more spectrum to enable wireless video services over time will create additional competitive alternatives to cable services. The FCC has indicated the incentive auction will take place in mid-2015, but the Company cannot predict when this will occur or the effect it may have on Cable ONE.</w:t>
      </w:r>
    </w:p>
    <w:p>
      <w:pPr>
        <w:spacing w:after="0" w:line="112"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b w:val="1"/>
          <w:bCs w:val="1"/>
          <w:i w:val="1"/>
          <w:iCs w:val="1"/>
          <w:color w:val="auto"/>
        </w:rPr>
        <w:t xml:space="preserve">Set-Top Boxes. </w:t>
      </w:r>
      <w:r>
        <w:rPr>
          <w:rFonts w:ascii="Arial" w:cs="Arial" w:eastAsia="Arial" w:hAnsi="Arial"/>
          <w:sz w:val="18"/>
          <w:szCs w:val="18"/>
          <w:color w:val="auto"/>
        </w:rPr>
        <w:t>Congress, the FCC and other government agencies have for some time been developing and implementing regulations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the types of set-top boxes that cable operators can lease or deploy to their subscribers. In 2010, for example, the FCC initiated a regulatory proceeding to consider whether it should require all multichannel video program distributors, which include cable operators, to develop and provide a new, universal set-top box solution that allows access to both online and traditional video.</w:t>
      </w:r>
    </w:p>
    <w:p>
      <w:pPr>
        <w:spacing w:after="0" w:line="11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2011, the FCC initiated a rulemaking proceeding to review a rule prohibiting encryption of the basic service tier. In 2012, the FCC amended its rules to allow cable operators to encrypt the basic service tier in all-digital cable systems if they comply with certain consumer-protection measures.</w:t>
      </w:r>
    </w:p>
    <w:p>
      <w:pPr>
        <w:spacing w:after="0" w:line="10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Also in 2012, the FCC clarified and waived until June 3, 2014, the “open industry standard” that requires cable set-top boxes to include a recordable, Internet Protocol (IP)-based output. Although these requirements are expected to impose costs on cable operators, they now have additional time in which to comply.</w:t>
      </w:r>
    </w:p>
    <w:p>
      <w:pPr>
        <w:spacing w:after="0" w:line="10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Most recently, in January 2013, the Department of Energy tentatively designated set-top boxes and network equipment as covered consumer products and proposed to adopt a new test procedure for set-top boxes as part of its Energy Conservation Program for Consumer Products and Certain Commercial and Industry Equipment. Imposing energy conservation regulations on cable industry products could impede innovation and upgrades in set-top boxes and be costly to the cable industry. The Company cannot predict when, whether or to what extent any of the issues will be resolved or how they will affect its operations.</w:t>
      </w:r>
    </w:p>
    <w:p>
      <w:pPr>
        <w:spacing w:after="0" w:line="111"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b w:val="1"/>
          <w:bCs w:val="1"/>
          <w:i w:val="1"/>
          <w:iCs w:val="1"/>
          <w:color w:val="auto"/>
        </w:rPr>
        <w:t xml:space="preserve">Disability Access. </w:t>
      </w:r>
      <w:r>
        <w:rPr>
          <w:rFonts w:ascii="Arial" w:cs="Arial" w:eastAsia="Arial" w:hAnsi="Arial"/>
          <w:sz w:val="18"/>
          <w:szCs w:val="18"/>
          <w:color w:val="auto"/>
        </w:rPr>
        <w:t>In September 2010, Congress passed the Twenty-First Century Communications and Video Accessibility Act (CVAA).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CVAA directs the FCC to impose additional accessibility requirements on cable operators. For example, cable operators that serve 50,000 or more subscribers must provide 50 hours of video description per calendar quarter, during prime time or on children’s programming, on each channel on which they carry one of the top five national nonbroadcast networks. In addition, cable operators of all sizes must pass through video description that is provided for each broadcast station or nonbroadcast network that they carry. Compliance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24" w:right="239" w:bottom="1440" w:gutter="0" w:footer="0" w:header="0"/>
        </w:sectPr>
      </w:pPr>
    </w:p>
    <w:bookmarkStart w:id="16" w:name="page17"/>
    <w:bookmarkEnd w:id="16"/>
    <w:p>
      <w:pPr>
        <w:ind w:right="20"/>
        <w:spacing w:after="0"/>
        <w:rPr>
          <w:sz w:val="20"/>
          <w:szCs w:val="20"/>
          <w:color w:val="auto"/>
        </w:rPr>
      </w:pPr>
      <w:r>
        <w:rPr>
          <w:rFonts w:ascii="Arial" w:cs="Arial" w:eastAsia="Arial" w:hAnsi="Arial"/>
          <w:sz w:val="18"/>
          <w:szCs w:val="18"/>
          <w:color w:val="auto"/>
        </w:rPr>
        <w:t>imposes certain costs on the Company. The CVAA also directs the FCC to adopt rules to help ensure that persons with disabilities have access to video programming and related information. The Company cannot predict the extent to which these new requirements may impose new costs on the Company.</w:t>
      </w:r>
    </w:p>
    <w:p>
      <w:pPr>
        <w:spacing w:after="0" w:line="108" w:lineRule="exact"/>
        <w:rPr>
          <w:sz w:val="20"/>
          <w:szCs w:val="20"/>
          <w:color w:val="auto"/>
        </w:rPr>
      </w:pPr>
    </w:p>
    <w:p>
      <w:pPr>
        <w:ind w:right="340"/>
        <w:spacing w:after="0"/>
        <w:rPr>
          <w:sz w:val="20"/>
          <w:szCs w:val="20"/>
          <w:color w:val="auto"/>
        </w:rPr>
      </w:pPr>
      <w:r>
        <w:rPr>
          <w:rFonts w:ascii="Arial" w:cs="Arial" w:eastAsia="Arial" w:hAnsi="Arial"/>
          <w:sz w:val="18"/>
          <w:szCs w:val="18"/>
          <w:b w:val="1"/>
          <w:bCs w:val="1"/>
          <w:i w:val="1"/>
          <w:iCs w:val="1"/>
          <w:color w:val="auto"/>
        </w:rPr>
        <w:t xml:space="preserve">Other Requirements. </w:t>
      </w:r>
      <w:r>
        <w:rPr>
          <w:rFonts w:ascii="Arial" w:cs="Arial" w:eastAsia="Arial" w:hAnsi="Arial"/>
          <w:sz w:val="18"/>
          <w:szCs w:val="18"/>
          <w:color w:val="auto"/>
        </w:rPr>
        <w:t>The FCC regulates various other aspects of cable operations, including certain terms for commercial leased access,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signal leakage, distant broadcast station signals and technical standards. The Company cannot predict whether, when or to what extent changes to these and other regulations may affect its operations or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Access Services</w:t>
      </w:r>
    </w:p>
    <w:p>
      <w:pPr>
        <w:spacing w:after="0" w:line="146"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Broadband Internet access service, which Cable ONE currently offers on virtually all of its cable systems, is classified as an “information service” in the U.S. As a result, Internet access service is not subject to the full panoply of regulations that applies to “cable services” or “telecommunications services” under the U.S. Federal Communications Act of 1934, as amended (the Communications Act), nor is it subject to state or local government regulation.</w:t>
      </w:r>
    </w:p>
    <w:p>
      <w:pPr>
        <w:spacing w:after="0" w:line="11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Although broadband Internet access service is not regulated, regulations that distinguish between interference with subscriber access and reasonable network management are evolving and, over time, could begin to interfere with Cable ONE’s ability to manage its network or provide services to its subscribers. In 2010, the FCC imposed certain “net neutrality” obligations on providers of broadband Internet access services. In January 2014, a federal court vacated the anti-discrimination and anti-blocking requirements of the FCC’s net neutrality obligations, but left the disclosure requirements in place. The Company cannot predict whether there will be any further legal, regulatory, or legislative action with respect to net neutrality. Imposition of new net neutrality obligations could cause the Company to incur certain compliance costs.</w:t>
      </w:r>
    </w:p>
    <w:p>
      <w:pPr>
        <w:spacing w:after="0" w:line="112"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Although not specifically regulated as a service, broadband Internet access service is subject to many of the same U.S. Federal and state privacy laws that apply to other electronic communications. These include the U.S. Federal Electronic Communications Privacy Act, which addresses interceptions of electronic communications that are in transit; the Stored Communications Act, which addresses acquisitions of electronic data in storage; and other Federal and state privacy laws and regulations. As the collection and use of consumer data becomes more prevalent in the communications industry, the Company’s compliance obligations may grow. We cannot predict whether, when or to what extent these obligations may impose costs on Cable ONE's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Voice Services</w:t>
      </w:r>
    </w:p>
    <w:p>
      <w:pPr>
        <w:spacing w:after="0" w:line="146"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b w:val="1"/>
          <w:bCs w:val="1"/>
          <w:i w:val="1"/>
          <w:iCs w:val="1"/>
          <w:color w:val="auto"/>
        </w:rPr>
        <w:t xml:space="preserve">Voice Over Internet Protocol (VoIP). </w:t>
      </w:r>
      <w:r>
        <w:rPr>
          <w:rFonts w:ascii="Arial" w:cs="Arial" w:eastAsia="Arial" w:hAnsi="Arial"/>
          <w:sz w:val="18"/>
          <w:szCs w:val="18"/>
          <w:color w:val="auto"/>
        </w:rPr>
        <w:t>Cable companies, including Cable ONE and others, offer voice over Internet Protocol service,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permits users to make voice calls over broadband communications networks, including the Internet. U.S. Federal law preempts state and local regulatory barriers to the offering of voice service by cable companies and others, and the FCC and U.S. Federal courts generally have preempted state laws that seek to regulate or classify VoIP.</w:t>
      </w:r>
    </w:p>
    <w:p>
      <w:pPr>
        <w:spacing w:after="0" w:line="111"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The FCC has held that VoIP services are IP-enabled services, which are interstate in nature and thus subject exclusively to the FCC’s U.S. Federal jurisdiction. This decision was upheld on appeal, although the FCC has an ongoing proceeding to consider whether VoIP services provided by cable companies and others are properly classified as an “information service,” “telecommunications service” or some other new category of service. This determination, once made, could have numerous regulatory implications for cable companies that provide VoIP services, including Cable ONE. Although the FCC has yet to ascribe a regulatory definition to VoIP services, the FCC nevertheless has imposed a number of obligations on interconnected VoIP service providers, some of which are discussed more fully below.</w:t>
      </w:r>
    </w:p>
    <w:p>
      <w:pPr>
        <w:spacing w:after="0" w:line="112" w:lineRule="exact"/>
        <w:rPr>
          <w:sz w:val="20"/>
          <w:szCs w:val="20"/>
          <w:color w:val="auto"/>
        </w:rPr>
      </w:pPr>
    </w:p>
    <w:p>
      <w:pPr>
        <w:ind w:right="300"/>
        <w:spacing w:after="0" w:line="231" w:lineRule="auto"/>
        <w:rPr>
          <w:sz w:val="20"/>
          <w:szCs w:val="20"/>
          <w:color w:val="auto"/>
        </w:rPr>
      </w:pPr>
      <w:r>
        <w:rPr>
          <w:rFonts w:ascii="Arial" w:cs="Arial" w:eastAsia="Arial" w:hAnsi="Arial"/>
          <w:sz w:val="18"/>
          <w:szCs w:val="18"/>
          <w:b w:val="1"/>
          <w:bCs w:val="1"/>
          <w:i w:val="1"/>
          <w:iCs w:val="1"/>
          <w:color w:val="auto"/>
        </w:rPr>
        <w:t xml:space="preserve">Emergency 911 Services. </w:t>
      </w:r>
      <w:r>
        <w:rPr>
          <w:rFonts w:ascii="Arial" w:cs="Arial" w:eastAsia="Arial" w:hAnsi="Arial"/>
          <w:sz w:val="18"/>
          <w:szCs w:val="18"/>
          <w:color w:val="auto"/>
        </w:rPr>
        <w:t>The FCC has ruled that an interconnected VoIP service provider that enables its customers to make calls to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calls from persons who use the public switched telephone network must provide its customers with the same enhanced 911 (E911) features that traditional telephone and wireless companies are obligated to provide. This requirement was upheld on appeal. The FCC is currently assessing whether additional rules related to the provision of E911 services by interconnected VoIP service providers should be adopted.</w:t>
      </w:r>
    </w:p>
    <w:p>
      <w:pPr>
        <w:spacing w:after="0" w:line="11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 xml:space="preserve">CALEA. </w:t>
      </w:r>
      <w:r>
        <w:rPr>
          <w:rFonts w:ascii="Arial" w:cs="Arial" w:eastAsia="Arial" w:hAnsi="Arial"/>
          <w:sz w:val="18"/>
          <w:szCs w:val="18"/>
          <w:color w:val="auto"/>
        </w:rPr>
        <w:t>FCC regulations require providers of interconnected VoIP service to comply with the requirements of CALEA, which requires covered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entities and their equipment suppliers to deploy equipment that law enforcement officials can access readily for lawful wiretap purposes.</w:t>
      </w:r>
    </w:p>
    <w:p>
      <w:pPr>
        <w:spacing w:after="0" w:line="9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b w:val="1"/>
          <w:bCs w:val="1"/>
          <w:i w:val="1"/>
          <w:iCs w:val="1"/>
          <w:color w:val="auto"/>
        </w:rPr>
        <w:t xml:space="preserve">Universal Service. </w:t>
      </w:r>
      <w:r>
        <w:rPr>
          <w:rFonts w:ascii="Arial" w:cs="Arial" w:eastAsia="Arial" w:hAnsi="Arial"/>
          <w:sz w:val="18"/>
          <w:szCs w:val="18"/>
          <w:color w:val="auto"/>
        </w:rPr>
        <w:t>The FCC has determined that interconnected VoIP service providers must contribute to the U.S. Federal Universal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 (USF). The amount of a company’s USF contribution is based on a percentage of revenues earned from end-user interstate and international interconnected VoIP services. Cable ONE is permitted to recover these contributions from its customers. In 2011, the FCC adopted an order and new</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724" w:right="259" w:bottom="1440" w:gutter="0" w:footer="0" w:header="0"/>
        </w:sectPr>
      </w:pPr>
    </w:p>
    <w:bookmarkStart w:id="17" w:name="page18"/>
    <w:bookmarkEnd w:id="17"/>
    <w:p>
      <w:pPr>
        <w:spacing w:after="0" w:line="225" w:lineRule="auto"/>
        <w:rPr>
          <w:sz w:val="20"/>
          <w:szCs w:val="20"/>
          <w:color w:val="auto"/>
        </w:rPr>
      </w:pPr>
      <w:r>
        <w:rPr>
          <w:rFonts w:ascii="Arial" w:cs="Arial" w:eastAsia="Arial" w:hAnsi="Arial"/>
          <w:sz w:val="18"/>
          <w:szCs w:val="18"/>
          <w:color w:val="auto"/>
        </w:rPr>
        <w:t>rules intended to transition the USF so that it supports the build out of broadband, rather than telecommunications facilities. The order principally addressed the manner in which universal service funds will be distributed to network operators for broadband build out. In 2012, the FCC initiated a proceeding that focused on reforming the nature and manner in which entities should contribute to the USF and at what levels. Cable ONE cannot predict whether and how such reform will occur and the extent to which it may affect providers of VoIP services, including Cable ONE and its competitors. The FCC’s 2011 universal service reform order is subject to both reconsideration requests and appeals, and Cable ONE cannot predict the outcome of those actions. In November 2010, the FCC determined that states may impose state USF fees on interconnected VoIP service providers subject to certain limitations and requirements. State USF contributions are based on a percentage of revenues earned from end-user intrastate interconnected VoIP services, and Cable ONE is typically permitted to recover these contributions from its customers. Cable ONE cannot predict whether or how the imposition of such state-based universal service fees will affect its operations and business.</w:t>
      </w:r>
    </w:p>
    <w:p>
      <w:pPr>
        <w:spacing w:after="0" w:line="112"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b w:val="1"/>
          <w:bCs w:val="1"/>
          <w:i w:val="1"/>
          <w:iCs w:val="1"/>
          <w:color w:val="auto"/>
        </w:rPr>
        <w:t xml:space="preserve">Intercarrier Compensation. </w:t>
      </w:r>
      <w:r>
        <w:rPr>
          <w:rFonts w:ascii="Arial" w:cs="Arial" w:eastAsia="Arial" w:hAnsi="Arial"/>
          <w:sz w:val="18"/>
          <w:szCs w:val="18"/>
          <w:color w:val="auto"/>
        </w:rPr>
        <w:t>The order and new rules adopted by the FCC in 2011 in connection with universal service reform also addressed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intercarrier compensation and specified that “VoIP-PSTN traffic,” that is, traffic exchanged over public switched telephone network facilities that originates and/or terminates in IP format, which includes interconnected VoIP traffic, is subject to intercarrier compensation obligations either on the basis of specified default charges or through negotiated rates. The FCC’s order is the subject of both reconsideration requests and appeals, and Cable ONE cannot predict the outcome of these actions. Future FCC determinations regarding the rates, terms and conditions for transporting and terminating such traffic could have a profound and material effect on the profitability of providing voice and Internet services.</w:t>
      </w:r>
    </w:p>
    <w:p>
      <w:pPr>
        <w:spacing w:after="0" w:line="112"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b w:val="1"/>
          <w:bCs w:val="1"/>
          <w:i w:val="1"/>
          <w:iCs w:val="1"/>
          <w:color w:val="auto"/>
        </w:rPr>
        <w:t xml:space="preserve">Customer Proprietary Network Information (CPNI). </w:t>
      </w:r>
      <w:r>
        <w:rPr>
          <w:rFonts w:ascii="Arial" w:cs="Arial" w:eastAsia="Arial" w:hAnsi="Arial"/>
          <w:sz w:val="18"/>
          <w:szCs w:val="18"/>
          <w:color w:val="auto"/>
        </w:rPr>
        <w:t>In 2007, the FCC adopted rules expanding the protection of CPNI and extending CPNI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protection requirements to providers of interconnected VoIP service. CPNI is information about the quantity, technical configuration, type, location and amount of a voice customer’s use. These requirements generally have increased the cost of providing interconnected VoIP service, as providers now must implement various safeguards to protect CPNI from unauthorized disclosure.</w:t>
      </w:r>
    </w:p>
    <w:p>
      <w:pPr>
        <w:spacing w:after="0" w:line="111" w:lineRule="exact"/>
        <w:rPr>
          <w:sz w:val="20"/>
          <w:szCs w:val="20"/>
          <w:color w:val="auto"/>
        </w:rPr>
      </w:pPr>
    </w:p>
    <w:p>
      <w:pPr>
        <w:spacing w:after="0" w:line="231" w:lineRule="auto"/>
        <w:rPr>
          <w:sz w:val="20"/>
          <w:szCs w:val="20"/>
          <w:color w:val="auto"/>
        </w:rPr>
      </w:pPr>
      <w:r>
        <w:rPr>
          <w:rFonts w:ascii="Arial" w:cs="Arial" w:eastAsia="Arial" w:hAnsi="Arial"/>
          <w:sz w:val="18"/>
          <w:szCs w:val="18"/>
          <w:b w:val="1"/>
          <w:bCs w:val="1"/>
          <w:i w:val="1"/>
          <w:iCs w:val="1"/>
          <w:color w:val="auto"/>
        </w:rPr>
        <w:t xml:space="preserve">Access for Persons With Disabilities. </w:t>
      </w:r>
      <w:r>
        <w:rPr>
          <w:rFonts w:ascii="Arial" w:cs="Arial" w:eastAsia="Arial" w:hAnsi="Arial"/>
          <w:sz w:val="18"/>
          <w:szCs w:val="18"/>
          <w:color w:val="auto"/>
        </w:rPr>
        <w:t>FCC regulations require providers of interconnected VoIP services to comply with all disability access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that apply to telecommunications carriers, including the provision of telecommunications relay services for persons with speech or hearing impairments. The FCC also has adopted reporting requirements associated with disability access obligations. Cable ONE and other interconnected VoIP service providers must also contribute to the interstate Telecommunications Relay Service Fund to support such access. These requirements generally have had the effect of increasing the cost of providing VoIP services.</w:t>
      </w:r>
    </w:p>
    <w:p>
      <w:pPr>
        <w:spacing w:after="0" w:line="111"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b w:val="1"/>
          <w:bCs w:val="1"/>
          <w:i w:val="1"/>
          <w:iCs w:val="1"/>
          <w:color w:val="auto"/>
        </w:rPr>
        <w:t xml:space="preserve">Service Discontinuance and Outage Obligations. </w:t>
      </w:r>
      <w:r>
        <w:rPr>
          <w:rFonts w:ascii="Arial" w:cs="Arial" w:eastAsia="Arial" w:hAnsi="Arial"/>
          <w:sz w:val="18"/>
          <w:szCs w:val="18"/>
          <w:color w:val="auto"/>
        </w:rPr>
        <w:t>In 2009, the FCC adopted rules subjecting providers of interconnected VoIP services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service discontinuance requirements applicable to providers of wireline telecommunication services. In 2012, the FCC adopted mandatory outage reporting requirements for interconnected VoIP service providers, which apply when customers of interconnected VoIP service lose service or connectivity and, as a result, are unable to access 911 service. Along with other FCC actions described in this section, which impose legacy telecom obligations on interconnected VoIP providers, this development will subject the Company’s interconnected VoIP services to greater regulation and, therefore, greater burdens and costs.</w:t>
      </w:r>
    </w:p>
    <w:p>
      <w:pPr>
        <w:spacing w:after="0" w:line="11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b w:val="1"/>
          <w:bCs w:val="1"/>
          <w:i w:val="1"/>
          <w:iCs w:val="1"/>
          <w:color w:val="auto"/>
        </w:rPr>
        <w:t xml:space="preserve">Regulatory Fees. </w:t>
      </w:r>
      <w:r>
        <w:rPr>
          <w:rFonts w:ascii="Arial" w:cs="Arial" w:eastAsia="Arial" w:hAnsi="Arial"/>
          <w:sz w:val="18"/>
          <w:szCs w:val="18"/>
          <w:color w:val="auto"/>
        </w:rPr>
        <w:t>The FCC requires interconnected VoIP service providers to contribute to shared costs of FCC regulation through an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fee assessment. These fees have increased Cable ONE’s cost of providing VoIP services. In 2012, the FCC initiated a proceeding to reform the regulatory fee regime in light of marketplace changes. The Company cannot predict when or the extent to which the FCC will adopt new rules.</w:t>
      </w:r>
    </w:p>
    <w:p>
      <w:pPr>
        <w:spacing w:after="0" w:line="111"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b w:val="1"/>
          <w:bCs w:val="1"/>
          <w:i w:val="1"/>
          <w:iCs w:val="1"/>
          <w:color w:val="auto"/>
        </w:rPr>
        <w:t xml:space="preserve">Local Number Portability. </w:t>
      </w:r>
      <w:r>
        <w:rPr>
          <w:rFonts w:ascii="Arial" w:cs="Arial" w:eastAsia="Arial" w:hAnsi="Arial"/>
          <w:sz w:val="18"/>
          <w:szCs w:val="18"/>
          <w:color w:val="auto"/>
        </w:rPr>
        <w:t>Providers of interconnected VoIP services and their “numbering partners” must ensure that their subscribers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ability to port their telephone numbers when changing service providers. Cable ONE, along with other providers of interconnected VoIP service, must contribute funds to cover the shared costs of local number portability and the costs of North American Numbering Plan Administration. The FCC currently is considering whether additional numbering requirements, such as allowing consumers access to abbreviated dialing codes like 211 and 311, should be applied to interconnected VoIP service providers. Although consumers’ ability to port their existing telephone numbers to interconnected VoIP service has created additional opportunities for Cable ONE to gain voice customers, the local number portability and associated rules overall have had the effect of increasing the cost of providing VoIP service.</w:t>
      </w:r>
    </w:p>
    <w:p>
      <w:pPr>
        <w:spacing w:after="0" w:line="109" w:lineRule="exact"/>
        <w:rPr>
          <w:sz w:val="20"/>
          <w:szCs w:val="20"/>
          <w:color w:val="auto"/>
        </w:rPr>
      </w:pPr>
    </w:p>
    <w:p>
      <w:pPr>
        <w:spacing w:after="0" w:line="234" w:lineRule="auto"/>
        <w:rPr>
          <w:sz w:val="20"/>
          <w:szCs w:val="20"/>
          <w:color w:val="auto"/>
        </w:rPr>
      </w:pPr>
      <w:r>
        <w:rPr>
          <w:rFonts w:ascii="Arial" w:cs="Arial" w:eastAsia="Arial" w:hAnsi="Arial"/>
          <w:sz w:val="18"/>
          <w:szCs w:val="18"/>
          <w:b w:val="1"/>
          <w:bCs w:val="1"/>
          <w:i w:val="1"/>
          <w:iCs w:val="1"/>
          <w:color w:val="auto"/>
        </w:rPr>
        <w:t xml:space="preserve">Regulatory Reform. </w:t>
      </w:r>
      <w:r>
        <w:rPr>
          <w:rFonts w:ascii="Arial" w:cs="Arial" w:eastAsia="Arial" w:hAnsi="Arial"/>
          <w:sz w:val="18"/>
          <w:szCs w:val="18"/>
          <w:color w:val="auto"/>
        </w:rPr>
        <w:t>The FCC recently initiated proceedings to address requests to end or alter regulation of certain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telecommunications networks. The requests ask the FCC to take a variety of actions to change the nature and manner in which these networks are regulated. The issues raised in these requests are driven in part by changes in technology. The Company cannot predict whether or to what extent the FCC will act on these requests or how that will affect the Company’s business.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24" w:right="239" w:bottom="1440" w:gutter="0" w:footer="0" w:header="0"/>
        </w:sectPr>
      </w:pPr>
    </w:p>
    <w:bookmarkStart w:id="18" w:name="page19"/>
    <w:bookmarkEnd w:id="18"/>
    <w:p>
      <w:pPr>
        <w:jc w:val="both"/>
        <w:ind w:right="180"/>
        <w:spacing w:after="0" w:line="234" w:lineRule="auto"/>
        <w:rPr>
          <w:sz w:val="20"/>
          <w:szCs w:val="20"/>
          <w:color w:val="auto"/>
        </w:rPr>
      </w:pPr>
      <w:r>
        <w:rPr>
          <w:rFonts w:ascii="Arial" w:cs="Arial" w:eastAsia="Arial" w:hAnsi="Arial"/>
          <w:sz w:val="18"/>
          <w:szCs w:val="18"/>
          <w:b w:val="1"/>
          <w:bCs w:val="1"/>
          <w:i w:val="1"/>
          <w:iCs w:val="1"/>
          <w:color w:val="auto"/>
        </w:rPr>
        <w:t xml:space="preserve">Rural Calling Issues. </w:t>
      </w:r>
      <w:r>
        <w:rPr>
          <w:rFonts w:ascii="Arial" w:cs="Arial" w:eastAsia="Arial" w:hAnsi="Arial"/>
          <w:sz w:val="18"/>
          <w:szCs w:val="18"/>
          <w:color w:val="auto"/>
        </w:rPr>
        <w:t>The FCC recently adopted new rules to combat problems with the completion of long-distance calls to rural areas.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rules apply detailed record keeping, record retention and reporting requirements on all voice providers, including VoIP service providers, subject to certain exceptions. The rules also prohibit VoIP service providers (and other voice providers) from using false audible ringing when originating calls. Compliance with these new rules could have the effect of increasing the cost of providing VoIP services.</w:t>
      </w:r>
    </w:p>
    <w:p>
      <w:pPr>
        <w:spacing w:after="0" w:line="111"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b w:val="1"/>
          <w:bCs w:val="1"/>
          <w:i w:val="1"/>
          <w:iCs w:val="1"/>
          <w:color w:val="auto"/>
        </w:rPr>
        <w:t xml:space="preserve">Reporting Requirements for Special Access Services. </w:t>
      </w:r>
      <w:r>
        <w:rPr>
          <w:rFonts w:ascii="Arial" w:cs="Arial" w:eastAsia="Arial" w:hAnsi="Arial"/>
          <w:sz w:val="18"/>
          <w:szCs w:val="18"/>
          <w:color w:val="auto"/>
        </w:rPr>
        <w:t>The FCC has initiated a proceeding to collect certain data to evaluate its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rules. As part of that proceeding, the FCC has imposed a mandatory data collection obligation on all providers and purchasers of special access services as well as some entities that provide best efforts business broadband Internet access services, which includes Cable ONE. Cable ONE cannot predict whether or how compliance with the data collection requirements will affect its operations and business.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Television Broadcasting</w:t>
      </w:r>
    </w:p>
    <w:p>
      <w:pPr>
        <w:spacing w:after="0" w:line="14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Post–Newsweek Stations, Inc. (PNS), a subsidiary of the Company, owns six television stations located in Houston, TX; Detroit, MI; Miami, FL; Orlando, FL; San Antonio, TX; and Jacksonville, FL. The following table sets forth certain information with respect to each of the Company’s television stations: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rPr>
              <w:t>Station Location and</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National</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Primary</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1800" w:type="dxa"/>
            <w:vAlign w:val="bottom"/>
          </w:tcPr>
          <w:p>
            <w:pPr>
              <w:jc w:val="center"/>
              <w:ind w:left="22"/>
              <w:spacing w:after="0"/>
              <w:rPr>
                <w:sz w:val="20"/>
                <w:szCs w:val="20"/>
                <w:color w:val="auto"/>
              </w:rPr>
            </w:pPr>
            <w:r>
              <w:rPr>
                <w:rFonts w:ascii="Arial" w:cs="Arial" w:eastAsia="Arial" w:hAnsi="Arial"/>
                <w:sz w:val="14"/>
                <w:szCs w:val="14"/>
                <w:b w:val="1"/>
                <w:bCs w:val="1"/>
                <w:color w:val="auto"/>
              </w:rPr>
              <w:t>Total Commercial</w:t>
            </w:r>
          </w:p>
        </w:tc>
      </w:tr>
      <w:tr>
        <w:trPr>
          <w:trHeight w:val="162"/>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rPr>
              <w:t>Year Commercial</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Network</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Date of FCC</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of Network</w:t>
            </w:r>
          </w:p>
        </w:tc>
        <w:tc>
          <w:tcPr>
            <w:tcW w:w="1800" w:type="dxa"/>
            <w:vAlign w:val="bottom"/>
          </w:tcPr>
          <w:p>
            <w:pPr>
              <w:jc w:val="center"/>
              <w:ind w:left="22"/>
              <w:spacing w:after="0"/>
              <w:rPr>
                <w:sz w:val="20"/>
                <w:szCs w:val="20"/>
                <w:color w:val="auto"/>
              </w:rPr>
            </w:pPr>
            <w:r>
              <w:rPr>
                <w:rFonts w:ascii="Arial" w:cs="Arial" w:eastAsia="Arial" w:hAnsi="Arial"/>
                <w:sz w:val="14"/>
                <w:szCs w:val="14"/>
                <w:b w:val="1"/>
                <w:bCs w:val="1"/>
                <w:color w:val="auto"/>
              </w:rPr>
              <w:t>Stations</w:t>
            </w:r>
          </w:p>
        </w:tc>
      </w:tr>
      <w:tr>
        <w:trPr>
          <w:trHeight w:val="203"/>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 Commenced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Ranking (a)</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Affiliation</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License (b)</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w:t>
            </w:r>
          </w:p>
        </w:tc>
        <w:tc>
          <w:tcPr>
            <w:tcW w:w="180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in DMA (c)</w:t>
            </w:r>
          </w:p>
        </w:tc>
      </w:tr>
      <w:tr>
        <w:trPr>
          <w:trHeight w:val="222"/>
        </w:trPr>
        <w:tc>
          <w:tcPr>
            <w:tcW w:w="3340" w:type="dxa"/>
            <w:vAlign w:val="bottom"/>
          </w:tcPr>
          <w:p>
            <w:pPr>
              <w:ind w:left="40"/>
              <w:spacing w:after="0"/>
              <w:rPr>
                <w:sz w:val="20"/>
                <w:szCs w:val="20"/>
                <w:color w:val="auto"/>
              </w:rPr>
            </w:pPr>
            <w:r>
              <w:rPr>
                <w:rFonts w:ascii="Arial" w:cs="Arial" w:eastAsia="Arial" w:hAnsi="Arial"/>
                <w:sz w:val="16"/>
                <w:szCs w:val="16"/>
                <w:color w:val="auto"/>
              </w:rPr>
              <w:t>KPRC, Houston, TX, 1949</w:t>
            </w:r>
          </w:p>
        </w:tc>
        <w:tc>
          <w:tcPr>
            <w:tcW w:w="1580" w:type="dxa"/>
            <w:vAlign w:val="bottom"/>
          </w:tcPr>
          <w:p>
            <w:pPr>
              <w:jc w:val="center"/>
              <w:spacing w:after="0"/>
              <w:rPr>
                <w:sz w:val="20"/>
                <w:szCs w:val="20"/>
                <w:color w:val="auto"/>
              </w:rPr>
            </w:pPr>
            <w:r>
              <w:rPr>
                <w:rFonts w:ascii="Arial" w:cs="Arial" w:eastAsia="Arial" w:hAnsi="Arial"/>
                <w:sz w:val="16"/>
                <w:szCs w:val="16"/>
                <w:color w:val="auto"/>
              </w:rPr>
              <w:t>10th</w:t>
            </w:r>
          </w:p>
        </w:tc>
        <w:tc>
          <w:tcPr>
            <w:tcW w:w="1400" w:type="dxa"/>
            <w:vAlign w:val="bottom"/>
          </w:tcPr>
          <w:p>
            <w:pPr>
              <w:jc w:val="center"/>
              <w:spacing w:after="0"/>
              <w:rPr>
                <w:sz w:val="20"/>
                <w:szCs w:val="20"/>
                <w:color w:val="auto"/>
              </w:rPr>
            </w:pPr>
            <w:r>
              <w:rPr>
                <w:rFonts w:ascii="Arial" w:cs="Arial" w:eastAsia="Arial" w:hAnsi="Arial"/>
                <w:sz w:val="16"/>
                <w:szCs w:val="16"/>
                <w:color w:val="auto"/>
              </w:rPr>
              <w:t>NBC</w:t>
            </w:r>
          </w:p>
        </w:tc>
        <w:tc>
          <w:tcPr>
            <w:tcW w:w="1580" w:type="dxa"/>
            <w:vAlign w:val="bottom"/>
          </w:tcPr>
          <w:p>
            <w:pPr>
              <w:jc w:val="center"/>
              <w:spacing w:after="0"/>
              <w:rPr>
                <w:sz w:val="20"/>
                <w:szCs w:val="20"/>
                <w:color w:val="auto"/>
              </w:rPr>
            </w:pPr>
            <w:r>
              <w:rPr>
                <w:rFonts w:ascii="Arial" w:cs="Arial" w:eastAsia="Arial" w:hAnsi="Arial"/>
                <w:sz w:val="16"/>
                <w:szCs w:val="16"/>
                <w:color w:val="auto"/>
              </w:rPr>
              <w:t>Aug. 1, 2014</w:t>
            </w:r>
          </w:p>
        </w:tc>
        <w:tc>
          <w:tcPr>
            <w:tcW w:w="1720" w:type="dxa"/>
            <w:vAlign w:val="bottom"/>
          </w:tcPr>
          <w:p>
            <w:pPr>
              <w:jc w:val="center"/>
              <w:spacing w:after="0"/>
              <w:rPr>
                <w:sz w:val="20"/>
                <w:szCs w:val="20"/>
                <w:color w:val="auto"/>
              </w:rPr>
            </w:pPr>
            <w:r>
              <w:rPr>
                <w:rFonts w:ascii="Arial" w:cs="Arial" w:eastAsia="Arial" w:hAnsi="Arial"/>
                <w:sz w:val="16"/>
                <w:szCs w:val="16"/>
                <w:color w:val="auto"/>
              </w:rPr>
              <w:t>Dec. 31, 2016</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14</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WDIV, Detroit, MI, 1947</w:t>
            </w:r>
          </w:p>
        </w:tc>
        <w:tc>
          <w:tcPr>
            <w:tcW w:w="1580" w:type="dxa"/>
            <w:vAlign w:val="bottom"/>
          </w:tcPr>
          <w:p>
            <w:pPr>
              <w:jc w:val="center"/>
              <w:spacing w:after="0"/>
              <w:rPr>
                <w:sz w:val="20"/>
                <w:szCs w:val="20"/>
                <w:color w:val="auto"/>
              </w:rPr>
            </w:pPr>
            <w:r>
              <w:rPr>
                <w:rFonts w:ascii="Arial" w:cs="Arial" w:eastAsia="Arial" w:hAnsi="Arial"/>
                <w:sz w:val="16"/>
                <w:szCs w:val="16"/>
                <w:color w:val="auto"/>
              </w:rPr>
              <w:t>11th</w:t>
            </w:r>
          </w:p>
        </w:tc>
        <w:tc>
          <w:tcPr>
            <w:tcW w:w="1400" w:type="dxa"/>
            <w:vAlign w:val="bottom"/>
          </w:tcPr>
          <w:p>
            <w:pPr>
              <w:jc w:val="center"/>
              <w:spacing w:after="0"/>
              <w:rPr>
                <w:sz w:val="20"/>
                <w:szCs w:val="20"/>
                <w:color w:val="auto"/>
              </w:rPr>
            </w:pPr>
            <w:r>
              <w:rPr>
                <w:rFonts w:ascii="Arial" w:cs="Arial" w:eastAsia="Arial" w:hAnsi="Arial"/>
                <w:sz w:val="16"/>
                <w:szCs w:val="16"/>
                <w:color w:val="auto"/>
              </w:rPr>
              <w:t>NBC</w:t>
            </w:r>
          </w:p>
        </w:tc>
        <w:tc>
          <w:tcPr>
            <w:tcW w:w="1580" w:type="dxa"/>
            <w:vAlign w:val="bottom"/>
          </w:tcPr>
          <w:p>
            <w:pPr>
              <w:jc w:val="center"/>
              <w:spacing w:after="0"/>
              <w:rPr>
                <w:sz w:val="20"/>
                <w:szCs w:val="20"/>
                <w:color w:val="auto"/>
              </w:rPr>
            </w:pPr>
            <w:r>
              <w:rPr>
                <w:rFonts w:ascii="Arial" w:cs="Arial" w:eastAsia="Arial" w:hAnsi="Arial"/>
                <w:sz w:val="16"/>
                <w:szCs w:val="16"/>
                <w:color w:val="auto"/>
              </w:rPr>
              <w:t>Oct. 1, 2013</w:t>
            </w:r>
          </w:p>
        </w:tc>
        <w:tc>
          <w:tcPr>
            <w:tcW w:w="1720" w:type="dxa"/>
            <w:vAlign w:val="bottom"/>
          </w:tcPr>
          <w:p>
            <w:pPr>
              <w:jc w:val="center"/>
              <w:spacing w:after="0"/>
              <w:rPr>
                <w:sz w:val="20"/>
                <w:szCs w:val="20"/>
                <w:color w:val="auto"/>
              </w:rPr>
            </w:pPr>
            <w:r>
              <w:rPr>
                <w:rFonts w:ascii="Arial" w:cs="Arial" w:eastAsia="Arial" w:hAnsi="Arial"/>
                <w:sz w:val="16"/>
                <w:szCs w:val="16"/>
                <w:color w:val="auto"/>
              </w:rPr>
              <w:t>Dec. 31, 2016</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8</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WPLG, Miami, FL, 1961</w:t>
            </w:r>
          </w:p>
        </w:tc>
        <w:tc>
          <w:tcPr>
            <w:tcW w:w="1580" w:type="dxa"/>
            <w:vAlign w:val="bottom"/>
          </w:tcPr>
          <w:p>
            <w:pPr>
              <w:jc w:val="center"/>
              <w:spacing w:after="0"/>
              <w:rPr>
                <w:sz w:val="20"/>
                <w:szCs w:val="20"/>
                <w:color w:val="auto"/>
              </w:rPr>
            </w:pPr>
            <w:r>
              <w:rPr>
                <w:rFonts w:ascii="Arial" w:cs="Arial" w:eastAsia="Arial" w:hAnsi="Arial"/>
                <w:sz w:val="16"/>
                <w:szCs w:val="16"/>
                <w:color w:val="auto"/>
              </w:rPr>
              <w:t>16th</w:t>
            </w:r>
          </w:p>
        </w:tc>
        <w:tc>
          <w:tcPr>
            <w:tcW w:w="1400" w:type="dxa"/>
            <w:vAlign w:val="bottom"/>
          </w:tcPr>
          <w:p>
            <w:pPr>
              <w:jc w:val="center"/>
              <w:spacing w:after="0"/>
              <w:rPr>
                <w:sz w:val="20"/>
                <w:szCs w:val="20"/>
                <w:color w:val="auto"/>
              </w:rPr>
            </w:pPr>
            <w:r>
              <w:rPr>
                <w:rFonts w:ascii="Arial" w:cs="Arial" w:eastAsia="Arial" w:hAnsi="Arial"/>
                <w:sz w:val="16"/>
                <w:szCs w:val="16"/>
                <w:color w:val="auto"/>
                <w:w w:val="97"/>
              </w:rPr>
              <w:t>ABC</w:t>
            </w:r>
          </w:p>
        </w:tc>
        <w:tc>
          <w:tcPr>
            <w:tcW w:w="1580" w:type="dxa"/>
            <w:vAlign w:val="bottom"/>
          </w:tcPr>
          <w:p>
            <w:pPr>
              <w:jc w:val="center"/>
              <w:spacing w:after="0"/>
              <w:rPr>
                <w:sz w:val="20"/>
                <w:szCs w:val="20"/>
                <w:color w:val="auto"/>
              </w:rPr>
            </w:pPr>
            <w:r>
              <w:rPr>
                <w:rFonts w:ascii="Arial" w:cs="Arial" w:eastAsia="Arial" w:hAnsi="Arial"/>
                <w:sz w:val="16"/>
                <w:szCs w:val="16"/>
                <w:color w:val="auto"/>
              </w:rPr>
              <w:t>Feb. 1, 2021</w:t>
            </w:r>
          </w:p>
        </w:tc>
        <w:tc>
          <w:tcPr>
            <w:tcW w:w="1720" w:type="dxa"/>
            <w:vAlign w:val="bottom"/>
          </w:tcPr>
          <w:p>
            <w:pPr>
              <w:jc w:val="center"/>
              <w:spacing w:after="0"/>
              <w:rPr>
                <w:sz w:val="20"/>
                <w:szCs w:val="20"/>
                <w:color w:val="auto"/>
              </w:rPr>
            </w:pPr>
            <w:r>
              <w:rPr>
                <w:rFonts w:ascii="Arial" w:cs="Arial" w:eastAsia="Arial" w:hAnsi="Arial"/>
                <w:sz w:val="16"/>
                <w:szCs w:val="16"/>
                <w:color w:val="auto"/>
              </w:rPr>
              <w:t>Dec. 31, 2015</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13</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WKMG, Orlando, FL, 1954</w:t>
            </w:r>
          </w:p>
        </w:tc>
        <w:tc>
          <w:tcPr>
            <w:tcW w:w="1580" w:type="dxa"/>
            <w:vAlign w:val="bottom"/>
          </w:tcPr>
          <w:p>
            <w:pPr>
              <w:jc w:val="center"/>
              <w:spacing w:after="0"/>
              <w:rPr>
                <w:sz w:val="20"/>
                <w:szCs w:val="20"/>
                <w:color w:val="auto"/>
              </w:rPr>
            </w:pPr>
            <w:r>
              <w:rPr>
                <w:rFonts w:ascii="Arial" w:cs="Arial" w:eastAsia="Arial" w:hAnsi="Arial"/>
                <w:sz w:val="16"/>
                <w:szCs w:val="16"/>
                <w:color w:val="auto"/>
              </w:rPr>
              <w:t>18th</w:t>
            </w:r>
          </w:p>
        </w:tc>
        <w:tc>
          <w:tcPr>
            <w:tcW w:w="1400" w:type="dxa"/>
            <w:vAlign w:val="bottom"/>
          </w:tcPr>
          <w:p>
            <w:pPr>
              <w:jc w:val="center"/>
              <w:spacing w:after="0"/>
              <w:rPr>
                <w:sz w:val="20"/>
                <w:szCs w:val="20"/>
                <w:color w:val="auto"/>
              </w:rPr>
            </w:pPr>
            <w:r>
              <w:rPr>
                <w:rFonts w:ascii="Arial" w:cs="Arial" w:eastAsia="Arial" w:hAnsi="Arial"/>
                <w:sz w:val="16"/>
                <w:szCs w:val="16"/>
                <w:color w:val="auto"/>
                <w:w w:val="97"/>
              </w:rPr>
              <w:t>CBS</w:t>
            </w:r>
          </w:p>
        </w:tc>
        <w:tc>
          <w:tcPr>
            <w:tcW w:w="1580" w:type="dxa"/>
            <w:vAlign w:val="bottom"/>
          </w:tcPr>
          <w:p>
            <w:pPr>
              <w:jc w:val="center"/>
              <w:spacing w:after="0"/>
              <w:rPr>
                <w:sz w:val="20"/>
                <w:szCs w:val="20"/>
                <w:color w:val="auto"/>
              </w:rPr>
            </w:pPr>
            <w:r>
              <w:rPr>
                <w:rFonts w:ascii="Arial" w:cs="Arial" w:eastAsia="Arial" w:hAnsi="Arial"/>
                <w:sz w:val="16"/>
                <w:szCs w:val="16"/>
                <w:color w:val="auto"/>
              </w:rPr>
              <w:t>Feb. 1, 2021</w:t>
            </w:r>
          </w:p>
        </w:tc>
        <w:tc>
          <w:tcPr>
            <w:tcW w:w="1720" w:type="dxa"/>
            <w:vAlign w:val="bottom"/>
          </w:tcPr>
          <w:p>
            <w:pPr>
              <w:jc w:val="center"/>
              <w:spacing w:after="0"/>
              <w:rPr>
                <w:sz w:val="20"/>
                <w:szCs w:val="20"/>
                <w:color w:val="auto"/>
              </w:rPr>
            </w:pPr>
            <w:r>
              <w:rPr>
                <w:rFonts w:ascii="Arial" w:cs="Arial" w:eastAsia="Arial" w:hAnsi="Arial"/>
                <w:sz w:val="16"/>
                <w:szCs w:val="16"/>
                <w:color w:val="auto"/>
              </w:rPr>
              <w:t>Apr. 6, 2015</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13</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KSAT, San Antonio, TX, 1957</w:t>
            </w:r>
          </w:p>
        </w:tc>
        <w:tc>
          <w:tcPr>
            <w:tcW w:w="1580" w:type="dxa"/>
            <w:vAlign w:val="bottom"/>
          </w:tcPr>
          <w:p>
            <w:pPr>
              <w:jc w:val="center"/>
              <w:spacing w:after="0"/>
              <w:rPr>
                <w:sz w:val="20"/>
                <w:szCs w:val="20"/>
                <w:color w:val="auto"/>
              </w:rPr>
            </w:pPr>
            <w:r>
              <w:rPr>
                <w:rFonts w:ascii="Arial" w:cs="Arial" w:eastAsia="Arial" w:hAnsi="Arial"/>
                <w:sz w:val="16"/>
                <w:szCs w:val="16"/>
                <w:color w:val="auto"/>
              </w:rPr>
              <w:t>36th</w:t>
            </w:r>
          </w:p>
        </w:tc>
        <w:tc>
          <w:tcPr>
            <w:tcW w:w="1400" w:type="dxa"/>
            <w:vAlign w:val="bottom"/>
          </w:tcPr>
          <w:p>
            <w:pPr>
              <w:jc w:val="center"/>
              <w:spacing w:after="0"/>
              <w:rPr>
                <w:sz w:val="20"/>
                <w:szCs w:val="20"/>
                <w:color w:val="auto"/>
              </w:rPr>
            </w:pPr>
            <w:r>
              <w:rPr>
                <w:rFonts w:ascii="Arial" w:cs="Arial" w:eastAsia="Arial" w:hAnsi="Arial"/>
                <w:sz w:val="16"/>
                <w:szCs w:val="16"/>
                <w:color w:val="auto"/>
                <w:w w:val="97"/>
              </w:rPr>
              <w:t>ABC</w:t>
            </w:r>
          </w:p>
        </w:tc>
        <w:tc>
          <w:tcPr>
            <w:tcW w:w="1580" w:type="dxa"/>
            <w:vAlign w:val="bottom"/>
          </w:tcPr>
          <w:p>
            <w:pPr>
              <w:jc w:val="center"/>
              <w:spacing w:after="0"/>
              <w:rPr>
                <w:sz w:val="20"/>
                <w:szCs w:val="20"/>
                <w:color w:val="auto"/>
              </w:rPr>
            </w:pPr>
            <w:r>
              <w:rPr>
                <w:rFonts w:ascii="Arial" w:cs="Arial" w:eastAsia="Arial" w:hAnsi="Arial"/>
                <w:sz w:val="16"/>
                <w:szCs w:val="16"/>
                <w:color w:val="auto"/>
              </w:rPr>
              <w:t>Aug. 1, 2014</w:t>
            </w:r>
          </w:p>
        </w:tc>
        <w:tc>
          <w:tcPr>
            <w:tcW w:w="1720" w:type="dxa"/>
            <w:vAlign w:val="bottom"/>
          </w:tcPr>
          <w:p>
            <w:pPr>
              <w:jc w:val="center"/>
              <w:spacing w:after="0"/>
              <w:rPr>
                <w:sz w:val="20"/>
                <w:szCs w:val="20"/>
                <w:color w:val="auto"/>
              </w:rPr>
            </w:pPr>
            <w:r>
              <w:rPr>
                <w:rFonts w:ascii="Arial" w:cs="Arial" w:eastAsia="Arial" w:hAnsi="Arial"/>
                <w:sz w:val="16"/>
                <w:szCs w:val="16"/>
                <w:color w:val="auto"/>
              </w:rPr>
              <w:t>Dec. 31, 2015</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11</w:t>
            </w:r>
          </w:p>
        </w:tc>
      </w:tr>
      <w:tr>
        <w:trPr>
          <w:trHeight w:val="540"/>
        </w:trPr>
        <w:tc>
          <w:tcPr>
            <w:tcW w:w="3340" w:type="dxa"/>
            <w:vAlign w:val="bottom"/>
          </w:tcPr>
          <w:p>
            <w:pPr>
              <w:ind w:left="40"/>
              <w:spacing w:after="0"/>
              <w:rPr>
                <w:sz w:val="20"/>
                <w:szCs w:val="20"/>
                <w:color w:val="auto"/>
              </w:rPr>
            </w:pPr>
            <w:r>
              <w:rPr>
                <w:rFonts w:ascii="Arial" w:cs="Arial" w:eastAsia="Arial" w:hAnsi="Arial"/>
                <w:sz w:val="16"/>
                <w:szCs w:val="16"/>
                <w:color w:val="auto"/>
              </w:rPr>
              <w:t>WJXT, Jacksonville, FL, 1947</w:t>
            </w:r>
          </w:p>
        </w:tc>
        <w:tc>
          <w:tcPr>
            <w:tcW w:w="1580" w:type="dxa"/>
            <w:vAlign w:val="bottom"/>
          </w:tcPr>
          <w:p>
            <w:pPr>
              <w:jc w:val="center"/>
              <w:spacing w:after="0"/>
              <w:rPr>
                <w:sz w:val="20"/>
                <w:szCs w:val="20"/>
                <w:color w:val="auto"/>
              </w:rPr>
            </w:pPr>
            <w:r>
              <w:rPr>
                <w:rFonts w:ascii="Arial" w:cs="Arial" w:eastAsia="Arial" w:hAnsi="Arial"/>
                <w:sz w:val="16"/>
                <w:szCs w:val="16"/>
                <w:color w:val="auto"/>
              </w:rPr>
              <w:t>48th</w:t>
            </w:r>
          </w:p>
        </w:tc>
        <w:tc>
          <w:tcPr>
            <w:tcW w:w="1400" w:type="dxa"/>
            <w:vAlign w:val="bottom"/>
          </w:tcPr>
          <w:p>
            <w:pPr>
              <w:jc w:val="center"/>
              <w:spacing w:after="0"/>
              <w:rPr>
                <w:sz w:val="20"/>
                <w:szCs w:val="20"/>
                <w:color w:val="auto"/>
              </w:rPr>
            </w:pPr>
            <w:r>
              <w:rPr>
                <w:rFonts w:ascii="Arial" w:cs="Arial" w:eastAsia="Arial" w:hAnsi="Arial"/>
                <w:sz w:val="16"/>
                <w:szCs w:val="16"/>
                <w:color w:val="auto"/>
              </w:rPr>
              <w:t>None</w:t>
            </w:r>
          </w:p>
        </w:tc>
        <w:tc>
          <w:tcPr>
            <w:tcW w:w="1580" w:type="dxa"/>
            <w:vAlign w:val="bottom"/>
          </w:tcPr>
          <w:p>
            <w:pPr>
              <w:jc w:val="center"/>
              <w:spacing w:after="0"/>
              <w:rPr>
                <w:sz w:val="20"/>
                <w:szCs w:val="20"/>
                <w:color w:val="auto"/>
              </w:rPr>
            </w:pPr>
            <w:r>
              <w:rPr>
                <w:rFonts w:ascii="Arial" w:cs="Arial" w:eastAsia="Arial" w:hAnsi="Arial"/>
                <w:sz w:val="16"/>
                <w:szCs w:val="16"/>
                <w:color w:val="auto"/>
              </w:rPr>
              <w:t>Feb. 1, 2021</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800" w:type="dxa"/>
            <w:vAlign w:val="bottom"/>
          </w:tcPr>
          <w:p>
            <w:pPr>
              <w:jc w:val="center"/>
              <w:ind w:left="22"/>
              <w:spacing w:after="0"/>
              <w:rPr>
                <w:sz w:val="20"/>
                <w:szCs w:val="20"/>
                <w:color w:val="auto"/>
              </w:rPr>
            </w:pPr>
            <w:r>
              <w:rPr>
                <w:rFonts w:ascii="Arial" w:cs="Arial" w:eastAsia="Arial" w:hAnsi="Arial"/>
                <w:sz w:val="16"/>
                <w:szCs w:val="16"/>
                <w:color w:val="auto"/>
              </w:rPr>
              <w:t>7</w:t>
            </w:r>
          </w:p>
        </w:tc>
      </w:tr>
      <w:tr>
        <w:trPr>
          <w:trHeight w:val="132"/>
        </w:trPr>
        <w:tc>
          <w:tcPr>
            <w:tcW w:w="3340" w:type="dxa"/>
            <w:vAlign w:val="bottom"/>
          </w:tcPr>
          <w:p>
            <w:pPr>
              <w:ind w:left="20"/>
              <w:spacing w:after="0"/>
              <w:rPr>
                <w:sz w:val="20"/>
                <w:szCs w:val="20"/>
                <w:color w:val="auto"/>
              </w:rPr>
            </w:pPr>
            <w:r>
              <w:rPr>
                <w:rFonts w:ascii="Times New Roman" w:cs="Times New Roman" w:eastAsia="Times New Roman" w:hAnsi="Times New Roman"/>
                <w:sz w:val="7"/>
                <w:szCs w:val="7"/>
                <w:color w:val="auto"/>
              </w:rPr>
              <w:t>_________________________________________________________________________________</w:t>
            </w:r>
          </w:p>
        </w:tc>
        <w:tc>
          <w:tcPr>
            <w:tcW w:w="15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800" w:type="dxa"/>
            <w:vAlign w:val="bottom"/>
          </w:tcPr>
          <w:p>
            <w:pPr>
              <w:spacing w:after="0"/>
              <w:rPr>
                <w:sz w:val="11"/>
                <w:szCs w:val="11"/>
                <w:color w:val="auto"/>
              </w:rPr>
            </w:pPr>
          </w:p>
        </w:tc>
      </w:tr>
    </w:tbl>
    <w:p>
      <w:pPr>
        <w:spacing w:after="0" w:line="24"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Source: 2013/2014 DMA Market Rankings, Nielsen Media Research, fall 2013, based on television homes in DMA (see note (c) below).</w:t>
      </w:r>
    </w:p>
    <w:p>
      <w:pPr>
        <w:spacing w:after="0" w:line="1" w:lineRule="exact"/>
        <w:rPr>
          <w:rFonts w:ascii="Arial" w:cs="Arial" w:eastAsia="Arial" w:hAnsi="Arial"/>
          <w:sz w:val="13"/>
          <w:szCs w:val="13"/>
          <w:color w:val="auto"/>
        </w:rPr>
      </w:pPr>
    </w:p>
    <w:p>
      <w:pPr>
        <w:ind w:left="300" w:hanging="292"/>
        <w:spacing w:after="0" w:line="216" w:lineRule="auto"/>
        <w:tabs>
          <w:tab w:leader="none" w:pos="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A license renewal application was timely filed for WDIV.</w:t>
      </w:r>
    </w:p>
    <w:p>
      <w:pPr>
        <w:ind w:left="300" w:hanging="292"/>
        <w:spacing w:after="0"/>
        <w:tabs>
          <w:tab w:leader="none" w:pos="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Designated Market Area (DMA) is a market designation of A.C. Nielsen that defines each television market exclusive of another, based on measured viewing patterns.</w:t>
      </w:r>
    </w:p>
    <w:p>
      <w:pPr>
        <w:spacing w:after="0" w:line="117"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Revenue from broadcasting operations is derived primarily from the sale of advertising time to local, regional and national advertisers. In 2013, advertising revenue accounted for 86% of the total for PNS’s operations. Advertising revenue is sensitive to a number of factors, some specific to a particular station or market and others more general in nature. Some examples include a station’s audience share and market ranking; seasonal fluctuations in demand for air time; annual or biannual events, such as sporting events and political elections; and broader economic trends.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PNS’s television broadcasting operations are subject to the jurisdiction of the FCC under the Communications Act. Each PNS television station holds an FCC license that is renewable upon application for an eight-year period.</w:t>
      </w:r>
    </w:p>
    <w:p>
      <w:pPr>
        <w:spacing w:after="0" w:line="92"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b w:val="1"/>
          <w:bCs w:val="1"/>
          <w:i w:val="1"/>
          <w:iCs w:val="1"/>
          <w:color w:val="auto"/>
        </w:rPr>
        <w:t xml:space="preserve">Digital Television (DTV) and Spectrum Issues. </w:t>
      </w:r>
      <w:r>
        <w:rPr>
          <w:rFonts w:ascii="Arial" w:cs="Arial" w:eastAsia="Arial" w:hAnsi="Arial"/>
          <w:sz w:val="18"/>
          <w:szCs w:val="18"/>
          <w:color w:val="auto"/>
        </w:rPr>
        <w:t>Each PNS station (and each full-power television station nationwide) now broadcasts only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format, which allows transmission of HDTV programming, multiple channels of standard-definition television programming (multicasting) and subchannels of programming designed for reception by mobile devices (mobile DTV). PNS, along with other broadcasting companies, has been actively pursuing the use of digital spectrum to provide mobile DTV to consumers, in partnership with consumer electronics manufacturers and others.</w:t>
      </w:r>
    </w:p>
    <w:p>
      <w:pPr>
        <w:spacing w:after="0" w:line="11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to stations might increase in the future because of the FCC’s decision to allow electronic devices, known as “white space” devices, to operate in the television frequency band on an unlicensed basis on channels not used by nearby television stations.</w:t>
      </w:r>
    </w:p>
    <w:p>
      <w:pPr>
        <w:spacing w:after="0" w:line="111"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Congress has authorized reallocation of spectrum for use by wireless broadband providers, including substantial amounts of spectrum currently in the television broadcast band. Congress has authorized incentive auctions whereby the FCC would auction spectrum relinquished by broadcast television stations in exchange for a share of the auction revenues. The FCC commenced a rulemaking proceeding in October 2012 to consider, among other things, how the incentive auction process should work and how the FCC should conduct a “repacking,” whereby the FCC would require certain stations to move to new channel allotments so as to free up a nationwide block of spectrum for wireless broadband use. The repacking and incentive auction process are subject to certain requirements established by Congress in legislation enacted in February 2012. The FCC’s implementation of this</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724" w:right="239" w:bottom="1440" w:gutter="0" w:footer="0" w:header="0"/>
          <w:type w:val="continuous"/>
        </w:sectPr>
      </w:pPr>
    </w:p>
    <w:bookmarkStart w:id="19" w:name="page20"/>
    <w:bookmarkEnd w:id="19"/>
    <w:p>
      <w:pPr>
        <w:ind w:right="40"/>
        <w:spacing w:after="0" w:line="231" w:lineRule="auto"/>
        <w:rPr>
          <w:sz w:val="20"/>
          <w:szCs w:val="20"/>
          <w:color w:val="auto"/>
        </w:rPr>
      </w:pPr>
      <w:r>
        <w:rPr>
          <w:rFonts w:ascii="Arial" w:cs="Arial" w:eastAsia="Arial" w:hAnsi="Arial"/>
          <w:sz w:val="18"/>
          <w:szCs w:val="18"/>
          <w:color w:val="auto"/>
        </w:rPr>
        <w:t>legislation in the repacking and incentive auction process could have an adverse effect on the Company. For example, a repacking could result in PNS stations having smaller service areas and/or receiving more interference than they do currently. Stations moving to new channels also could incur significant expense. The legislation requires that stations be compensated for the expenses of moving to a new channel from spectrum auction proceeds. The Company cannot predict whether a repacking will occur, what effect it will have on the PNS stations’ coverage or whether the PNS stations will be fully compensated for expenses that they incur in connection with a repacking.</w:t>
      </w:r>
    </w:p>
    <w:p>
      <w:pPr>
        <w:spacing w:after="0" w:line="111"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b w:val="1"/>
          <w:bCs w:val="1"/>
          <w:i w:val="1"/>
          <w:iCs w:val="1"/>
          <w:color w:val="auto"/>
        </w:rPr>
        <w:t xml:space="preserve">Carriage of Local Broadcast Signals. </w:t>
      </w:r>
      <w:r>
        <w:rPr>
          <w:rFonts w:ascii="Arial" w:cs="Arial" w:eastAsia="Arial" w:hAnsi="Arial"/>
          <w:sz w:val="18"/>
          <w:szCs w:val="18"/>
          <w:color w:val="auto"/>
        </w:rPr>
        <w:t>The Communications Act and the FCC rules allow a commercial television broadcast station,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circumstances, to insist on mandatory carriage of its signal on cable systems serving the station’s market area (must carry). Alternatively, stations may elect, at three-year intervals, to forego must-carry rights and allow their signals to be carried by cable systems only pursuant to a “retransmission consent” agreement. Commercial television stations also may elect either mandatory carriage or retransmission consent with respect to the carriage of their signals on DBS systems that choose to provide “local-into-local” service (i.e., to distribute the signals of local television stations to viewers in the local market area).</w:t>
      </w:r>
    </w:p>
    <w:p>
      <w:pPr>
        <w:spacing w:after="0" w:line="11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Stations that elect retransmission consent may negotiate for compensation from cable or DBS systems in exchange for the right to carry their signals. Each of PNS’s television stations is being carried on all of the major cable and DBS systems serving each station’s respective local market, pursuant to retransmission consent agreements.</w:t>
      </w:r>
    </w:p>
    <w:p>
      <w:pPr>
        <w:spacing w:after="0" w:line="108"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March 2011, the FCC initiated a rulemaking seeking comments on changes to the FCC’s retransmission consent and exclusivity rules, many of which had been proposed by cable and DBS operators, such as authorization for “interim carriage” of a broadcaster’s signal by cable and DBS operators after the broadcaster’s grant of retransmission consent has expired. Broadcasters opposed many of the proposed rule changes. Changes to the retransmission consent and/or exclusivity rules could materially affect the PNS stations’ (and Cable ONE’s cable systems’) bargaining leverage in future retransmission consent negotiations, and the Company cannot predict the net effect that such an order would have. Congress may also pass legislation that would affect the must-carry/retransmission consent regime.</w:t>
      </w:r>
    </w:p>
    <w:p>
      <w:pPr>
        <w:spacing w:after="0" w:line="112" w:lineRule="exact"/>
        <w:rPr>
          <w:sz w:val="20"/>
          <w:szCs w:val="20"/>
          <w:color w:val="auto"/>
        </w:rPr>
      </w:pPr>
    </w:p>
    <w:p>
      <w:pPr>
        <w:jc w:val="both"/>
        <w:ind w:right="80"/>
        <w:spacing w:after="0" w:line="231" w:lineRule="auto"/>
        <w:rPr>
          <w:sz w:val="20"/>
          <w:szCs w:val="20"/>
          <w:color w:val="auto"/>
        </w:rPr>
      </w:pPr>
      <w:r>
        <w:rPr>
          <w:rFonts w:ascii="Arial" w:cs="Arial" w:eastAsia="Arial" w:hAnsi="Arial"/>
          <w:sz w:val="18"/>
          <w:szCs w:val="18"/>
          <w:color w:val="auto"/>
        </w:rPr>
        <w:t>Under the U.S. Federal Satellite Television Extension and Localism Act (STELA), the statutory copyright license for satellite carriage of distant broadcast television signals was extended through December 31, 2014. The Company cannot predict whether this distant signal copyright will be extended again, nor can it predict whether or how Congress may otherwise change the communications or copyright regimes in connection with any related legislation. The net effect that changes to these regimes would have on the Company’s cable and broadcast operations, or on the Company overall, cannot be predicted.</w:t>
      </w:r>
    </w:p>
    <w:p>
      <w:pPr>
        <w:spacing w:after="0" w:line="111"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i w:val="1"/>
          <w:iCs w:val="1"/>
          <w:color w:val="auto"/>
        </w:rPr>
        <w:t xml:space="preserve">Ownership Limits. </w:t>
      </w:r>
      <w:r>
        <w:rPr>
          <w:rFonts w:ascii="Arial" w:cs="Arial" w:eastAsia="Arial" w:hAnsi="Arial"/>
          <w:sz w:val="18"/>
          <w:szCs w:val="18"/>
          <w:color w:val="auto"/>
        </w:rPr>
        <w:t>The Communications Act and the FCC’s rules limit the number and types of media outlets in which a single person or entity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have an attributable interest. Among other restrictions, the FCC’s local television ownership rule generally prohibits one company from owning two television stations in the same market unless there would remain at least eight independently owned full-power television stations in that market, and at least one of the commonly owned stations is not among the top-four-ranked television stations in that market. In addition, by statute, a single person or entity may have an attributable interest in an unlimited number of television stations nationwide, as long as the aggregate audience reach of such stations does not exceed 39% of nationwide television households and as long as the interest complies with the FCC’s other ownership restrictions.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FCC also restricts so-called “cross-ownership” of newspapers and broadcast stations within a market.</w:t>
      </w:r>
    </w:p>
    <w:p>
      <w:pPr>
        <w:spacing w:after="0" w:line="144"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In December 2011, the FCC issued a notice of proposed rulemaking, proposing to retain the local television ownership rule, seeking comment on a possible waiver standard for smaller markets and proposing a modest relaxation of the newspaper/broadcast rule. The notice also addresses the FCC’s radio ownership and radio/television cross-ownership rules, and it asks about shared services agreements and local news agreements, including whether such arrangements should be attributable for purposes of the ownership rules. The proceeding is pending, and it is not possible to predict its outcome, but changes to the FCC’s ownership rules could affect PNS’s operations.</w:t>
      </w:r>
    </w:p>
    <w:p>
      <w:pPr>
        <w:spacing w:after="0" w:line="111" w:lineRule="exact"/>
        <w:rPr>
          <w:sz w:val="20"/>
          <w:szCs w:val="20"/>
          <w:color w:val="auto"/>
        </w:rPr>
      </w:pPr>
    </w:p>
    <w:p>
      <w:pPr>
        <w:spacing w:after="0" w:line="229" w:lineRule="auto"/>
        <w:rPr>
          <w:sz w:val="20"/>
          <w:szCs w:val="20"/>
          <w:color w:val="auto"/>
        </w:rPr>
      </w:pPr>
      <w:r>
        <w:rPr>
          <w:rFonts w:ascii="Arial" w:cs="Arial" w:eastAsia="Arial" w:hAnsi="Arial"/>
          <w:sz w:val="18"/>
          <w:szCs w:val="18"/>
          <w:b w:val="1"/>
          <w:bCs w:val="1"/>
          <w:i w:val="1"/>
          <w:iCs w:val="1"/>
          <w:color w:val="auto"/>
        </w:rPr>
        <w:t xml:space="preserve">Programming. </w:t>
      </w:r>
      <w:r>
        <w:rPr>
          <w:rFonts w:ascii="Arial" w:cs="Arial" w:eastAsia="Arial" w:hAnsi="Arial"/>
          <w:sz w:val="18"/>
          <w:szCs w:val="18"/>
          <w:color w:val="auto"/>
        </w:rPr>
        <w:t>Five of PNS’s six stations are affiliated with one or more of the national television networks, which provide a substantial amount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programming to their television station affiliates. The expiration dates of these affiliation agreements are set forth at the beginning of the Television Broadcasting section. PNS’s Jacksonville station, WJXT, has operated as an independent station since 2002. In addition, each of the Company’s stations receives programming from syndicators and other third-party programming providers. PNS’s performance depends, in part, on the quality and availability of third-party programming, and any substantial decline in the quality or availability of this programming could materially affect PNS’s operations.</w:t>
      </w:r>
    </w:p>
    <w:p>
      <w:pPr>
        <w:spacing w:after="0" w:line="11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i w:val="1"/>
          <w:iCs w:val="1"/>
          <w:color w:val="auto"/>
        </w:rPr>
        <w:t xml:space="preserve">Public Interest Obligations. </w:t>
      </w:r>
      <w:r>
        <w:rPr>
          <w:rFonts w:ascii="Arial" w:cs="Arial" w:eastAsia="Arial" w:hAnsi="Arial"/>
          <w:sz w:val="18"/>
          <w:szCs w:val="18"/>
          <w:color w:val="auto"/>
        </w:rPr>
        <w:t>To satisfy FCC requirements, stations generally are expected to air a specified number of hours of programming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intended to serve the educational and informational needs of children and to</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724" w:right="259" w:bottom="1440" w:gutter="0" w:footer="0" w:header="0"/>
        </w:sectPr>
      </w:pPr>
    </w:p>
    <w:bookmarkStart w:id="20" w:name="page21"/>
    <w:bookmarkEnd w:id="20"/>
    <w:p>
      <w:pPr>
        <w:ind w:right="780"/>
        <w:spacing w:after="0" w:line="260" w:lineRule="auto"/>
        <w:rPr>
          <w:sz w:val="20"/>
          <w:szCs w:val="20"/>
          <w:color w:val="auto"/>
        </w:rPr>
      </w:pPr>
      <w:r>
        <w:rPr>
          <w:rFonts w:ascii="Arial" w:cs="Arial" w:eastAsia="Arial" w:hAnsi="Arial"/>
          <w:sz w:val="18"/>
          <w:szCs w:val="18"/>
          <w:color w:val="auto"/>
        </w:rPr>
        <w:t>complete reports on a quarterly basis concerning children’s programming. In addition, the FCC requires stations to limit the amount of advertising that appears during certain children’s programs.</w:t>
      </w:r>
    </w:p>
    <w:p>
      <w:pPr>
        <w:spacing w:after="0" w:line="9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April 2012, the FCC adopted a rule that requires television stations to submit electronically most of their public inspection files to the FCC, for hosting on the FCC’s website. The National Association of Broadcasters (NAB) has challenged the rule in the U.S. Court of Appeals for the D.C. Circuit; the appeal is being held in abeyance, pending the FCC’s consideration of a petition for reconsideration of the rule change. The rule could affect PNS’s operations and regulatory compliance costs.</w:t>
      </w:r>
    </w:p>
    <w:p>
      <w:pPr>
        <w:spacing w:after="0" w:line="11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FCC has other regulations and policies to ensure that broadcast licensees operate in the public interest, including rules requiring the closed-captioning of programming to assist television viewing by the hearing impaired; video description rules to assist television viewing by the visually impaired; rules concerning the captioning of video programming distributed via the Internet; rules concerning commercial loudness; and a rule requiring station licensees to provide equal opportunity in employment to all qualified job applicants and prohibiting discrimination against any person based on race, color, religion, national origin or gender. Compliance with these rules imposes additional costs on the PNS stations that could affect PNS’s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Political Advertising. </w:t>
      </w:r>
      <w:r>
        <w:rPr>
          <w:rFonts w:ascii="Arial" w:cs="Arial" w:eastAsia="Arial" w:hAnsi="Arial"/>
          <w:sz w:val="18"/>
          <w:szCs w:val="18"/>
          <w:color w:val="auto"/>
        </w:rPr>
        <w:t>The FCC regulates the sale of advertising by PNS’s stations to candidates for public office and imposes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on the broadcast of political announcements more generally. The application of these regulations may limit the advertising revenues of PNS’s television stations during the periods preceding elections.</w:t>
      </w:r>
    </w:p>
    <w:p>
      <w:pPr>
        <w:spacing w:after="0" w:line="108"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b w:val="1"/>
          <w:bCs w:val="1"/>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FCC regularly imposes monetary forfeitures when it determines that a television station violated that policy. Broadcasters have repeatedly challenged these rules in court, arguing, among other things, that the FCC has failed to justify its indecency decisions adequately, that the FCC’s policy is too subjective to guide broadcasters’ programming decisions and that its enforcement approach otherwise violates the First Amendment. In June 2012, the U.S. Supreme Court held that certain fines against broadcasters for “fleeting expletives” were unconstitutional because the FCC failed to provide advance notice to broadcasters of what the FCC deemed to be indecent, but it also upheld the FCC’s authority to regulate broadcast decency. This ruling could result in additional regulatory risks. The FCC is currently reconsidering its indecency policies.</w:t>
      </w:r>
    </w:p>
    <w:p>
      <w:pPr>
        <w:spacing w:after="0" w:line="108"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The FCC is conducting proceedings concerning various matters in addition to those described in this section. The outcome of these proceedings and other matters described in this section could adversely affect the profitability of PNS’s television broadcasting operations.</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w:t>
      </w:r>
    </w:p>
    <w:p>
      <w:pPr>
        <w:spacing w:after="0" w:line="14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 xml:space="preserve">The Slate Group LLC (The Slate Group)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and additional websites.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analyzing news, politics and contemporary culture and adds new material on a daily basis. Content is supplied by the magazine's own editorial staff, as well as by independent contributors. As measured by The Slate Group, </w:t>
      </w:r>
      <w:r>
        <w:rPr>
          <w:rFonts w:ascii="Arial" w:cs="Arial" w:eastAsia="Arial" w:hAnsi="Arial"/>
          <w:sz w:val="18"/>
          <w:szCs w:val="18"/>
          <w:i w:val="1"/>
          <w:iCs w:val="1"/>
          <w:color w:val="auto"/>
        </w:rPr>
        <w:t>Slate</w:t>
      </w:r>
      <w:r>
        <w:rPr>
          <w:rFonts w:ascii="Arial" w:cs="Arial" w:eastAsia="Arial" w:hAnsi="Arial"/>
          <w:sz w:val="18"/>
          <w:szCs w:val="18"/>
          <w:color w:val="auto"/>
        </w:rPr>
        <w:t xml:space="preserve"> had an average of more than 20 million unique visitors per month and averaged more than 110 million page views per month across desktop and mobile platforms in 2013. The Slate Group also publishes </w:t>
      </w:r>
      <w:r>
        <w:rPr>
          <w:rFonts w:ascii="Arial" w:cs="Arial" w:eastAsia="Arial" w:hAnsi="Arial"/>
          <w:sz w:val="18"/>
          <w:szCs w:val="18"/>
          <w:i w:val="1"/>
          <w:iCs w:val="1"/>
          <w:color w:val="auto"/>
        </w:rPr>
        <w:t>The Root</w:t>
      </w:r>
      <w:r>
        <w:rPr>
          <w:rFonts w:ascii="Arial" w:cs="Arial" w:eastAsia="Arial" w:hAnsi="Arial"/>
          <w:sz w:val="18"/>
          <w:szCs w:val="18"/>
          <w:color w:val="auto"/>
        </w:rPr>
        <w:t xml:space="preserve">, an online magazine focused on issues of importance to African Americans and others interested in black culture, offering daily news and provocative commentary on politics and culture. The Slate Group owns an interest in E2J2 SAS, a company incorporated in France that produces two French-language news magazine websites at </w:t>
      </w:r>
      <w:r>
        <w:rPr>
          <w:rFonts w:ascii="Arial" w:cs="Arial" w:eastAsia="Arial" w:hAnsi="Arial"/>
          <w:sz w:val="18"/>
          <w:szCs w:val="18"/>
          <w:i w:val="1"/>
          <w:iCs w:val="1"/>
          <w:color w:val="auto"/>
        </w:rPr>
        <w:t>slate.fr</w:t>
      </w:r>
      <w:r>
        <w:rPr>
          <w:rFonts w:ascii="Arial" w:cs="Arial" w:eastAsia="Arial" w:hAnsi="Arial"/>
          <w:sz w:val="18"/>
          <w:szCs w:val="18"/>
          <w:color w:val="auto"/>
        </w:rPr>
        <w:t xml:space="preserve"> and </w:t>
      </w:r>
      <w:r>
        <w:rPr>
          <w:rFonts w:ascii="Arial" w:cs="Arial" w:eastAsia="Arial" w:hAnsi="Arial"/>
          <w:sz w:val="18"/>
          <w:szCs w:val="18"/>
          <w:i w:val="1"/>
          <w:iCs w:val="1"/>
          <w:color w:val="auto"/>
        </w:rPr>
        <w:t>slateafrique.com</w:t>
      </w:r>
      <w:r>
        <w:rPr>
          <w:rFonts w:ascii="Arial" w:cs="Arial" w:eastAsia="Arial" w:hAnsi="Arial"/>
          <w:sz w:val="18"/>
          <w:szCs w:val="18"/>
          <w:color w:val="auto"/>
        </w:rPr>
        <w:t>. The Slate Group provides content, technology and branding support.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FP Group</w:t>
      </w:r>
    </w:p>
    <w:p>
      <w:pPr>
        <w:spacing w:after="0" w:line="146" w:lineRule="exact"/>
        <w:rPr>
          <w:sz w:val="20"/>
          <w:szCs w:val="20"/>
          <w:color w:val="auto"/>
        </w:rPr>
      </w:pPr>
    </w:p>
    <w:p>
      <w:pPr>
        <w:ind w:right="200"/>
        <w:spacing w:after="0" w:line="231" w:lineRule="auto"/>
        <w:rPr>
          <w:sz w:val="20"/>
          <w:szCs w:val="20"/>
          <w:color w:val="auto"/>
        </w:rPr>
      </w:pPr>
      <w:r>
        <w:rPr>
          <w:rFonts w:ascii="Arial" w:cs="Arial" w:eastAsia="Arial" w:hAnsi="Arial"/>
          <w:sz w:val="18"/>
          <w:szCs w:val="18"/>
          <w:color w:val="auto"/>
        </w:rPr>
        <w:t xml:space="preserve">The FP Group produces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 and the </w:t>
      </w:r>
      <w:r>
        <w:rPr>
          <w:rFonts w:ascii="Arial" w:cs="Arial" w:eastAsia="Arial" w:hAnsi="Arial"/>
          <w:sz w:val="18"/>
          <w:szCs w:val="18"/>
          <w:i w:val="1"/>
          <w:iCs w:val="1"/>
          <w:color w:val="auto"/>
        </w:rPr>
        <w:t>ForeignPolicy.com</w:t>
      </w:r>
      <w:r>
        <w:rPr>
          <w:rFonts w:ascii="Arial" w:cs="Arial" w:eastAsia="Arial" w:hAnsi="Arial"/>
          <w:sz w:val="18"/>
          <w:szCs w:val="18"/>
          <w:color w:val="auto"/>
        </w:rPr>
        <w:t xml:space="preserve"> website, which cover developments in national security, international politics, global economics and related issues. The site features blogs, unique news content and specialized channels and newsletters focusing on regions and topics of interest. The FP Group provides insight and analysis into global affairs for government, military, business, media and academic leaders. FP Events also produces a growing range of live programs, bringing together government, military, business and investment leaders to discuss important regional and topical developments and their implications.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Trove</w:t>
      </w:r>
    </w:p>
    <w:p>
      <w:pPr>
        <w:spacing w:after="0" w:line="14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Trove, formerly WaPo Labs, is a digital innovation team that builds products and technologies in the news space. In 2013, Trove focused on developing its flagship product, in addition to working with the Company’s media properties. The new Trove site was launched in January 2014. Trove.com is a new product that streams news from thousands of sources so readers can follow topics, pick stories to highlight for others and get the top news stories, chosen by people who share their interests.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72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SocialCode</w:t>
      </w:r>
    </w:p>
    <w:p>
      <w:pPr>
        <w:spacing w:after="0" w:line="1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Social Code LLC (SocialCode) is a social-media marketing technology company helping companies maximize their marketing efforts on social-media platforms such as Facebook, Twitter, LinkedIn, Instagram and Pinterest.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Celtic Healthcare, Inc.</w:t>
      </w:r>
    </w:p>
    <w:p>
      <w:pPr>
        <w:spacing w:after="0" w:line="146"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Celtic Healthcare, Inc. (Celtic) is a Medicare-certified provider of home health and hospice services headquartered in Mars, PA. Through its subsidiaries, Celtic is licensed to provide home health and hospice services throughout Pennsylvania and Maryland. These services include skilled nursing, physical therapy, occupational therapy, speech therapy, social work, nutrition, chaplain and aid services. In addition, Celtic provides virtual care services to patients throughout its service territories. Celtic derives 74% of its revenue from Medicare, with the remaining sources of revenue being Medicaid, commercial insurance and private payors.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Forney Corporation</w:t>
      </w:r>
    </w:p>
    <w:p>
      <w:pPr>
        <w:spacing w:after="0" w:line="146"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Forney Corporation (Forney) is a global supplier of products and systems that control and monitor combustion processes in electric utility and industrial applications. Forney’s headquarters is located in Texas, and its manufacturing plant is in Monterrey, Mexico. Forney's customers include power plants and industrial systems around the world.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146"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Kaplan’s businesses operate in fragmented and competitive markets. KHE competes with both facilities-based and other distance-learning providers of similar educational services, including not-for-profit colleges and universities and for-profit businesses. PACE competes in each of its professional lines with other companies that provide preparation for exams required for professional licenses, certifications and designations. KTP competes with a variety of regional and national test preparation businesses, with individual tutors and with in-school preparation for standardized tests. Overseas, each of Kaplan’s businesses competes with other for-profit companies and, in certain instances, with government-supported schools and institutions that provide similar training and educational programs. Students choose among providers based on program offerings, convenience, quality of instruction, reputation, placement rates, student services and cost.</w:t>
      </w:r>
    </w:p>
    <w:p>
      <w:pPr>
        <w:spacing w:after="0" w:line="10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Cable systems operate in a highly competitive environment. In addition to competing with over-the-air reception, cable systems face competition from various other forms of video program delivery systems, including DBS services, telephone companies and the Internet. Certain of the Company’s cable systems also have been partially or substantially overbuilt, using conventional cable system technology, by various small to mid-sized independent telephone companies that typically offer Internet and telephone service, as well as basic cable service. Local telephone companies compete with cable systems in the delivery of high-speed Internet access by providing DSL service. In addition, on their own or via strategic partnerships with DBS operators that permit telephone companies to package the video programming services of DBS operators with telephone companies’ own DSL service, some telephone companies are competing with the video programming and Internet services being offered by existing cable systems. Satellite-delivered broadband and high-powered WiMAX services will increasingly provide competition to Cable ONE. Video programming, including broadcast programming, is becoming more available on the Internet, where viewers can watch programming for free, as well as access pay-per-view offerings. Cable ONE distinguishes itself from its competition by providing excellent local customer service and consistently attaining very high levels of customer satisfaction.</w:t>
      </w:r>
    </w:p>
    <w:p>
      <w:pPr>
        <w:spacing w:after="0" w:line="117"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 xml:space="preserve">PNS competes for audiences and advertising revenues with television and radio stations, cable systems and video services offered by telephone companies serving the same or nearby areas; with DBS services; and, to a lesser degree, with other media, such as newspapers and magazines. Cable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 pay-per-view basis. In addition, DBS services provide nationwide distribution of television programming, including pay-per-view programming and programming packages unique to DBS, using digital transmission technologies. The Company’s television stations may also become subject to increased competition from low-power television stations, wireless cable services and satellite master antenna systems, which can carry pay-cable and similar program material. In addition, movies and television programming are available free of charge on the websites of the major TV networks, as well as on the advertising-supported website </w:t>
      </w:r>
      <w:r>
        <w:rPr>
          <w:rFonts w:ascii="Arial" w:cs="Arial" w:eastAsia="Arial" w:hAnsi="Arial"/>
          <w:sz w:val="18"/>
          <w:szCs w:val="18"/>
          <w:i w:val="1"/>
          <w:iCs w:val="1"/>
          <w:color w:val="auto"/>
        </w:rPr>
        <w:t>Hulu</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home health and hospice industries are extremely competitive and fragmented, consisting of both for-profit and non-profit companies.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Celtic competes primarily with privately owned and hospital-operated home health and hospice service providers.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22" w:right="239" w:bottom="1440" w:gutter="0" w:footer="0" w:header="0"/>
        </w:sectPr>
      </w:pPr>
    </w:p>
    <w:bookmarkStart w:id="22" w:name="page23"/>
    <w:bookmarkEnd w:id="22"/>
    <w:p>
      <w:pPr>
        <w:ind w:left="4920"/>
        <w:spacing w:after="0"/>
        <w:rPr>
          <w:sz w:val="20"/>
          <w:szCs w:val="20"/>
          <w:color w:val="auto"/>
        </w:rPr>
      </w:pPr>
      <w:r>
        <w:rPr>
          <w:rFonts w:ascii="Arial" w:cs="Arial" w:eastAsia="Arial" w:hAnsi="Arial"/>
          <w:sz w:val="18"/>
          <w:szCs w:val="18"/>
          <w:b w:val="1"/>
          <w:bCs w:val="1"/>
          <w:color w:val="auto"/>
        </w:rPr>
        <w:t>Executive Officers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14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 xml:space="preserve">Donald E. Graham, age 68,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served as Publisher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1979 until September 2000 and as Chairman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September 2000 to February 2008.</w:t>
      </w:r>
    </w:p>
    <w:p>
      <w:pPr>
        <w:spacing w:after="0" w:line="111"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Veronica Dillon, age 64, became a Senior Vice President of the Company in June 2008 and Vice President, General Counsel and Secretary of the Company in January 2007. Ms. Dillon began her career with the Company in January 1991 as corporate counsel at Kaplan, Inc. She was subsequently named General Counsel at Kaplan in June 1995 and then served as Kaplan’s Chief Administrative Officer, beginning in December 2003.</w:t>
      </w:r>
    </w:p>
    <w:p>
      <w:pPr>
        <w:spacing w:after="0" w:line="111"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Hal S. Jones, age 61, became Chief Financial Officer of the Company in January 2009 and Senior Vice–President Finance of the Company in November 2008. He had most recently been Chief Executive Officer of Kaplan Professional, responsible for Kaplan’s professional businesses in financial services, real estate, technology and engineering in the U.S. and the U.K. Mr. Jones has spent 23 years at the Company and Kaplan, serving in a variety of senior management positions with a focus on finance, auditing and accounting.</w:t>
      </w:r>
    </w:p>
    <w:p>
      <w:pPr>
        <w:spacing w:after="0" w:line="1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 xml:space="preserve">Ann L. McDaniel, age 58, became Senior Vice President–Human Resources of the Company in June 2008 and was formerly Vice President– Human Resources of the Company since September 2001. She served as Managing Director of Newsweek, Inc., from January 2008 until the sale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magazine in September 2010. Ms. McDaniel had previously served as Senior Director of Human Resources of the Company since January 2001 and before that held various editorial positions at </w:t>
      </w:r>
      <w:r>
        <w:rPr>
          <w:rFonts w:ascii="Arial" w:cs="Arial" w:eastAsia="Arial" w:hAnsi="Arial"/>
          <w:sz w:val="18"/>
          <w:szCs w:val="18"/>
          <w:i w:val="1"/>
          <w:iCs w:val="1"/>
          <w:color w:val="auto"/>
        </w:rPr>
        <w:t>Newsweek</w:t>
      </w:r>
      <w:r>
        <w:rPr>
          <w:rFonts w:ascii="Arial" w:cs="Arial" w:eastAsia="Arial" w:hAnsi="Arial"/>
          <w:sz w:val="18"/>
          <w:szCs w:val="18"/>
          <w:color w:val="auto"/>
        </w:rPr>
        <w:t>.</w:t>
      </w:r>
    </w:p>
    <w:p>
      <w:pPr>
        <w:spacing w:after="0" w:line="11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Gerald M. Rosberg, age 67, became Senior Vice President–Planning and Development of the Company in June 2008 and was formerly Vice President–Planning and Development of the Company since February 1999. He had previously served as Vice President–Affiliates at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a position he assumed in November 1997. Mr. Rosberg joined the Company in January 1996 as the </w:t>
      </w:r>
      <w:r>
        <w:rPr>
          <w:rFonts w:ascii="Arial" w:cs="Arial" w:eastAsia="Arial" w:hAnsi="Arial"/>
          <w:sz w:val="18"/>
          <w:szCs w:val="18"/>
          <w:i w:val="1"/>
          <w:iCs w:val="1"/>
          <w:color w:val="auto"/>
        </w:rPr>
        <w:t>Post</w:t>
      </w:r>
      <w:r>
        <w:rPr>
          <w:rFonts w:ascii="Arial" w:cs="Arial" w:eastAsia="Arial" w:hAnsi="Arial"/>
          <w:sz w:val="18"/>
          <w:szCs w:val="18"/>
          <w:color w:val="auto"/>
        </w:rPr>
        <w:t>’s Director of Affiliate Relations.</w:t>
      </w:r>
    </w:p>
    <w:p>
      <w:pPr>
        <w:spacing w:after="0" w:line="108"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Wallace R. Cooney, age 51, became Vice President–Finance and Chief Accounting Officer of the Company in June 2008. Mr. Cooney joined the Company in 2001 as Controller and prior to that had been with Gannett Co., Inc. and Price Waterhouse LLP.</w:t>
      </w:r>
    </w:p>
    <w:p>
      <w:pPr>
        <w:spacing w:after="0" w:line="9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Employees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14,000 people on a full-time basis.</w:t>
      </w:r>
    </w:p>
    <w:p>
      <w:pPr>
        <w:spacing w:after="0" w:line="144"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Worldwide, Kaplan employs approximately 10,300 people on a full-time basis. Kaplan also employs substantial numbers of part-time employees who serve in instructional and administrative capacities. During peak seasonal periods, Kaplan’s part-time workforce exceeds 13,000 employees. In the U.S., U.K. and Canada, an aggregate of 180 Kaplan employees is represented by a union.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Cable ONE has approximately 2,077 full-time employees, none of whom is represented by a union.</w:t>
      </w:r>
    </w:p>
    <w:p>
      <w:pPr>
        <w:spacing w:after="0" w:line="144"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PNS has approximately 914 full-time employees, of whom about 124 are union-represented. Of the seven collective bargaining agreements covering union-represented employees, one has expired and is being renegotiated. Four collective bargaining agreements will expire in 2014.</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Celtic has approximately 310 full-time and 47 part-time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Forney has approximately 125 full-time employees, of whom 38 are union-represented.</w:t>
      </w:r>
    </w:p>
    <w:p>
      <w:pPr>
        <w:spacing w:after="0" w:line="144"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The parent Company has approximately 170 full-time employees. Each of the following—The Slate Group, FP Group and SocialCode— employs fewer than 100 persons. None of these units’ employees is represented by a union.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4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Annual Report on Form 10-K and elsewhere in the Company’s 2013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722" w:right="259" w:bottom="1440" w:gutter="0" w:footer="0" w:header="0"/>
        </w:sectPr>
      </w:pPr>
    </w:p>
    <w:bookmarkStart w:id="23" w:name="page24"/>
    <w:bookmarkEnd w:id="23"/>
    <w:p>
      <w:pPr>
        <w:ind w:right="540"/>
        <w:spacing w:after="0" w:line="234" w:lineRule="auto"/>
        <w:rPr>
          <w:sz w:val="20"/>
          <w:szCs w:val="20"/>
          <w:color w:val="auto"/>
        </w:rPr>
      </w:pPr>
      <w:r>
        <w:rPr>
          <w:rFonts w:ascii="Arial" w:cs="Arial" w:eastAsia="Arial" w:hAnsi="Arial"/>
          <w:sz w:val="18"/>
          <w:szCs w:val="18"/>
          <w:color w:val="auto"/>
        </w:rPr>
        <w:t>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146"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 xml:space="preserve">The Company’s Internet address is </w:t>
      </w:r>
      <w:r>
        <w:rPr>
          <w:rFonts w:ascii="Arial" w:cs="Arial" w:eastAsia="Arial" w:hAnsi="Arial"/>
          <w:sz w:val="18"/>
          <w:szCs w:val="18"/>
          <w:i w:val="1"/>
          <w:iCs w:val="1"/>
          <w:color w:val="auto"/>
        </w:rPr>
        <w:t>ghco.com.</w:t>
      </w:r>
      <w:r>
        <w:rPr>
          <w:rFonts w:ascii="Arial" w:cs="Arial" w:eastAsia="Arial" w:hAnsi="Arial"/>
          <w:sz w:val="18"/>
          <w:szCs w:val="18"/>
          <w:color w:val="auto"/>
        </w:rPr>
        <w:t xml:space="preserve"> The Company makes available free of charge through its website its Annual Report on Form 10-K, quarterly reports on Form 10-Q, current reports on Form 8-K, definitive proxy statements on Schedule 14A and amendments to those reports filed or furnished pursuant to Section 13(a) or 15(d) of the Exchange Act as soon as reasonably practicable after such documents are electronically filed with the Securities and Exchange Commission (SEC).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all available on the Company’s website; printed copies of such documents may be obtained by any stockholder upon written request to the Secretary, Graham Holdings Company at 1150 15th Street, NW, Washington, DC 20071. The contents of the Company’s website are not incorporated by reference into this Form 10-K and shall not be deemed “filed” under the Securities Exchange Act of 1934.</w:t>
      </w:r>
    </w:p>
    <w:p>
      <w:pPr>
        <w:spacing w:after="0" w:line="110"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SEC website (www.sec.gov) contains the reports, proxy statements and information statements, and other information regarding issuers that file electronically with the SEC. Also, the public may read and copy any materials that the Company files with the SEC at the SEC's Public Reference Room at 100 F Street, NE, Washington, DC 20549. Information on the operation of the Public Reference Room may be obtained by calling the SEC at 1-800-SEC-0330.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6"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104" w:lineRule="exact"/>
        <w:rPr>
          <w:sz w:val="20"/>
          <w:szCs w:val="20"/>
          <w:color w:val="auto"/>
        </w:rPr>
      </w:pPr>
    </w:p>
    <w:p>
      <w:pPr>
        <w:ind w:left="260" w:hanging="252"/>
        <w:spacing w:after="0" w:line="256" w:lineRule="auto"/>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Statutory and Regulatory Requirements Could Result in Loss of Access to U.S. Federal Student Loans and Grants Under Title IV, a Requirement to Pay Fines or Monetary Liabilities or Other Sanctions</w:t>
      </w:r>
    </w:p>
    <w:p>
      <w:pPr>
        <w:spacing w:after="0" w:line="2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To maintain Title IV eligibility, each group of schools combined into an OPEID unit must comply with the extensive statutory and regulatory requirements of the Higher Education Act and other laws relating to its financial aid management, educational programs, financial strength, facilities, recruiting practices and various other matters. Failure to comply with these requirements could result in the loss or limitation of the eligibility of one or more of the KHE schools to participate in Title IV programs, a requirement to pay fines or to repay Title IV program funds, a denial or refusal by the ED to consider a school’s application for renewal of its certification to participate in the Title IV programs or for approval to add a new campus or educational program, a requirement to submit a letter of credit, the imposition of civil or criminal penalties or other sanctions. No assurance can be given that the Kaplan schools and programs currently participating in Title IV programs will maintain their Title IV eligibility, accreditation and state authorization in the future or that the ED might not successfully assert that one or more of such schools or programs have previously failed to comply with Title IV requirements. The loss of Title IV eligibility by either (1) the single OPEID unit that includes Kaplan University or (2) a combination of other OPEID units would have a material adverse effect on Kaplan’s operating results.</w:t>
      </w:r>
    </w:p>
    <w:p>
      <w:pPr>
        <w:spacing w:after="0" w:line="112" w:lineRule="exact"/>
        <w:rPr>
          <w:sz w:val="20"/>
          <w:szCs w:val="20"/>
          <w:color w:val="auto"/>
        </w:rPr>
      </w:pPr>
    </w:p>
    <w:p>
      <w:pPr>
        <w:ind w:left="260" w:right="180" w:hanging="252"/>
        <w:spacing w:after="0" w:line="256" w:lineRule="auto"/>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Program Reviews, Audits, Investigations and Other Reviews of KHE Schools Could Result in Findings of Failure to Comply With Statutory and Regulatory Requirements</w:t>
      </w:r>
    </w:p>
    <w:p>
      <w:pPr>
        <w:spacing w:after="0" w:line="20" w:lineRule="exact"/>
        <w:rPr>
          <w:sz w:val="20"/>
          <w:szCs w:val="20"/>
          <w:color w:val="auto"/>
        </w:rPr>
      </w:pPr>
    </w:p>
    <w:p>
      <w:pPr>
        <w:ind w:right="240"/>
        <w:spacing w:after="0" w:line="228" w:lineRule="auto"/>
        <w:rPr>
          <w:sz w:val="20"/>
          <w:szCs w:val="20"/>
          <w:color w:val="auto"/>
        </w:rPr>
      </w:pPr>
      <w:r>
        <w:rPr>
          <w:rFonts w:ascii="Arial" w:cs="Arial" w:eastAsia="Arial" w:hAnsi="Arial"/>
          <w:sz w:val="18"/>
          <w:szCs w:val="18"/>
          <w:color w:val="auto"/>
        </w:rPr>
        <w:t>KHE schools are subject to program reviews, audits, investigations and other compliance reviews conducted by various regulatory agencies and auditors, including, among others, the ED, the ED's Office of the Inspector General, accrediting bodies and state and various other agencies, as well as annual audits by an independent certified public accountant of each OPEID unit’s compliance with Title IV statutory and regulatory requirements. These compliance reviews can result in findings of noncompliance with statutory and regulatory requirements that can, in turn, result in proceedings to impose fines, liabilities, civil or criminal penalties or other sanctions against the school, including loss or limitation of its eligibility to participate in Title IV programs. Certain KHE schools are the subject of ongoing compliance reviews and lawsuits related to their compliance with statutory and regulatory requirements and may be subject to future compliance reviews.</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724" w:right="279" w:bottom="1440" w:gutter="0" w:footer="0" w:header="0"/>
        </w:sectPr>
      </w:pPr>
    </w:p>
    <w:bookmarkStart w:id="24" w:name="page25"/>
    <w:bookmarkEnd w:id="24"/>
    <w:p>
      <w:pPr>
        <w:jc w:val="both"/>
        <w:ind w:right="20"/>
        <w:spacing w:after="0"/>
        <w:rPr>
          <w:sz w:val="20"/>
          <w:szCs w:val="20"/>
          <w:color w:val="auto"/>
        </w:rPr>
      </w:pPr>
      <w:r>
        <w:rPr>
          <w:rFonts w:ascii="Arial" w:cs="Arial" w:eastAsia="Arial" w:hAnsi="Arial"/>
          <w:sz w:val="18"/>
          <w:szCs w:val="18"/>
          <w:color w:val="auto"/>
        </w:rPr>
        <w:t>KHE schools also have been, and may in the future be, subject to complaints and lawsuits by present or former students or employees or other persons related to compliance with statutory, common law and regulatory requirements that, if successful, could result in monetary liabilities or fines or other sanctions.</w:t>
      </w:r>
    </w:p>
    <w:p>
      <w:pPr>
        <w:spacing w:after="0" w:line="106" w:lineRule="exact"/>
        <w:rPr>
          <w:sz w:val="20"/>
          <w:szCs w:val="20"/>
          <w:color w:val="auto"/>
        </w:rPr>
      </w:pPr>
    </w:p>
    <w:p>
      <w:pPr>
        <w:ind w:left="260" w:right="80" w:hanging="252"/>
        <w:spacing w:after="0" w:line="233" w:lineRule="auto"/>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Reductions in the Amount of Funds Available to Students, Including Under Title IV Programs, in KHE Schools, Changes in the Terms on Which Such Funds Are Made Available or Loss or Limitation of Eligibility to Receive Such Funds, Could Have a Material Adverse Effect on Kaplan’s Business and Operations</w:t>
      </w:r>
    </w:p>
    <w:p>
      <w:pPr>
        <w:spacing w:after="0" w:line="34"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During the Company’s 2013 fiscal year, funds provided under the student financial aid programs created under Title IV accounted for approximately $819 million of the revenues of the schools in KHE. Any legislative, regulatory or other development that has the effect of materially reducing the amount of Title IV financial assistance or other funds available to the students of those schools would have a material adverse effect on Kaplan’s business and operations. In addition, any development that has the effect of making the terms on which Title IV financial assistance or other funds are available to students of those schools materially less attractive could have a material adverse effect on Kaplan’s business and operations.</w:t>
      </w:r>
    </w:p>
    <w:p>
      <w:pPr>
        <w:spacing w:after="0" w:line="110"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Changes Could Have a Material Adverse Effect on Kaplan’s Business and Operations</w:t>
      </w:r>
    </w:p>
    <w:p>
      <w:pPr>
        <w:spacing w:after="0" w:line="79"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implementation of new Title IV and other regulations required Kaplan to change its practices to comply with new requirements and has increased its administrative costs and overall risk. The changes to its practices or its inability to comply with the final regulations could have a material adverse effect on Kaplan’s business and results of operations. Moreover, the ED or other U.S. or international regulatory bodies could implement new regulations or amend existing regulations in a manner that could have a material adverse effect on Kaplan’s business and results of operations.</w:t>
      </w:r>
    </w:p>
    <w:p>
      <w:pPr>
        <w:spacing w:after="0" w:line="109" w:lineRule="exact"/>
        <w:rPr>
          <w:sz w:val="20"/>
          <w:szCs w:val="20"/>
          <w:color w:val="auto"/>
        </w:rPr>
      </w:pPr>
    </w:p>
    <w:p>
      <w:pPr>
        <w:ind w:left="260" w:right="660" w:hanging="252"/>
        <w:spacing w:after="0" w:line="256" w:lineRule="auto"/>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The Regulations Regarding Incentive Compensation Make It Difficult for Kaplan to Attract Students and Retain Qualified Personnel and Adds Compliance Risk</w:t>
      </w:r>
    </w:p>
    <w:p>
      <w:pPr>
        <w:spacing w:after="0" w:line="2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Under the incentive compensation rule, an institution participating in the Title IV 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On July 1, 2011, regulations went into effect that amended the incentive compensation rule by reducing the scope of permissible payments under the rule and expanding the scope of payments and employees subject to the rule. KHE modified some of its compensation practices as a result of the revisions to the incentive compensation rule. Due to a lack of clear guidance from the ED, KHE cannot assure that these modifications will in all cases be found to be in compliance with the ED's interpretation of the regulations. Additionally, these changes to compensation arrangements make it difficult to attract students and to provide adequate incentives to promote superior job performance and retain qualified personnel. The Company believes that this change in Kaplan's approach to recruiting has adversely impacted, and will continue to adversely impact, Kaplan's enrollment rates, operating costs, business and results of operations. The company cannot predict how the ED will interpret and enforce all aspects of the revised incentive compensation rule in the future, and any changes in this regard could have a material adverse effect on Kaplan's business and results of operations.</w:t>
      </w:r>
    </w:p>
    <w:p>
      <w:pPr>
        <w:spacing w:after="0" w:line="11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Potential ED Rules Regarding Gainful Employment Could Have a Material Adverse Effect on Kaplan’s Business and Operations</w:t>
      </w:r>
    </w:p>
    <w:p>
      <w:pPr>
        <w:spacing w:after="0" w:line="79"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In June 2011, the ED issued final regulations that tie an education program’s Title IV eligibility to whether the program leads to gainful employment. The regulations define an education program that leads to gainful employment as one that complies with gainful employment metrics relating to loan repayment rates of program graduates.</w:t>
      </w:r>
    </w:p>
    <w:p>
      <w:pPr>
        <w:spacing w:after="0" w:line="108"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On June 30, 2012, the United States District Court for the District of Columbia overturned most of the final regulations on gainful employment. In September 2013, the ED convened a negotiated rulemaking committee to consider gainful employment and proposed draft regulations that would require educational programs to meet certain debt-to-earnings ratios and a programmatic level loan cohort default rate metric. Programs that fail to meet one or more of the proposed metrics over a period of time, ranging from two to four years, would become ineligible for Title IV aid. The proposed rules may also require additional disclosures to students. We cannot predict the ultimate outcome of gainful employment regulations and their impact on Kaplan’s operations. However, if the ED adopts the proposed regulations, Kaplan’s higher education programs would become subject to gainful employment metrics. This could cause Kaplan to eliminate or limit enrollments in certain educational programs at some or all of its schools and could have a materially adverse effect on its business and operations.</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724" w:right="259" w:bottom="1440" w:gutter="0" w:footer="0" w:header="0"/>
        </w:sectPr>
      </w:pPr>
    </w:p>
    <w:bookmarkStart w:id="25" w:name="page26"/>
    <w:bookmarkEnd w:id="25"/>
    <w:p>
      <w:pPr>
        <w:ind w:left="260" w:right="200" w:hanging="252"/>
        <w:spacing w:after="0" w:line="256" w:lineRule="auto"/>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Congressional Examination of For-Profit Education Could Lead to Legislation or Other Governmental Action That May Materially and Adversely Affect Kaplan’s Business and Operations</w:t>
      </w:r>
    </w:p>
    <w:p>
      <w:pPr>
        <w:spacing w:after="0" w:line="20"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There has been increased attention by Congress on the role that for-profit educational institutions play in higher education, including their participation in Title IV programs and tuition assistance programs for military service members attending for-profit colleges. Beginning in June 2010, the HELP Committee held a series of hearings to examine the for-profit education sector and requested information from various for-profit institutions, including KHE institutions. In July 2012, the majority staff of the HELP Committee issued a final report to conclude the review. The final report included observations and recommendations for federal policy. The ultimate outcome of the HELP Committee review and any implications to the operation of KHE’s institutions remains unknown.</w:t>
      </w:r>
    </w:p>
    <w:p>
      <w:pPr>
        <w:spacing w:after="0" w:line="11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Other committees of Congress have also held hearings into, among other things, the standards and procedures of accrediting agencies, credit hours and program length and the portion of U.S. Federal student financial aid going to for-profit institutions. Several legislators have variously requested the U.S. Government Accountability Office to review and make recommendations regarding, among other things, student recruitment practices; educational quality; student outcomes; the sufficiency of integrity safeguards against waste, fraud and abuse in Title IV programs; and the percentage of proprietary institutions’ revenue coming from Title IV and other U.S. Federal funding sources. This increased activity, and other current and future activity, may result in legislation, further rulemaking affecting participation in Title IV programs and other governmental actions. In addition, concerns generated by congressional or other activity, or negative media reports, may adversely affect enrollment in for-profit educational institutions.</w:t>
      </w:r>
    </w:p>
    <w:p>
      <w:pPr>
        <w:spacing w:after="0" w:line="108"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Kaplan cannot predict the extent to which these activities could result in further investigations, legislation or rulemaking affecting its participation in Title IV programs, other governmental actions and/or actions by state agencies or legislators or by accreditors. If any laws or regulations are adopted that significantly limit Kaplan’s participation in Title IV programs or the amount of student financial aid for which Kaplan’s students are eligible, Kaplan’s results of operations and cash flows would be adversely and materially impacted.</w:t>
      </w:r>
    </w:p>
    <w:p>
      <w:pPr>
        <w:spacing w:after="0" w:line="109"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The Kaplan Commitment Has Materially Impacted Operating Results and Is Expected to Continue to Do So</w:t>
      </w:r>
    </w:p>
    <w:p>
      <w:pPr>
        <w:spacing w:after="0" w:line="79"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In the fourth quarter of 2010, KHE phased in a program called the Kaplan Commitment. Under this program, students of Kaplan University, Kaplan College and other KHE schools enroll in classes for several weeks and assess whether their educational experience meets their needs and expectations before they incur any significant financial obligation. Students who choose to withdraw from the program during the risk-free period do not have to pay for the coursework.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Kaplan Commitment program and related initiatives will likely continue to have a significant impact on the future operations of KHE, including student enrollments and retention, tuition revenues, operating income and cash flow. The Kaplan Commitment is expected to continue to have a material impact on Kaplan’s operating results.</w:t>
      </w:r>
    </w:p>
    <w:p>
      <w:pPr>
        <w:spacing w:after="0" w:line="106"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Student Loan Defaults Could Result in Loss of Eligibility to Participate in Title IV Programs</w:t>
      </w:r>
    </w:p>
    <w:p>
      <w:pPr>
        <w:spacing w:after="0" w:line="79"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A school may lose its eligibility to participate in Title IV programs if student defaults on the repayment of Title IV loans exceed specified rates, referred to as “cohort default rates.” The ED calculates a cohort default rate for each of KHE’s OPEID numbers. The schools in an OPEID number whose cohort default rate exceeds 40% for any single year lose their eligibility to participate in the Federal Family Education Loan (FFEL) program and Direct Loan programs for at least two fiscal years effective 30 days after notification from the ED, except in the event of a successful adjustment or appeal. The schools in an OPEID number whose cohort default rate equals or exceeds 25% for three consecutive years lose their Title IV eligibility to participate in FFEL, Direct Loan and U.S. Federal Pell Grant programs effective 30 days after notification from the ED and for at least two fiscal years, except in the event of a successful adjustment or appeal. The schools in an OPEID number whose cohort default rate equals or exceeds 25% in any one of the three most recent fiscal years for which rates have been issued by the ED may be placed on provisional certification by the ED.</w:t>
      </w:r>
    </w:p>
    <w:p>
      <w:pPr>
        <w:spacing w:after="0" w:line="110"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enactment in August 2008 of HEOA (which reauthorized the Higher Education Act) changed the methodology that will be used to calculate cohort default rates for future years. Under the revised law, the period of time for which student defaults are tracked and included in the cohort default rate calculation will be increased from two years to three years, which is expected to increase the cohort default rates for most institutions. This change became effective with the calculation of institutions’ cohort default rates for the U.S. Federal fiscal year ending September 30, 2009; those rates were issued by the ED in 2012. The ED will not impose sanctions based on rates calculated under this new methodology until rates for three consecutive years have been calculated, which is expected to occur in September 2014. Until that time, the ED will continue to calculate rates under the old method and to impose sanctions based on those rates. The revised law also increases the threshold for ending an institution’s participation in certain Title IV programs from 25% to 30% for three consecutive years, effective for three-year cohort default rates issued beginning in fiscal year 2012. The revised law changes the threshold for placement on potential provisional certification to 30% for two of the three most recent fiscal years for which the ED</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22" w:right="239" w:bottom="1440" w:gutter="0" w:footer="0" w:header="0"/>
        </w:sectPr>
      </w:pPr>
    </w:p>
    <w:bookmarkStart w:id="26" w:name="page27"/>
    <w:bookmarkEnd w:id="26"/>
    <w:p>
      <w:pPr>
        <w:ind w:right="80"/>
        <w:spacing w:after="0" w:line="260" w:lineRule="auto"/>
        <w:rPr>
          <w:sz w:val="20"/>
          <w:szCs w:val="20"/>
          <w:color w:val="auto"/>
        </w:rPr>
      </w:pPr>
      <w:r>
        <w:rPr>
          <w:rFonts w:ascii="Arial" w:cs="Arial" w:eastAsia="Arial" w:hAnsi="Arial"/>
          <w:sz w:val="18"/>
          <w:szCs w:val="18"/>
          <w:color w:val="auto"/>
        </w:rPr>
        <w:t>has published official three-year cohort default rates. Four of KHE Campuses’ OPEIDs have three-year rates over 30%, and no Kaplan OPEID had a three-year rate over 40%. Two KHE campuses have had three-year rates over 30% for two consecutive years.</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loss of Title IV eligibility by either (1) the single OPEID unit that includes Kaplan University or (2) a combination of other OPEID units would have a material adverse effect on Kaplan’s operating results.</w:t>
      </w:r>
    </w:p>
    <w:p>
      <w:pPr>
        <w:spacing w:after="0" w:line="90"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Title IV Revenues in Excess of U.S. Federally-Set Percentage Could Lead to Loss of Eligibility to Participate in Title IV Programs</w:t>
      </w:r>
    </w:p>
    <w:p>
      <w:pPr>
        <w:spacing w:after="0" w:line="79"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Under regulations referred to as the 90/10 rule, a KHE OPEID unit would lose its eligibility to participate in the Title IV programs for a period of at least two fiscal years if it derives more than 90% of its receipts from the Title IV programs for two consecutive fiscal years. Any OPEID reporting unit with receipts from the Title IV programs exceeding 90% for a single fiscal year would be placed on provisional certification and may be subject to other enforcement measures. The enactment of the U.S. Federal Ensuring Continued Access to Student Loans Act of 2008 increased student loan limits and the maximum amount of Pell Grants, which could result in an increase in the percentage of KHE’s receipts from Title IV programs. These increases, and any future increases or changes in the 90/10 calculation formula or any ED interpretation of what revenue may be included in the calculation, make it more difficult for institutions to comply with the 90/10 rule. If current trends continue, management estimates that in 2014, three of the KHE Campuses’ OPEID units, representing approximately 1.7% of KHE’s 2013 revenues, could have a 90/10 ratio over 90%.</w:t>
      </w:r>
    </w:p>
    <w:p>
      <w:pPr>
        <w:spacing w:after="0" w:line="110"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loss of Title IV eligibility by either (1) the single OPEID unit that includes Kaplan University or (2) a combination of other OPEID units would have a material adverse effect on Kaplan’s operating results.</w:t>
      </w:r>
    </w:p>
    <w:p>
      <w:pPr>
        <w:spacing w:after="0" w:line="90"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Institutional Accreditation Could Lead to Loss of Ability to Participate in Title IV Programs</w:t>
      </w:r>
    </w:p>
    <w:p>
      <w:pPr>
        <w:spacing w:after="0" w:line="79"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KHE’s online university and all of its ground campuses are institutionally accredited by either national or regional accreditors recognized by the ED. Accreditation by an accrediting agency recognized by the ED is required for an institution to become and remain eligible to participate in Title IV programs. In March 2011, and throughout 2012 and 2013, Kaplan University’s institutional accreditor, HLC, sent Kaplan University requests for information asking for documents and a report detailing Kaplan University’s admissions practices and describing its compliance with HLC Core Components and policies. HLC has scheduled a focused visit for early 2014 to peer review KU's compliance with these areas. This visit could resolve the issues or result in additional concerns or actions. In addition, COE, the accreditor for the Dallas, Nashville and San Antonio (Ingram) campuses, put those campuses on probation in December 2013 due to a failure to consistently meet graduation and/or employment benchmarks. Failure to resolve these issues could result in a loss of COE accreditation for those campuses. The loss of accreditation at these or other schools would, among other things, render the affected Kaplan schools and programs ineligible to participate in Title IV programs and would have a material adverse effect on their business and operations.</w:t>
      </w:r>
    </w:p>
    <w:p>
      <w:pPr>
        <w:spacing w:after="0" w:line="110" w:lineRule="exact"/>
        <w:rPr>
          <w:sz w:val="20"/>
          <w:szCs w:val="20"/>
          <w:color w:val="auto"/>
        </w:rPr>
      </w:pPr>
    </w:p>
    <w:p>
      <w:pPr>
        <w:ind w:left="260" w:right="140" w:hanging="252"/>
        <w:spacing w:after="0" w:line="256" w:lineRule="auto"/>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Programmatic Accreditation Could Lead to Loss of Ability to Provide Certain Education Programs and Failure to Obtain Programmatic Accreditation May Lead to Declines in Enrollments in Unaccredited Programs</w:t>
      </w:r>
    </w:p>
    <w:p>
      <w:pPr>
        <w:spacing w:after="0" w:line="20"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Programmatic accreditation is the process through which specific programs are reviewed and approved by industry</w:t>
      </w:r>
      <w:r>
        <w:rPr>
          <w:rFonts w:ascii="Arial" w:cs="Arial" w:eastAsia="Arial" w:hAnsi="Arial"/>
          <w:sz w:val="18"/>
          <w:szCs w:val="18"/>
          <w:color w:val="1F497D"/>
        </w:rPr>
        <w:t>-</w:t>
      </w:r>
      <w:r>
        <w:rPr>
          <w:rFonts w:ascii="Arial" w:cs="Arial" w:eastAsia="Arial" w:hAnsi="Arial"/>
          <w:sz w:val="18"/>
          <w:szCs w:val="18"/>
          <w:color w:val="auto"/>
        </w:rPr>
        <w:t>specific and program</w:t>
      </w:r>
      <w:r>
        <w:rPr>
          <w:rFonts w:ascii="Arial" w:cs="Arial" w:eastAsia="Arial" w:hAnsi="Arial"/>
          <w:sz w:val="18"/>
          <w:szCs w:val="18"/>
          <w:color w:val="1F497D"/>
        </w:rPr>
        <w:t>-</w:t>
      </w:r>
      <w:r>
        <w:rPr>
          <w:rFonts w:ascii="Arial" w:cs="Arial" w:eastAsia="Arial" w:hAnsi="Arial"/>
          <w:sz w:val="18"/>
          <w:szCs w:val="18"/>
          <w:color w:val="auto"/>
        </w:rPr>
        <w:t>specific accrediting entities. Although programmatic accreditation is not generally necessary for Title IV eligibility, such accreditation may be required to allow students to sit for certain licensure exams or to work in a particular profession or career. Failure to obtain or maintain such programmatic accreditation may lead schools to discontinue programs that would not provide appropriate outcomes without that accreditation or may lead to a decline in enrollments in programs because of a perceived or real reduction in program value.</w:t>
      </w:r>
    </w:p>
    <w:p>
      <w:pPr>
        <w:spacing w:after="0" w:line="109" w:lineRule="exact"/>
        <w:rPr>
          <w:sz w:val="20"/>
          <w:szCs w:val="20"/>
          <w:color w:val="auto"/>
        </w:rPr>
      </w:pPr>
    </w:p>
    <w:p>
      <w:pPr>
        <w:ind w:left="260" w:right="320" w:hanging="252"/>
        <w:spacing w:after="0" w:line="256" w:lineRule="auto"/>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Maintain State Authorizations Could Cause Loss of Ability to Operate and to Participate in Title IV Programs in Some States</w:t>
      </w:r>
    </w:p>
    <w:p>
      <w:pPr>
        <w:spacing w:after="0" w:line="20"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KHE’s ground campuses and online university are subject to state-level regulation and oversight by state licensing agencies, whose approval is necessary to allow an institution to operate and grant degrees or diplomas in the state. Institutions that participate in Title IV programs must be legally authorized to operate in the state in which the institution is physically located. The loss of such authorization would preclude the campuses or online university from offering postsecondary education and render students ineligible to participate in Title IV programs. Loss of authorization at those state campus locations, or, in states that require it, for Kaplan University online, would have a material adverse effect on KHE’s business and operations.</w:t>
      </w:r>
    </w:p>
    <w:p>
      <w:pPr>
        <w:spacing w:after="0" w:line="112"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Some states have sought to assert jurisdiction over online education institutions that offer education services to residents in the state or to institutions that advertise or recruit in the state, notwithstanding the lack of a physical location in the state. State regulatory requirements for online education vary among the states, are not well developed in many states, are imprecise or unclear in some states and are subject to change. If KHE is found not to</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24" w:right="259" w:bottom="1440" w:gutter="0" w:footer="0" w:header="0"/>
        </w:sectPr>
      </w:pPr>
    </w:p>
    <w:bookmarkStart w:id="27" w:name="page28"/>
    <w:bookmarkEnd w:id="27"/>
    <w:p>
      <w:pPr>
        <w:ind w:right="340"/>
        <w:spacing w:after="0" w:line="260" w:lineRule="auto"/>
        <w:rPr>
          <w:sz w:val="20"/>
          <w:szCs w:val="20"/>
          <w:color w:val="auto"/>
        </w:rPr>
      </w:pPr>
      <w:r>
        <w:rPr>
          <w:rFonts w:ascii="Arial" w:cs="Arial" w:eastAsia="Arial" w:hAnsi="Arial"/>
          <w:sz w:val="18"/>
          <w:szCs w:val="18"/>
          <w:color w:val="auto"/>
        </w:rPr>
        <w:t>be in compliance with an applicable state regulation and a state seeks to restrict one or more of its business activities within its boundaries, KHE may not be able to recruit or enroll students in that state and may have to cease providing services and advertising in that state.</w:t>
      </w:r>
    </w:p>
    <w:p>
      <w:pPr>
        <w:spacing w:after="0" w:line="9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ED regulations that went into effect on July 1, 2011, expanded the requirements for an institution to be considered legally authorized in the state in which it is physically located for Title IV purposes. In some cases, the regulations require states to revise their current requirements and/or to license schools in order for institutions to be deemed legally authorized in those states and, in turn, to participate in the Title IV programs. If the states do not amend their requirements where necessary and if schools do not receive approvals where necessary that comply with these requirements, the institution could be deemed to lack the state authorization necessary to participate in the Title IV programs, which would have a material adverse effect on Kaplan’s business and operations.</w:t>
      </w:r>
    </w:p>
    <w:p>
      <w:pPr>
        <w:spacing w:after="0" w:line="112"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In addition, ED rules may require institutions offering postsecondary education to students through distance education in a state in which the institution is not physically located or in which it is otherwise subject to state jurisdiction, as determined by the state, to meet any state requirements for it to legally offer postsecondary distance education in that state. The regulations may require an institution to document upon request by the ED that it has the applicable state approval. As a result, some of KHE’s schools and distance-education programs may be required to obtain additional or revised state authorizations. If KHE is unable to obtain the required approvals, its students in the affected schools or programs may be unable to receive Title IV funds, which could have a material adverse effect on its business and operations.</w:t>
      </w:r>
    </w:p>
    <w:p>
      <w:pPr>
        <w:spacing w:after="0" w:line="110" w:lineRule="exact"/>
        <w:rPr>
          <w:sz w:val="20"/>
          <w:szCs w:val="20"/>
          <w:color w:val="auto"/>
        </w:rPr>
      </w:pPr>
    </w:p>
    <w:p>
      <w:pPr>
        <w:ind w:left="260" w:right="360" w:hanging="252"/>
        <w:spacing w:after="0" w:line="256" w:lineRule="auto"/>
        <w:tabs>
          <w:tab w:leader="none" w:pos="2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Correctly Calculate or Timely Return Title IV Funds for Students Who Withdraw Prior to Completing Programs Could Result in a Requirement to Post a Letter of Credit or Other Sanctions</w:t>
      </w:r>
    </w:p>
    <w:p>
      <w:pPr>
        <w:spacing w:after="0" w:line="20"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ED regulations require schools participating in Title IV programs to calculate correctly and return on a timely basis unearned Title IV funds disbursed to students who withdraw from a program of study prior to completion. These funds must be returned in a timely manner, generally within 45 days of the date the school determines that the student has withdrawn. Under ED regulations, failure to make timely returns of Title IV program funds for 5% or more of students sampled in a school’s annual compliance audit could result in a requirement that the school post a letter of credit in an amount equal to 25% of its prior-year returns of Title IV program funds. If unearned funds are not properly calculated and returned in a timely manner, an institution may be subject to monetary liabilities, fines or other sanctions by the ED that could have a material adverse effect on Kaplan’s results of operations.</w:t>
      </w:r>
    </w:p>
    <w:p>
      <w:pPr>
        <w:spacing w:after="0" w:line="107" w:lineRule="exact"/>
        <w:rPr>
          <w:sz w:val="20"/>
          <w:szCs w:val="20"/>
          <w:color w:val="auto"/>
        </w:rPr>
      </w:pPr>
    </w:p>
    <w:p>
      <w:pPr>
        <w:ind w:left="260" w:right="500" w:hanging="252"/>
        <w:spacing w:after="0" w:line="256" w:lineRule="auto"/>
        <w:tabs>
          <w:tab w:leader="none" w:pos="2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Demonstrate Financial Responsibility Could Result in a Requirement to Submit Letters of Credit to the ED, Loss of Eligibility to Participate in Title IV Programs or Other Sanctions</w:t>
      </w:r>
    </w:p>
    <w:p>
      <w:pPr>
        <w:spacing w:after="0" w:line="20"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An institution participating in the Title IV programs must comply with certain measures of financial responsibility under the Higher Education Act and under ED regulations. Among other things, the applicable regulations require an institution to achieve a composite score of at least 1.5, as calculated under ED regulations, based on data in annual financial statements submitted to the ED. If an institution fails to achieve a composite score of 1.5 or fails to comply with other financial responsibility standards, the ED may place conditions on the institution’s participation in the Title IV programs and may require the institution to submit to the ED a letter of credit in an amount of at least 10% to 50% of the institution’s annual Title IV participation for its most recent fiscal year. The ED has measured the compliance of KHE schools based on the composite score of the division. If one or more of the institutions in KHE fail to meet the composite score standard or any of the other financial responsibility standards, those institutions may be required to post a letter of credit in favor of the ED and possibly may be subject to other sanctions, including limitation or termination of their participation in Title IV programs. A requirement to post a letter of credit or the imposition of any one or more other sanctions by the ED could have a material adverse effect on Kaplan’s results of operations.</w:t>
      </w:r>
    </w:p>
    <w:p>
      <w:pPr>
        <w:spacing w:after="0" w:line="110" w:lineRule="exact"/>
        <w:rPr>
          <w:sz w:val="20"/>
          <w:szCs w:val="20"/>
          <w:color w:val="auto"/>
        </w:rPr>
      </w:pPr>
    </w:p>
    <w:p>
      <w:pPr>
        <w:ind w:left="260" w:right="380" w:hanging="252"/>
        <w:spacing w:after="0" w:line="256" w:lineRule="auto"/>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Demonstrate Administrative Capability Could Result in Loss of Eligibility to Participate in Title IV Programs or Other Sanctions</w:t>
      </w:r>
    </w:p>
    <w:p>
      <w:pPr>
        <w:spacing w:after="0" w:line="20"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ED regulations specify extensive criteria that an institution must satisfy to establish that it has the required “administrative capability” to participate in Title IV programs. These criteria include, but are not limited to, requirements relating to the institution’s compliance with all applicable Title IV requirements; the institution’s administration of Title IV programs; the institution’s compliance with certain reporting, disclosure and record-keeping obligations; and the institution’s ability to maintain cohort default rates below prescribed thresholds. Failure to comply with these criteria could result in the loss or limitation of the eligibility of one or more of the schools in KHE to participate in the Title IV programs, a requirement to pay fines or to repay Title IV program funds, a denial or refusal by the ED to consider a school’s application for renewal of its certification to participate in the Title IV programs, civil or criminal penalties or other sanctions. Any one or more of these actions by the ED could have a material adverse effect on Kaplan’s results of operations.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24" w:right="259" w:bottom="1440" w:gutter="0" w:footer="0" w:header="0"/>
        </w:sectPr>
      </w:pPr>
    </w:p>
    <w:bookmarkStart w:id="28" w:name="page29"/>
    <w:bookmarkEnd w:id="28"/>
    <w:p>
      <w:pPr>
        <w:ind w:left="260" w:right="460" w:hanging="252"/>
        <w:spacing w:after="0" w:line="256" w:lineRule="auto"/>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Obtain Regulatory Approval of Transactions Involving a Change of Control May Result in Loss of Ability to Operate Schools or to Participate in U.S. Federal Student Financial Aid Programs</w:t>
      </w:r>
    </w:p>
    <w:p>
      <w:pPr>
        <w:spacing w:after="0" w:line="20"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If one or more of KHE’s schools experiences a change of control under the standards of applicable state agencies, accrediting agencies or the ED, the schools governed by such agencies must seek the approval of the relevant agencies. Failure of any of KHE’s schools to reestablish its state authorization, accreditation or ED certification following a change of control as defined by the applicable agency could result in a suspension of operating authority or suspension or loss of U.S. Federal student financial aid funding, which could have a material adverse effect on KHE’s student population and revenue.</w:t>
      </w:r>
    </w:p>
    <w:p>
      <w:pPr>
        <w:spacing w:after="0" w:line="109" w:lineRule="exact"/>
        <w:rPr>
          <w:sz w:val="20"/>
          <w:szCs w:val="20"/>
          <w:color w:val="auto"/>
        </w:rPr>
      </w:pPr>
    </w:p>
    <w:p>
      <w:pPr>
        <w:ind w:left="260" w:right="460" w:hanging="252"/>
        <w:spacing w:after="0" w:line="256" w:lineRule="auto"/>
        <w:tabs>
          <w:tab w:leader="none" w:pos="2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Actions of Other Postsecondary Education Institutions and Related Media Coverage May Negatively Influence the Regulatory Environment and Kaplan’s Reputation</w:t>
      </w:r>
    </w:p>
    <w:p>
      <w:pPr>
        <w:spacing w:after="0" w:line="20"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HELP Committee hearings, along with other recent investigations and lawsuits, have included allegations of, among other things, deceptive trade practices, false claims against the U.S. and noncompliance with state and ED regulations. These allegations have attracted significant adverse media coverage. Allegations against the overall student lending and postsecondary education sectors may impact general public perceptions of private-sector educational institutions, including Kaplan, in a negative manner. Adverse media coverage regarding other educational institutions or regarding Kaplan directly could damage Kaplan’s reputation, reduce student demand for Kaplan programs, adversely impact its revenues and operating profit or result in increased regulatory scrutiny.</w:t>
      </w:r>
    </w:p>
    <w:p>
      <w:pPr>
        <w:spacing w:after="0" w:line="110" w:lineRule="exact"/>
        <w:rPr>
          <w:sz w:val="20"/>
          <w:szCs w:val="20"/>
          <w:color w:val="auto"/>
        </w:rPr>
      </w:pPr>
    </w:p>
    <w:p>
      <w:pPr>
        <w:ind w:left="260" w:right="120" w:hanging="252"/>
        <w:spacing w:after="0" w:line="256" w:lineRule="auto"/>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Extent to Which Standardized Tests Are Used in the Admissions Process by Colleges or Graduate Schools Could Reduce Demand for KTP Offerings</w:t>
      </w:r>
    </w:p>
    <w:p>
      <w:pPr>
        <w:spacing w:after="0" w:line="20"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 substantial portion of Kaplan’s revenue is generated by KTP. The source of this income is fees charged for courses that prepare students for a broad range of admissions examinations that are required for admission to colleges and graduate schools. Historically, colleges and graduate schools have required standardized tests as part of the admissions process. There has been some movement away from this historical reliance on standardized admissions tests among a small number of colleges that have adopted “test-optional” admissions policies. Any significant reduction in the use of standardized tests in the college or graduate school admissions process could have an adverse effect on Kaplan’s operating results.</w:t>
      </w:r>
    </w:p>
    <w:p>
      <w:pPr>
        <w:spacing w:after="0" w:line="110" w:lineRule="exact"/>
        <w:rPr>
          <w:sz w:val="20"/>
          <w:szCs w:val="20"/>
          <w:color w:val="auto"/>
        </w:rPr>
      </w:pPr>
    </w:p>
    <w:p>
      <w:pPr>
        <w:ind w:left="260" w:right="680" w:hanging="252"/>
        <w:spacing w:after="0" w:line="256" w:lineRule="auto"/>
        <w:tabs>
          <w:tab w:leader="none" w:pos="2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Extent to Which Licensing and Proficiency Examinations Are Used to Qualify Individuals to Pursue Certain Careers Could Reduce Demand for Kaplan Offerings</w:t>
      </w:r>
    </w:p>
    <w:p>
      <w:pPr>
        <w:spacing w:after="0" w:line="2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 substantial portion of PACE and Kaplan International’s revenue comes from preparing individuals for licensing or technical proficiency examinations in various fields. Any significant relaxation or elimination of licensing or technical proficiency requirements in those fields served by PACE and Kaplan International’s businesses could negatively impact Kaplan’s operating results.</w:t>
      </w:r>
    </w:p>
    <w:p>
      <w:pPr>
        <w:spacing w:after="0" w:line="106" w:lineRule="exact"/>
        <w:rPr>
          <w:sz w:val="20"/>
          <w:szCs w:val="20"/>
          <w:color w:val="auto"/>
        </w:rPr>
      </w:pPr>
    </w:p>
    <w:p>
      <w:pPr>
        <w:ind w:left="260" w:right="40" w:hanging="252"/>
        <w:spacing w:after="0" w:line="256" w:lineRule="auto"/>
        <w:tabs>
          <w:tab w:leader="none" w:pos="2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System Disruptions and Security Threats to the Company’s Technology Infrastructure Could Have a Material Adverse Effect on Its Businesses</w:t>
      </w:r>
    </w:p>
    <w:p>
      <w:pPr>
        <w:spacing w:after="0" w:line="20"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Kaplan’s reputation and ability to attract and retain students is highly dependent on the performance and reliability of its information technology platforms with respect to its online and campus-based education offerings. Kaplan’s delivery of these programs could be negatively affected due to events beyond its control, including natural disasters and network and telecommunications failures. Any such computer system error or failure could result in a significant outage that materially disrupts Kaplan’s online and on-ground operations.</w:t>
      </w:r>
    </w:p>
    <w:p>
      <w:pPr>
        <w:spacing w:after="0" w:line="111"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Company’s computer networks may also be vulnerable to unauthorized access, computer hackers, computer viruses and other security threats. The Company has expended, and will continue to expend, significant resources to protect against the threat of security breaches, but its systems may still be vulnerable to these threats. A user who circumvents security measures could misappropriate proprietary information or cause disruptions or malfunctions in operations. Any of these events could have a material adverse effect on the Company’s business and results of operations.</w:t>
      </w:r>
    </w:p>
    <w:p>
      <w:pPr>
        <w:spacing w:after="0" w:line="109"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Successfully Assimilate Acquired Businesses Could Negatively Affect Kaplan’s Business</w:t>
      </w:r>
    </w:p>
    <w:p>
      <w:pPr>
        <w:spacing w:after="0" w:line="79"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Company’s Kaplan subsidiary has historically been an active acquirer of businesses that provide educational services. During 2013, Kaplan completed three acquisitions and expects to continue to acquire businesses from time to time. 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undisclosed liabilities associated with the acquired business. A failure to effectively manage growth and integrate acquired businesses could have a material adverse effect on Kaplan’s operating results.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22" w:right="259" w:bottom="1440" w:gutter="0" w:footer="0" w:header="0"/>
        </w:sectPr>
      </w:pPr>
    </w:p>
    <w:bookmarkStart w:id="29" w:name="page30"/>
    <w:bookmarkEnd w:id="29"/>
    <w:p>
      <w:pPr>
        <w:ind w:left="260" w:hanging="252"/>
        <w:spacing w:after="0"/>
        <w:tabs>
          <w:tab w:leader="none" w:pos="2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Difficulties of Managing Foreign Operations Could Negatively Affect Kaplan’s Business</w:t>
      </w:r>
    </w:p>
    <w:p>
      <w:pPr>
        <w:spacing w:after="0" w:line="7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Kaplan has operations and investments in a growing number of foreign countries, including Australia, Canada, China, France, India, Ireland, Mexico, New Zealand, Nigeria, Singapore, the U.K. and Venezuela, and also conducts business in the Middle East. Operating in foreign countries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Failure to effectively manage these risks could have a material adverse effect on Kaplan’s operating results.</w:t>
      </w:r>
    </w:p>
    <w:p>
      <w:pPr>
        <w:spacing w:after="0" w:line="110"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International Regulatory and Physical Environments Could Negatively Affect International Student Enrollments</w:t>
      </w:r>
    </w:p>
    <w:p>
      <w:pPr>
        <w:spacing w:after="0" w:line="79"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A substantial portion of Kaplan International’s revenue comes from programs that prepare international students to study and travel to English-speaking countries, principally the U.S., the U.K., Australia and Singapore. Kaplan International’s ability to enroll students in these programs is directly dependent on its ability to comply with complex regulatory environments. A recent example of this is the immigration regulatory changes in the U.K., which impose recruitment quotas and stringent progress criteria as requirements for the maintenance of certain overseas student recruitment licenses. Any significant changes to the regulatory environment or a natural disaster or pandemic in either the students’ countries of origin or the countries to which they desire to travel or study could negatively affect Kaplan’s ability to attract and retain such students, which could negatively impact Kaplan’s operating results.</w:t>
      </w:r>
    </w:p>
    <w:p>
      <w:pPr>
        <w:spacing w:after="0" w:line="107"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Regulations Applicable to International Operations Could Negatively Impact Kaplan’s Business</w:t>
      </w:r>
    </w:p>
    <w:p>
      <w:pPr>
        <w:spacing w:after="0" w:line="79"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Kaplan is subject to a wide range of regulations relating to its international operations. These include domestic laws such as the U.S. Foreign Corrupt Practices Act, as well as the local regulatory schemes of the countries in which Kaplan operates. Compliance with these regulations requires utmost vigilance. Failure to comply can result in the imposition of significant penalties or revocation of Kaplan’s authority to operate in the applicable jurisdiction, each of which could have a material adverse effect on Kaplan’s operating results.</w:t>
      </w:r>
    </w:p>
    <w:p>
      <w:pPr>
        <w:spacing w:after="0" w:line="109"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Changing Perceptions About the Effectiveness of Television Broadcasting in Delivering Advertising</w:t>
      </w:r>
    </w:p>
    <w:p>
      <w:pPr>
        <w:spacing w:after="0" w:line="7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Historically, television broadcasting has been viewed as a cost-effective method of delivering various forms of advertising. There can be no guarantee that this historical perception will guide future decisions by advertisers. To the extent that advertisers shift advertising expenditures away from television to other media outlets, the profitability of the Company’s television broadcasting businesses will suffer.</w:t>
      </w:r>
    </w:p>
    <w:p>
      <w:pPr>
        <w:spacing w:after="0" w:line="106" w:lineRule="exact"/>
        <w:rPr>
          <w:sz w:val="20"/>
          <w:szCs w:val="20"/>
          <w:color w:val="auto"/>
        </w:rPr>
      </w:pPr>
    </w:p>
    <w:p>
      <w:pPr>
        <w:ind w:left="260" w:right="500" w:hanging="252"/>
        <w:spacing w:after="0" w:line="256" w:lineRule="auto"/>
        <w:tabs>
          <w:tab w:leader="none" w:pos="2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Competition Resulting From Technological Innovations in News, Information and Video Programming Distribution Systems</w:t>
      </w:r>
    </w:p>
    <w:p>
      <w:pPr>
        <w:spacing w:after="0" w:line="20"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The development of DBS systems has significantly increased the competition faced by the Company’s cable systems. The continuing growth and technological expansion of Internet-based services has increased competitive pressure on the Company’s media businesses. The development and deployment of new technologies have the potential to negatively and dramatically affect the Company’s businesses in ways that cannot now be reliably predicted and that may have a material adverse effect on the Company’s operating results.</w:t>
      </w:r>
    </w:p>
    <w:p>
      <w:pPr>
        <w:spacing w:after="0" w:line="109"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Nature and Extent of Government Regulations of Television Broadcasting, Cable and VoIP Services</w:t>
      </w:r>
    </w:p>
    <w:p>
      <w:pPr>
        <w:spacing w:after="0" w:line="79"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The Company’s television broadcasting and cable businesses operate in highly regulated environments. The Company’s VoIP services business also is subject to a growing degree of regulation. Complying with applicable regulations has significantly increased, and may continue to increase, the costs and has reduced the revenues of these businesses. Changes in regulations have the potential to further negatively impact those businesses, not only by increasing compliance costs and reducing revenues through restrictions on certain types of advertising, limitations on pricing flexibility or other means, but also by possibly creating more favorable regulatory environments for the providers of competing services. More generally, all of the Company’s businesses could have their profitability or their competitive positions adversely affected by significant changes in applicable regulations.</w:t>
      </w:r>
    </w:p>
    <w:p>
      <w:pPr>
        <w:spacing w:after="0" w:line="107"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Potential Liability for Intellectual Property Infringement Could Adversely Affect the Company’s Businesses</w:t>
      </w:r>
    </w:p>
    <w:p>
      <w:pPr>
        <w:spacing w:after="0" w:line="79"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Company periodically receives claims from third parties alleging that the Company’s businesses infringe the intellectual property rights of others. It is likely that the Company will continue to be subject to similar claims, particularly as they relate to its media and cable businesses. For example, providers of services similar to those offered by Cable ONE have been the target of patent infringement claims from time to time, relating to such matters as cable system architecture, electronic program guides, cable modem technology and VoIP services. Other parts of the Company’s business could also be subject to such claims. Addressing intellectual product claims is a time-consuming and expensive endeavor, regardless of the merits of the claims. In order to resolve such a claim, the</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722" w:right="279" w:bottom="1440" w:gutter="0" w:footer="0" w:header="0"/>
        </w:sectPr>
      </w:pPr>
    </w:p>
    <w:bookmarkStart w:id="30" w:name="page31"/>
    <w:bookmarkEnd w:id="30"/>
    <w:p>
      <w:pPr>
        <w:ind w:right="300"/>
        <w:spacing w:after="0" w:line="231" w:lineRule="auto"/>
        <w:rPr>
          <w:sz w:val="20"/>
          <w:szCs w:val="20"/>
          <w:color w:val="auto"/>
        </w:rPr>
      </w:pPr>
      <w:r>
        <w:rPr>
          <w:rFonts w:ascii="Arial" w:cs="Arial" w:eastAsia="Arial" w:hAnsi="Arial"/>
          <w:sz w:val="18"/>
          <w:szCs w:val="18"/>
          <w:color w:val="auto"/>
        </w:rPr>
        <w:t>Company could determine the need to change its method of doing business, enter into a licensing agreement or incur substantial monetary liability. It is also possible that one of the Company’s businesses could be enjoined from using the intellectual property at issue, causing it to significantly alter its operations. Although the Company cannot predict the impact at this time, if any such claims are successful, then the outcome would likely affect the businesses utilizing the intellectual property at issue and could have a material adverse effect on those businesses’ operating results or prospects.</w:t>
      </w:r>
    </w:p>
    <w:p>
      <w:pPr>
        <w:spacing w:after="0" w:line="109"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Failure to Comply With Privacy Laws or Regulations Could Have an Adverse Effect on the Company’s Business</w:t>
      </w:r>
    </w:p>
    <w:p>
      <w:pPr>
        <w:spacing w:after="0" w:line="79"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Various federal, state and international laws and regulations govern the collection, use, retention, sharing and security of consumer data. This area of the law is evolving, and interpretations of applicable laws and regulations differ. Legislative activity in the privacy area may result in new laws that are relevant to the Company’s operations, for example, use of consumer data for marketing or advertising. Claims of failure to comply with the Company’s privacy policies or applicable laws or regulations could form the basis of governmental or private-party actions against the Company. Such claims and actions may cause damage to the Company’s reputation and could have an adverse effect on the Company’s business.</w:t>
      </w:r>
    </w:p>
    <w:p>
      <w:pPr>
        <w:spacing w:after="0" w:line="110"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Extensive Regulation of Health Care Industry Could Adversely Affect Celtic’s Business and Results of Operations</w:t>
      </w:r>
    </w:p>
    <w:p>
      <w:pPr>
        <w:spacing w:after="0" w:line="79"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home health and hospice industries are subject to extensive federal, state and local laws, with regulations affecting matters including licensure and certification, quality of services, qualifications of personnel, confidentiality and security of medical records, relationships with physicians and other referral sources, operating policies and procedures, and billing and coding practices. These laws and regulations and the manner in which they are interpreted are subject to change. The Patient Protection and Affordable Care Act of 2010 and the overall trend toward cost containment could result in insurers lowering payment rates, limiting service coverage and engaging in other measures to reduce costs. Reimbursement for services by third-party payers, including Medicare, Medicaid and private health insurance providers, may not be available or may be reduced as a result of changing regulations and policies. Managed-care organizations, hospitals, physician practices and other third-party payers continue to consolidate in response to the evolving regulatory environment, thereby enhancing their ability to influence the delivery of health care services and decreasing the number of organizations serving patients. This consolidation could adversely impact Celtic’s business if it is unable to maintain its ability to participate in established networks. Changes in existing laws or regulations, in their interpretation and enforcement, and the enactment of new laws or regulations could have a material adverse effect on Celtic’s business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6"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 xml:space="preserve">The Company retained ownership of certain buildings occupied by the Company and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upon the sale of the publishing businesses in 2013. These buildings in downtown Washington, DC, include a seven-story building, a connected nine-story office building on contiguous property, in which the Company's principal executive offices are located (the GHC Building), a small office building on L Street that is connected to the GHC Building and land on the corner of 15th and L Streets, NW, in Washington, DC, adjacent to the GHC Building (collectively, the DC Properties).The Company has entered into a contract to sell the DC Properties in a transaction expected to close in March 2014.The Company will remain a tenant in the GHC Building until it relocates. The Company has entered into a new lease for its corporate offices in Arlington, VA. The space consists of 33,815 square feet of office space, and the lease expires in 2024, subject to an option of the Company to extend.</w:t>
      </w:r>
    </w:p>
    <w:p>
      <w:pPr>
        <w:spacing w:after="0" w:line="11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Company also retained ownership of certain properties formerly owned by its subsidiary Robinson Terminal Warehouse LLC (Robinson). These retained properties include two wharves and several warehouses along the Potomac River in Alexandria, VA. These facilities, which are adjacent to the business district and occupy approximately seven acres of land, are under contract for sale in two separate transactions. Each transaction is expected to close in 2015, contingent on each buyer obtaining certain land-use approvals.</w:t>
      </w:r>
    </w:p>
    <w:p>
      <w:pPr>
        <w:spacing w:after="0" w:line="11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remaining properties owned or leased by the divested businesses were transferred to the Buyer upon closing of the sale of the Company’s publishing businesses.</w:t>
      </w:r>
    </w:p>
    <w:p>
      <w:pPr>
        <w:spacing w:after="0" w:line="9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Directly or through its subsidiaries, Kaplan owns a total of seven properties: a 30,000-square-foot, six-story building located at 131 West 56th Street in New York City, which serves as an education center primarily for international students; a redeveloped 47,410-square-foot, four-story brick building in Lincoln, NE, which is used by Kaplan University; a 4,000-square-foot office condominium in Chapel Hill, NC, which it utilizes for its KTP business; a 15,000-square-foot, three-story building in Berkeley, CA, used for its KTP and English-language businesses; a 131,000-square-foot, five-story brick building in Manchester, NH, used by Mount Washington College; a 25,000-</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724" w:right="259" w:bottom="1440" w:gutter="0" w:footer="0" w:header="0"/>
        </w:sectPr>
      </w:pPr>
    </w:p>
    <w:bookmarkStart w:id="31" w:name="page32"/>
    <w:bookmarkEnd w:id="31"/>
    <w:p>
      <w:pPr>
        <w:ind w:right="220"/>
        <w:spacing w:after="0" w:line="260" w:lineRule="auto"/>
        <w:rPr>
          <w:sz w:val="20"/>
          <w:szCs w:val="20"/>
          <w:color w:val="auto"/>
        </w:rPr>
      </w:pPr>
      <w:r>
        <w:rPr>
          <w:rFonts w:ascii="Arial" w:cs="Arial" w:eastAsia="Arial" w:hAnsi="Arial"/>
          <w:sz w:val="18"/>
          <w:szCs w:val="18"/>
          <w:color w:val="auto"/>
        </w:rPr>
        <w:t>square-foot building in Hammond, IN, used by Kaplan Career College (formerly Sawyer College); and a 45,000-square-foot, three-story brick building in Houston, TX, used by the Texas School of Business.</w:t>
      </w:r>
    </w:p>
    <w:p>
      <w:pPr>
        <w:spacing w:after="0" w:line="92"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the U.S., Kaplan, Inc. and KHE lease corporate offices, together with a data center, call center and employee-training facilities, in two 97,000-square-foot buildings located on adjacent lots in Fort Lauderdale, FL. Both of those leases will expire in 2018. In addition, KHE leases 62,500 square feet of corporate office space in Chicago, IL, under a lease that will expire in 2022. KHE also separately leases 76,500 square feet of office space in Chicago, IL, however, the location has been entirely subleased through the remainder of the lease term. KHE leases a two-story, 124,500-square-foot building in Orlando, FL (of which 26,500 square feet has been subleased to a third party). This location houses an additional support center pursuant to a lease that will expire in 2021. Kaplan, Inc. and KHE share corporate office space in a 78,000-square-foot office building in Alpharetta, GA, under a lease that expires in 2019. KHE leases 88,800 square feet of corporate office space in Plantation, FL, for a term that expires in 2021. Kaplan, Inc. and its New York-based KTP business lease approximately 159,540 square feet of office space at 395 Hudson Street, for a lease term that will expire in 2024. In addition, the KIC business maintains more than 50 leases in the U.S., comprising an aggregate of approximately 1.9 million square feet of instructional and dormitory space.</w:t>
      </w:r>
    </w:p>
    <w:p>
      <w:pPr>
        <w:spacing w:after="0" w:line="112"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Overseas, Dublin Business School’s facilities in Dublin, Ireland, are located in six buildings, aggregating approximately 83,000 square feet of space, that are rented under leases expiring between 2016 and 2029. Kaplan Publishing has an office and distribution warehouse in Wokingham, Berkshire, U.K., of 27,000 square feet, under a lease expiring in 2016. Kaplan Financial’s largest leaseholds are office and instructional space in London, U.K., of 33,000 square feet (expiring in 2033), 21,500 square feet (expiring in 2015) and 35,800 square feet (comprising seven separate leases, expiring in 2015); office and instructional space in Birmingham, U.K., of 23,600 square feet (expiring in 2017); office and instructional space in Manchester, U.K., of 26,900 square feet (comprising five separate leases, expiring in 2022); office and instructional space in Wales, U.K., of 34,000 square feet (on an open-ended lease with termination on 12 months’ notice); office and instructional space in Singapore of 162,875 square feet (comprising five separate leases, expiring between 2015 and 2019); and office and instructional space in Hong Kong of 30,850 square feet. Kaplan Law School has 20,200 square feet of space in London, U.K. (comprising four separate leases, expiring in 2017). In addition, Kaplan has entered into two separate leases in Glasgow, Scotland, for 58,000 square feet and 22,400 square feet, respectively, of dormitory space that was constructed and opened to students in 2012. These leases will expire in 2032. In addition, Kaplan has signed an agreement for the lease of approximately 143,000 square feet of dormitory space as the main tenant of a new student residential building to be constructed in Nottingham, U.K., which is expected to be completed in 2014. In Australia, Carrick leases two locations in Melbourne with an aggregate of approximately 87,623 square feet, one location in Sydney of 13,024 square feet and one location of 39,000 square feet in Brisbane. These leases expire at various times from 2016 through 2021. Bradford College, in Adelaide, Australia, leases two locations with an aggregate of 34,315-square feet. These leases expire in 2016 and 2020. All other Kaplan facilities in the U.S. and overseas (including administrative offices and instructional locations) occupy leased premises that are for less space than those listed above.</w:t>
      </w:r>
    </w:p>
    <w:p>
      <w:pPr>
        <w:spacing w:after="0" w:line="121"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 headquarters offices of Cable ONE are located in a six-story office building in Phoenix, AZ, that was purchased by Cable ONE in 2012. Cable ONE also utilizes a three-story building in Phoenix purchased in 1998. Cable ONE purchased an adjoining two-story office building in 2005; that building is currently unused. The majority of the offices and head-end facilities of the division’s individual cable systems are located in buildings owned by Cable ONE. Most of the tower sites used by the division are leased. In addition, the division houses call-center operations in 40,800 square feet of rented space in Phoenix under a lease that will expire in 2015, with certain renewal options.</w:t>
      </w:r>
    </w:p>
    <w:p>
      <w:pPr>
        <w:spacing w:after="0" w:line="111"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 Daily Herald Company, a non-operating subsidiary of the Company, owns a plant and office building in Everett, WA; it also owns two warehouses and a small rental building adjacent to its plant. The sale of these properties is being negotiated.</w:t>
      </w:r>
    </w:p>
    <w:p>
      <w:pPr>
        <w:spacing w:after="0" w:line="92"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The offices of the Company’s broadcasting operations are located in Detroit, MI, in the same facilities that house the offices and studios of WDIV, as well as in leased space in Chicago, IL. The Detroit facility and those that house the operations of each of the Company’s other television stations are all owned by subsidiaries of the Company, as are the related tower sites (except in Houston, Orlando, Jacksonville and Miami, where the tower sites are 50% owned).</w:t>
      </w:r>
    </w:p>
    <w:p>
      <w:pPr>
        <w:spacing w:after="0" w:line="111"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Celtic’s headquarters office is located in leased space in Mars, PA. This lease expires in 2017. In addition to its headquarters, Celtic leases 13 small office spaces in its various service territories: Carlisle, PA; Mechanicsburg, PA; Williamsport, PA; Perryopolis, PA; Harrisburg, PA; Kingston, PA; New Castle, PA; Rockville, MD; and Owings Mills, MD. Celtic also leases space for hospice inpatient units in Dunmore, PA, and Wilkes-Barre, PA.</w:t>
      </w:r>
    </w:p>
    <w:p>
      <w:pPr>
        <w:spacing w:after="0" w:line="111"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Forney's corporate office is currently located in Carrollton, TX, under a lease that will expire in March, 2014. Forney has entered into an agreement to lease 20,000 square feet of office space in Addison, TX, with occupancy to begin in April 2014. That lease will expire in 2024. Forney's Mexico facility is located in Monterrey, Mexico, in a building</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24" w:right="259" w:bottom="1440" w:gutter="0" w:footer="0" w:header="0"/>
        </w:sectPr>
      </w:pPr>
    </w:p>
    <w:bookmarkStart w:id="32" w:name="page33"/>
    <w:bookmarkEnd w:id="32"/>
    <w:p>
      <w:pPr>
        <w:ind w:right="280"/>
        <w:spacing w:after="0" w:line="260" w:lineRule="auto"/>
        <w:rPr>
          <w:sz w:val="20"/>
          <w:szCs w:val="20"/>
          <w:color w:val="auto"/>
        </w:rPr>
      </w:pPr>
      <w:r>
        <w:rPr>
          <w:rFonts w:ascii="Arial" w:cs="Arial" w:eastAsia="Arial" w:hAnsi="Arial"/>
          <w:sz w:val="18"/>
          <w:szCs w:val="18"/>
          <w:color w:val="auto"/>
        </w:rPr>
        <w:t>that contains 78,500 square feet of office and manufacturing space under a lease that will expire in 2017. Forney also leases sales offices in Shanghai, Beijing and Singapore; the combined office space is less than 3,000 square feet, and the leases are renewable annually.</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Slate Group leases office space in Washington, DC. SocialCode leases office space in Washington, DC, New York City, San Francisco, CA and Seattle, WA.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6"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On February 6, 2008, a purported class-action lawsuit was filed in the U.S. District Court for the Central District of California by purchasers of BAR/BRI bar review courses, from July 2006 onward, alleging antitrust claims against Kaplan and West Publishing Corporation, BAR/BRI’s former owner. On April 10, 2008, the court granted defendants’ motion to dismiss, a decision that was reversed by the Ninth Circuit Court of Appeals on November 7, 2011. The Ninth Circuit also referred the matter to a mediator for the purpose of exploring a settlement. In the fourth quarter of 2012, the parties reached a comprehensive agreement to settle the matter. The settlement was approved by the District Court in September 2013 and is expected to be administered in 2014.</w:t>
      </w:r>
    </w:p>
    <w:p>
      <w:pPr>
        <w:spacing w:after="0" w:line="112"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On or about January 17, 2008, an Assistant U.S. Attorney in the Civil Division of the U.S. Attorney’s Office for the Eastern District of Pennsylvania contacted KHE’s Broomall campus and made inquiries about the Surgical Technology program, including the program’s eligibility for Title IV U.S. Federal financial aid, the program’s student loan defaults, licensing and accreditation. Kaplan responded to the information requests and fully cooperated with the inquiry. The ED also conducted a program review at the Broomall campus, and Kaplan likewise cooperated with the program review. On July 22, 2011, the U.S. Attorney’s Office for the Eastern District of Pennsylvania announced that it had entered into a comprehensive settlement agreement with Kaplan that resolved the U.S. Attorney’s inquiry, provided for the conclusion of the ED’s program review and also settled a previously sealed U.S. Federal False Claims Act (False Claims Act) complaint that had been filed by a former employee of the CHI-Broomall campus. The total amount of all required payments by Broomall under the agreements was $1.6 million. Pursuant to the comprehensive settlement agreement, the U.S. Attorney inquiry has been closed, the False Claims Act complaint (</w:t>
      </w:r>
      <w:r>
        <w:rPr>
          <w:rFonts w:ascii="Arial" w:cs="Arial" w:eastAsia="Arial" w:hAnsi="Arial"/>
          <w:sz w:val="18"/>
          <w:szCs w:val="18"/>
          <w:i w:val="1"/>
          <w:iCs w:val="1"/>
          <w:color w:val="auto"/>
        </w:rPr>
        <w:t>United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David Goodstein </w:t>
      </w:r>
      <w:r>
        <w:rPr>
          <w:rFonts w:ascii="Arial" w:cs="Arial" w:eastAsia="Arial" w:hAnsi="Arial"/>
          <w:sz w:val="18"/>
          <w:szCs w:val="18"/>
          <w:color w:val="auto"/>
        </w:rPr>
        <w:t>v.</w:t>
      </w:r>
      <w:r>
        <w:rPr>
          <w:rFonts w:ascii="Arial" w:cs="Arial" w:eastAsia="Arial" w:hAnsi="Arial"/>
          <w:sz w:val="18"/>
          <w:szCs w:val="18"/>
          <w:i w:val="1"/>
          <w:iCs w:val="1"/>
          <w:color w:val="auto"/>
        </w:rPr>
        <w:t xml:space="preserve"> Kaplan, Inc. </w:t>
      </w:r>
      <w:r>
        <w:rPr>
          <w:rFonts w:ascii="Arial" w:cs="Arial" w:eastAsia="Arial" w:hAnsi="Arial"/>
          <w:sz w:val="18"/>
          <w:szCs w:val="18"/>
          <w:color w:val="auto"/>
        </w:rPr>
        <w:t>et al.) was dismissed with prejudice and the ED will issue a final program review</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At this time, Kaplan cannot predict the contents of the pending final program review determination or the ultimate impact the proceedings may have on the Broomall campus or the KHE business generally.</w:t>
      </w:r>
    </w:p>
    <w:p>
      <w:pPr>
        <w:spacing w:after="0" w:line="113"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 xml:space="preserve">During 2013, certain Kaplan subsidiaries were subject to two other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Carlos Urquilla-Diaz</w:t>
      </w:r>
      <w:r>
        <w:rPr>
          <w:rFonts w:ascii="Arial" w:cs="Arial" w:eastAsia="Arial" w:hAnsi="Arial"/>
          <w:sz w:val="18"/>
          <w:szCs w:val="18"/>
          <w:color w:val="auto"/>
        </w:rPr>
        <w:t xml:space="preserve"> et al</w:t>
      </w:r>
      <w:r>
        <w:rPr>
          <w:rFonts w:ascii="Arial" w:cs="Arial" w:eastAsia="Arial" w:hAnsi="Arial"/>
          <w:sz w:val="18"/>
          <w:szCs w:val="18"/>
          <w:i w:val="1"/>
          <w:iCs w:val="1"/>
          <w:color w:val="auto"/>
        </w:rPr>
        <w:t>.</w:t>
      </w:r>
      <w:r>
        <w:rPr>
          <w:rFonts w:ascii="Arial" w:cs="Arial" w:eastAsia="Arial" w:hAnsi="Arial"/>
          <w:sz w:val="18"/>
          <w:szCs w:val="18"/>
          <w:color w:val="auto"/>
        </w:rPr>
        <w:t xml:space="preserve"> v</w:t>
      </w:r>
      <w:r>
        <w:rPr>
          <w:rFonts w:ascii="Arial" w:cs="Arial" w:eastAsia="Arial" w:hAnsi="Arial"/>
          <w:sz w:val="18"/>
          <w:szCs w:val="18"/>
          <w:i w:val="1"/>
          <w:iCs w:val="1"/>
          <w:color w:val="auto"/>
        </w:rPr>
        <w:t>. Kaplan University</w:t>
      </w:r>
      <w:r>
        <w:rPr>
          <w:rFonts w:ascii="Arial" w:cs="Arial" w:eastAsia="Arial" w:hAnsi="Arial"/>
          <w:sz w:val="18"/>
          <w:szCs w:val="18"/>
          <w:color w:val="auto"/>
        </w:rPr>
        <w:t xml:space="preserve"> et al. (unsealed March 25, 2008) and </w:t>
      </w:r>
      <w:r>
        <w:rPr>
          <w:rFonts w:ascii="Arial" w:cs="Arial" w:eastAsia="Arial" w:hAnsi="Arial"/>
          <w:sz w:val="18"/>
          <w:szCs w:val="18"/>
          <w:i w:val="1"/>
          <w:iCs w:val="1"/>
          <w:color w:val="auto"/>
        </w:rPr>
        <w:t xml:space="preserve">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Charles Jajdelski </w:t>
      </w:r>
      <w:r>
        <w:rPr>
          <w:rFonts w:ascii="Arial" w:cs="Arial" w:eastAsia="Arial" w:hAnsi="Arial"/>
          <w:sz w:val="18"/>
          <w:szCs w:val="18"/>
          <w:color w:val="auto"/>
        </w:rPr>
        <w:t>v</w:t>
      </w:r>
      <w:r>
        <w:rPr>
          <w:rFonts w:ascii="Arial" w:cs="Arial" w:eastAsia="Arial" w:hAnsi="Arial"/>
          <w:sz w:val="18"/>
          <w:szCs w:val="18"/>
          <w:i w:val="1"/>
          <w:iCs w:val="1"/>
          <w:color w:val="auto"/>
        </w:rPr>
        <w:t>. Kaplan Higher Education Corp</w:t>
      </w:r>
      <w:r>
        <w:rPr>
          <w:rFonts w:ascii="Arial" w:cs="Arial" w:eastAsia="Arial" w:hAnsi="Arial"/>
          <w:sz w:val="18"/>
          <w:szCs w:val="18"/>
          <w:color w:val="auto"/>
        </w:rPr>
        <w:t>. et al. (unsealed January 6, 2009).</w:t>
      </w:r>
    </w:p>
    <w:p>
      <w:pPr>
        <w:spacing w:after="0" w:line="111"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As of December 2013, the Diaz and Gillespie rulings were on appeal to the U.S. Court of Appeals for the Eleventh Judicial Court, where the Company will seek affirmation of the judgments in its favor.</w:t>
      </w:r>
    </w:p>
    <w:p>
      <w:pPr>
        <w:spacing w:after="0" w:line="10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On July 7, 2011, the U.S. District Court for the District of Nevada dismissed the Jajdelski complaint in its entirety and entered a final judgment in favor of Kaplan. On February 13, 2013, the U.S. Circuit Court for the Ninth Judicial Circuit affirmed the dismissal in part and reversed the dismissal on one allegation under the False Claims Act relating to eligibility for Title IV funding based on claims of false attendance. As of December 2013, this case had been remanded to the District Court, where discovery is expected to take place in 2014 as to the remaining allegation in the complaint.</w:t>
      </w:r>
    </w:p>
    <w:p>
      <w:pPr>
        <w:spacing w:after="0" w:line="111"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On October 21, 2010, Kaplan Higher Education Corporation received a subpoena from the office of the Florida Attorney General. The subpoena sought information pertaining to the online and on-campus schools operated by KHE in and outside of Florida. KHE has cooperated with the Florida Attorney General and provided the information requested in the subpoena. Although KHE may receive further requests for information from the Florida Attorney General, there has been no such further correspondence to date. The Company cannot predict the outcome of this inquiry.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24" w:right="239" w:bottom="1440" w:gutter="0" w:footer="0" w:header="0"/>
        </w:sectPr>
      </w:pPr>
    </w:p>
    <w:bookmarkStart w:id="33" w:name="page34"/>
    <w:bookmarkEnd w:id="33"/>
    <w:p>
      <w:pPr>
        <w:ind w:right="160"/>
        <w:spacing w:after="0" w:line="229" w:lineRule="auto"/>
        <w:rPr>
          <w:sz w:val="20"/>
          <w:szCs w:val="20"/>
          <w:color w:val="auto"/>
        </w:rPr>
      </w:pPr>
      <w:r>
        <w:rPr>
          <w:rFonts w:ascii="Arial" w:cs="Arial" w:eastAsia="Arial" w:hAnsi="Arial"/>
          <w:sz w:val="18"/>
          <w:szCs w:val="18"/>
          <w:color w:val="auto"/>
        </w:rPr>
        <w:t>On December 21, 2010, the U.S. Equal Employment Opportunity Commission (EEOC) filed suit against Kaplan Higher Education Corporation in the U.S. District Court for the Northern District of Ohio alleging racial bias by Kaplan in requesting credit scores of job applicants seeking financial positions. In March 2011, the court granted in part the Company’s motion to dismiss the complaint. On January 28, 2013, the court entered summary judgment in favor of Kaplan Higher Education Corporation and against the EEOC, terminating the case in its entirety. The EEOC appealed the judgment to the U.S. Court of Appeals for the Sixth Judicial Circuit, and briefing on that appeal was completed in November 2013.</w:t>
      </w:r>
    </w:p>
    <w:p>
      <w:pPr>
        <w:spacing w:after="0" w:line="112"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On February 7, 2011, Kaplan Higher Education Corporation received a Civil Investigative Demand from the Office of the Attorney General of the State of Illinois. The demand primarily sought information pertaining to Kaplan University’s online students who are residents of Illinois. KHE has cooperated with the Illinois Attorney General and provided the requested information. Although KHE may receive further requests for information from the Illinois Attorney General, there has been no such further correspondence to date. The Company cannot predict the outcome of this inquiry.</w:t>
      </w:r>
    </w:p>
    <w:p>
      <w:pPr>
        <w:spacing w:after="0" w:line="11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On April 30, 2011, Kaplan Higher Education Corporation received a Civil Investigative Demand from the Office of the Attorney General of the State of Massachusetts. The demand primarily sought information pertaining to KHE Campuses’ students who are residents of Massachusetts. KHE has cooperated with the Massachusetts Attorney General and provided the requested information, as well as additional information requested in 2012 and 2013. The Company cannot predict the outcome of this inquiry.</w:t>
      </w:r>
    </w:p>
    <w:p>
      <w:pPr>
        <w:spacing w:after="0" w:line="11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On July 20, 2011, Kaplan Higher Education Corporation received a subpoena from the Office of the Attorney General of the State of Delaware. The demand primarily sought information pertaining to Kaplan University’s online students and KHE Campuses’ students who are residents of Delaware. KHE has cooperated with the Delaware Attorney General and provided the information requested in the subpoena. Although KHE may receive further requests for information from the Delaware Attorney General, there has been no such further correspondence to date. The Company cannot predict the outcome of this inquiry.</w:t>
      </w:r>
    </w:p>
    <w:p>
      <w:pPr>
        <w:spacing w:after="0" w:line="111"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Company and its subsidiaries are also subject to complaints and administrative proceedings and are defendants in various other civil lawsuits that have arisen in the ordinary course of their businesses, including contract disputes; actions alleging negligence, libel, invasion of privacy; trademark, copyright and patent infringement; False Claims Act violations; violations of applicable wage and hour laws; and statutory or common law claims involving current and former students and employees. While it is not possible to predict the outcomes of these lawsuits, in the opinion of management, their ultimate dispositions should not have a material adverse effect on the Company’s business, financial condition, results of operations or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880"/>
        <w:spacing w:after="0" w:line="408" w:lineRule="auto"/>
        <w:rPr>
          <w:sz w:val="20"/>
          <w:szCs w:val="20"/>
          <w:color w:val="auto"/>
        </w:rPr>
      </w:pPr>
      <w:r>
        <w:rPr>
          <w:rFonts w:ascii="Arial" w:cs="Arial" w:eastAsia="Arial" w:hAnsi="Arial"/>
          <w:sz w:val="18"/>
          <w:szCs w:val="18"/>
          <w:b w:val="1"/>
          <w:bCs w:val="1"/>
          <w:color w:val="auto"/>
        </w:rPr>
        <w:t xml:space="preserve">Item 5. Market for the Registrant’s Common Equity, Related Stockholder Matters and Issuer Purchases of Equity Securities. </w:t>
      </w:r>
      <w:r>
        <w:rPr>
          <w:rFonts w:ascii="Arial" w:cs="Arial" w:eastAsia="Arial" w:hAnsi="Arial"/>
          <w:sz w:val="18"/>
          <w:szCs w:val="18"/>
          <w:b w:val="1"/>
          <w:bCs w:val="1"/>
          <w:i w:val="1"/>
          <w:iCs w:val="1"/>
          <w:color w:val="auto"/>
        </w:rPr>
        <w:t>Market Information and Holders</w:t>
      </w:r>
    </w:p>
    <w:p>
      <w:pPr>
        <w:spacing w:after="0" w:line="1"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The Company’s Class B Common Stock is traded on the New York Stock Exchange under the symbol “GHC.” The Company’s Class A Common Stock is not publicly traded.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sales prices of the Company’s Class B Common Stock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w w:val="96"/>
              </w:rPr>
              <w:t>2013</w:t>
            </w:r>
          </w:p>
        </w:tc>
        <w:tc>
          <w:tcPr>
            <w:tcW w:w="6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w w:val="96"/>
              </w:rPr>
              <w:t>2012</w:t>
            </w:r>
          </w:p>
        </w:tc>
        <w:tc>
          <w:tcPr>
            <w:tcW w:w="600" w:type="dxa"/>
            <w:vAlign w:val="bottom"/>
            <w:tcBorders>
              <w:bottom w:val="single" w:sz="8" w:color="auto"/>
            </w:tcBorders>
          </w:tcPr>
          <w:p>
            <w:pPr>
              <w:spacing w:after="0"/>
              <w:rPr>
                <w:sz w:val="17"/>
                <w:szCs w:val="17"/>
                <w:color w:val="auto"/>
              </w:rPr>
            </w:pPr>
          </w:p>
        </w:tc>
      </w:tr>
      <w:tr>
        <w:trPr>
          <w:trHeight w:val="264"/>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w:t>
            </w:r>
          </w:p>
        </w:tc>
        <w:tc>
          <w:tcPr>
            <w:tcW w:w="1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High</w:t>
            </w:r>
          </w:p>
        </w:tc>
        <w:tc>
          <w:tcPr>
            <w:tcW w:w="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Low</w:t>
            </w: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color w:val="auto"/>
              </w:rPr>
              <w:t>High</w:t>
            </w:r>
          </w:p>
        </w:tc>
        <w:tc>
          <w:tcPr>
            <w:tcW w:w="4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Low</w:t>
            </w:r>
          </w:p>
        </w:tc>
      </w:tr>
      <w:tr>
        <w:trPr>
          <w:trHeight w:val="257"/>
        </w:trPr>
        <w:tc>
          <w:tcPr>
            <w:tcW w:w="7900" w:type="dxa"/>
            <w:vAlign w:val="bottom"/>
          </w:tcPr>
          <w:p>
            <w:pPr>
              <w:ind w:left="40"/>
              <w:spacing w:after="0"/>
              <w:rPr>
                <w:sz w:val="20"/>
                <w:szCs w:val="20"/>
                <w:color w:val="auto"/>
              </w:rPr>
            </w:pPr>
            <w:r>
              <w:rPr>
                <w:rFonts w:ascii="Arial" w:cs="Arial" w:eastAsia="Arial" w:hAnsi="Arial"/>
                <w:sz w:val="16"/>
                <w:szCs w:val="16"/>
                <w:color w:val="auto"/>
              </w:rPr>
              <w:t>January–March</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456</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360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405</w:t>
            </w:r>
          </w:p>
        </w:tc>
        <w:tc>
          <w:tcPr>
            <w:tcW w:w="4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364</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April–June</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493</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428</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391</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328</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July–September</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613</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484</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381</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328</w:t>
            </w: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October–December</w:t>
            </w: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687</w:t>
            </w:r>
          </w:p>
        </w:tc>
        <w:tc>
          <w:tcPr>
            <w:tcW w:w="400" w:type="dxa"/>
            <w:vAlign w:val="bottom"/>
          </w:tcPr>
          <w:p>
            <w:pPr>
              <w:spacing w:after="0"/>
              <w:rPr>
                <w:sz w:val="23"/>
                <w:szCs w:val="23"/>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b w:val="1"/>
                <w:bCs w:val="1"/>
                <w:color w:val="auto"/>
              </w:rPr>
              <w:t>592</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383</w:t>
            </w:r>
          </w:p>
        </w:tc>
        <w:tc>
          <w:tcPr>
            <w:tcW w:w="400" w:type="dxa"/>
            <w:vAlign w:val="bottom"/>
          </w:tcPr>
          <w:p>
            <w:pPr>
              <w:spacing w:after="0"/>
              <w:rPr>
                <w:sz w:val="23"/>
                <w:szCs w:val="23"/>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328</w:t>
            </w:r>
          </w:p>
        </w:tc>
      </w:tr>
    </w:tbl>
    <w:p>
      <w:pPr>
        <w:spacing w:after="0" w:line="13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At January 31, 2014, there were 26 holders of record of the Company’s Class A Common Stock and 572 holders of record of the Company’s Class B Common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Information</w:t>
      </w:r>
    </w:p>
    <w:p>
      <w:pPr>
        <w:spacing w:after="0" w:line="144"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Both classes of the Company’s Common Stock participate equally as to dividends. In December 2012, the Company declared and paid an accelerated cash dividend totaling $9.80 per share of outstanding common stock, in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24" w:right="239" w:bottom="1440" w:gutter="0" w:footer="0" w:header="0"/>
        </w:sectPr>
      </w:pPr>
    </w:p>
    <w:bookmarkStart w:id="34" w:name="page35"/>
    <w:bookmarkEnd w:id="34"/>
    <w:p>
      <w:pPr>
        <w:ind w:right="160"/>
        <w:spacing w:after="0" w:line="260" w:lineRule="auto"/>
        <w:rPr>
          <w:sz w:val="20"/>
          <w:szCs w:val="20"/>
          <w:color w:val="auto"/>
        </w:rPr>
      </w:pPr>
      <w:r>
        <w:rPr>
          <w:rFonts w:ascii="Arial" w:cs="Arial" w:eastAsia="Arial" w:hAnsi="Arial"/>
          <w:sz w:val="18"/>
          <w:szCs w:val="18"/>
          <w:color w:val="auto"/>
        </w:rPr>
        <w:t>lieu of regular quarterly dividends that the Company otherwise would have declared and paid in calendar year 2013. Quarterly dividends were paid at the rate of $2.45 per share during 2012.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44"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The following table and the footnote thereto set forth certain information as of December 31, 2013, concerning compensation plans of the Company under which equity securities of the Company are authorized to be issued.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to Be Issued Upon</w:t>
            </w:r>
          </w:p>
        </w:tc>
        <w:tc>
          <w:tcPr>
            <w:tcW w:w="2200" w:type="dxa"/>
            <w:vAlign w:val="bottom"/>
          </w:tcPr>
          <w:p>
            <w:pPr>
              <w:jc w:val="center"/>
              <w:ind w:left="105"/>
              <w:spacing w:after="0"/>
              <w:rPr>
                <w:sz w:val="20"/>
                <w:szCs w:val="20"/>
                <w:color w:val="auto"/>
              </w:rPr>
            </w:pPr>
            <w:r>
              <w:rPr>
                <w:rFonts w:ascii="Arial" w:cs="Arial" w:eastAsia="Arial" w:hAnsi="Arial"/>
                <w:sz w:val="14"/>
                <w:szCs w:val="14"/>
                <w:b w:val="1"/>
                <w:bCs w:val="1"/>
                <w:color w:val="auto"/>
              </w:rPr>
              <w:t>Weighted Average</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2200" w:type="dxa"/>
            <w:vAlign w:val="bottom"/>
          </w:tcPr>
          <w:p>
            <w:pPr>
              <w:jc w:val="center"/>
              <w:ind w:left="125"/>
              <w:spacing w:after="0"/>
              <w:rPr>
                <w:sz w:val="20"/>
                <w:szCs w:val="20"/>
                <w:color w:val="auto"/>
              </w:rPr>
            </w:pPr>
            <w:r>
              <w:rPr>
                <w:rFonts w:ascii="Arial" w:cs="Arial" w:eastAsia="Arial" w:hAnsi="Arial"/>
                <w:sz w:val="14"/>
                <w:szCs w:val="14"/>
                <w:b w:val="1"/>
                <w:bCs w:val="1"/>
                <w:color w:val="auto"/>
              </w:rPr>
              <w:t>Exercise Price of</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200" w:type="dxa"/>
            <w:vAlign w:val="bottom"/>
          </w:tcPr>
          <w:p>
            <w:pPr>
              <w:jc w:val="center"/>
              <w:ind w:left="105"/>
              <w:spacing w:after="0"/>
              <w:rPr>
                <w:sz w:val="20"/>
                <w:szCs w:val="20"/>
                <w:color w:val="auto"/>
              </w:rPr>
            </w:pPr>
            <w:r>
              <w:rPr>
                <w:rFonts w:ascii="Arial" w:cs="Arial" w:eastAsia="Arial" w:hAnsi="Arial"/>
                <w:sz w:val="14"/>
                <w:szCs w:val="14"/>
                <w:b w:val="1"/>
                <w:bCs w:val="1"/>
                <w:color w:val="auto"/>
              </w:rPr>
              <w:t>Outstanding Options,</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Compensation Plans (Excluding</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200" w:type="dxa"/>
            <w:vAlign w:val="bottom"/>
            <w:tcBorders>
              <w:bottom w:val="single" w:sz="8" w:color="auto"/>
            </w:tcBorders>
          </w:tcPr>
          <w:p>
            <w:pPr>
              <w:jc w:val="center"/>
              <w:ind w:left="125"/>
              <w:spacing w:after="0"/>
              <w:rPr>
                <w:sz w:val="20"/>
                <w:szCs w:val="20"/>
                <w:color w:val="auto"/>
              </w:rPr>
            </w:pPr>
            <w:r>
              <w:rPr>
                <w:rFonts w:ascii="Arial" w:cs="Arial" w:eastAsia="Arial" w:hAnsi="Arial"/>
                <w:sz w:val="14"/>
                <w:szCs w:val="14"/>
                <w:b w:val="1"/>
                <w:bCs w:val="1"/>
                <w:color w:val="auto"/>
              </w:rPr>
              <w:t>Warrants and Rights</w:t>
            </w:r>
          </w:p>
        </w:tc>
        <w:tc>
          <w:tcPr>
            <w:tcW w:w="32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rPr>
              <w:t>Securities Reflected in Column (a))</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20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b w:val="1"/>
                <w:bCs w:val="1"/>
                <w:color w:val="auto"/>
              </w:rPr>
              <w:t>(b)</w:t>
            </w:r>
          </w:p>
        </w:tc>
        <w:tc>
          <w:tcPr>
            <w:tcW w:w="32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2"/>
        </w:trPr>
        <w:tc>
          <w:tcPr>
            <w:tcW w:w="3660" w:type="dxa"/>
            <w:vAlign w:val="bottom"/>
          </w:tcPr>
          <w:p>
            <w:pPr>
              <w:ind w:left="40"/>
              <w:spacing w:after="0"/>
              <w:rPr>
                <w:sz w:val="20"/>
                <w:szCs w:val="20"/>
                <w:color w:val="auto"/>
              </w:rPr>
            </w:pPr>
            <w:r>
              <w:rPr>
                <w:rFonts w:ascii="Arial" w:cs="Arial" w:eastAsia="Arial" w:hAnsi="Arial"/>
                <w:sz w:val="16"/>
                <w:szCs w:val="16"/>
                <w:color w:val="auto"/>
              </w:rPr>
              <w:t>Equity compensation plans approved by security</w:t>
            </w:r>
          </w:p>
        </w:tc>
        <w:tc>
          <w:tcPr>
            <w:tcW w:w="23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60" w:type="dxa"/>
            <w:vAlign w:val="bottom"/>
          </w:tcPr>
          <w:p>
            <w:pPr>
              <w:ind w:left="120"/>
              <w:spacing w:after="0"/>
              <w:rPr>
                <w:sz w:val="20"/>
                <w:szCs w:val="20"/>
                <w:color w:val="auto"/>
              </w:rPr>
            </w:pPr>
            <w:r>
              <w:rPr>
                <w:rFonts w:ascii="Arial" w:cs="Arial" w:eastAsia="Arial" w:hAnsi="Arial"/>
                <w:sz w:val="16"/>
                <w:szCs w:val="16"/>
                <w:color w:val="auto"/>
              </w:rPr>
              <w:t>holders</w:t>
            </w:r>
          </w:p>
        </w:tc>
        <w:tc>
          <w:tcPr>
            <w:tcW w:w="2360" w:type="dxa"/>
            <w:vAlign w:val="bottom"/>
          </w:tcPr>
          <w:p>
            <w:pPr>
              <w:jc w:val="right"/>
              <w:ind w:right="765"/>
              <w:spacing w:after="0"/>
              <w:rPr>
                <w:sz w:val="20"/>
                <w:szCs w:val="20"/>
                <w:color w:val="auto"/>
              </w:rPr>
            </w:pPr>
            <w:r>
              <w:rPr>
                <w:rFonts w:ascii="Arial" w:cs="Arial" w:eastAsia="Arial" w:hAnsi="Arial"/>
                <w:sz w:val="16"/>
                <w:szCs w:val="16"/>
                <w:color w:val="auto"/>
              </w:rPr>
              <w:t>121,694</w:t>
            </w:r>
          </w:p>
        </w:tc>
        <w:tc>
          <w:tcPr>
            <w:tcW w:w="2200" w:type="dxa"/>
            <w:vAlign w:val="bottom"/>
          </w:tcPr>
          <w:p>
            <w:pPr>
              <w:jc w:val="right"/>
              <w:ind w:right="565"/>
              <w:spacing w:after="0"/>
              <w:rPr>
                <w:sz w:val="20"/>
                <w:szCs w:val="20"/>
                <w:color w:val="auto"/>
              </w:rPr>
            </w:pPr>
            <w:r>
              <w:rPr>
                <w:rFonts w:ascii="Arial" w:cs="Arial" w:eastAsia="Arial" w:hAnsi="Arial"/>
                <w:sz w:val="16"/>
                <w:szCs w:val="16"/>
                <w:color w:val="auto"/>
              </w:rPr>
              <w:t>$469.76</w:t>
            </w:r>
          </w:p>
        </w:tc>
        <w:tc>
          <w:tcPr>
            <w:tcW w:w="3200" w:type="dxa"/>
            <w:vAlign w:val="bottom"/>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66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w:t>
            </w: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60" w:type="dxa"/>
            <w:vAlign w:val="bottom"/>
          </w:tcPr>
          <w:p>
            <w:pPr>
              <w:ind w:left="120"/>
              <w:spacing w:after="0"/>
              <w:rPr>
                <w:sz w:val="20"/>
                <w:szCs w:val="20"/>
                <w:color w:val="auto"/>
              </w:rPr>
            </w:pPr>
            <w:r>
              <w:rPr>
                <w:rFonts w:ascii="Arial" w:cs="Arial" w:eastAsia="Arial" w:hAnsi="Arial"/>
                <w:sz w:val="16"/>
                <w:szCs w:val="16"/>
                <w:color w:val="auto"/>
              </w:rPr>
              <w:t>security holders</w:t>
            </w:r>
          </w:p>
        </w:tc>
        <w:tc>
          <w:tcPr>
            <w:tcW w:w="23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3660" w:type="dxa"/>
            <w:vAlign w:val="bottom"/>
          </w:tcPr>
          <w:p>
            <w:pPr>
              <w:ind w:left="280"/>
              <w:spacing w:after="0"/>
              <w:rPr>
                <w:sz w:val="20"/>
                <w:szCs w:val="20"/>
                <w:color w:val="auto"/>
              </w:rPr>
            </w:pPr>
            <w:r>
              <w:rPr>
                <w:rFonts w:ascii="Arial" w:cs="Arial" w:eastAsia="Arial" w:hAnsi="Arial"/>
                <w:sz w:val="16"/>
                <w:szCs w:val="16"/>
                <w:color w:val="auto"/>
              </w:rPr>
              <w:t>Total</w:t>
            </w:r>
          </w:p>
        </w:tc>
        <w:tc>
          <w:tcPr>
            <w:tcW w:w="23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121,694</w:t>
            </w:r>
          </w:p>
        </w:tc>
        <w:tc>
          <w:tcPr>
            <w:tcW w:w="220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rPr>
              <w:t>$469.76</w:t>
            </w:r>
          </w:p>
        </w:tc>
        <w:tc>
          <w:tcPr>
            <w:tcW w:w="320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3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66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right="20"/>
        <w:spacing w:after="0" w:line="222" w:lineRule="auto"/>
        <w:rPr>
          <w:sz w:val="20"/>
          <w:szCs w:val="20"/>
          <w:color w:val="auto"/>
        </w:rPr>
      </w:pPr>
      <w:r>
        <w:rPr>
          <w:rFonts w:ascii="Arial" w:cs="Arial" w:eastAsia="Arial" w:hAnsi="Arial"/>
          <w:sz w:val="12"/>
          <w:szCs w:val="12"/>
          <w:color w:val="auto"/>
        </w:rPr>
        <w:t>This table does not include information relating to restricted stock grants awarded under the Graham Holdings Company’s Incentive Compensation Plan, which plan has been approved by the stockholders of the Company. At December 31, 2013, there were 19,603 shares of restricted stock outstanding under the 2011–2014 Award Cycle and 43,645 shares of restricted stock outstanding under the 2012–2016 Award Cycle that had been awarded to employees of the Company and its subsidiaries under that Plan. In addition, the Company has from time to time awarded special discretionary grants of restricted stock to employees of the Company and its subsidiaries. At December 31, 2013, there were a total of 51,231 shares of restricted stock outstanding under special discretionary grants approved by the Compensation Committee of the Board of Directors. At December 31, 2013, a total of 380,771 shares of restricted stock and stock options were available for future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December 31, 2013, the Company purchased shares of its Class B Common Stock as set forth in the following table: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300" w:type="dxa"/>
            <w:vAlign w:val="bottom"/>
          </w:tcPr>
          <w:p>
            <w:pPr>
              <w:spacing w:after="0"/>
              <w:rPr>
                <w:sz w:val="14"/>
                <w:szCs w:val="14"/>
                <w:color w:val="auto"/>
              </w:rPr>
            </w:pPr>
          </w:p>
        </w:tc>
        <w:tc>
          <w:tcPr>
            <w:tcW w:w="1200" w:type="dxa"/>
            <w:vAlign w:val="bottom"/>
          </w:tcPr>
          <w:p>
            <w:pPr>
              <w:jc w:val="center"/>
              <w:ind w:right="283"/>
              <w:spacing w:after="0"/>
              <w:rPr>
                <w:sz w:val="20"/>
                <w:szCs w:val="20"/>
                <w:color w:val="auto"/>
              </w:rPr>
            </w:pPr>
            <w:r>
              <w:rPr>
                <w:rFonts w:ascii="Arial" w:cs="Arial" w:eastAsia="Arial" w:hAnsi="Arial"/>
                <w:sz w:val="14"/>
                <w:szCs w:val="14"/>
                <w:b w:val="1"/>
                <w:bCs w:val="1"/>
                <w:color w:val="auto"/>
              </w:rPr>
              <w:t>Average</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00" w:type="dxa"/>
            <w:vAlign w:val="bottom"/>
          </w:tcPr>
          <w:p>
            <w:pPr>
              <w:jc w:val="center"/>
              <w:ind w:left="23"/>
              <w:spacing w:after="0"/>
              <w:rPr>
                <w:sz w:val="20"/>
                <w:szCs w:val="20"/>
                <w:color w:val="auto"/>
              </w:rPr>
            </w:pPr>
            <w:r>
              <w:rPr>
                <w:rFonts w:ascii="Arial" w:cs="Arial" w:eastAsia="Arial" w:hAnsi="Arial"/>
                <w:sz w:val="14"/>
                <w:szCs w:val="14"/>
                <w:b w:val="1"/>
                <w:bCs w:val="1"/>
                <w:color w:val="auto"/>
              </w:rPr>
              <w:t>Maximum Number of Shares That</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300" w:type="dxa"/>
            <w:vAlign w:val="bottom"/>
          </w:tcPr>
          <w:p>
            <w:pPr>
              <w:spacing w:after="0"/>
              <w:rPr>
                <w:sz w:val="14"/>
                <w:szCs w:val="14"/>
                <w:color w:val="auto"/>
              </w:rPr>
            </w:pPr>
          </w:p>
        </w:tc>
        <w:tc>
          <w:tcPr>
            <w:tcW w:w="1200" w:type="dxa"/>
            <w:vAlign w:val="bottom"/>
          </w:tcPr>
          <w:p>
            <w:pPr>
              <w:jc w:val="center"/>
              <w:ind w:right="263"/>
              <w:spacing w:after="0"/>
              <w:rPr>
                <w:sz w:val="20"/>
                <w:szCs w:val="20"/>
                <w:color w:val="auto"/>
              </w:rPr>
            </w:pPr>
            <w:r>
              <w:rPr>
                <w:rFonts w:ascii="Arial" w:cs="Arial" w:eastAsia="Arial" w:hAnsi="Arial"/>
                <w:sz w:val="14"/>
                <w:szCs w:val="14"/>
                <w:b w:val="1"/>
                <w:bCs w:val="1"/>
                <w:color w:val="auto"/>
              </w:rPr>
              <w:t>Price Paid</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00" w:type="dxa"/>
            <w:vAlign w:val="bottom"/>
          </w:tcPr>
          <w:p>
            <w:pPr>
              <w:jc w:val="center"/>
              <w:ind w:left="23"/>
              <w:spacing w:after="0"/>
              <w:rPr>
                <w:sz w:val="20"/>
                <w:szCs w:val="20"/>
                <w:color w:val="auto"/>
              </w:rPr>
            </w:pPr>
            <w:r>
              <w:rPr>
                <w:rFonts w:ascii="Arial" w:cs="Arial" w:eastAsia="Arial" w:hAnsi="Arial"/>
                <w:sz w:val="14"/>
                <w:szCs w:val="14"/>
                <w:b w:val="1"/>
                <w:bCs w:val="1"/>
                <w:color w:val="auto"/>
              </w:rPr>
              <w:t>May Yet Be Purchased Under the</w:t>
            </w:r>
          </w:p>
        </w:tc>
        <w:tc>
          <w:tcPr>
            <w:tcW w:w="0" w:type="dxa"/>
            <w:vAlign w:val="bottom"/>
          </w:tcPr>
          <w:p>
            <w:pPr>
              <w:spacing w:after="0"/>
              <w:rPr>
                <w:sz w:val="1"/>
                <w:szCs w:val="1"/>
                <w:color w:val="auto"/>
              </w:rPr>
            </w:pPr>
          </w:p>
        </w:tc>
      </w:tr>
      <w:tr>
        <w:trPr>
          <w:trHeight w:val="203"/>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b w:val="1"/>
                <w:bCs w:val="1"/>
                <w:color w:val="auto"/>
              </w:rPr>
              <w:t>per Share</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2600" w:type="dxa"/>
            <w:vAlign w:val="bottom"/>
            <w:tcBorders>
              <w:bottom w:val="single" w:sz="8" w:color="auto"/>
            </w:tcBorders>
          </w:tcPr>
          <w:p>
            <w:pPr>
              <w:jc w:val="center"/>
              <w:ind w:left="43"/>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263"/>
        </w:trPr>
        <w:tc>
          <w:tcPr>
            <w:tcW w:w="3660" w:type="dxa"/>
            <w:vAlign w:val="bottom"/>
          </w:tcPr>
          <w:p>
            <w:pPr>
              <w:ind w:left="40"/>
              <w:spacing w:after="0"/>
              <w:rPr>
                <w:sz w:val="20"/>
                <w:szCs w:val="20"/>
                <w:color w:val="auto"/>
              </w:rPr>
            </w:pPr>
            <w:r>
              <w:rPr>
                <w:rFonts w:ascii="Arial" w:cs="Arial" w:eastAsia="Arial" w:hAnsi="Arial"/>
                <w:sz w:val="14"/>
                <w:szCs w:val="14"/>
                <w:b w:val="1"/>
                <w:bCs w:val="1"/>
                <w:color w:val="auto"/>
              </w:rPr>
              <w:t>2013</w:t>
            </w: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60" w:type="dxa"/>
            <w:vAlign w:val="bottom"/>
          </w:tcPr>
          <w:p>
            <w:pPr>
              <w:ind w:left="40"/>
              <w:spacing w:after="0"/>
              <w:rPr>
                <w:sz w:val="20"/>
                <w:szCs w:val="20"/>
                <w:color w:val="auto"/>
              </w:rPr>
            </w:pPr>
            <w:r>
              <w:rPr>
                <w:rFonts w:ascii="Arial" w:cs="Arial" w:eastAsia="Arial" w:hAnsi="Arial"/>
                <w:sz w:val="16"/>
                <w:szCs w:val="16"/>
                <w:color w:val="auto"/>
              </w:rPr>
              <w:t>October</w:t>
            </w: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21,774</w:t>
            </w:r>
          </w:p>
        </w:tc>
        <w:tc>
          <w:tcPr>
            <w:tcW w:w="300" w:type="dxa"/>
            <w:vAlign w:val="bottom"/>
          </w:tcPr>
          <w:p>
            <w:pPr>
              <w:spacing w:after="0"/>
              <w:rPr>
                <w:sz w:val="22"/>
                <w:szCs w:val="22"/>
                <w:color w:val="auto"/>
              </w:rPr>
            </w:pPr>
          </w:p>
        </w:tc>
        <w:tc>
          <w:tcPr>
            <w:tcW w:w="1200" w:type="dxa"/>
            <w:vAlign w:val="bottom"/>
          </w:tcPr>
          <w:p>
            <w:pPr>
              <w:jc w:val="right"/>
              <w:ind w:right="183"/>
              <w:spacing w:after="0"/>
              <w:rPr>
                <w:sz w:val="20"/>
                <w:szCs w:val="20"/>
                <w:color w:val="auto"/>
              </w:rPr>
            </w:pPr>
            <w:r>
              <w:rPr>
                <w:rFonts w:ascii="Arial" w:cs="Arial" w:eastAsia="Arial" w:hAnsi="Arial"/>
                <w:sz w:val="16"/>
                <w:szCs w:val="16"/>
                <w:color w:val="auto"/>
              </w:rPr>
              <w:t>620.58</w:t>
            </w:r>
          </w:p>
        </w:tc>
        <w:tc>
          <w:tcPr>
            <w:tcW w:w="2360" w:type="dxa"/>
            <w:vAlign w:val="bottom"/>
          </w:tcPr>
          <w:p>
            <w:pPr>
              <w:ind w:left="2080"/>
              <w:spacing w:after="0"/>
              <w:rPr>
                <w:sz w:val="20"/>
                <w:szCs w:val="20"/>
                <w:color w:val="auto"/>
              </w:rPr>
            </w:pPr>
            <w:r>
              <w:rPr>
                <w:rFonts w:ascii="Arial" w:cs="Arial" w:eastAsia="Arial" w:hAnsi="Arial"/>
                <w:sz w:val="16"/>
                <w:szCs w:val="16"/>
                <w:color w:val="auto"/>
              </w:rPr>
              <w:t>—</w:t>
            </w:r>
          </w:p>
        </w:tc>
        <w:tc>
          <w:tcPr>
            <w:tcW w:w="2600" w:type="dxa"/>
            <w:vAlign w:val="bottom"/>
          </w:tcPr>
          <w:p>
            <w:pPr>
              <w:jc w:val="right"/>
              <w:ind w:right="703"/>
              <w:spacing w:after="0"/>
              <w:rPr>
                <w:sz w:val="20"/>
                <w:szCs w:val="20"/>
                <w:color w:val="auto"/>
              </w:rPr>
            </w:pPr>
            <w:r>
              <w:rPr>
                <w:rFonts w:ascii="Arial" w:cs="Arial" w:eastAsia="Arial" w:hAnsi="Arial"/>
                <w:sz w:val="16"/>
                <w:szCs w:val="16"/>
                <w:color w:val="auto"/>
              </w:rPr>
              <w:t>159,219</w:t>
            </w:r>
          </w:p>
        </w:tc>
        <w:tc>
          <w:tcPr>
            <w:tcW w:w="0" w:type="dxa"/>
            <w:vAlign w:val="bottom"/>
          </w:tcPr>
          <w:p>
            <w:pPr>
              <w:spacing w:after="0"/>
              <w:rPr>
                <w:sz w:val="1"/>
                <w:szCs w:val="1"/>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color w:val="auto"/>
              </w:rPr>
              <w:t>November</w:t>
            </w: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20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2360" w:type="dxa"/>
            <w:vAlign w:val="bottom"/>
          </w:tcPr>
          <w:p>
            <w:pPr>
              <w:ind w:left="2080"/>
              <w:spacing w:after="0"/>
              <w:rPr>
                <w:sz w:val="20"/>
                <w:szCs w:val="20"/>
                <w:color w:val="auto"/>
              </w:rPr>
            </w:pPr>
            <w:r>
              <w:rPr>
                <w:rFonts w:ascii="Arial" w:cs="Arial" w:eastAsia="Arial" w:hAnsi="Arial"/>
                <w:sz w:val="16"/>
                <w:szCs w:val="16"/>
                <w:color w:val="auto"/>
              </w:rPr>
              <w:t>—</w:t>
            </w:r>
          </w:p>
        </w:tc>
        <w:tc>
          <w:tcPr>
            <w:tcW w:w="2600" w:type="dxa"/>
            <w:vAlign w:val="bottom"/>
          </w:tcPr>
          <w:p>
            <w:pPr>
              <w:jc w:val="right"/>
              <w:ind w:right="703"/>
              <w:spacing w:after="0"/>
              <w:rPr>
                <w:sz w:val="20"/>
                <w:szCs w:val="20"/>
                <w:color w:val="auto"/>
              </w:rPr>
            </w:pPr>
            <w:r>
              <w:rPr>
                <w:rFonts w:ascii="Arial" w:cs="Arial" w:eastAsia="Arial" w:hAnsi="Arial"/>
                <w:sz w:val="16"/>
                <w:szCs w:val="16"/>
                <w:color w:val="auto"/>
              </w:rPr>
              <w:t>159,219</w:t>
            </w:r>
          </w:p>
        </w:tc>
        <w:tc>
          <w:tcPr>
            <w:tcW w:w="0" w:type="dxa"/>
            <w:vAlign w:val="bottom"/>
          </w:tcPr>
          <w:p>
            <w:pPr>
              <w:spacing w:after="0"/>
              <w:rPr>
                <w:sz w:val="1"/>
                <w:szCs w:val="1"/>
                <w:color w:val="auto"/>
              </w:rPr>
            </w:pPr>
          </w:p>
        </w:tc>
      </w:tr>
      <w:tr>
        <w:trPr>
          <w:trHeight w:val="279"/>
        </w:trPr>
        <w:tc>
          <w:tcPr>
            <w:tcW w:w="3660" w:type="dxa"/>
            <w:vAlign w:val="bottom"/>
          </w:tcPr>
          <w:p>
            <w:pPr>
              <w:ind w:left="40"/>
              <w:spacing w:after="0"/>
              <w:rPr>
                <w:sz w:val="20"/>
                <w:szCs w:val="20"/>
                <w:color w:val="auto"/>
              </w:rPr>
            </w:pPr>
            <w:r>
              <w:rPr>
                <w:rFonts w:ascii="Arial" w:cs="Arial" w:eastAsia="Arial" w:hAnsi="Arial"/>
                <w:sz w:val="16"/>
                <w:szCs w:val="16"/>
                <w:color w:val="auto"/>
              </w:rPr>
              <w:t>December</w:t>
            </w:r>
          </w:p>
        </w:tc>
        <w:tc>
          <w:tcPr>
            <w:tcW w:w="13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w:t>
            </w:r>
          </w:p>
        </w:tc>
        <w:tc>
          <w:tcPr>
            <w:tcW w:w="236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w:t>
            </w:r>
          </w:p>
        </w:tc>
        <w:tc>
          <w:tcPr>
            <w:tcW w:w="2600" w:type="dxa"/>
            <w:vAlign w:val="bottom"/>
          </w:tcPr>
          <w:p>
            <w:pPr>
              <w:jc w:val="right"/>
              <w:ind w:right="703"/>
              <w:spacing w:after="0"/>
              <w:rPr>
                <w:sz w:val="20"/>
                <w:szCs w:val="20"/>
                <w:color w:val="auto"/>
              </w:rPr>
            </w:pPr>
            <w:r>
              <w:rPr>
                <w:rFonts w:ascii="Arial" w:cs="Arial" w:eastAsia="Arial" w:hAnsi="Arial"/>
                <w:sz w:val="16"/>
                <w:szCs w:val="16"/>
                <w:color w:val="auto"/>
              </w:rPr>
              <w:t>159,219</w:t>
            </w:r>
          </w:p>
        </w:tc>
        <w:tc>
          <w:tcPr>
            <w:tcW w:w="0" w:type="dxa"/>
            <w:vAlign w:val="bottom"/>
          </w:tcPr>
          <w:p>
            <w:pPr>
              <w:spacing w:after="0"/>
              <w:rPr>
                <w:sz w:val="1"/>
                <w:szCs w:val="1"/>
                <w:color w:val="auto"/>
              </w:rPr>
            </w:pPr>
          </w:p>
        </w:tc>
      </w:tr>
      <w:tr>
        <w:trPr>
          <w:trHeight w:val="268"/>
        </w:trPr>
        <w:tc>
          <w:tcPr>
            <w:tcW w:w="3660" w:type="dxa"/>
            <w:vAlign w:val="bottom"/>
          </w:tcPr>
          <w:p>
            <w:pPr>
              <w:ind w:left="28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21,774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620.58</w:t>
            </w:r>
          </w:p>
        </w:tc>
        <w:tc>
          <w:tcPr>
            <w:tcW w:w="2360" w:type="dxa"/>
            <w:vAlign w:val="bottom"/>
            <w:tcBorders>
              <w:bottom w:val="single" w:sz="8" w:color="auto"/>
            </w:tcBorders>
          </w:tcPr>
          <w:p>
            <w:pPr>
              <w:ind w:left="2080"/>
              <w:spacing w:after="0"/>
              <w:rPr>
                <w:sz w:val="20"/>
                <w:szCs w:val="20"/>
                <w:color w:val="auto"/>
              </w:rPr>
            </w:pPr>
            <w:r>
              <w:rPr>
                <w:rFonts w:ascii="Arial" w:cs="Arial" w:eastAsia="Arial" w:hAnsi="Arial"/>
                <w:sz w:val="16"/>
                <w:szCs w:val="16"/>
                <w:color w:val="auto"/>
              </w:rPr>
              <w:t>—</w:t>
            </w: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6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right="540"/>
        <w:spacing w:after="0" w:line="239" w:lineRule="auto"/>
        <w:rPr>
          <w:sz w:val="20"/>
          <w:szCs w:val="20"/>
          <w:color w:val="auto"/>
        </w:rPr>
      </w:pPr>
      <w:r>
        <w:rPr>
          <w:rFonts w:ascii="Arial" w:cs="Arial" w:eastAsia="Arial" w:hAnsi="Arial"/>
          <w:sz w:val="12"/>
          <w:szCs w:val="12"/>
          <w:color w:val="auto"/>
        </w:rPr>
        <w:t>*On September 8, 2011, the Company’s Board of Directors authorized the Company to purchase, on the open market or otherwise, up to 750,000 shares of its Class B Common Stock. There is no expiration date for that authorization. In the quarter ended December 31, 2013, 21,774 shares were purchased from recipients of vested awards of restricted shares at market price.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44"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following graph is a comparison of the yearly percentage change in the Company’s cumulative total shareholder return with the cumulative total return of the Standard &amp; Poor’s 500 Stock Index and a custom peer group index comprised of education companies. The Standard &amp; Poor’s 500 Stock Index is comprised of 500 U.S. companies in the industrial, transportation, utilities and financial industries and is weighted by market capitalization. The custom peer group of education companies includes American Public Education, Apollo Education Group Inc., Bridgepoint Education Inc., Capella Education Co., Corinthian Colleges, Inc., DeVry Education Group Inc., Education Management Corp., Grand Canyon Education Inc., ITT Educational Services Inc., National American University Holdings Inc. and Strayer Education Inc. The Company is using a custom peer index of education companies because the Company is a diversified education and media company. Its largest business is Kaplan, Inc., a leading global provider of educational services to individuals, schools and businesses. The graph reflects the investment of $100 on December 31, 2008, in the Company’s Class B Common Stock, the Standard &amp; Poor’s 500 Stock Index, and the custom peer group index of education companies. For purposes of this graph, it has been assumed that dividends were reinvested on the date paid in the case of the Company and on a quarterly basis in the case of the Standard &amp; Poor’s 500 Index and the custom peer group index of education companies.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24" w:right="2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1675130</wp:posOffset>
            </wp:positionH>
            <wp:positionV relativeFrom="page">
              <wp:posOffset>483235</wp:posOffset>
            </wp:positionV>
            <wp:extent cx="4219575" cy="2521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421957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23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2008</w:t>
            </w: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2009</w:t>
            </w: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2010</w:t>
            </w: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2011</w:t>
            </w:r>
          </w:p>
        </w:tc>
        <w:tc>
          <w:tcPr>
            <w:tcW w:w="11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2013</w:t>
            </w:r>
          </w:p>
        </w:tc>
      </w:tr>
      <w:tr>
        <w:trPr>
          <w:trHeight w:val="257"/>
        </w:trPr>
        <w:tc>
          <w:tcPr>
            <w:tcW w:w="3540" w:type="dxa"/>
            <w:vAlign w:val="bottom"/>
          </w:tcPr>
          <w:p>
            <w:pPr>
              <w:ind w:left="40"/>
              <w:spacing w:after="0"/>
              <w:rPr>
                <w:sz w:val="20"/>
                <w:szCs w:val="20"/>
                <w:color w:val="auto"/>
              </w:rPr>
            </w:pPr>
            <w:r>
              <w:rPr>
                <w:rFonts w:ascii="Arial" w:cs="Arial" w:eastAsia="Arial" w:hAnsi="Arial"/>
                <w:sz w:val="16"/>
                <w:szCs w:val="16"/>
                <w:color w:val="auto"/>
              </w:rPr>
              <w:t>Graham Holdings Company</w:t>
            </w:r>
          </w:p>
        </w:tc>
        <w:tc>
          <w:tcPr>
            <w:tcW w:w="2380" w:type="dxa"/>
            <w:vAlign w:val="bottom"/>
          </w:tcPr>
          <w:p>
            <w:pPr>
              <w:jc w:val="right"/>
              <w:ind w:right="221"/>
              <w:spacing w:after="0"/>
              <w:rPr>
                <w:sz w:val="20"/>
                <w:szCs w:val="20"/>
                <w:color w:val="auto"/>
              </w:rPr>
            </w:pPr>
            <w:r>
              <w:rPr>
                <w:rFonts w:ascii="Arial" w:cs="Arial" w:eastAsia="Arial" w:hAnsi="Arial"/>
                <w:sz w:val="16"/>
                <w:szCs w:val="16"/>
                <w:color w:val="auto"/>
              </w:rPr>
              <w:t>100.00</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114.46</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117.31</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102.98</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105.34</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191.32</w:t>
            </w: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2380" w:type="dxa"/>
            <w:vAlign w:val="bottom"/>
          </w:tcPr>
          <w:p>
            <w:pPr>
              <w:jc w:val="right"/>
              <w:ind w:right="221"/>
              <w:spacing w:after="0"/>
              <w:rPr>
                <w:sz w:val="20"/>
                <w:szCs w:val="20"/>
                <w:color w:val="auto"/>
              </w:rPr>
            </w:pPr>
            <w:r>
              <w:rPr>
                <w:rFonts w:ascii="Arial" w:cs="Arial" w:eastAsia="Arial" w:hAnsi="Arial"/>
                <w:sz w:val="16"/>
                <w:szCs w:val="16"/>
                <w:color w:val="auto"/>
              </w:rPr>
              <w:t>100.00</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126.46</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145.51</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148.59</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172.37</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228.19</w:t>
            </w: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Education Peer Group</w:t>
            </w:r>
          </w:p>
        </w:tc>
        <w:tc>
          <w:tcPr>
            <w:tcW w:w="2380" w:type="dxa"/>
            <w:vAlign w:val="bottom"/>
          </w:tcPr>
          <w:p>
            <w:pPr>
              <w:jc w:val="right"/>
              <w:ind w:right="221"/>
              <w:spacing w:after="0"/>
              <w:rPr>
                <w:sz w:val="20"/>
                <w:szCs w:val="20"/>
                <w:color w:val="auto"/>
              </w:rPr>
            </w:pPr>
            <w:r>
              <w:rPr>
                <w:rFonts w:ascii="Arial" w:cs="Arial" w:eastAsia="Arial" w:hAnsi="Arial"/>
                <w:sz w:val="16"/>
                <w:szCs w:val="16"/>
                <w:color w:val="auto"/>
              </w:rPr>
              <w:t>100.00</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92.68</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69.25</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73.68</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34.23</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51.28</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6"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See the information for the years 2009 through 2013 contained in the table titled “Five-Year Summary of Selected Historical Financial Data,” which is included in this Annual Report on Form 10-K and listed in the index to financial information on page 38 hereof (with only the information for such years to be deemed filed as part of this Annual Report on Form 10-K).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6"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38 hereof.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6"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non-U.S. business operations, which are subject to foreign exchange rate risk.</w:t>
      </w:r>
    </w:p>
    <w:p>
      <w:pPr>
        <w:spacing w:after="0" w:line="108" w:lineRule="exact"/>
        <w:rPr>
          <w:sz w:val="20"/>
          <w:szCs w:val="20"/>
          <w:color w:val="auto"/>
        </w:rPr>
      </w:pPr>
    </w:p>
    <w:p>
      <w:pPr>
        <w:ind w:right="320"/>
        <w:spacing w:after="0"/>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Company has common stock investments in several publicly traded companies (as discussed in Note 4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Consolidated Financial Statements) that are subject to market price volatility. The fair value of these common stock investments totaled $487.2 million at December 31, 2013.</w:t>
      </w:r>
    </w:p>
    <w:p>
      <w:pPr>
        <w:spacing w:after="0" w:line="108"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Company’s long-term debt consists of $400 million principal amount of 7.25% unsecured notes due February 1,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At December 31, 2013, the aggregate fair value of the Notes, based upon quoted market prices, was $ 475.2 million.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7.25%, the fair value of the Notes at December 31, 2013, would have been approximately $383.6 million. Conversely, if the market interest rate applicable to the Notes was 100 basis points lower than the Notes’ stated interest rate, the fair value of the Notes at such date would have been approximately $417.1 million.</w:t>
      </w:r>
    </w:p>
    <w:p>
      <w:pPr>
        <w:spacing w:after="0" w:line="108"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On September 7, 2011, the Company borrowed AUD 50 million under its revolving credit facility. On the same date, the Company entered into interest rate swap agreements with a total notional value of AUD 50 million and a maturity date of March 7, 2015. These interest rate swap agreements will pay the Company variable interest on the AUD 50 million notional amount at the three-month bank bill rate, and the Company will pay the counterparties a</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40" w:right="239" w:bottom="1440" w:gutter="0" w:footer="0" w:header="0"/>
        </w:sectPr>
      </w:pPr>
    </w:p>
    <w:bookmarkStart w:id="36" w:name="page37"/>
    <w:bookmarkEnd w:id="36"/>
    <w:p>
      <w:pPr>
        <w:spacing w:after="0" w:line="260" w:lineRule="auto"/>
        <w:rPr>
          <w:sz w:val="20"/>
          <w:szCs w:val="20"/>
          <w:color w:val="auto"/>
        </w:rPr>
      </w:pPr>
      <w:r>
        <w:rPr>
          <w:rFonts w:ascii="Arial" w:cs="Arial" w:eastAsia="Arial" w:hAnsi="Arial"/>
          <w:sz w:val="18"/>
          <w:szCs w:val="18"/>
          <w:color w:val="auto"/>
        </w:rPr>
        <w:t>fixed rate of 4.5275%. These interest rate swap agreements were entered into to convert the variable rate Australian dollar borrowing under the revolving credit facility into a fixed rate borrowing.</w:t>
      </w:r>
    </w:p>
    <w:p>
      <w:pPr>
        <w:spacing w:after="0" w:line="92"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b w:val="1"/>
          <w:bCs w:val="1"/>
          <w:i w:val="1"/>
          <w:iCs w:val="1"/>
          <w:color w:val="auto"/>
        </w:rPr>
        <w:t xml:space="preserve">Foreign Exchange Rate Risk. </w:t>
      </w:r>
      <w:r>
        <w:rPr>
          <w:rFonts w:ascii="Arial" w:cs="Arial" w:eastAsia="Arial" w:hAnsi="Arial"/>
          <w:sz w:val="18"/>
          <w:szCs w:val="18"/>
          <w:color w:val="auto"/>
        </w:rPr>
        <w:t>The Company is exposed to foreign exchange rate risk primarily at its Kaplan international operations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Corporate entity, and the primary exposure relates to the exchange rate between the U.S. dollar and both the British pound and the Australian dollar. This exposure includes British pound and Australian dollar denominated intercompany loans on U.S.-based Kaplan entities with a functional currency in U.S. dollars, and the AUD 50 million borrowing. In 2013, the Company reported unrealized foreign currency losses of $13.4 million. In 2012, the Company reported unrealized foreign currency gains of $3.1 million. In 2011, the Company reported unrealized foreign currency losses of $3.3 million.</w:t>
      </w:r>
    </w:p>
    <w:p>
      <w:pPr>
        <w:spacing w:after="0" w:line="11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If the values of the British pound and the Australian dollar relative to the U.S. dollar had been 10% lower than the values that prevailed during 2013, the Company’s pre-tax income for 2013 would have been approximately $18 million lower. Conversely, if such values had been 10% higher, the Company’s reported pre-tax income for 2013 would have been approximately $18 million higher.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6"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See the Company’s Consolidated Financial Statements at December 31, 2013, and for the periods then ended, together with the report of PricewaterhouseCoopers LLP thereon and the information contained in Note 20 to said Consolidated Financial Statements titled “Summary of Quarterly Operating Results and Comprehensive Income (Unaudited),” which are included in this Annual Report on Form 10-K and listed in the index to financial information on page 38 hereof.</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4"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December 31, 2013.</w:t>
      </w:r>
    </w:p>
    <w:p>
      <w:pPr>
        <w:spacing w:after="0" w:line="2" w:lineRule="exact"/>
        <w:rPr>
          <w:sz w:val="20"/>
          <w:szCs w:val="20"/>
          <w:color w:val="auto"/>
        </w:rPr>
      </w:pPr>
    </w:p>
    <w:p>
      <w:pPr>
        <w:ind w:right="300"/>
        <w:spacing w:after="0" w:line="225" w:lineRule="auto"/>
        <w:rPr>
          <w:sz w:val="20"/>
          <w:szCs w:val="20"/>
          <w:color w:val="auto"/>
        </w:rPr>
      </w:pPr>
      <w:r>
        <w:rPr>
          <w:rFonts w:ascii="Arial" w:cs="Arial" w:eastAsia="Arial" w:hAnsi="Arial"/>
          <w:sz w:val="18"/>
          <w:szCs w:val="18"/>
          <w:color w:val="auto"/>
        </w:rPr>
        <w:t>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10" w:lineRule="exact"/>
        <w:rPr>
          <w:sz w:val="20"/>
          <w:szCs w:val="20"/>
          <w:color w:val="auto"/>
        </w:rPr>
      </w:pPr>
    </w:p>
    <w:p>
      <w:pPr>
        <w:ind w:right="5160"/>
        <w:spacing w:after="0" w:line="407" w:lineRule="auto"/>
        <w:rPr>
          <w:sz w:val="20"/>
          <w:szCs w:val="20"/>
          <w:color w:val="auto"/>
        </w:rPr>
      </w:pPr>
      <w:r>
        <w:rPr>
          <w:rFonts w:ascii="Arial" w:cs="Arial" w:eastAsia="Arial" w:hAnsi="Arial"/>
          <w:sz w:val="18"/>
          <w:szCs w:val="18"/>
          <w:b w:val="1"/>
          <w:bCs w:val="1"/>
          <w:i w:val="1"/>
          <w:iCs w:val="1"/>
          <w:color w:val="auto"/>
        </w:rPr>
        <w:t xml:space="preserve">Management’s Report on Internal Control Over Financial Reporting </w:t>
      </w:r>
      <w:r>
        <w:rPr>
          <w:rFonts w:ascii="Arial" w:cs="Arial" w:eastAsia="Arial" w:hAnsi="Arial"/>
          <w:sz w:val="18"/>
          <w:szCs w:val="18"/>
          <w:color w:val="auto"/>
        </w:rPr>
        <w:t xml:space="preserve">Management’s report set forth on page 56 is incorporated herein by reference. </w:t>
      </w:r>
      <w:r>
        <w:rPr>
          <w:rFonts w:ascii="Arial" w:cs="Arial" w:eastAsia="Arial" w:hAnsi="Arial"/>
          <w:sz w:val="18"/>
          <w:szCs w:val="18"/>
          <w:b w:val="1"/>
          <w:bCs w:val="1"/>
          <w:i w:val="1"/>
          <w:iCs w:val="1"/>
          <w:color w:val="auto"/>
        </w:rPr>
        <w:t>Changes in Internal Control Over Financial Reporting</w:t>
      </w:r>
    </w:p>
    <w:p>
      <w:pPr>
        <w:ind w:right="300"/>
        <w:spacing w:after="0" w:line="260"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31, 2013, that has materially affected, or is reasonably likely to materially affect, the Company’s internal control over financial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6"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The information contained under the heading “Executive Officers” in Item 1 hereof and the information contained under the headings “Nominees for Election by Class A Shareholders,” “Nominees for Election by Class B Shareholders,” “Audit Committee” and “Section 16(a) Beneficial Ownership Reporting Compliance” in the definitive</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72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Proxy Statement for the Company’s 2014 Annual Meeting of Stockholders is incorporated herein by reference thereto.</w:t>
      </w:r>
    </w:p>
    <w:p>
      <w:pPr>
        <w:spacing w:after="0" w:line="144"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website, the address of which is ghco.com</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website.</w:t>
      </w:r>
    </w:p>
    <w:p>
      <w:pPr>
        <w:spacing w:after="0" w:line="112"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In addition to the certifications of the Company’s Chief Executive Officer and Chief Financial Officer filed as exhibits to this Annual Report on Form 10-K, on June 6, 2013, the Company’s Chief Executive Officer submitted to the New York Stock Exchange the annual certification regarding compliance with the NYSE’s corporate governance listing standards required by Section 303A.12(a) of the NYSE Listed Company Manual.</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2014 Annual Meeting of Stockholders is incorporated herein by reference thereto.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4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2014 Annual Meeting of Stockholders is incorporated herein by reference thereto.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4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information contained under the headings “Transactions With Related Persons, Promoters and Certain Control Persons” and “Controlled Company” in the definitive Proxy Statement for the Company’s 2014 Annual Meeting of Stockholders is incorporated herein by reference thereto.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46"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2014 Annual Meeting of Stockholders is incorporated herein by reference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44" w:lineRule="exact"/>
        <w:rPr>
          <w:sz w:val="20"/>
          <w:szCs w:val="20"/>
          <w:color w:val="auto"/>
        </w:rPr>
      </w:pPr>
    </w:p>
    <w:p>
      <w:pPr>
        <w:ind w:left="860" w:hanging="406"/>
        <w:spacing w:after="0"/>
        <w:tabs>
          <w:tab w:leader="none" w:pos="860" w:val="left"/>
        </w:tabs>
        <w:numPr>
          <w:ilvl w:val="1"/>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Statements. </w:t>
      </w:r>
      <w:r>
        <w:rPr>
          <w:rFonts w:ascii="Arial" w:cs="Arial" w:eastAsia="Arial" w:hAnsi="Arial"/>
          <w:sz w:val="18"/>
          <w:szCs w:val="18"/>
          <w:color w:val="auto"/>
        </w:rPr>
        <w:t>As listed in the index to financial information on page 38 hereof.</w:t>
      </w:r>
    </w:p>
    <w:p>
      <w:pPr>
        <w:spacing w:after="0" w:line="144" w:lineRule="exact"/>
        <w:rPr>
          <w:rFonts w:ascii="Arial" w:cs="Arial" w:eastAsia="Arial" w:hAnsi="Arial"/>
          <w:sz w:val="18"/>
          <w:szCs w:val="18"/>
          <w:color w:val="auto"/>
        </w:rPr>
      </w:pPr>
    </w:p>
    <w:p>
      <w:pPr>
        <w:ind w:left="840" w:hanging="400"/>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As listed in the index to exhibits on page 100 hereof.</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724" w:right="259" w:bottom="1440" w:gutter="0" w:footer="0" w:header="0"/>
        </w:sectPr>
      </w:pPr>
    </w:p>
    <w:bookmarkStart w:id="38" w:name="page39"/>
    <w:bookmarkEnd w:id="38"/>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27, 2014.</w:t>
      </w:r>
    </w:p>
    <w:p>
      <w:pPr>
        <w:spacing w:after="0" w:line="307"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6700"/>
        <w:spacing w:after="0"/>
        <w:tabs>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54610</wp:posOffset>
            </wp:positionV>
            <wp:extent cx="2752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4"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Hal S. Jones</w:t>
      </w:r>
    </w:p>
    <w:p>
      <w:pPr>
        <w:spacing w:after="0" w:line="5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Senior Vice President–Finance</w:t>
      </w:r>
    </w:p>
    <w:p>
      <w:pPr>
        <w:spacing w:after="0" w:line="200" w:lineRule="exact"/>
        <w:rPr>
          <w:sz w:val="20"/>
          <w:szCs w:val="20"/>
          <w:color w:val="auto"/>
        </w:rPr>
      </w:pPr>
    </w:p>
    <w:p>
      <w:pPr>
        <w:spacing w:after="0" w:line="255"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27, 2014:</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840" w:type="dxa"/>
            <w:vAlign w:val="bottom"/>
          </w:tcPr>
          <w:p>
            <w:pPr>
              <w:jc w:val="center"/>
              <w:ind w:right="850"/>
              <w:spacing w:after="0"/>
              <w:rPr>
                <w:sz w:val="20"/>
                <w:szCs w:val="20"/>
                <w:color w:val="auto"/>
              </w:rPr>
            </w:pPr>
            <w:r>
              <w:rPr>
                <w:rFonts w:ascii="Arial" w:cs="Arial" w:eastAsia="Arial" w:hAnsi="Arial"/>
                <w:sz w:val="18"/>
                <w:szCs w:val="18"/>
                <w:color w:val="auto"/>
              </w:rPr>
              <w:t>Donald E. Graham</w:t>
            </w:r>
          </w:p>
        </w:tc>
        <w:tc>
          <w:tcPr>
            <w:tcW w:w="4200" w:type="dxa"/>
            <w:vAlign w:val="bottom"/>
          </w:tcPr>
          <w:p>
            <w:pPr>
              <w:jc w:val="center"/>
              <w:ind w:left="850"/>
              <w:spacing w:after="0"/>
              <w:rPr>
                <w:sz w:val="20"/>
                <w:szCs w:val="20"/>
                <w:color w:val="auto"/>
              </w:rPr>
            </w:pPr>
            <w:r>
              <w:rPr>
                <w:rFonts w:ascii="Arial" w:cs="Arial" w:eastAsia="Arial" w:hAnsi="Arial"/>
                <w:sz w:val="18"/>
                <w:szCs w:val="18"/>
                <w:color w:val="auto"/>
              </w:rPr>
              <w:t>Chairman of the Board, Chief Executive</w:t>
            </w:r>
          </w:p>
        </w:tc>
      </w:tr>
      <w:tr>
        <w:trPr>
          <w:trHeight w:val="203"/>
        </w:trPr>
        <w:tc>
          <w:tcPr>
            <w:tcW w:w="2840" w:type="dxa"/>
            <w:vAlign w:val="bottom"/>
          </w:tcPr>
          <w:p>
            <w:pPr>
              <w:spacing w:after="0"/>
              <w:rPr>
                <w:sz w:val="17"/>
                <w:szCs w:val="17"/>
                <w:color w:val="auto"/>
              </w:rPr>
            </w:pPr>
          </w:p>
        </w:tc>
        <w:tc>
          <w:tcPr>
            <w:tcW w:w="4200" w:type="dxa"/>
            <w:vAlign w:val="bottom"/>
          </w:tcPr>
          <w:p>
            <w:pPr>
              <w:jc w:val="center"/>
              <w:ind w:left="890"/>
              <w:spacing w:after="0" w:line="202" w:lineRule="exact"/>
              <w:rPr>
                <w:sz w:val="20"/>
                <w:szCs w:val="20"/>
                <w:color w:val="auto"/>
              </w:rPr>
            </w:pPr>
            <w:r>
              <w:rPr>
                <w:rFonts w:ascii="Arial" w:cs="Arial" w:eastAsia="Arial" w:hAnsi="Arial"/>
                <w:sz w:val="18"/>
                <w:szCs w:val="18"/>
                <w:color w:val="auto"/>
                <w:w w:val="99"/>
              </w:rPr>
              <w:t>Officer (Principal Executive Officer) and</w:t>
            </w:r>
          </w:p>
        </w:tc>
      </w:tr>
      <w:tr>
        <w:trPr>
          <w:trHeight w:val="243"/>
        </w:trPr>
        <w:tc>
          <w:tcPr>
            <w:tcW w:w="2840" w:type="dxa"/>
            <w:vAlign w:val="bottom"/>
          </w:tcPr>
          <w:p>
            <w:pPr>
              <w:spacing w:after="0"/>
              <w:rPr>
                <w:sz w:val="21"/>
                <w:szCs w:val="21"/>
                <w:color w:val="auto"/>
              </w:rPr>
            </w:pPr>
          </w:p>
        </w:tc>
        <w:tc>
          <w:tcPr>
            <w:tcW w:w="4200" w:type="dxa"/>
            <w:vAlign w:val="bottom"/>
          </w:tcPr>
          <w:p>
            <w:pPr>
              <w:jc w:val="center"/>
              <w:ind w:left="850"/>
              <w:spacing w:after="0"/>
              <w:rPr>
                <w:sz w:val="20"/>
                <w:szCs w:val="20"/>
                <w:color w:val="auto"/>
              </w:rPr>
            </w:pPr>
            <w:r>
              <w:rPr>
                <w:rFonts w:ascii="Arial" w:cs="Arial" w:eastAsia="Arial" w:hAnsi="Arial"/>
                <w:sz w:val="18"/>
                <w:szCs w:val="18"/>
                <w:color w:val="auto"/>
                <w:w w:val="98"/>
              </w:rPr>
              <w:t>Director</w:t>
            </w:r>
          </w:p>
        </w:tc>
      </w:tr>
      <w:tr>
        <w:trPr>
          <w:trHeight w:val="459"/>
        </w:trPr>
        <w:tc>
          <w:tcPr>
            <w:tcW w:w="2840" w:type="dxa"/>
            <w:vAlign w:val="bottom"/>
          </w:tcPr>
          <w:p>
            <w:pPr>
              <w:jc w:val="center"/>
              <w:ind w:right="850"/>
              <w:spacing w:after="0"/>
              <w:rPr>
                <w:sz w:val="20"/>
                <w:szCs w:val="20"/>
                <w:color w:val="auto"/>
              </w:rPr>
            </w:pPr>
            <w:r>
              <w:rPr>
                <w:rFonts w:ascii="Arial" w:cs="Arial" w:eastAsia="Arial" w:hAnsi="Arial"/>
                <w:sz w:val="18"/>
                <w:szCs w:val="18"/>
                <w:color w:val="auto"/>
                <w:w w:val="99"/>
              </w:rPr>
              <w:t>Hal S. Jones</w:t>
            </w:r>
          </w:p>
        </w:tc>
        <w:tc>
          <w:tcPr>
            <w:tcW w:w="4200" w:type="dxa"/>
            <w:vAlign w:val="bottom"/>
          </w:tcPr>
          <w:p>
            <w:pPr>
              <w:jc w:val="center"/>
              <w:ind w:left="850"/>
              <w:spacing w:after="0"/>
              <w:rPr>
                <w:sz w:val="20"/>
                <w:szCs w:val="20"/>
                <w:color w:val="auto"/>
              </w:rPr>
            </w:pPr>
            <w:r>
              <w:rPr>
                <w:rFonts w:ascii="Arial" w:cs="Arial" w:eastAsia="Arial" w:hAnsi="Arial"/>
                <w:sz w:val="18"/>
                <w:szCs w:val="18"/>
                <w:color w:val="auto"/>
                <w:w w:val="99"/>
              </w:rPr>
              <w:t>Senior Vice President–Finance (Principal</w:t>
            </w:r>
          </w:p>
        </w:tc>
      </w:tr>
      <w:tr>
        <w:trPr>
          <w:trHeight w:val="243"/>
        </w:trPr>
        <w:tc>
          <w:tcPr>
            <w:tcW w:w="2840" w:type="dxa"/>
            <w:vAlign w:val="bottom"/>
          </w:tcPr>
          <w:p>
            <w:pPr>
              <w:spacing w:after="0"/>
              <w:rPr>
                <w:sz w:val="21"/>
                <w:szCs w:val="21"/>
                <w:color w:val="auto"/>
              </w:rPr>
            </w:pPr>
          </w:p>
        </w:tc>
        <w:tc>
          <w:tcPr>
            <w:tcW w:w="4200" w:type="dxa"/>
            <w:vAlign w:val="bottom"/>
          </w:tcPr>
          <w:p>
            <w:pPr>
              <w:jc w:val="center"/>
              <w:ind w:left="850"/>
              <w:spacing w:after="0"/>
              <w:rPr>
                <w:sz w:val="20"/>
                <w:szCs w:val="20"/>
                <w:color w:val="auto"/>
              </w:rPr>
            </w:pPr>
            <w:r>
              <w:rPr>
                <w:rFonts w:ascii="Arial" w:cs="Arial" w:eastAsia="Arial" w:hAnsi="Arial"/>
                <w:sz w:val="18"/>
                <w:szCs w:val="18"/>
                <w:color w:val="auto"/>
                <w:w w:val="98"/>
              </w:rPr>
              <w:t>Financial Officer)</w:t>
            </w:r>
          </w:p>
        </w:tc>
      </w:tr>
      <w:tr>
        <w:trPr>
          <w:trHeight w:val="500"/>
        </w:trPr>
        <w:tc>
          <w:tcPr>
            <w:tcW w:w="2840" w:type="dxa"/>
            <w:vAlign w:val="bottom"/>
          </w:tcPr>
          <w:p>
            <w:pPr>
              <w:jc w:val="center"/>
              <w:ind w:right="850"/>
              <w:spacing w:after="0"/>
              <w:rPr>
                <w:sz w:val="20"/>
                <w:szCs w:val="20"/>
                <w:color w:val="auto"/>
              </w:rPr>
            </w:pPr>
            <w:r>
              <w:rPr>
                <w:rFonts w:ascii="Arial" w:cs="Arial" w:eastAsia="Arial" w:hAnsi="Arial"/>
                <w:sz w:val="18"/>
                <w:szCs w:val="18"/>
                <w:color w:val="auto"/>
                <w:w w:val="99"/>
              </w:rPr>
              <w:t>Wallace R. Cooney</w:t>
            </w:r>
          </w:p>
        </w:tc>
        <w:tc>
          <w:tcPr>
            <w:tcW w:w="4200" w:type="dxa"/>
            <w:vAlign w:val="bottom"/>
          </w:tcPr>
          <w:p>
            <w:pPr>
              <w:jc w:val="center"/>
              <w:ind w:left="850"/>
              <w:spacing w:after="0"/>
              <w:rPr>
                <w:sz w:val="20"/>
                <w:szCs w:val="20"/>
                <w:color w:val="auto"/>
              </w:rPr>
            </w:pPr>
            <w:r>
              <w:rPr>
                <w:rFonts w:ascii="Arial" w:cs="Arial" w:eastAsia="Arial" w:hAnsi="Arial"/>
                <w:sz w:val="18"/>
                <w:szCs w:val="18"/>
                <w:color w:val="auto"/>
              </w:rPr>
              <w:t>Principal Accounting Officer</w:t>
            </w:r>
          </w:p>
        </w:tc>
      </w:tr>
      <w:tr>
        <w:trPr>
          <w:trHeight w:val="500"/>
        </w:trPr>
        <w:tc>
          <w:tcPr>
            <w:tcW w:w="2840" w:type="dxa"/>
            <w:vAlign w:val="bottom"/>
          </w:tcPr>
          <w:p>
            <w:pPr>
              <w:jc w:val="center"/>
              <w:ind w:right="830"/>
              <w:spacing w:after="0"/>
              <w:rPr>
                <w:sz w:val="20"/>
                <w:szCs w:val="20"/>
                <w:color w:val="auto"/>
              </w:rPr>
            </w:pPr>
            <w:r>
              <w:rPr>
                <w:rFonts w:ascii="Arial" w:cs="Arial" w:eastAsia="Arial" w:hAnsi="Arial"/>
                <w:sz w:val="18"/>
                <w:szCs w:val="18"/>
                <w:color w:val="auto"/>
                <w:w w:val="99"/>
              </w:rPr>
              <w:t>Lee C. Bollinger</w:t>
            </w:r>
          </w:p>
        </w:tc>
        <w:tc>
          <w:tcPr>
            <w:tcW w:w="4200" w:type="dxa"/>
            <w:vAlign w:val="bottom"/>
          </w:tcPr>
          <w:p>
            <w:pPr>
              <w:jc w:val="center"/>
              <w:ind w:left="850"/>
              <w:spacing w:after="0"/>
              <w:rPr>
                <w:sz w:val="20"/>
                <w:szCs w:val="20"/>
                <w:color w:val="auto"/>
              </w:rPr>
            </w:pPr>
            <w:r>
              <w:rPr>
                <w:rFonts w:ascii="Arial" w:cs="Arial" w:eastAsia="Arial" w:hAnsi="Arial"/>
                <w:sz w:val="18"/>
                <w:szCs w:val="18"/>
                <w:color w:val="auto"/>
                <w:w w:val="98"/>
              </w:rPr>
              <w:t>Director</w:t>
            </w:r>
          </w:p>
        </w:tc>
      </w:tr>
      <w:tr>
        <w:trPr>
          <w:trHeight w:val="257"/>
        </w:trPr>
        <w:tc>
          <w:tcPr>
            <w:tcW w:w="2840" w:type="dxa"/>
            <w:vAlign w:val="bottom"/>
          </w:tcPr>
          <w:p>
            <w:pPr>
              <w:jc w:val="center"/>
              <w:ind w:right="850"/>
              <w:spacing w:after="0"/>
              <w:rPr>
                <w:sz w:val="20"/>
                <w:szCs w:val="20"/>
                <w:color w:val="auto"/>
              </w:rPr>
            </w:pPr>
            <w:r>
              <w:rPr>
                <w:rFonts w:ascii="Arial" w:cs="Arial" w:eastAsia="Arial" w:hAnsi="Arial"/>
                <w:sz w:val="18"/>
                <w:szCs w:val="18"/>
                <w:color w:val="auto"/>
                <w:w w:val="99"/>
              </w:rPr>
              <w:t>Christopher C. Davis</w:t>
            </w:r>
          </w:p>
        </w:tc>
        <w:tc>
          <w:tcPr>
            <w:tcW w:w="4200" w:type="dxa"/>
            <w:vAlign w:val="bottom"/>
          </w:tcPr>
          <w:p>
            <w:pPr>
              <w:jc w:val="center"/>
              <w:ind w:left="850"/>
              <w:spacing w:after="0"/>
              <w:rPr>
                <w:sz w:val="20"/>
                <w:szCs w:val="20"/>
                <w:color w:val="auto"/>
              </w:rPr>
            </w:pPr>
            <w:r>
              <w:rPr>
                <w:rFonts w:ascii="Arial" w:cs="Arial" w:eastAsia="Arial" w:hAnsi="Arial"/>
                <w:sz w:val="18"/>
                <w:szCs w:val="18"/>
                <w:color w:val="auto"/>
                <w:w w:val="98"/>
              </w:rPr>
              <w:t>Director</w:t>
            </w:r>
          </w:p>
        </w:tc>
      </w:tr>
      <w:tr>
        <w:trPr>
          <w:trHeight w:val="257"/>
        </w:trPr>
        <w:tc>
          <w:tcPr>
            <w:tcW w:w="2840" w:type="dxa"/>
            <w:vAlign w:val="bottom"/>
          </w:tcPr>
          <w:p>
            <w:pPr>
              <w:jc w:val="center"/>
              <w:ind w:right="850"/>
              <w:spacing w:after="0"/>
              <w:rPr>
                <w:sz w:val="20"/>
                <w:szCs w:val="20"/>
                <w:color w:val="auto"/>
              </w:rPr>
            </w:pPr>
            <w:r>
              <w:rPr>
                <w:rFonts w:ascii="Arial" w:cs="Arial" w:eastAsia="Arial" w:hAnsi="Arial"/>
                <w:sz w:val="18"/>
                <w:szCs w:val="18"/>
                <w:color w:val="auto"/>
              </w:rPr>
              <w:t>Barry Diller</w:t>
            </w:r>
          </w:p>
        </w:tc>
        <w:tc>
          <w:tcPr>
            <w:tcW w:w="4200" w:type="dxa"/>
            <w:vAlign w:val="bottom"/>
          </w:tcPr>
          <w:p>
            <w:pPr>
              <w:jc w:val="center"/>
              <w:ind w:left="850"/>
              <w:spacing w:after="0"/>
              <w:rPr>
                <w:sz w:val="20"/>
                <w:szCs w:val="20"/>
                <w:color w:val="auto"/>
              </w:rPr>
            </w:pPr>
            <w:r>
              <w:rPr>
                <w:rFonts w:ascii="Arial" w:cs="Arial" w:eastAsia="Arial" w:hAnsi="Arial"/>
                <w:sz w:val="18"/>
                <w:szCs w:val="18"/>
                <w:color w:val="auto"/>
                <w:w w:val="98"/>
              </w:rPr>
              <w:t>Director</w:t>
            </w:r>
          </w:p>
        </w:tc>
      </w:tr>
      <w:tr>
        <w:trPr>
          <w:trHeight w:val="257"/>
        </w:trPr>
        <w:tc>
          <w:tcPr>
            <w:tcW w:w="2840" w:type="dxa"/>
            <w:vAlign w:val="bottom"/>
          </w:tcPr>
          <w:p>
            <w:pPr>
              <w:jc w:val="center"/>
              <w:ind w:right="850"/>
              <w:spacing w:after="0"/>
              <w:rPr>
                <w:sz w:val="20"/>
                <w:szCs w:val="20"/>
                <w:color w:val="auto"/>
              </w:rPr>
            </w:pPr>
            <w:r>
              <w:rPr>
                <w:rFonts w:ascii="Arial" w:cs="Arial" w:eastAsia="Arial" w:hAnsi="Arial"/>
                <w:sz w:val="18"/>
                <w:szCs w:val="18"/>
                <w:color w:val="auto"/>
                <w:w w:val="99"/>
              </w:rPr>
              <w:t>Thomas S. Gayner</w:t>
            </w:r>
          </w:p>
        </w:tc>
        <w:tc>
          <w:tcPr>
            <w:tcW w:w="4200" w:type="dxa"/>
            <w:vAlign w:val="bottom"/>
          </w:tcPr>
          <w:p>
            <w:pPr>
              <w:jc w:val="center"/>
              <w:ind w:left="850"/>
              <w:spacing w:after="0"/>
              <w:rPr>
                <w:sz w:val="20"/>
                <w:szCs w:val="20"/>
                <w:color w:val="auto"/>
              </w:rPr>
            </w:pPr>
            <w:r>
              <w:rPr>
                <w:rFonts w:ascii="Arial" w:cs="Arial" w:eastAsia="Arial" w:hAnsi="Arial"/>
                <w:sz w:val="18"/>
                <w:szCs w:val="18"/>
                <w:color w:val="auto"/>
                <w:w w:val="98"/>
              </w:rPr>
              <w:t>Director</w:t>
            </w:r>
          </w:p>
        </w:tc>
      </w:tr>
      <w:tr>
        <w:trPr>
          <w:trHeight w:val="257"/>
        </w:trPr>
        <w:tc>
          <w:tcPr>
            <w:tcW w:w="2840" w:type="dxa"/>
            <w:vAlign w:val="bottom"/>
          </w:tcPr>
          <w:p>
            <w:pPr>
              <w:jc w:val="center"/>
              <w:ind w:right="850"/>
              <w:spacing w:after="0"/>
              <w:rPr>
                <w:sz w:val="20"/>
                <w:szCs w:val="20"/>
                <w:color w:val="auto"/>
              </w:rPr>
            </w:pPr>
            <w:r>
              <w:rPr>
                <w:rFonts w:ascii="Arial" w:cs="Arial" w:eastAsia="Arial" w:hAnsi="Arial"/>
                <w:sz w:val="18"/>
                <w:szCs w:val="18"/>
                <w:color w:val="auto"/>
              </w:rPr>
              <w:t>Dave Goldberg</w:t>
            </w:r>
          </w:p>
        </w:tc>
        <w:tc>
          <w:tcPr>
            <w:tcW w:w="4200" w:type="dxa"/>
            <w:vAlign w:val="bottom"/>
          </w:tcPr>
          <w:p>
            <w:pPr>
              <w:jc w:val="center"/>
              <w:ind w:left="850"/>
              <w:spacing w:after="0"/>
              <w:rPr>
                <w:sz w:val="20"/>
                <w:szCs w:val="20"/>
                <w:color w:val="auto"/>
              </w:rPr>
            </w:pPr>
            <w:r>
              <w:rPr>
                <w:rFonts w:ascii="Arial" w:cs="Arial" w:eastAsia="Arial" w:hAnsi="Arial"/>
                <w:sz w:val="18"/>
                <w:szCs w:val="18"/>
                <w:color w:val="auto"/>
                <w:w w:val="98"/>
              </w:rPr>
              <w:t>Director</w:t>
            </w:r>
          </w:p>
        </w:tc>
      </w:tr>
      <w:tr>
        <w:trPr>
          <w:trHeight w:val="257"/>
        </w:trPr>
        <w:tc>
          <w:tcPr>
            <w:tcW w:w="2840" w:type="dxa"/>
            <w:vAlign w:val="bottom"/>
          </w:tcPr>
          <w:p>
            <w:pPr>
              <w:jc w:val="center"/>
              <w:ind w:right="850"/>
              <w:spacing w:after="0"/>
              <w:rPr>
                <w:sz w:val="20"/>
                <w:szCs w:val="20"/>
                <w:color w:val="auto"/>
              </w:rPr>
            </w:pPr>
            <w:r>
              <w:rPr>
                <w:rFonts w:ascii="Arial" w:cs="Arial" w:eastAsia="Arial" w:hAnsi="Arial"/>
                <w:sz w:val="18"/>
                <w:szCs w:val="18"/>
                <w:color w:val="auto"/>
                <w:w w:val="99"/>
              </w:rPr>
              <w:t>Anne M. Mulcahy</w:t>
            </w:r>
          </w:p>
        </w:tc>
        <w:tc>
          <w:tcPr>
            <w:tcW w:w="4200" w:type="dxa"/>
            <w:vAlign w:val="bottom"/>
          </w:tcPr>
          <w:p>
            <w:pPr>
              <w:jc w:val="center"/>
              <w:ind w:left="850"/>
              <w:spacing w:after="0"/>
              <w:rPr>
                <w:sz w:val="20"/>
                <w:szCs w:val="20"/>
                <w:color w:val="auto"/>
              </w:rPr>
            </w:pPr>
            <w:r>
              <w:rPr>
                <w:rFonts w:ascii="Arial" w:cs="Arial" w:eastAsia="Arial" w:hAnsi="Arial"/>
                <w:sz w:val="18"/>
                <w:szCs w:val="18"/>
                <w:color w:val="auto"/>
                <w:w w:val="98"/>
              </w:rPr>
              <w:t>Director</w:t>
            </w:r>
          </w:p>
        </w:tc>
      </w:tr>
      <w:tr>
        <w:trPr>
          <w:trHeight w:val="257"/>
        </w:trPr>
        <w:tc>
          <w:tcPr>
            <w:tcW w:w="2840" w:type="dxa"/>
            <w:vAlign w:val="bottom"/>
          </w:tcPr>
          <w:p>
            <w:pPr>
              <w:jc w:val="center"/>
              <w:ind w:right="850"/>
              <w:spacing w:after="0"/>
              <w:rPr>
                <w:sz w:val="20"/>
                <w:szCs w:val="20"/>
                <w:color w:val="auto"/>
              </w:rPr>
            </w:pPr>
            <w:r>
              <w:rPr>
                <w:rFonts w:ascii="Arial" w:cs="Arial" w:eastAsia="Arial" w:hAnsi="Arial"/>
                <w:sz w:val="18"/>
                <w:szCs w:val="18"/>
                <w:color w:val="auto"/>
              </w:rPr>
              <w:t>Ronald L. Olson</w:t>
            </w:r>
          </w:p>
        </w:tc>
        <w:tc>
          <w:tcPr>
            <w:tcW w:w="4200" w:type="dxa"/>
            <w:vAlign w:val="bottom"/>
          </w:tcPr>
          <w:p>
            <w:pPr>
              <w:jc w:val="center"/>
              <w:ind w:left="850"/>
              <w:spacing w:after="0"/>
              <w:rPr>
                <w:sz w:val="20"/>
                <w:szCs w:val="20"/>
                <w:color w:val="auto"/>
              </w:rPr>
            </w:pPr>
            <w:r>
              <w:rPr>
                <w:rFonts w:ascii="Arial" w:cs="Arial" w:eastAsia="Arial" w:hAnsi="Arial"/>
                <w:sz w:val="18"/>
                <w:szCs w:val="18"/>
                <w:color w:val="auto"/>
                <w:w w:val="98"/>
              </w:rPr>
              <w:t>Director</w:t>
            </w:r>
          </w:p>
        </w:tc>
      </w:tr>
      <w:tr>
        <w:trPr>
          <w:trHeight w:val="257"/>
        </w:trPr>
        <w:tc>
          <w:tcPr>
            <w:tcW w:w="2840" w:type="dxa"/>
            <w:vAlign w:val="bottom"/>
          </w:tcPr>
          <w:p>
            <w:pPr>
              <w:jc w:val="center"/>
              <w:ind w:right="850"/>
              <w:spacing w:after="0"/>
              <w:rPr>
                <w:sz w:val="20"/>
                <w:szCs w:val="20"/>
                <w:color w:val="auto"/>
              </w:rPr>
            </w:pPr>
            <w:r>
              <w:rPr>
                <w:rFonts w:ascii="Arial" w:cs="Arial" w:eastAsia="Arial" w:hAnsi="Arial"/>
                <w:sz w:val="18"/>
                <w:szCs w:val="18"/>
                <w:color w:val="auto"/>
                <w:w w:val="99"/>
              </w:rPr>
              <w:t>Larry D. Thompson</w:t>
            </w:r>
          </w:p>
        </w:tc>
        <w:tc>
          <w:tcPr>
            <w:tcW w:w="4200" w:type="dxa"/>
            <w:vAlign w:val="bottom"/>
          </w:tcPr>
          <w:p>
            <w:pPr>
              <w:jc w:val="center"/>
              <w:ind w:left="850"/>
              <w:spacing w:after="0"/>
              <w:rPr>
                <w:sz w:val="20"/>
                <w:szCs w:val="20"/>
                <w:color w:val="auto"/>
              </w:rPr>
            </w:pPr>
            <w:r>
              <w:rPr>
                <w:rFonts w:ascii="Arial" w:cs="Arial" w:eastAsia="Arial" w:hAnsi="Arial"/>
                <w:sz w:val="18"/>
                <w:szCs w:val="18"/>
                <w:color w:val="auto"/>
                <w:w w:val="98"/>
              </w:rPr>
              <w:t>Director</w:t>
            </w:r>
          </w:p>
        </w:tc>
      </w:tr>
      <w:tr>
        <w:trPr>
          <w:trHeight w:val="257"/>
        </w:trPr>
        <w:tc>
          <w:tcPr>
            <w:tcW w:w="2840" w:type="dxa"/>
            <w:vAlign w:val="bottom"/>
          </w:tcPr>
          <w:p>
            <w:pPr>
              <w:jc w:val="center"/>
              <w:ind w:right="830"/>
              <w:spacing w:after="0"/>
              <w:rPr>
                <w:sz w:val="20"/>
                <w:szCs w:val="20"/>
                <w:color w:val="auto"/>
              </w:rPr>
            </w:pPr>
            <w:r>
              <w:rPr>
                <w:rFonts w:ascii="Arial" w:cs="Arial" w:eastAsia="Arial" w:hAnsi="Arial"/>
                <w:sz w:val="18"/>
                <w:szCs w:val="18"/>
                <w:color w:val="auto"/>
                <w:w w:val="98"/>
              </w:rPr>
              <w:t>G. Richard Wagoner, Jr.</w:t>
            </w:r>
          </w:p>
        </w:tc>
        <w:tc>
          <w:tcPr>
            <w:tcW w:w="4200" w:type="dxa"/>
            <w:vAlign w:val="bottom"/>
          </w:tcPr>
          <w:p>
            <w:pPr>
              <w:jc w:val="center"/>
              <w:ind w:left="850"/>
              <w:spacing w:after="0"/>
              <w:rPr>
                <w:sz w:val="20"/>
                <w:szCs w:val="20"/>
                <w:color w:val="auto"/>
              </w:rPr>
            </w:pPr>
            <w:r>
              <w:rPr>
                <w:rFonts w:ascii="Arial" w:cs="Arial" w:eastAsia="Arial" w:hAnsi="Arial"/>
                <w:sz w:val="18"/>
                <w:szCs w:val="18"/>
                <w:color w:val="auto"/>
                <w:w w:val="98"/>
              </w:rPr>
              <w:t>Director</w:t>
            </w:r>
          </w:p>
        </w:tc>
      </w:tr>
      <w:tr>
        <w:trPr>
          <w:trHeight w:val="257"/>
        </w:trPr>
        <w:tc>
          <w:tcPr>
            <w:tcW w:w="2840" w:type="dxa"/>
            <w:vAlign w:val="bottom"/>
          </w:tcPr>
          <w:p>
            <w:pPr>
              <w:jc w:val="center"/>
              <w:ind w:right="830"/>
              <w:spacing w:after="0"/>
              <w:rPr>
                <w:sz w:val="20"/>
                <w:szCs w:val="20"/>
                <w:color w:val="auto"/>
              </w:rPr>
            </w:pPr>
            <w:r>
              <w:rPr>
                <w:rFonts w:ascii="Arial" w:cs="Arial" w:eastAsia="Arial" w:hAnsi="Arial"/>
                <w:sz w:val="18"/>
                <w:szCs w:val="18"/>
                <w:color w:val="auto"/>
                <w:w w:val="99"/>
              </w:rPr>
              <w:t>Katharine Weymouth</w:t>
            </w:r>
          </w:p>
        </w:tc>
        <w:tc>
          <w:tcPr>
            <w:tcW w:w="4200" w:type="dxa"/>
            <w:vAlign w:val="bottom"/>
          </w:tcPr>
          <w:p>
            <w:pPr>
              <w:jc w:val="center"/>
              <w:ind w:left="850"/>
              <w:spacing w:after="0"/>
              <w:rPr>
                <w:sz w:val="20"/>
                <w:szCs w:val="20"/>
                <w:color w:val="auto"/>
              </w:rPr>
            </w:pPr>
            <w:r>
              <w:rPr>
                <w:rFonts w:ascii="Arial" w:cs="Arial" w:eastAsia="Arial" w:hAnsi="Arial"/>
                <w:sz w:val="18"/>
                <w:szCs w:val="18"/>
                <w:color w:val="auto"/>
                <w:w w:val="98"/>
              </w:rPr>
              <w:t>Director</w:t>
            </w:r>
          </w:p>
        </w:tc>
      </w:tr>
    </w:tbl>
    <w:p>
      <w:pPr>
        <w:spacing w:after="0" w:line="338" w:lineRule="exact"/>
        <w:rPr>
          <w:sz w:val="20"/>
          <w:szCs w:val="20"/>
          <w:color w:val="auto"/>
        </w:rPr>
      </w:pPr>
    </w:p>
    <w:tbl>
      <w:tblPr>
        <w:tblLayout w:type="fixed"/>
        <w:tblInd w:w="6700" w:type="dxa"/>
        <w:tblCellMar>
          <w:top w:w="0" w:type="dxa"/>
          <w:left w:w="0" w:type="dxa"/>
          <w:bottom w:w="0" w:type="dxa"/>
          <w:right w:w="0" w:type="dxa"/>
        </w:tblCellMar>
      </w:tblPr>
      <w:tr>
        <w:trPr>
          <w:trHeight w:val="27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ind w:left="1520"/>
              <w:spacing w:after="0"/>
              <w:rPr>
                <w:sz w:val="20"/>
                <w:szCs w:val="20"/>
                <w:color w:val="auto"/>
              </w:rPr>
            </w:pPr>
            <w:r>
              <w:rPr>
                <w:rFonts w:ascii="Arial" w:cs="Arial" w:eastAsia="Arial" w:hAnsi="Arial"/>
                <w:sz w:val="18"/>
                <w:szCs w:val="18"/>
                <w:color w:val="auto"/>
              </w:rPr>
              <w:t>/s/ Hal S. Jones</w:t>
            </w:r>
          </w:p>
        </w:tc>
      </w:tr>
      <w:tr>
        <w:trPr>
          <w:trHeight w:val="23"/>
        </w:trPr>
        <w:tc>
          <w:tcPr>
            <w:tcW w:w="3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1"/>
        </w:trPr>
        <w:tc>
          <w:tcPr>
            <w:tcW w:w="380" w:type="dxa"/>
            <w:vAlign w:val="bottom"/>
          </w:tcPr>
          <w:p>
            <w:pPr>
              <w:spacing w:after="0"/>
              <w:rPr>
                <w:sz w:val="20"/>
                <w:szCs w:val="20"/>
                <w:color w:val="auto"/>
              </w:rPr>
            </w:pPr>
          </w:p>
        </w:tc>
        <w:tc>
          <w:tcPr>
            <w:tcW w:w="4340" w:type="dxa"/>
            <w:vAlign w:val="bottom"/>
          </w:tcPr>
          <w:p>
            <w:pPr>
              <w:ind w:left="1660"/>
              <w:spacing w:after="0"/>
              <w:rPr>
                <w:sz w:val="20"/>
                <w:szCs w:val="20"/>
                <w:color w:val="auto"/>
              </w:rPr>
            </w:pPr>
            <w:r>
              <w:rPr>
                <w:rFonts w:ascii="Arial" w:cs="Arial" w:eastAsia="Arial" w:hAnsi="Arial"/>
                <w:sz w:val="18"/>
                <w:szCs w:val="18"/>
                <w:color w:val="auto"/>
              </w:rPr>
              <w:t>Hal S. Jones</w:t>
            </w:r>
          </w:p>
        </w:tc>
      </w:tr>
      <w:tr>
        <w:trPr>
          <w:trHeight w:val="257"/>
        </w:trPr>
        <w:tc>
          <w:tcPr>
            <w:tcW w:w="380" w:type="dxa"/>
            <w:vAlign w:val="bottom"/>
          </w:tcPr>
          <w:p>
            <w:pPr>
              <w:spacing w:after="0"/>
              <w:rPr>
                <w:sz w:val="22"/>
                <w:szCs w:val="22"/>
                <w:color w:val="auto"/>
              </w:rPr>
            </w:pPr>
          </w:p>
        </w:tc>
        <w:tc>
          <w:tcPr>
            <w:tcW w:w="4340" w:type="dxa"/>
            <w:vAlign w:val="bottom"/>
          </w:tcPr>
          <w:p>
            <w:pPr>
              <w:ind w:left="1540"/>
              <w:spacing w:after="0"/>
              <w:rPr>
                <w:sz w:val="20"/>
                <w:szCs w:val="20"/>
                <w:color w:val="auto"/>
              </w:rPr>
            </w:pPr>
            <w:r>
              <w:rPr>
                <w:rFonts w:ascii="Arial" w:cs="Arial" w:eastAsia="Arial" w:hAnsi="Arial"/>
                <w:sz w:val="18"/>
                <w:szCs w:val="18"/>
                <w:color w:val="auto"/>
              </w:rPr>
              <w:t>Attorney-in-Fact</w:t>
            </w:r>
          </w:p>
        </w:tc>
      </w:tr>
    </w:tbl>
    <w:p>
      <w:pPr>
        <w:spacing w:after="0" w:line="20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An original power of attorney authorizing Donald E. Graham, Hal S. Jones and Veronica Dillon, and each of them, to sign all reports required to be filed by the Registrant pursuant to the Securities Exchange Act of 1934 on behalf of the above-named directors and officers has been filed with the Securities and Exchange Commission.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36"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INDEX TO FINANCIAL INFORMATION</w:t>
      </w:r>
    </w:p>
    <w:p>
      <w:pPr>
        <w:spacing w:after="0" w:line="9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8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1160" w:type="dxa"/>
            <w:vAlign w:val="bottom"/>
          </w:tcPr>
          <w:p>
            <w:pPr>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18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0">
              <w:r>
                <w:rPr>
                  <w:rFonts w:ascii="Arial" w:cs="Arial" w:eastAsia="Arial" w:hAnsi="Arial"/>
                  <w:sz w:val="16"/>
                  <w:szCs w:val="16"/>
                  <w:color w:val="0000EE"/>
                  <w:w w:val="89"/>
                </w:rPr>
                <w:t>39</w:t>
              </w:r>
            </w:hyperlink>
          </w:p>
        </w:tc>
      </w:tr>
      <w:tr>
        <w:trPr>
          <w:trHeight w:val="397"/>
        </w:trPr>
        <w:tc>
          <w:tcPr>
            <w:tcW w:w="11160" w:type="dxa"/>
            <w:vAlign w:val="bottom"/>
          </w:tcPr>
          <w:p>
            <w:pPr>
              <w:spacing w:after="0"/>
              <w:rPr>
                <w:sz w:val="20"/>
                <w:szCs w:val="20"/>
                <w:color w:val="auto"/>
              </w:rPr>
            </w:pPr>
            <w:r>
              <w:rPr>
                <w:rFonts w:ascii="Arial" w:cs="Arial" w:eastAsia="Arial" w:hAnsi="Arial"/>
                <w:sz w:val="16"/>
                <w:szCs w:val="16"/>
                <w:color w:val="auto"/>
              </w:rPr>
              <w:t>Financial Statements:</w:t>
            </w:r>
          </w:p>
        </w:tc>
        <w:tc>
          <w:tcPr>
            <w:tcW w:w="180" w:type="dxa"/>
            <w:vAlign w:val="bottom"/>
          </w:tcPr>
          <w:p>
            <w:pPr>
              <w:spacing w:after="0"/>
              <w:rPr>
                <w:sz w:val="24"/>
                <w:szCs w:val="24"/>
                <w:color w:val="auto"/>
              </w:rPr>
            </w:pPr>
          </w:p>
        </w:tc>
      </w:tr>
      <w:tr>
        <w:trPr>
          <w:trHeight w:val="340"/>
        </w:trPr>
        <w:tc>
          <w:tcPr>
            <w:tcW w:w="11160" w:type="dxa"/>
            <w:vAlign w:val="bottom"/>
          </w:tcPr>
          <w:p>
            <w:pPr>
              <w:ind w:left="220"/>
              <w:spacing w:after="0"/>
              <w:rPr>
                <w:sz w:val="20"/>
                <w:szCs w:val="20"/>
                <w:color w:val="auto"/>
              </w:rPr>
            </w:pPr>
            <w:r>
              <w:rPr>
                <w:rFonts w:ascii="Arial" w:cs="Arial" w:eastAsia="Arial" w:hAnsi="Arial"/>
                <w:sz w:val="16"/>
                <w:szCs w:val="16"/>
                <w:color w:val="auto"/>
              </w:rPr>
              <w:t>Management’s Report on Internal Control Over Financial Reporting</w:t>
            </w:r>
          </w:p>
        </w:tc>
        <w:tc>
          <w:tcPr>
            <w:tcW w:w="18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7">
              <w:r>
                <w:rPr>
                  <w:rFonts w:ascii="Arial" w:cs="Arial" w:eastAsia="Arial" w:hAnsi="Arial"/>
                  <w:sz w:val="16"/>
                  <w:szCs w:val="16"/>
                  <w:color w:val="0000EE"/>
                  <w:w w:val="89"/>
                </w:rPr>
                <w:t>56</w:t>
              </w:r>
            </w:hyperlink>
          </w:p>
        </w:tc>
      </w:tr>
      <w:tr>
        <w:trPr>
          <w:trHeight w:val="358"/>
        </w:trPr>
        <w:tc>
          <w:tcPr>
            <w:tcW w:w="11160" w:type="dxa"/>
            <w:vAlign w:val="bottom"/>
          </w:tcPr>
          <w:p>
            <w:pPr>
              <w:ind w:left="220"/>
              <w:spacing w:after="0"/>
              <w:rPr>
                <w:sz w:val="20"/>
                <w:szCs w:val="20"/>
                <w:color w:val="auto"/>
              </w:rPr>
            </w:pPr>
            <w:r>
              <w:rPr>
                <w:rFonts w:ascii="Arial" w:cs="Arial" w:eastAsia="Arial" w:hAnsi="Arial"/>
                <w:sz w:val="16"/>
                <w:szCs w:val="16"/>
                <w:color w:val="auto"/>
              </w:rPr>
              <w:t>Report of Independent Registered Public Accounting Firm</w:t>
            </w:r>
          </w:p>
        </w:tc>
        <w:tc>
          <w:tcPr>
            <w:tcW w:w="18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8">
              <w:r>
                <w:rPr>
                  <w:rFonts w:ascii="Arial" w:cs="Arial" w:eastAsia="Arial" w:hAnsi="Arial"/>
                  <w:sz w:val="16"/>
                  <w:szCs w:val="16"/>
                  <w:color w:val="0000EE"/>
                  <w:w w:val="89"/>
                </w:rPr>
                <w:t>57</w:t>
              </w:r>
            </w:hyperlink>
          </w:p>
        </w:tc>
      </w:tr>
      <w:tr>
        <w:trPr>
          <w:trHeight w:val="358"/>
        </w:trPr>
        <w:tc>
          <w:tcPr>
            <w:tcW w:w="11160" w:type="dxa"/>
            <w:vAlign w:val="bottom"/>
          </w:tcPr>
          <w:p>
            <w:pPr>
              <w:ind w:left="220"/>
              <w:spacing w:after="0"/>
              <w:rPr>
                <w:sz w:val="20"/>
                <w:szCs w:val="20"/>
                <w:color w:val="auto"/>
              </w:rPr>
            </w:pPr>
            <w:r>
              <w:rPr>
                <w:rFonts w:ascii="Arial" w:cs="Arial" w:eastAsia="Arial" w:hAnsi="Arial"/>
                <w:sz w:val="16"/>
                <w:szCs w:val="16"/>
                <w:color w:val="auto"/>
              </w:rPr>
              <w:t>Consolidated Statements of Operations for the Three Years Ended December 31, 2013</w:t>
            </w:r>
          </w:p>
        </w:tc>
        <w:tc>
          <w:tcPr>
            <w:tcW w:w="180" w:type="dxa"/>
            <w:vAlign w:val="bottom"/>
            <w:tcBorders>
              <w:bottom w:val="single" w:sz="8" w:color="0000EE"/>
            </w:tcBorders>
          </w:tcPr>
          <w:p>
            <w:pPr>
              <w:jc w:val="right"/>
              <w:spacing w:after="0"/>
              <w:rPr>
                <w:rFonts w:ascii="Arial" w:cs="Arial" w:eastAsia="Arial" w:hAnsi="Arial"/>
                <w:sz w:val="16"/>
                <w:szCs w:val="16"/>
                <w:color w:val="0000EE"/>
                <w:w w:val="89"/>
              </w:rPr>
            </w:pPr>
            <w:hyperlink w:anchor="page59">
              <w:r>
                <w:rPr>
                  <w:rFonts w:ascii="Arial" w:cs="Arial" w:eastAsia="Arial" w:hAnsi="Arial"/>
                  <w:sz w:val="16"/>
                  <w:szCs w:val="16"/>
                  <w:color w:val="0000EE"/>
                  <w:w w:val="89"/>
                </w:rPr>
                <w:t>58</w:t>
              </w:r>
            </w:hyperlink>
          </w:p>
        </w:tc>
      </w:tr>
      <w:tr>
        <w:trPr>
          <w:trHeight w:val="358"/>
        </w:trPr>
        <w:tc>
          <w:tcPr>
            <w:tcW w:w="11160" w:type="dxa"/>
            <w:vAlign w:val="bottom"/>
          </w:tcPr>
          <w:p>
            <w:pPr>
              <w:ind w:left="220"/>
              <w:spacing w:after="0"/>
              <w:rPr>
                <w:sz w:val="20"/>
                <w:szCs w:val="20"/>
                <w:color w:val="auto"/>
              </w:rPr>
            </w:pPr>
            <w:r>
              <w:rPr>
                <w:rFonts w:ascii="Arial" w:cs="Arial" w:eastAsia="Arial" w:hAnsi="Arial"/>
                <w:sz w:val="16"/>
                <w:szCs w:val="16"/>
                <w:color w:val="auto"/>
              </w:rPr>
              <w:t>Consolidated Statements of Comprehensive Income for the Three Years Ended December 31, 2013</w:t>
            </w:r>
          </w:p>
        </w:tc>
        <w:tc>
          <w:tcPr>
            <w:tcW w:w="18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0">
              <w:r>
                <w:rPr>
                  <w:rFonts w:ascii="Arial" w:cs="Arial" w:eastAsia="Arial" w:hAnsi="Arial"/>
                  <w:sz w:val="16"/>
                  <w:szCs w:val="16"/>
                  <w:color w:val="0000EE"/>
                  <w:w w:val="89"/>
                </w:rPr>
                <w:t>59</w:t>
              </w:r>
            </w:hyperlink>
          </w:p>
        </w:tc>
      </w:tr>
      <w:tr>
        <w:trPr>
          <w:trHeight w:val="358"/>
        </w:trPr>
        <w:tc>
          <w:tcPr>
            <w:tcW w:w="11160" w:type="dxa"/>
            <w:vAlign w:val="bottom"/>
          </w:tcPr>
          <w:p>
            <w:pPr>
              <w:ind w:left="220"/>
              <w:spacing w:after="0"/>
              <w:rPr>
                <w:sz w:val="20"/>
                <w:szCs w:val="20"/>
                <w:color w:val="auto"/>
              </w:rPr>
            </w:pPr>
            <w:r>
              <w:rPr>
                <w:rFonts w:ascii="Arial" w:cs="Arial" w:eastAsia="Arial" w:hAnsi="Arial"/>
                <w:sz w:val="16"/>
                <w:szCs w:val="16"/>
                <w:color w:val="auto"/>
              </w:rPr>
              <w:t>Consolidated Balance Sheets at December 31, 2013 and 2012</w:t>
            </w:r>
          </w:p>
        </w:tc>
        <w:tc>
          <w:tcPr>
            <w:tcW w:w="18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1">
              <w:r>
                <w:rPr>
                  <w:rFonts w:ascii="Arial" w:cs="Arial" w:eastAsia="Arial" w:hAnsi="Arial"/>
                  <w:sz w:val="16"/>
                  <w:szCs w:val="16"/>
                  <w:color w:val="0000EE"/>
                  <w:w w:val="89"/>
                </w:rPr>
                <w:t>60</w:t>
              </w:r>
            </w:hyperlink>
          </w:p>
        </w:tc>
      </w:tr>
      <w:tr>
        <w:trPr>
          <w:trHeight w:val="358"/>
        </w:trPr>
        <w:tc>
          <w:tcPr>
            <w:tcW w:w="11160" w:type="dxa"/>
            <w:vAlign w:val="bottom"/>
          </w:tcPr>
          <w:p>
            <w:pPr>
              <w:ind w:left="220"/>
              <w:spacing w:after="0"/>
              <w:rPr>
                <w:sz w:val="20"/>
                <w:szCs w:val="20"/>
                <w:color w:val="auto"/>
              </w:rPr>
            </w:pPr>
            <w:r>
              <w:rPr>
                <w:rFonts w:ascii="Arial" w:cs="Arial" w:eastAsia="Arial" w:hAnsi="Arial"/>
                <w:sz w:val="16"/>
                <w:szCs w:val="16"/>
                <w:color w:val="auto"/>
              </w:rPr>
              <w:t>Consolidated Statements of Cash Flows for the Three Years Ended December 31, 2013</w:t>
            </w:r>
          </w:p>
        </w:tc>
        <w:tc>
          <w:tcPr>
            <w:tcW w:w="18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3">
              <w:r>
                <w:rPr>
                  <w:rFonts w:ascii="Arial" w:cs="Arial" w:eastAsia="Arial" w:hAnsi="Arial"/>
                  <w:sz w:val="16"/>
                  <w:szCs w:val="16"/>
                  <w:color w:val="0000EE"/>
                  <w:w w:val="89"/>
                </w:rPr>
                <w:t>61</w:t>
              </w:r>
            </w:hyperlink>
          </w:p>
        </w:tc>
      </w:tr>
      <w:tr>
        <w:trPr>
          <w:trHeight w:val="358"/>
        </w:trPr>
        <w:tc>
          <w:tcPr>
            <w:tcW w:w="11160" w:type="dxa"/>
            <w:vAlign w:val="bottom"/>
          </w:tcPr>
          <w:p>
            <w:pPr>
              <w:ind w:left="220"/>
              <w:spacing w:after="0"/>
              <w:rPr>
                <w:sz w:val="20"/>
                <w:szCs w:val="20"/>
                <w:color w:val="auto"/>
              </w:rPr>
            </w:pPr>
            <w:r>
              <w:rPr>
                <w:rFonts w:ascii="Arial" w:cs="Arial" w:eastAsia="Arial" w:hAnsi="Arial"/>
                <w:sz w:val="16"/>
                <w:szCs w:val="16"/>
                <w:color w:val="auto"/>
              </w:rPr>
              <w:t>Consolidated Statements of Changes in Common Stockholders' Equity for the Three Years Ended December 31, 2013</w:t>
            </w:r>
          </w:p>
        </w:tc>
        <w:tc>
          <w:tcPr>
            <w:tcW w:w="18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4">
              <w:r>
                <w:rPr>
                  <w:rFonts w:ascii="Arial" w:cs="Arial" w:eastAsia="Arial" w:hAnsi="Arial"/>
                  <w:sz w:val="16"/>
                  <w:szCs w:val="16"/>
                  <w:color w:val="0000EE"/>
                  <w:w w:val="89"/>
                </w:rPr>
                <w:t>62</w:t>
              </w:r>
            </w:hyperlink>
          </w:p>
        </w:tc>
      </w:tr>
      <w:tr>
        <w:trPr>
          <w:trHeight w:val="358"/>
        </w:trPr>
        <w:tc>
          <w:tcPr>
            <w:tcW w:w="11160" w:type="dxa"/>
            <w:vAlign w:val="bottom"/>
          </w:tcPr>
          <w:p>
            <w:pPr>
              <w:ind w:left="220"/>
              <w:spacing w:after="0"/>
              <w:rPr>
                <w:sz w:val="20"/>
                <w:szCs w:val="20"/>
                <w:color w:val="auto"/>
              </w:rPr>
            </w:pPr>
            <w:r>
              <w:rPr>
                <w:rFonts w:ascii="Arial" w:cs="Arial" w:eastAsia="Arial" w:hAnsi="Arial"/>
                <w:sz w:val="16"/>
                <w:szCs w:val="16"/>
                <w:color w:val="auto"/>
              </w:rPr>
              <w:t>Notes to Consolidated Financial Statements</w:t>
            </w:r>
          </w:p>
        </w:tc>
        <w:tc>
          <w:tcPr>
            <w:tcW w:w="18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5">
              <w:r>
                <w:rPr>
                  <w:rFonts w:ascii="Arial" w:cs="Arial" w:eastAsia="Arial" w:hAnsi="Arial"/>
                  <w:sz w:val="16"/>
                  <w:szCs w:val="16"/>
                  <w:color w:val="0000EE"/>
                  <w:w w:val="89"/>
                </w:rPr>
                <w:t>63</w:t>
              </w:r>
            </w:hyperlink>
          </w:p>
        </w:tc>
      </w:tr>
      <w:tr>
        <w:trPr>
          <w:trHeight w:val="358"/>
        </w:trPr>
        <w:tc>
          <w:tcPr>
            <w:tcW w:w="11160" w:type="dxa"/>
            <w:vAlign w:val="bottom"/>
          </w:tcPr>
          <w:p>
            <w:pPr>
              <w:spacing w:after="0"/>
              <w:rPr>
                <w:sz w:val="20"/>
                <w:szCs w:val="20"/>
                <w:color w:val="auto"/>
              </w:rPr>
            </w:pPr>
            <w:r>
              <w:rPr>
                <w:rFonts w:ascii="Arial" w:cs="Arial" w:eastAsia="Arial" w:hAnsi="Arial"/>
                <w:sz w:val="16"/>
                <w:szCs w:val="16"/>
                <w:color w:val="auto"/>
              </w:rPr>
              <w:t>Five-Year Summary of Selected Historical Financial Data (Unaudited)</w:t>
            </w:r>
          </w:p>
        </w:tc>
        <w:tc>
          <w:tcPr>
            <w:tcW w:w="180" w:type="dxa"/>
            <w:vAlign w:val="bottom"/>
            <w:tcBorders>
              <w:bottom w:val="single" w:sz="8" w:color="0000EE"/>
            </w:tcBorders>
          </w:tcPr>
          <w:p>
            <w:pPr>
              <w:jc w:val="right"/>
              <w:spacing w:after="0"/>
              <w:rPr>
                <w:rFonts w:ascii="Arial" w:cs="Arial" w:eastAsia="Arial" w:hAnsi="Arial"/>
                <w:sz w:val="16"/>
                <w:szCs w:val="16"/>
                <w:color w:val="0000EE"/>
                <w:w w:val="89"/>
              </w:rPr>
            </w:pPr>
            <w:hyperlink w:anchor="page107">
              <w:r>
                <w:rPr>
                  <w:rFonts w:ascii="Arial" w:cs="Arial" w:eastAsia="Arial" w:hAnsi="Arial"/>
                  <w:sz w:val="16"/>
                  <w:szCs w:val="16"/>
                  <w:color w:val="0000EE"/>
                  <w:w w:val="89"/>
                </w:rPr>
                <w:t>99</w:t>
              </w:r>
            </w:hyperlink>
          </w:p>
        </w:tc>
      </w:tr>
      <w:tr>
        <w:trPr>
          <w:trHeight w:val="416"/>
        </w:trPr>
        <w:tc>
          <w:tcPr>
            <w:tcW w:w="11160" w:type="dxa"/>
            <w:vAlign w:val="bottom"/>
          </w:tcPr>
          <w:p>
            <w:pPr>
              <w:ind w:left="3260"/>
              <w:spacing w:after="0"/>
              <w:rPr>
                <w:sz w:val="20"/>
                <w:szCs w:val="20"/>
                <w:color w:val="auto"/>
              </w:rPr>
            </w:pPr>
            <w:r>
              <w:rPr>
                <w:rFonts w:ascii="Arial" w:cs="Arial" w:eastAsia="Arial" w:hAnsi="Arial"/>
                <w:sz w:val="18"/>
                <w:szCs w:val="18"/>
                <w:color w:val="auto"/>
              </w:rPr>
              <w:t>________________________________________________</w:t>
            </w:r>
          </w:p>
        </w:tc>
        <w:tc>
          <w:tcPr>
            <w:tcW w:w="180" w:type="dxa"/>
            <w:vAlign w:val="bottom"/>
          </w:tcPr>
          <w:p>
            <w:pPr>
              <w:spacing w:after="0"/>
              <w:rPr>
                <w:sz w:val="24"/>
                <w:szCs w:val="24"/>
                <w:color w:val="auto"/>
              </w:rPr>
            </w:pPr>
          </w:p>
        </w:tc>
      </w:tr>
    </w:tbl>
    <w:p>
      <w:pPr>
        <w:spacing w:after="0" w:line="91" w:lineRule="exact"/>
        <w:rPr>
          <w:sz w:val="20"/>
          <w:szCs w:val="20"/>
          <w:color w:val="auto"/>
        </w:rPr>
      </w:pPr>
    </w:p>
    <w:p>
      <w:pPr>
        <w:ind w:right="360"/>
        <w:spacing w:after="0" w:line="291"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36" w:right="259" w:bottom="1440" w:gutter="0" w:footer="0" w:header="0"/>
        </w:sectPr>
      </w:pPr>
    </w:p>
    <w:bookmarkStart w:id="40" w:name="page41"/>
    <w:bookmarkEnd w:id="40"/>
    <w:p>
      <w:pPr>
        <w:ind w:right="1060" w:firstLine="1081"/>
        <w:spacing w:after="0" w:line="413" w:lineRule="auto"/>
        <w:rPr>
          <w:sz w:val="20"/>
          <w:szCs w:val="20"/>
          <w:color w:val="auto"/>
        </w:rPr>
      </w:pPr>
      <w:r>
        <w:rPr>
          <w:rFonts w:ascii="Arial" w:cs="Arial" w:eastAsia="Arial" w:hAnsi="Arial"/>
          <w:sz w:val="18"/>
          <w:szCs w:val="18"/>
          <w:b w:val="1"/>
          <w:bCs w:val="1"/>
          <w:color w:val="auto"/>
        </w:rPr>
        <w:t xml:space="preserve">MANAGEMENT'S DISCUSSION AND ANALYSIS OF RESULTS OF OPERATIONS AND FINANCIAL CONDITION </w:t>
      </w:r>
      <w:r>
        <w:rPr>
          <w:rFonts w:ascii="Arial" w:cs="Arial" w:eastAsia="Arial" w:hAnsi="Arial"/>
          <w:sz w:val="18"/>
          <w:szCs w:val="18"/>
          <w:color w:val="auto"/>
        </w:rPr>
        <w:t xml:space="preserve">This analysis should be read in conjunction with the Consolidated Financial Statements and the notes thereto. </w:t>
      </w:r>
      <w:r>
        <w:rPr>
          <w:rFonts w:ascii="Arial" w:cs="Arial" w:eastAsia="Arial" w:hAnsi="Arial"/>
          <w:sz w:val="18"/>
          <w:szCs w:val="18"/>
          <w:b w:val="1"/>
          <w:bCs w:val="1"/>
          <w:color w:val="auto"/>
        </w:rPr>
        <w:t>OVERVIEW</w:t>
      </w:r>
    </w:p>
    <w:p>
      <w:pPr>
        <w:jc w:val="both"/>
        <w:ind w:right="480"/>
        <w:spacing w:after="0" w:line="234" w:lineRule="auto"/>
        <w:rPr>
          <w:sz w:val="20"/>
          <w:szCs w:val="20"/>
          <w:color w:val="auto"/>
        </w:rPr>
      </w:pPr>
      <w:r>
        <w:rPr>
          <w:rFonts w:ascii="Arial" w:cs="Arial" w:eastAsia="Arial" w:hAnsi="Arial"/>
          <w:sz w:val="18"/>
          <w:szCs w:val="18"/>
          <w:color w:val="auto"/>
        </w:rPr>
        <w:t>Graham Holdings Company is a diversified education and media company, with education as the largest business. Through its subsidiary Kaplan, Inc., the Company provides extensive worldwide education services for individuals, schools and businesses. The Company also operates principally in two areas of the media industry: cable and television broadcasting. The Company’s business units are diverse and subject to different trends and risks.</w:t>
      </w:r>
    </w:p>
    <w:p>
      <w:pPr>
        <w:spacing w:after="0" w:line="11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Company’s education division is the largest operating division of the Company, accounting for about 62.4% of the Company’s consolidated revenues in 2013. The Company has devoted significant resources and attention to this division for many years, given the attractiveness of investment opportunities and growth prospects during this time. In response to student demand levels, Kaplan has formulated and implemented restructuring plans at many of its businesses, resulting in significant costs in order to establish lower cost levels in future periods. Kaplan may develop additional restructuring plans as management continues to evaluate Kaplan’s cost structure. Kaplan is organized into the following three operating segments: Kaplan Higher Education (KHE), Kaplan Test Preparation (KTP) and Kaplan International.</w:t>
      </w:r>
    </w:p>
    <w:p>
      <w:pPr>
        <w:spacing w:after="0" w:line="112" w:lineRule="exact"/>
        <w:rPr>
          <w:sz w:val="20"/>
          <w:szCs w:val="20"/>
          <w:color w:val="auto"/>
        </w:rPr>
      </w:pPr>
    </w:p>
    <w:p>
      <w:pPr>
        <w:ind w:right="360"/>
        <w:spacing w:after="0" w:line="234" w:lineRule="auto"/>
        <w:rPr>
          <w:sz w:val="20"/>
          <w:szCs w:val="20"/>
          <w:color w:val="auto"/>
        </w:rPr>
      </w:pPr>
      <w:r>
        <w:rPr>
          <w:rFonts w:ascii="Arial" w:cs="Arial" w:eastAsia="Arial" w:hAnsi="Arial"/>
          <w:sz w:val="18"/>
          <w:szCs w:val="18"/>
          <w:color w:val="auto"/>
        </w:rPr>
        <w:t>KHE is the largest segment of Kaplan, representing 50% of total Kaplan revenues in 2013. KHE’s revenue declined in 2013, largely due to enrollment declines arising from generally lower demand, along with significant restructuring activities, including school closures. KHE’s restructuring costs totaled $19.5 million in 2013. Operating income at KHE improved substantially due primarily to expense reductions from lower enrollments and restructuring activities.</w:t>
      </w:r>
    </w:p>
    <w:p>
      <w:pPr>
        <w:spacing w:after="0" w:line="11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Kaplan International reported revenue growth for 2013 due to enrollment growth in the pathways, English-language and Singapore higher education programs. Kaplan International results improved in 2013 due to a reduction in operating losses in Australia from lower restructuring costs and continued strong results in Singapore, offset by lower earnings in professional training in the U.K. Restructuring costs at Kaplan International totaled $5.8 million in 2013.</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for KTP improved in 2013 due primarily to increased revenues.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Kaplan made one acquisition in 2013, three acquisitions in 2012 and five acquisitions in 2011. None of these was individually significant.</w:t>
      </w:r>
    </w:p>
    <w:p>
      <w:pPr>
        <w:spacing w:after="0" w:line="144"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The cable division continues to grow its high-speed data subscribers and continues to make substantial capital investments. The division is focused on retention of its high-value subscribers and on churn reduction, as well as growth in commercial sales.</w:t>
      </w:r>
    </w:p>
    <w:p>
      <w:pPr>
        <w:spacing w:after="0" w:line="9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Company’s television broadcasting division reported a reduction in revenues and in operating income in 2013 due primarily to significant political and Olympics-related advertising included in 2012, offset in part by increased retransmission revenues.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With the recent Celtic Healthcare and Forney acquisitions, the Company has invested in new lines of business in 2012 and 2013.</w:t>
      </w:r>
    </w:p>
    <w:p>
      <w:pPr>
        <w:spacing w:after="0" w:line="14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pay down debt and fund capital expenditures, share repurchases, dividends, acquisitions and other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2013 COMPARED TO 2012</w:t>
      </w:r>
    </w:p>
    <w:p>
      <w:pPr>
        <w:spacing w:after="0" w:line="146"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Net income attributable to common shares was $236.0 million ($32.05 per share) for the year ended December 31, 2013, compared to $ 131.2 million ($17.39 per share) for the year ended December 31, 2012. Net income includes $46.1 million ($6.27 per share) and $60.1 million ($8.17 per share) in income from discontinued operations for 2013 and 2012, respectively. Income from continuing operations attributable to common shares was $189.9 million ($25.78 per share) for 2013, compared to $71.1 million ($9.22 per share) for 2012</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On October 1, 2013, the Company completed the sale of most of its newspaper publishing businesses, including The Washington Post. Consequently, income from continuing operations excludes these sold businesses, which have been reclassified to discontinued operations, net of tax, for all periods presented.</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736"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Items included in the Company’s income from continuing operations for 2013 are listed below:</w:t>
      </w:r>
    </w:p>
    <w:p>
      <w:pPr>
        <w:spacing w:after="0" w:line="90"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$36.4 million in severance and restructuring charges at the education division (after-tax impact of $25.3 million, or $3.46 per share);</w:t>
      </w:r>
    </w:p>
    <w:p>
      <w:pPr>
        <w:spacing w:after="0" w:line="90" w:lineRule="exact"/>
        <w:rPr>
          <w:rFonts w:ascii="Arial" w:cs="Arial" w:eastAsia="Arial" w:hAnsi="Arial"/>
          <w:sz w:val="18"/>
          <w:szCs w:val="18"/>
          <w:color w:val="auto"/>
        </w:rPr>
      </w:pPr>
    </w:p>
    <w:p>
      <w:pPr>
        <w:ind w:left="180" w:right="480" w:hanging="172"/>
        <w:spacing w:after="0" w:line="260"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$3.3 million noncash intangible and other long-lived assets impairment charge at Kaplan (after-tax impact of $3.2 million, or $0.44 per share);</w:t>
      </w:r>
    </w:p>
    <w:p>
      <w:pPr>
        <w:spacing w:after="0" w:line="37" w:lineRule="exact"/>
        <w:rPr>
          <w:rFonts w:ascii="Arial" w:cs="Arial" w:eastAsia="Arial" w:hAnsi="Arial"/>
          <w:sz w:val="18"/>
          <w:szCs w:val="18"/>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$10.4 million write-down of a marketable equity security (after-tax impact of $6.7 million, or $0.91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$13.4 million in non-operating unrealized foreign currency losses (after-tax impact of $8.6 million, or $1.17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2012 are listed below:</w:t>
      </w:r>
    </w:p>
    <w:p>
      <w:pPr>
        <w:spacing w:after="0" w:line="90"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$111.6 million noncash goodwill and other long-lived assets impairment charge at KTP (after-tax impact of $81.9 million, or $11.33 per share);</w:t>
      </w:r>
    </w:p>
    <w:p>
      <w:pPr>
        <w:spacing w:after="0" w:line="101" w:lineRule="exact"/>
        <w:rPr>
          <w:rFonts w:ascii="Arial" w:cs="Arial" w:eastAsia="Arial" w:hAnsi="Arial"/>
          <w:sz w:val="17"/>
          <w:szCs w:val="17"/>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$45.2 million in severance and restructuring charges at the education division (after-tax impact of $32.9 million, or $4.53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$18.0 million write-down of a marketable equity security (after-tax impact of $11.2 million, or $1.54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$5.8 million gain on the sale of a cost method investment (after-tax impact of $3.7 million, or $0.48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$3.1 million in non-operating unrealized foreign currency gains (after-tax impact of $2.0 million, or $0.27 per share).</w:t>
      </w:r>
    </w:p>
    <w:p>
      <w:pPr>
        <w:spacing w:after="0" w:line="144" w:lineRule="exact"/>
        <w:rPr>
          <w:sz w:val="20"/>
          <w:szCs w:val="20"/>
          <w:color w:val="auto"/>
        </w:rPr>
      </w:pPr>
    </w:p>
    <w:p>
      <w:pPr>
        <w:ind w:right="940"/>
        <w:spacing w:after="0" w:line="260" w:lineRule="auto"/>
        <w:rPr>
          <w:sz w:val="20"/>
          <w:szCs w:val="20"/>
          <w:color w:val="auto"/>
        </w:rPr>
      </w:pPr>
      <w:r>
        <w:rPr>
          <w:rFonts w:ascii="Arial" w:cs="Arial" w:eastAsia="Arial" w:hAnsi="Arial"/>
          <w:sz w:val="18"/>
          <w:szCs w:val="18"/>
          <w:color w:val="auto"/>
        </w:rPr>
        <w:t>Revenue for 2013 was $3,487.9 million, up 1% from $3,455.6 million in 2012. Revenues increased at the cable division and in other businesses, offset by declines at the television broadcasting and education divisions.</w:t>
      </w:r>
    </w:p>
    <w:p>
      <w:pPr>
        <w:spacing w:after="0" w:line="9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2013, education revenue decreased 1%, subscriber revenue increased 3%, advertising revenue decreased 9% and other revenue increased 50%. Revenue declines at Kaplan accounted for the decrease in education revenue. Subscriber revenue increased at the cable division. The decrease in advertising revenue is due to decreased television broadcasting revenue. The increase in other revenue is due to growth at SocialCode and Slate, and from the recent Celtic Healthcare and Forney acquisitions.</w:t>
      </w:r>
    </w:p>
    <w:p>
      <w:pPr>
        <w:spacing w:after="0" w:line="11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Operating costs and expenses for the year declined 4% to $3,142.3 million in 2013, from $3,276.4 million in 2012. Excluding the noncash goodwill and other-long lived assets impairment charge at Kaplan, overall costs at Kaplan still declined in 2013, and expenses were lower at the television broadcasting division. This was offset by increased costs at the cable division, along with higher expenses in other businesses.</w:t>
      </w:r>
    </w:p>
    <w:p>
      <w:pPr>
        <w:spacing w:after="0" w:line="108"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Operating income for 2013 increased to $345.6 million, from $179.2 million in 2012. Operating results improved at the education and cable divisions, offset by a decline at the television broadcasting division.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DIVISION RESULTS</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2013 totaled $2,177.5 million, a 1% decline from $2,196.5 million in 2012. Kaplan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 of $51.3 million for 2013, compared to an operating loss of $105.4 million in 2012. Kaplan’s 2013 operating results in comparison to 2012 benefited from strong improvement in KHE and KTP results, and a $111.6 million noncash goodwill and other long-lived assets impairment charge related to KTP, recorded in the fourth quarter of 2012, that did not recur.</w:t>
      </w:r>
    </w:p>
    <w:p>
      <w:pPr>
        <w:spacing w:after="0" w:line="110"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In response to student demand levels, Kaplan has formulated and implemented restructuring plans at its various businesses that have resulted in significant costs in 2013 and 2012, with the objective of establishing lower cost levels in future periods. Across all businesses, restructuring costs totaled $36.4 million in 2013 and $45.2 million in 2012. Kaplan continues to evaluate its cost structure and may develop additional restructuring plans in 2014.</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724"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2012</w:t>
            </w:r>
          </w:p>
        </w:tc>
        <w:tc>
          <w:tcPr>
            <w:tcW w:w="13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7"/>
        </w:trPr>
        <w:tc>
          <w:tcPr>
            <w:tcW w:w="73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1,080,908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1,149,407</w:t>
            </w: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293,201</w:t>
            </w:r>
          </w:p>
        </w:tc>
        <w:tc>
          <w:tcPr>
            <w:tcW w:w="340" w:type="dxa"/>
            <w:vAlign w:val="bottom"/>
          </w:tcPr>
          <w:p>
            <w:pPr>
              <w:spacing w:after="0"/>
              <w:rPr>
                <w:sz w:val="23"/>
                <w:szCs w:val="23"/>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284,252</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797,362</w:t>
            </w:r>
          </w:p>
        </w:tc>
        <w:tc>
          <w:tcPr>
            <w:tcW w:w="340" w:type="dxa"/>
            <w:vAlign w:val="bottom"/>
          </w:tcPr>
          <w:p>
            <w:pPr>
              <w:spacing w:after="0"/>
              <w:rPr>
                <w:sz w:val="23"/>
                <w:szCs w:val="23"/>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753,790</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7,990</w:t>
            </w:r>
          </w:p>
        </w:tc>
        <w:tc>
          <w:tcPr>
            <w:tcW w:w="340" w:type="dxa"/>
            <w:vAlign w:val="bottom"/>
          </w:tcPr>
          <w:p>
            <w:pPr>
              <w:spacing w:after="0"/>
              <w:rPr>
                <w:sz w:val="23"/>
                <w:szCs w:val="23"/>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15,039</w:t>
            </w: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4"/>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(1,953)</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(5,992)</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736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2,177,508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2,196,496</w:t>
            </w: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3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71,584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27,245</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4,118</w:t>
            </w:r>
          </w:p>
        </w:tc>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(10,799)</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53,424</w:t>
            </w:r>
          </w:p>
        </w:tc>
        <w:tc>
          <w:tcPr>
            <w:tcW w:w="340" w:type="dxa"/>
            <w:vAlign w:val="bottom"/>
          </w:tcPr>
          <w:p>
            <w:pPr>
              <w:spacing w:after="0"/>
              <w:rPr>
                <w:sz w:val="23"/>
                <w:szCs w:val="23"/>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49,612</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(64,948)</w:t>
            </w:r>
          </w:p>
        </w:tc>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(43,160)</w:t>
            </w: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(9,962)</w:t>
            </w:r>
          </w:p>
        </w:tc>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(17,719)</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(3,250)</w:t>
            </w:r>
          </w:p>
        </w:tc>
        <w:tc>
          <w:tcPr>
            <w:tcW w:w="340" w:type="dxa"/>
            <w:vAlign w:val="bottom"/>
          </w:tcPr>
          <w:p>
            <w:pPr>
              <w:spacing w:after="0"/>
              <w:rPr>
                <w:sz w:val="23"/>
                <w:szCs w:val="23"/>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(111,593)</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74"/>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335</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1,046</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736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51,301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(105,368)</w:t>
            </w: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training and other continuing education businesses.</w:t>
      </w:r>
    </w:p>
    <w:p>
      <w:pPr>
        <w:spacing w:after="0" w:line="92"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In 2012, KHE began implementing plans to close or merge 13 ground campuses, consolidate other facilities and reduce its workforce. In connection with these and other plans, KHE incurred $19.5 million and $23.4 million in restructuring costs primarily from accelerated depreciation and severance and lease obligations in 2013 and 2012, respectively. At the end of 2013, the KHE campus closures or mergers had been largely completed, with two remaining campus closures to be completed in the first half of 2014.</w:t>
      </w:r>
    </w:p>
    <w:p>
      <w:pPr>
        <w:spacing w:after="0" w:line="111"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In 2013, KHE revenue declined 6% due largely to declines in average enrollments, which reflect weaker market demand over the past year, and the impact of campuses closed or in the process of closing. Operating income increased significantly for 2013 due primarily to expense reductions associated with lower enrollments and recent restructuring efforts.</w:t>
      </w:r>
    </w:p>
    <w:p>
      <w:pPr>
        <w:spacing w:after="0" w:line="10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New student enrollments at KHE increased 4% in 2013 due to the positive impact of trial period modifications and process improvements, offset by the impact of campus closures. However, total students at December 31, 2013, were down 8% compared to December 31, 2012</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Excluding campuses closed or planned for closure, total students at December 31, 2013, were down 5% compared to December 31, 2012. The increase in new enrollments was offset by a reduction in the number of continuing students. A summary of student enrollments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54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rPr>
              <w:t>Excluding Campuses Closing</w:t>
            </w:r>
          </w:p>
        </w:tc>
        <w:tc>
          <w:tcPr>
            <w:tcW w:w="1200" w:type="dxa"/>
            <w:vAlign w:val="bottom"/>
          </w:tcPr>
          <w:p>
            <w:pPr>
              <w:spacing w:after="0"/>
              <w:rPr>
                <w:sz w:val="17"/>
                <w:szCs w:val="17"/>
                <w:color w:val="auto"/>
              </w:rPr>
            </w:pPr>
          </w:p>
        </w:tc>
      </w:tr>
      <w:tr>
        <w:trPr>
          <w:trHeight w:val="250"/>
        </w:trPr>
        <w:tc>
          <w:tcPr>
            <w:tcW w:w="3800" w:type="dxa"/>
            <w:vAlign w:val="bottom"/>
          </w:tcPr>
          <w:p>
            <w:pPr>
              <w:spacing w:after="0"/>
              <w:rPr>
                <w:sz w:val="21"/>
                <w:szCs w:val="21"/>
                <w:color w:val="auto"/>
              </w:rPr>
            </w:pPr>
          </w:p>
        </w:tc>
        <w:tc>
          <w:tcPr>
            <w:tcW w:w="232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As of December 31</w:t>
            </w:r>
          </w:p>
        </w:tc>
        <w:tc>
          <w:tcPr>
            <w:tcW w:w="1560" w:type="dxa"/>
            <w:vAlign w:val="bottom"/>
          </w:tcPr>
          <w:p>
            <w:pPr>
              <w:spacing w:after="0"/>
              <w:rPr>
                <w:sz w:val="21"/>
                <w:szCs w:val="21"/>
                <w:color w:val="auto"/>
              </w:rPr>
            </w:pPr>
          </w:p>
        </w:tc>
        <w:tc>
          <w:tcPr>
            <w:tcW w:w="254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4"/>
                <w:szCs w:val="14"/>
                <w:b w:val="1"/>
                <w:bCs w:val="1"/>
                <w:color w:val="auto"/>
              </w:rPr>
              <w:t>As of December 31</w:t>
            </w:r>
          </w:p>
        </w:tc>
        <w:tc>
          <w:tcPr>
            <w:tcW w:w="1200" w:type="dxa"/>
            <w:vAlign w:val="bottom"/>
          </w:tcPr>
          <w:p>
            <w:pPr>
              <w:spacing w:after="0"/>
              <w:rPr>
                <w:sz w:val="21"/>
                <w:szCs w:val="21"/>
                <w:color w:val="auto"/>
              </w:rPr>
            </w:pPr>
          </w:p>
        </w:tc>
      </w:tr>
      <w:tr>
        <w:trPr>
          <w:trHeight w:val="264"/>
        </w:trPr>
        <w:tc>
          <w:tcPr>
            <w:tcW w:w="38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2013</w:t>
            </w:r>
          </w:p>
        </w:tc>
        <w:tc>
          <w:tcPr>
            <w:tcW w:w="10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2012</w:t>
            </w:r>
          </w:p>
        </w:tc>
        <w:tc>
          <w:tcPr>
            <w:tcW w:w="156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color w:val="auto"/>
              </w:rPr>
              <w:t>% Change</w:t>
            </w:r>
          </w:p>
        </w:tc>
        <w:tc>
          <w:tcPr>
            <w:tcW w:w="14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2013</w:t>
            </w:r>
          </w:p>
        </w:tc>
        <w:tc>
          <w:tcPr>
            <w:tcW w:w="11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2012</w:t>
            </w:r>
          </w:p>
        </w:tc>
        <w:tc>
          <w:tcPr>
            <w:tcW w:w="12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 Change</w:t>
            </w:r>
          </w:p>
        </w:tc>
      </w:tr>
      <w:tr>
        <w:trPr>
          <w:trHeight w:val="257"/>
        </w:trPr>
        <w:tc>
          <w:tcPr>
            <w:tcW w:w="3800" w:type="dxa"/>
            <w:vAlign w:val="bottom"/>
          </w:tcPr>
          <w:p>
            <w:pPr>
              <w:ind w:left="40"/>
              <w:spacing w:after="0"/>
              <w:rPr>
                <w:sz w:val="20"/>
                <w:szCs w:val="20"/>
                <w:color w:val="auto"/>
              </w:rPr>
            </w:pPr>
            <w:r>
              <w:rPr>
                <w:rFonts w:ascii="Arial" w:cs="Arial" w:eastAsia="Arial" w:hAnsi="Arial"/>
                <w:sz w:val="16"/>
                <w:szCs w:val="16"/>
                <w:color w:val="auto"/>
              </w:rPr>
              <w:t>Kaplan University</w:t>
            </w:r>
          </w:p>
        </w:tc>
        <w:tc>
          <w:tcPr>
            <w:tcW w:w="1300" w:type="dxa"/>
            <w:vAlign w:val="bottom"/>
          </w:tcPr>
          <w:p>
            <w:pPr>
              <w:jc w:val="right"/>
              <w:ind w:right="223"/>
              <w:spacing w:after="0"/>
              <w:rPr>
                <w:sz w:val="20"/>
                <w:szCs w:val="20"/>
                <w:color w:val="auto"/>
              </w:rPr>
            </w:pPr>
            <w:r>
              <w:rPr>
                <w:rFonts w:ascii="Arial" w:cs="Arial" w:eastAsia="Arial" w:hAnsi="Arial"/>
                <w:sz w:val="16"/>
                <w:szCs w:val="16"/>
                <w:b w:val="1"/>
                <w:bCs w:val="1"/>
                <w:color w:val="auto"/>
              </w:rPr>
              <w:t>42,816</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44,371</w:t>
            </w:r>
          </w:p>
        </w:tc>
        <w:tc>
          <w:tcPr>
            <w:tcW w:w="1560" w:type="dxa"/>
            <w:vAlign w:val="bottom"/>
          </w:tcPr>
          <w:p>
            <w:pPr>
              <w:jc w:val="right"/>
              <w:ind w:right="521"/>
              <w:spacing w:after="0"/>
              <w:rPr>
                <w:sz w:val="20"/>
                <w:szCs w:val="20"/>
                <w:color w:val="auto"/>
              </w:rPr>
            </w:pPr>
            <w:r>
              <w:rPr>
                <w:rFonts w:ascii="Arial" w:cs="Arial" w:eastAsia="Arial" w:hAnsi="Arial"/>
                <w:sz w:val="16"/>
                <w:szCs w:val="16"/>
                <w:color w:val="auto"/>
              </w:rPr>
              <w:t>(4)</w:t>
            </w:r>
          </w:p>
        </w:tc>
        <w:tc>
          <w:tcPr>
            <w:tcW w:w="1440" w:type="dxa"/>
            <w:vAlign w:val="bottom"/>
          </w:tcPr>
          <w:p>
            <w:pPr>
              <w:jc w:val="right"/>
              <w:ind w:right="263"/>
              <w:spacing w:after="0"/>
              <w:rPr>
                <w:sz w:val="20"/>
                <w:szCs w:val="20"/>
                <w:color w:val="auto"/>
              </w:rPr>
            </w:pPr>
            <w:r>
              <w:rPr>
                <w:rFonts w:ascii="Arial" w:cs="Arial" w:eastAsia="Arial" w:hAnsi="Arial"/>
                <w:sz w:val="16"/>
                <w:szCs w:val="16"/>
                <w:b w:val="1"/>
                <w:bCs w:val="1"/>
                <w:color w:val="auto"/>
              </w:rPr>
              <w:t>42,816</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44,371</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(4)</w:t>
            </w:r>
          </w:p>
        </w:tc>
      </w:tr>
      <w:tr>
        <w:trPr>
          <w:trHeight w:val="274"/>
        </w:trPr>
        <w:tc>
          <w:tcPr>
            <w:tcW w:w="3800" w:type="dxa"/>
            <w:vAlign w:val="bottom"/>
          </w:tcPr>
          <w:p>
            <w:pPr>
              <w:ind w:left="40"/>
              <w:spacing w:after="0"/>
              <w:rPr>
                <w:sz w:val="20"/>
                <w:szCs w:val="20"/>
                <w:color w:val="auto"/>
              </w:rPr>
            </w:pPr>
            <w:r>
              <w:rPr>
                <w:rFonts w:ascii="Arial" w:cs="Arial" w:eastAsia="Arial" w:hAnsi="Arial"/>
                <w:sz w:val="16"/>
                <w:szCs w:val="16"/>
                <w:color w:val="auto"/>
              </w:rPr>
              <w:t>Other Campuses</w:t>
            </w:r>
          </w:p>
        </w:tc>
        <w:tc>
          <w:tcPr>
            <w:tcW w:w="130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17,417</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21,099</w:t>
            </w:r>
          </w:p>
        </w:tc>
        <w:tc>
          <w:tcPr>
            <w:tcW w:w="1560" w:type="dxa"/>
            <w:vAlign w:val="bottom"/>
          </w:tcPr>
          <w:p>
            <w:pPr>
              <w:jc w:val="right"/>
              <w:ind w:right="521"/>
              <w:spacing w:after="0"/>
              <w:rPr>
                <w:sz w:val="20"/>
                <w:szCs w:val="20"/>
                <w:color w:val="auto"/>
              </w:rPr>
            </w:pPr>
            <w:r>
              <w:rPr>
                <w:rFonts w:ascii="Arial" w:cs="Arial" w:eastAsia="Arial" w:hAnsi="Arial"/>
                <w:sz w:val="16"/>
                <w:szCs w:val="16"/>
                <w:color w:val="auto"/>
              </w:rPr>
              <w:t>(17)</w:t>
            </w:r>
          </w:p>
        </w:tc>
        <w:tc>
          <w:tcPr>
            <w:tcW w:w="144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17,342</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19,267</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(10)</w:t>
            </w:r>
          </w:p>
        </w:tc>
      </w:tr>
      <w:tr>
        <w:trPr>
          <w:trHeight w:val="266"/>
        </w:trPr>
        <w:tc>
          <w:tcPr>
            <w:tcW w:w="3800" w:type="dxa"/>
            <w:vAlign w:val="bottom"/>
          </w:tcPr>
          <w:p>
            <w:pPr>
              <w:spacing w:after="0"/>
              <w:rPr>
                <w:sz w:val="23"/>
                <w:szCs w:val="23"/>
                <w:color w:val="auto"/>
              </w:rPr>
            </w:pPr>
          </w:p>
        </w:tc>
        <w:tc>
          <w:tcPr>
            <w:tcW w:w="130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60,233</w:t>
            </w: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65,470</w:t>
            </w:r>
          </w:p>
        </w:tc>
        <w:tc>
          <w:tcPr>
            <w:tcW w:w="1560" w:type="dxa"/>
            <w:vAlign w:val="bottom"/>
          </w:tcPr>
          <w:p>
            <w:pPr>
              <w:jc w:val="right"/>
              <w:ind w:right="521"/>
              <w:spacing w:after="0"/>
              <w:rPr>
                <w:sz w:val="20"/>
                <w:szCs w:val="20"/>
                <w:color w:val="auto"/>
              </w:rPr>
            </w:pPr>
            <w:r>
              <w:rPr>
                <w:rFonts w:ascii="Arial" w:cs="Arial" w:eastAsia="Arial" w:hAnsi="Arial"/>
                <w:sz w:val="16"/>
                <w:szCs w:val="16"/>
                <w:color w:val="auto"/>
              </w:rPr>
              <w:t>(8)</w:t>
            </w:r>
          </w:p>
        </w:tc>
        <w:tc>
          <w:tcPr>
            <w:tcW w:w="144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60,158</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63,638</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(5)</w:t>
            </w:r>
          </w:p>
        </w:tc>
      </w:tr>
      <w:tr>
        <w:trPr>
          <w:trHeight w:val="20"/>
        </w:trPr>
        <w:tc>
          <w:tcPr>
            <w:tcW w:w="38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Other Campuses enrollments by certificate and degree programs,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60" w:type="dxa"/>
            <w:vAlign w:val="bottom"/>
          </w:tcPr>
          <w:p>
            <w:pPr>
              <w:spacing w:after="0"/>
              <w:rPr>
                <w:sz w:val="17"/>
                <w:szCs w:val="17"/>
                <w:color w:val="auto"/>
              </w:rPr>
            </w:pPr>
          </w:p>
        </w:tc>
        <w:tc>
          <w:tcPr>
            <w:tcW w:w="2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2013</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2012</w:t>
            </w:r>
          </w:p>
        </w:tc>
      </w:tr>
      <w:tr>
        <w:trPr>
          <w:trHeight w:val="257"/>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21.7%</w:t>
            </w:r>
          </w:p>
        </w:tc>
        <w:tc>
          <w:tcPr>
            <w:tcW w:w="96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29.7%</w:t>
            </w:r>
          </w:p>
        </w:tc>
        <w:tc>
          <w:tcPr>
            <w:tcW w:w="96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b w:val="1"/>
                <w:bCs w:val="1"/>
                <w:color w:val="auto"/>
              </w:rPr>
              <w:t>32.3%</w:t>
            </w:r>
          </w:p>
        </w:tc>
        <w:tc>
          <w:tcPr>
            <w:tcW w:w="96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74"/>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16.3%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KTP includes Kaplan’s standardized test preparation programs. KTP revenue increased 3% in 2013. Although total enrollment declined 3% for 2013, declines in revenue from graduate programs were offset by growth in medical and bar review programs and other products. KTP operating results improved in 2013 due to the increase in revenues and lower costs.</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724" w:right="239" w:bottom="1440" w:gutter="0" w:footer="0" w:header="0"/>
          <w:type w:val="continuous"/>
        </w:sectPr>
      </w:pPr>
    </w:p>
    <w:bookmarkStart w:id="43" w:name="page44"/>
    <w:bookmarkEnd w:id="43"/>
    <w:p>
      <w:pPr>
        <w:ind w:right="200"/>
        <w:spacing w:after="0" w:line="290" w:lineRule="auto"/>
        <w:rPr>
          <w:sz w:val="20"/>
          <w:szCs w:val="20"/>
          <w:color w:val="auto"/>
        </w:rPr>
      </w:pPr>
      <w:r>
        <w:rPr>
          <w:rFonts w:ascii="Arial" w:cs="Arial" w:eastAsia="Arial" w:hAnsi="Arial"/>
          <w:sz w:val="17"/>
          <w:szCs w:val="17"/>
          <w:color w:val="auto"/>
        </w:rPr>
        <w:t>In the fourth quarter of 2012, Kaplan recorded a $111.6 million noncash goodwill and other long-lived assets impairment charge in connection with KTP. This impairment charge was determined as part of the Company's 2012 annual goodwill and intangible assets impairment testing.</w:t>
      </w:r>
    </w:p>
    <w:p>
      <w:pPr>
        <w:spacing w:after="0" w:line="68"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6% in 2013 due to enrollment growth in the pathways, English-language and Singapore higher education programs.</w:t>
      </w:r>
    </w:p>
    <w:p>
      <w:pPr>
        <w:spacing w:after="0" w:line="108"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Kaplan International operating income increased in 2013 due largely to a reduction in operating losses in Australia from lower restructuring costs, and improved results in Singapore. These increases were offset by reduced earnings in professional training and increased investment to support growth in English-language programs. Restructuring costs at Kaplan International totaled $ 5.8 million and $16.4 million in 2013 and 2012, respectively. These restructuring costs were largely in Australia and included lease obligations, accelerated depreciation and severance charges; the restructuring plan in Australia has now been completed.</w:t>
      </w:r>
    </w:p>
    <w:p>
      <w:pPr>
        <w:spacing w:after="0" w:line="11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 2013, Kaplan recorded $3.3 million in noncash intangible and other long-lived assets impairment charges primarily in connection with one of the businesses in Kaplan International.</w:t>
      </w:r>
    </w:p>
    <w:p>
      <w:pPr>
        <w:spacing w:after="0" w:line="9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Kaplan corporate represents unallocated expenses of Kaplan, Inc.’s corporate office, other minor businesses and certain shared activities. In 2013, $11.0 million in restructuring costs was recorded in connection with charges related to office space managed by Kaplan corporate.</w:t>
      </w:r>
    </w:p>
    <w:p>
      <w:pPr>
        <w:spacing w:after="0" w:line="92" w:lineRule="exact"/>
        <w:rPr>
          <w:sz w:val="20"/>
          <w:szCs w:val="20"/>
          <w:color w:val="auto"/>
        </w:rPr>
      </w:pPr>
    </w:p>
    <w:p>
      <w:pPr>
        <w:ind w:right="860"/>
        <w:spacing w:after="0" w:line="260" w:lineRule="auto"/>
        <w:rPr>
          <w:sz w:val="20"/>
          <w:szCs w:val="20"/>
          <w:color w:val="auto"/>
        </w:rPr>
      </w:pPr>
      <w:r>
        <w:rPr>
          <w:rFonts w:ascii="Arial" w:cs="Arial" w:eastAsia="Arial" w:hAnsi="Arial"/>
          <w:sz w:val="18"/>
          <w:szCs w:val="18"/>
          <w:color w:val="auto"/>
        </w:rPr>
        <w:t>In 2012, $2.6 million in restructuring costs was included in amortization of intangible assets, largely from accelerated intangible asset amortization associated with changes to business operations in Australia.</w:t>
      </w:r>
    </w:p>
    <w:p>
      <w:pPr>
        <w:spacing w:after="0" w:line="90"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b w:val="1"/>
          <w:bCs w:val="1"/>
          <w:color w:val="auto"/>
        </w:rPr>
        <w:t xml:space="preserve">Cable Division. </w:t>
      </w:r>
      <w:r>
        <w:rPr>
          <w:rFonts w:ascii="Arial" w:cs="Arial" w:eastAsia="Arial" w:hAnsi="Arial"/>
          <w:sz w:val="18"/>
          <w:szCs w:val="18"/>
          <w:color w:val="auto"/>
        </w:rPr>
        <w:t>Cable division revenue for 2013 increased 3% to $ 807.3 million, from $787.1 million in 2012. The revenue increase in 2013 is</w:t>
      </w:r>
      <w:r>
        <w:rPr>
          <w:rFonts w:ascii="Arial" w:cs="Arial" w:eastAsia="Arial" w:hAnsi="Arial"/>
          <w:sz w:val="18"/>
          <w:szCs w:val="18"/>
          <w:b w:val="1"/>
          <w:bCs w:val="1"/>
          <w:color w:val="auto"/>
        </w:rPr>
        <w:t xml:space="preserve"> </w:t>
      </w:r>
      <w:r>
        <w:rPr>
          <w:rFonts w:ascii="Arial" w:cs="Arial" w:eastAsia="Arial" w:hAnsi="Arial"/>
          <w:sz w:val="18"/>
          <w:szCs w:val="18"/>
          <w:color w:val="auto"/>
        </w:rPr>
        <w:t>due to recent rate increases for a substantial portion of subscribers, growth in commercial sales and a reduction in promotional discounts. The increase was offset by a decline in video subscribers, as the cable division focuses its efforts on churn reduction and retention of its high-value subscribers.</w:t>
      </w:r>
    </w:p>
    <w:p>
      <w:pPr>
        <w:spacing w:after="0" w:line="110"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Cable division operating income in 2013 increased 10% to $169.7 million, from $154.6 million in 2012, due primarily to increased revenues, partially offset by higher programming costs. Operating margin at the cable division was 21% in 2013 and 20% in 2012.</w:t>
      </w:r>
    </w:p>
    <w:p>
      <w:pPr>
        <w:spacing w:after="0" w:line="92"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At December 31, 2013, Primary Service Units (PSUs) were down 4% from the prior year due primarily to a decline in video subscribers. A summary of PSUs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2620" w:type="dxa"/>
            <w:vAlign w:val="bottom"/>
            <w:tcBorders>
              <w:bottom w:val="single" w:sz="8" w:color="auto"/>
            </w:tcBorders>
            <w:gridSpan w:val="2"/>
          </w:tcPr>
          <w:p>
            <w:pPr>
              <w:jc w:val="right"/>
              <w:ind w:right="5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8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2013</w:t>
            </w: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2012</w:t>
            </w: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Video</w:t>
            </w:r>
          </w:p>
        </w:tc>
        <w:tc>
          <w:tcPr>
            <w:tcW w:w="1460" w:type="dxa"/>
            <w:vAlign w:val="bottom"/>
          </w:tcPr>
          <w:p>
            <w:pPr>
              <w:jc w:val="right"/>
              <w:ind w:right="242"/>
              <w:spacing w:after="0"/>
              <w:rPr>
                <w:sz w:val="20"/>
                <w:szCs w:val="20"/>
                <w:color w:val="auto"/>
              </w:rPr>
            </w:pPr>
            <w:r>
              <w:rPr>
                <w:rFonts w:ascii="Arial" w:cs="Arial" w:eastAsia="Arial" w:hAnsi="Arial"/>
                <w:sz w:val="16"/>
                <w:szCs w:val="16"/>
                <w:b w:val="1"/>
                <w:bCs w:val="1"/>
                <w:color w:val="auto"/>
              </w:rPr>
              <w:t>538,894</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593,615</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1460" w:type="dxa"/>
            <w:vAlign w:val="bottom"/>
          </w:tcPr>
          <w:p>
            <w:pPr>
              <w:jc w:val="right"/>
              <w:ind w:right="242"/>
              <w:spacing w:after="0"/>
              <w:rPr>
                <w:sz w:val="20"/>
                <w:szCs w:val="20"/>
                <w:color w:val="auto"/>
              </w:rPr>
            </w:pPr>
            <w:r>
              <w:rPr>
                <w:rFonts w:ascii="Arial" w:cs="Arial" w:eastAsia="Arial" w:hAnsi="Arial"/>
                <w:sz w:val="16"/>
                <w:szCs w:val="16"/>
                <w:b w:val="1"/>
                <w:bCs w:val="1"/>
                <w:color w:val="auto"/>
              </w:rPr>
              <w:t>472,631</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459,235</w:t>
            </w:r>
          </w:p>
        </w:tc>
      </w:tr>
      <w:tr>
        <w:trPr>
          <w:trHeight w:val="274"/>
        </w:trPr>
        <w:tc>
          <w:tcPr>
            <w:tcW w:w="8800" w:type="dxa"/>
            <w:vAlign w:val="bottom"/>
          </w:tcPr>
          <w:p>
            <w:pPr>
              <w:ind w:left="40"/>
              <w:spacing w:after="0"/>
              <w:rPr>
                <w:sz w:val="20"/>
                <w:szCs w:val="20"/>
                <w:color w:val="auto"/>
              </w:rPr>
            </w:pPr>
            <w:r>
              <w:rPr>
                <w:rFonts w:ascii="Arial" w:cs="Arial" w:eastAsia="Arial" w:hAnsi="Arial"/>
                <w:sz w:val="16"/>
                <w:szCs w:val="16"/>
                <w:color w:val="auto"/>
              </w:rPr>
              <w:t>Telephony</w:t>
            </w:r>
          </w:p>
        </w:tc>
        <w:tc>
          <w:tcPr>
            <w:tcW w:w="14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177,483</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184,528</w:t>
            </w:r>
          </w:p>
        </w:tc>
      </w:tr>
      <w:tr>
        <w:trPr>
          <w:trHeight w:val="266"/>
        </w:trPr>
        <w:tc>
          <w:tcPr>
            <w:tcW w:w="8800" w:type="dxa"/>
            <w:vAlign w:val="bottom"/>
          </w:tcPr>
          <w:p>
            <w:pPr>
              <w:ind w:left="28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1,189,008</w:t>
            </w: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1,237,378</w:t>
            </w:r>
          </w:p>
        </w:tc>
      </w:tr>
      <w:tr>
        <w:trPr>
          <w:trHeight w:val="20"/>
        </w:trPr>
        <w:tc>
          <w:tcPr>
            <w:tcW w:w="88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PSUs include about 6,300 subscribers who receive free basic cable service, primarily local governments, schools and other organizations as required by various franchise agreements.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Below are details of the cable division’s capital expenditures, presented in the NCTA Standard Reporting Categories: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2012</w:t>
            </w: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Customer premise equipment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34,087</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43,629</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5,265</w:t>
            </w:r>
          </w:p>
        </w:tc>
        <w:tc>
          <w:tcPr>
            <w:tcW w:w="4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4,549</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Scalable infrastructure</w:t>
            </w:r>
          </w:p>
        </w:tc>
        <w:tc>
          <w:tcPr>
            <w:tcW w:w="30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24,609</w:t>
            </w:r>
          </w:p>
        </w:tc>
        <w:tc>
          <w:tcPr>
            <w:tcW w:w="4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24,048</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Line extensions</w:t>
            </w:r>
          </w:p>
        </w:tc>
        <w:tc>
          <w:tcPr>
            <w:tcW w:w="30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6,350</w:t>
            </w:r>
          </w:p>
        </w:tc>
        <w:tc>
          <w:tcPr>
            <w:tcW w:w="4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5,997</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Upgrade/rebuild</w:t>
            </w:r>
          </w:p>
        </w:tc>
        <w:tc>
          <w:tcPr>
            <w:tcW w:w="30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b w:val="1"/>
                <w:bCs w:val="1"/>
                <w:color w:val="auto"/>
              </w:rPr>
              <w:t>37,245</w:t>
            </w:r>
          </w:p>
        </w:tc>
        <w:tc>
          <w:tcPr>
            <w:tcW w:w="4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16,957</w:t>
            </w:r>
          </w:p>
        </w:tc>
      </w:tr>
      <w:tr>
        <w:trPr>
          <w:trHeight w:val="274"/>
        </w:trPr>
        <w:tc>
          <w:tcPr>
            <w:tcW w:w="8800" w:type="dxa"/>
            <w:vAlign w:val="bottom"/>
          </w:tcPr>
          <w:p>
            <w:pPr>
              <w:ind w:left="40"/>
              <w:spacing w:after="0"/>
              <w:rPr>
                <w:sz w:val="20"/>
                <w:szCs w:val="20"/>
                <w:color w:val="auto"/>
              </w:rPr>
            </w:pPr>
            <w:r>
              <w:rPr>
                <w:rFonts w:ascii="Arial" w:cs="Arial" w:eastAsia="Arial" w:hAnsi="Arial"/>
                <w:sz w:val="16"/>
                <w:szCs w:val="16"/>
                <w:color w:val="auto"/>
              </w:rPr>
              <w:t>Support capital</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52,690</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55,345</w:t>
            </w:r>
          </w:p>
        </w:tc>
      </w:tr>
      <w:tr>
        <w:trPr>
          <w:trHeight w:val="266"/>
        </w:trPr>
        <w:tc>
          <w:tcPr>
            <w:tcW w:w="8800" w:type="dxa"/>
            <w:vAlign w:val="bottom"/>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160,246</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150,525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decreased 6% to $374.6 million in 2013, from $399.7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2012. Television broadcasting division operating income for 2013 decreased 11% to $171.3 million, from $191.6 million in 2012.</w:t>
      </w:r>
    </w:p>
    <w:p>
      <w:pPr>
        <w:spacing w:after="0" w:line="89"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decline in revenue and operating income for 2013 is due to a $49.7 million decrease in political advertising revenue and $10.8 million in incremental summer Olympics-related advertising at the Company's NBC affiliates</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724"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color w:val="auto"/>
        </w:rPr>
        <w:t>included in the third quarter of 2012. The decline in revenue and operating income was partially offset by increased retransmission revenues.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46% in 2013 and 48% in 2012.</w:t>
      </w:r>
    </w:p>
    <w:p>
      <w:pPr>
        <w:spacing w:after="0" w:line="122"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Competitive market position remained strong for the Company’s television stations. KSAT in San Antonio and WJXT in Jacksonville ranked number one in the November 2013 ratings period, Monday through Friday, sign-on to sign-off; WDIV in Detroit and WKMG in Orlando ranked second, and WPLG in Miami and KPRC in Houston ranked second (Anglo stations).</w:t>
      </w:r>
    </w:p>
    <w:p>
      <w:pPr>
        <w:spacing w:after="0" w:line="106"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results of Social Code, a marketing solutions provider helping companies with marketing on</w:t>
      </w:r>
      <w:r>
        <w:rPr>
          <w:rFonts w:ascii="Arial" w:cs="Arial" w:eastAsia="Arial" w:hAnsi="Arial"/>
          <w:sz w:val="18"/>
          <w:szCs w:val="18"/>
          <w:b w:val="1"/>
          <w:bCs w:val="1"/>
          <w:color w:val="auto"/>
        </w:rPr>
        <w:t xml:space="preserve"> </w:t>
      </w:r>
      <w:r>
        <w:rPr>
          <w:rFonts w:ascii="Arial" w:cs="Arial" w:eastAsia="Arial" w:hAnsi="Arial"/>
          <w:sz w:val="18"/>
          <w:szCs w:val="18"/>
          <w:color w:val="auto"/>
        </w:rPr>
        <w:t>social-media platforms; Celtic Healthcare, a provider of home health and hospice services in the northeastern and mid-Atlantic regions, acquired by the Company in November 2012; Forney, a global supplier of products and systems that control and monitor combustion processes in electric utility and industrial applications, acquired by the Company in August 2013; and Trove, a digital team focused on emerging technologies and new product development. Also included are The Slate Group and FP Group, previously included as part of the Company’s newspaper publishing division, which publish online and print magazines and websites.</w:t>
      </w:r>
    </w:p>
    <w:p>
      <w:pPr>
        <w:spacing w:after="0" w:line="10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revenue increase of 77% in other businesses for 2013 is due to growth at SocialCode and Slate and revenue from the Company’s recently acquired Celtic Healthcare and Forney businesses.</w:t>
      </w:r>
    </w:p>
    <w:p>
      <w:pPr>
        <w:spacing w:after="0" w:line="90" w:lineRule="exact"/>
        <w:rPr>
          <w:sz w:val="20"/>
          <w:szCs w:val="20"/>
          <w:color w:val="auto"/>
        </w:rPr>
      </w:pPr>
    </w:p>
    <w:p>
      <w:pPr>
        <w:jc w:val="both"/>
        <w:ind w:right="120"/>
        <w:spacing w:after="0" w:line="241"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as well as a net pension credit. Corporate office</w:t>
      </w:r>
      <w:r>
        <w:rPr>
          <w:rFonts w:ascii="Arial" w:cs="Arial" w:eastAsia="Arial" w:hAnsi="Arial"/>
          <w:sz w:val="18"/>
          <w:szCs w:val="18"/>
          <w:b w:val="1"/>
          <w:bCs w:val="1"/>
          <w:color w:val="auto"/>
        </w:rPr>
        <w:t xml:space="preserve"> </w:t>
      </w:r>
      <w:r>
        <w:rPr>
          <w:rFonts w:ascii="Arial" w:cs="Arial" w:eastAsia="Arial" w:hAnsi="Arial"/>
          <w:sz w:val="18"/>
          <w:szCs w:val="18"/>
          <w:color w:val="auto"/>
        </w:rPr>
        <w:t>also includes the current and historical pension and postretirement benefits expense for retirees of the newspaper publishing businesses that were sold since the associated assets and liabilities are being retained by the Company.</w:t>
      </w:r>
    </w:p>
    <w:p>
      <w:pPr>
        <w:spacing w:after="0" w:line="108"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In November 2013, the Company announced that its headquarters building was to be sold for approximately $159 million. The sale is currently expected to close at the end of March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Equity in Earnings of Affiliates. </w:t>
      </w:r>
      <w:r>
        <w:rPr>
          <w:rFonts w:ascii="Arial" w:cs="Arial" w:eastAsia="Arial" w:hAnsi="Arial"/>
          <w:sz w:val="18"/>
          <w:szCs w:val="18"/>
          <w:color w:val="auto"/>
        </w:rPr>
        <w:t>The Company holds a 16.5% interest in Classified Ventures, LLC and interests in several other affiliates.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equity in earnings of affiliates, net, for 2013 was $13.2 million, compared to $14.1 million in 2012.</w:t>
      </w:r>
    </w:p>
    <w:p>
      <w:pPr>
        <w:spacing w:after="0" w:line="142"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b w:val="1"/>
          <w:bCs w:val="1"/>
          <w:color w:val="auto"/>
        </w:rPr>
        <w:t xml:space="preserve">Other Non-Operating (Expense) Income. </w:t>
      </w:r>
      <w:r>
        <w:rPr>
          <w:rFonts w:ascii="Arial" w:cs="Arial" w:eastAsia="Arial" w:hAnsi="Arial"/>
          <w:sz w:val="18"/>
          <w:szCs w:val="18"/>
          <w:color w:val="auto"/>
        </w:rPr>
        <w:t>The Company recorded other non-operating expense, net, of $23.8 million in 2013,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$5.5 million in 2012.</w:t>
      </w:r>
    </w:p>
    <w:p>
      <w:pPr>
        <w:spacing w:after="0" w:line="89"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The 2013 non-operating expense, net, included a $10.4 million write-down of a marketable equity security, $13.4 million in unrealized foreign currency losses and other items. The 2012 non-operating expense, net, included an $18.0 million write-down of a marketable equity security, offset by $6.6 million in net gains from cost method investments, $3.1 million in unrealized foreign currency gains and other items.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During 2013, on an overall basis, the fair value of the Company’s marketable securities appreciated by $96.3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$33.8 million in 2013, compared to $32.6 million in 2012. At</w:t>
      </w:r>
    </w:p>
    <w:p>
      <w:pPr>
        <w:spacing w:after="0" w:line="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December 31, 2013, the Company had $450.8 million in borrowings outstanding at an average interest rate of 7.0%; at December 31, 2012, the Company had $696.7 million in borrowings outstanding at an average interest rate of 5.1%.</w:t>
      </w:r>
    </w:p>
    <w:p>
      <w:pPr>
        <w:spacing w:after="0" w:line="10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income from continuing operations in 2013 was 36.5%. This effective tax rate benefited</w:t>
      </w:r>
      <w:r>
        <w:rPr>
          <w:rFonts w:ascii="Arial" w:cs="Arial" w:eastAsia="Arial" w:hAnsi="Arial"/>
          <w:sz w:val="18"/>
          <w:szCs w:val="18"/>
          <w:b w:val="1"/>
          <w:bCs w:val="1"/>
          <w:color w:val="auto"/>
        </w:rPr>
        <w:t xml:space="preserve"> </w:t>
      </w:r>
      <w:r>
        <w:rPr>
          <w:rFonts w:ascii="Arial" w:cs="Arial" w:eastAsia="Arial" w:hAnsi="Arial"/>
          <w:sz w:val="18"/>
          <w:szCs w:val="18"/>
          <w:color w:val="auto"/>
        </w:rPr>
        <w:t>from lower state taxes, offset by $4.6 million in net state and non-U.S. valuation allowances provided against deferred income tax benefits where realization is doubtful.</w:t>
      </w:r>
    </w:p>
    <w:p>
      <w:pPr>
        <w:spacing w:after="0" w:line="10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effective tax rate for income from continuing operations in 2012 was 53.6%. This effective tax rate was adversely impacted by $12.8 million from nondeductible goodwill in connection with an impairment charge recorded in 2012, and $12.5 million in net state and non-U.S. valuation allowances provided against deferred income tax benefits where realization is doubtful, offset by tax benefits from lower rates in jurisdictions outside the United States.</w:t>
      </w:r>
    </w:p>
    <w:p>
      <w:pPr>
        <w:spacing w:after="0" w:line="109"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On October 1, 2013, the Company completed the sale of most of its newspaper publishing businesses. The</w:t>
      </w:r>
      <w:r>
        <w:rPr>
          <w:rFonts w:ascii="Arial" w:cs="Arial" w:eastAsia="Arial" w:hAnsi="Arial"/>
          <w:sz w:val="18"/>
          <w:szCs w:val="18"/>
          <w:b w:val="1"/>
          <w:bCs w:val="1"/>
          <w:color w:val="auto"/>
        </w:rPr>
        <w:t xml:space="preserve"> </w:t>
      </w:r>
      <w:r>
        <w:rPr>
          <w:rFonts w:ascii="Arial" w:cs="Arial" w:eastAsia="Arial" w:hAnsi="Arial"/>
          <w:sz w:val="18"/>
          <w:szCs w:val="18"/>
          <w:color w:val="auto"/>
        </w:rPr>
        <w:t>publishing businesses sold include The Washington Post, Express, The Gazette Newspapers, Southern Maryland Newspapers, Greater Washington Publishing, Fairfax County Times and El Tiempo Latino and related websites (Publishing Subsidiaries). Slate magazine, TheRoot.com and Foreign Policy were not part of the transaction and remain with the Company, as do the Trove and SocialCode businesses, the Company’s interest in Classified Ventures and certain real estate assets, including the headquarters building in</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24" w:right="239" w:bottom="1440" w:gutter="0" w:footer="0" w:header="0"/>
        </w:sectPr>
      </w:pPr>
    </w:p>
    <w:bookmarkStart w:id="45" w:name="page46"/>
    <w:bookmarkEnd w:id="45"/>
    <w:p>
      <w:pPr>
        <w:ind w:right="20"/>
        <w:spacing w:after="0" w:line="260" w:lineRule="auto"/>
        <w:rPr>
          <w:sz w:val="20"/>
          <w:szCs w:val="20"/>
          <w:color w:val="auto"/>
        </w:rPr>
      </w:pPr>
      <w:r>
        <w:rPr>
          <w:rFonts w:ascii="Arial" w:cs="Arial" w:eastAsia="Arial" w:hAnsi="Arial"/>
          <w:sz w:val="18"/>
          <w:szCs w:val="18"/>
          <w:color w:val="auto"/>
        </w:rPr>
        <w:t>downtown Washington, DC. Consequently, income from continuing operations excludes these sold businesses, which have been reclassified to discontinued operations, net of tax, for all periods presented.</w:t>
      </w:r>
    </w:p>
    <w:p>
      <w:pPr>
        <w:spacing w:after="0" w:line="92"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The Company sold all the issued and outstanding equity securities of the Publishing Subsidiaries for $250 million, subject to customary adjustments for cash, debt and working capital at closing. In 2013, a pre-tax gain of $157.5 million was recorded on the sale ($100.0 million after-tax gain).</w:t>
      </w:r>
    </w:p>
    <w:p>
      <w:pPr>
        <w:spacing w:after="0" w:line="10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March 2013, the Company sold The Herald. Kaplan sold Kidum in August 2012, EduNeering in April 2012 and Kaplan Learning Technologies (KLT) in February 2012. In addition, the Company divested its interest in Avenue100 Media Solutions in July 2012. Consequently, income from continuing operations also excludes the operating results and related net gains on disposition of these businesses, which have been reclassified to discontinued operations, net of tax, for all periods presented.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2012 COMPARED TO 2011</w:t>
      </w:r>
    </w:p>
    <w:p>
      <w:pPr>
        <w:spacing w:after="0" w:line="146"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Net income attributable to common shares was $131.2 million ($17.39 per share) for the year ended December 31, 2012, compared to $116.2 million ($ 14.70 per share) for the year ended December 31, 2011</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Net income includes $60.1 million in income ($8.17 per share) and $34.2 million in losses ($4.33 per share) from discontinued operations for 2012 and 2011 respectively. Income from continuing operations attributable to common shares was $71.1 million ($9.22 per share) for 2012, compared to $150.5 million ($19.03 per share) for 2011. As a result of the Company's share repurchases, there were 6% fewer diluted average shares outstanding in 2012.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2012 are listed below:</w:t>
      </w:r>
    </w:p>
    <w:p>
      <w:pPr>
        <w:spacing w:after="0" w:line="90" w:lineRule="exact"/>
        <w:rPr>
          <w:sz w:val="20"/>
          <w:szCs w:val="20"/>
          <w:color w:val="auto"/>
        </w:rPr>
      </w:pPr>
    </w:p>
    <w:p>
      <w:pPr>
        <w:ind w:left="180" w:hanging="172"/>
        <w:spacing w:after="0"/>
        <w:tabs>
          <w:tab w:leader="none" w:pos="18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$111.6 million noncash goodwill and other long-lived assets impairment charge at KTP (after-tax impact of $81.9 million, or $11.33 per share);</w:t>
      </w:r>
    </w:p>
    <w:p>
      <w:pPr>
        <w:spacing w:after="0" w:line="100" w:lineRule="exact"/>
        <w:rPr>
          <w:rFonts w:ascii="Times New Roman" w:cs="Times New Roman" w:eastAsia="Times New Roman" w:hAnsi="Times New Roman"/>
          <w:sz w:val="17"/>
          <w:szCs w:val="17"/>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$45.2 million in severance and restructuring charges at the education division (after-tax impact of $32.9 million, or $4.53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$18.0 million write-down of a marketable equity security (after-tax impact of $11.2 million, or $1.54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$5.8 million gain on the sale of a cost method investment (after-tax impact of $3.7 million, or $0.48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$3.1 million in non-operating unrealized foreign currency gains (after-tax impact of $2.0 million, or $0.27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2011 are listed below:</w:t>
      </w:r>
    </w:p>
    <w:p>
      <w:pPr>
        <w:spacing w:after="0" w:line="90"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$28.9 million in severance and restructuring charges at the education division (after-tax impact of $17.9 million, or $2.26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$9.2 million impairment charge at one of the Company’s affiliates (after-tax impact of $5.7 million, or $0.72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$53.8 million write-down of a marketable equity security (after-tax impact of $34.6 million, or $4.34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$3.3 million in non-operating unrealized foreign currency losses (after-tax impact of $2.1 million, or $0.26 per share).</w:t>
      </w:r>
    </w:p>
    <w:p>
      <w:pPr>
        <w:spacing w:after="0" w:line="144"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Revenue for 2012 was $3,455.6 million, down 2% from $3,526.0 million in 2011. Revenues were down at the education division, partially offset by increases at the television broadcasting and cable divisions.</w:t>
      </w:r>
    </w:p>
    <w:p>
      <w:pPr>
        <w:spacing w:after="0" w:line="9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2012, education revenue decreased 9%, subscriber revenue increased 3%, advertising revenue increased 22% and other revenue increased 51%. Revenue declines at Kaplan accounted for the decrease in education revenue. Subscriber revenue increased at the cable division. The increase in advertising revenue is due to increased television broadcasting revenue. The increase in other revenue is due to higher sales at SocialCode and Slate, as well as from the newly acquired Celtic Healthcare.</w:t>
      </w:r>
    </w:p>
    <w:p>
      <w:pPr>
        <w:spacing w:after="0" w:line="11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Operating costs and expenses for the year increased 3% to $3,276.4 million in 2012, from $3,191.9 million in 2011. Excluding the noncash goodwill and other long-lived assets impairment charge at Kaplan, overall costs at Kaplan declined in 2012. This was offset by increased costs at the television broadcasting and cable divisions, along with higher expenses in other businesses.</w:t>
      </w:r>
    </w:p>
    <w:p>
      <w:pPr>
        <w:spacing w:after="0" w:line="108"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color w:val="auto"/>
        </w:rPr>
        <w:t>Operating income for 2012 decreased to $179.2 million, from $334.1 million in 2011. Operating results declined at all of the Company’s divisions, except for the television broadcasting division.</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2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2012 totaled $2,196.5 million, a 9% decline from $ 2,404.5 million in 2011.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from acquired businesses, education division revenue declined 10% in 2012. Kaplan reported an operating loss of $ 105.4 million for 2012, compared to operating income of $96.3 million in 2011. Kaplan’s 2012 operating results were adversely impacted by a significant decline in KHE results; a $111.6 million noncash goodwill and other long-lived assets impairment charge related to KTP; and $45.2 million in restructuring costs. These were offset by improved results at KTP and Kaplan International.</w:t>
      </w:r>
    </w:p>
    <w:p>
      <w:pPr>
        <w:spacing w:after="0" w:line="10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response to student demand levels, Kaplan has formulated and implemented restructuring plans at its various businesses that have resulted in significant costs in 2012 and 2011, with the objective of establishing lower cost levels in future periods. Across all businesses, restructuring costs totaled $45.2 million in 2012 and $28.9 million in 2011.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Year Ended December 31</w:t>
            </w:r>
          </w:p>
        </w:tc>
        <w:tc>
          <w:tcPr>
            <w:tcW w:w="100" w:type="dxa"/>
            <w:vAlign w:val="bottom"/>
            <w:tcBorders>
              <w:bottom w:val="single" w:sz="8" w:color="auto"/>
            </w:tcBorders>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60"/>
        </w:trPr>
        <w:tc>
          <w:tcPr>
            <w:tcW w:w="74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1,149,407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1,399,583</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284,252</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303,093</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753,790</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690,226</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15,039</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18,940</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9"/>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(5,992)</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(7,383)</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8"/>
        </w:trPr>
        <w:tc>
          <w:tcPr>
            <w:tcW w:w="748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2,196,496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2,404,459</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4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27,245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148,915</w:t>
            </w:r>
          </w:p>
        </w:tc>
        <w:tc>
          <w:tcPr>
            <w:tcW w:w="1320" w:type="dxa"/>
            <w:vAlign w:val="bottom"/>
            <w:gridSpan w:val="2"/>
          </w:tcPr>
          <w:p>
            <w:pPr>
              <w:jc w:val="right"/>
              <w:ind w:right="201"/>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(10,799)</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(28,498)</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49,612</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46,498</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(43,160)</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(50,092)</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(17,719)</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(19,417)</w:t>
            </w:r>
          </w:p>
        </w:tc>
        <w:tc>
          <w:tcPr>
            <w:tcW w:w="1320" w:type="dxa"/>
            <w:vAlign w:val="bottom"/>
            <w:gridSpan w:val="2"/>
          </w:tcPr>
          <w:p>
            <w:pPr>
              <w:jc w:val="right"/>
              <w:ind w:right="24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(111,593)</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9"/>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1,046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9"/>
        </w:trPr>
        <w:tc>
          <w:tcPr>
            <w:tcW w:w="748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(105,368)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96,286</w:t>
            </w:r>
          </w:p>
        </w:tc>
        <w:tc>
          <w:tcPr>
            <w:tcW w:w="100" w:type="dxa"/>
            <w:vAlign w:val="bottom"/>
          </w:tcPr>
          <w:p>
            <w:pPr>
              <w:spacing w:after="0"/>
              <w:rPr>
                <w:sz w:val="23"/>
                <w:szCs w:val="23"/>
                <w:color w:val="auto"/>
              </w:rPr>
            </w:pPr>
          </w:p>
        </w:tc>
        <w:tc>
          <w:tcPr>
            <w:tcW w:w="122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Kaplan’s Colloquy business moved from Kaplan International to Kaplan Corporate effective January 1, 2013. Operating results at the education division have been restated to reflect this change. Kaplan sold Kidum in August 2012, EduNeering in April 2012 and Kaplan Learning Technologies in February 2012. Consequently, the education division’s operating results exclude these businesses.</w:t>
      </w:r>
    </w:p>
    <w:p>
      <w:pPr>
        <w:spacing w:after="0" w:line="10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training and other continuing education businesses.</w:t>
      </w:r>
    </w:p>
    <w:p>
      <w:pPr>
        <w:spacing w:after="0" w:line="92"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September 2012, KHE announced a plan to consolidate its market presence at certain of its fixed-facility campuses. Under this plan, KHE has ceased new enrollments at nine ground campuses as it considers alternatives for these locations and is in the process of consolidating operations of four other campuses into existing, nearby locations. Revenues at these campuses represent approximately 4% of KHE’s total revenues in 2012. In the fourth quarter of 2012, KHE also began implementing plans to consolidate facilities and reduce workforce at its online programs. In connection with these and other plans, KHE incurred $23.4 million in restructuring costs from accelerated depreciation, and severance and lease obligations in 2012.</w:t>
      </w:r>
    </w:p>
    <w:p>
      <w:pPr>
        <w:spacing w:after="0" w:line="112"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In 2012, KHE revenue declined 18% due largely to declines in average enrollments that reflect weaker market demand over the past year. Operating income decreased 82% for 2012. These declines were due primarily to lower revenue, a decline in operating results from campuses planned for closure and significant restructuring costs noted above that exceed similar charges in 2011. Offsetting the declines were expense reductions associated with lower enrollments and recent restructuring efforts.</w:t>
      </w:r>
    </w:p>
    <w:p>
      <w:pPr>
        <w:spacing w:after="0" w:line="84"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New student enrollments at Kaplan University and Other Campuses decreased 1% in 2012. Total students at December 31, 2012, were down 12% compared to December 31, 2011,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940" w:type="dxa"/>
            <w:vAlign w:val="bottom"/>
          </w:tcPr>
          <w:p>
            <w:pPr>
              <w:spacing w:after="0"/>
              <w:rPr>
                <w:sz w:val="17"/>
                <w:szCs w:val="17"/>
                <w:color w:val="auto"/>
              </w:rPr>
            </w:pPr>
          </w:p>
        </w:tc>
        <w:tc>
          <w:tcPr>
            <w:tcW w:w="226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color w:val="auto"/>
              </w:rPr>
              <w:t>As of December 31</w:t>
            </w:r>
          </w:p>
        </w:tc>
        <w:tc>
          <w:tcPr>
            <w:tcW w:w="1220" w:type="dxa"/>
            <w:vAlign w:val="bottom"/>
          </w:tcPr>
          <w:p>
            <w:pPr>
              <w:spacing w:after="0"/>
              <w:rPr>
                <w:sz w:val="17"/>
                <w:szCs w:val="17"/>
                <w:color w:val="auto"/>
              </w:rPr>
            </w:pPr>
          </w:p>
        </w:tc>
      </w:tr>
      <w:tr>
        <w:trPr>
          <w:trHeight w:val="264"/>
        </w:trPr>
        <w:tc>
          <w:tcPr>
            <w:tcW w:w="79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2012</w:t>
            </w: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2011</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 Change</w:t>
            </w:r>
          </w:p>
        </w:tc>
      </w:tr>
      <w:tr>
        <w:trPr>
          <w:trHeight w:val="260"/>
        </w:trPr>
        <w:tc>
          <w:tcPr>
            <w:tcW w:w="7940" w:type="dxa"/>
            <w:vAlign w:val="bottom"/>
          </w:tcPr>
          <w:p>
            <w:pPr>
              <w:ind w:left="40"/>
              <w:spacing w:after="0"/>
              <w:rPr>
                <w:sz w:val="20"/>
                <w:szCs w:val="20"/>
                <w:color w:val="auto"/>
              </w:rPr>
            </w:pPr>
            <w:r>
              <w:rPr>
                <w:rFonts w:ascii="Arial" w:cs="Arial" w:eastAsia="Arial" w:hAnsi="Arial"/>
                <w:sz w:val="14"/>
                <w:szCs w:val="14"/>
                <w:color w:val="auto"/>
              </w:rPr>
              <w:t>Kaplan University</w:t>
            </w:r>
          </w:p>
        </w:tc>
        <w:tc>
          <w:tcPr>
            <w:tcW w:w="1200" w:type="dxa"/>
            <w:vAlign w:val="bottom"/>
          </w:tcPr>
          <w:p>
            <w:pPr>
              <w:ind w:left="480"/>
              <w:spacing w:after="0"/>
              <w:rPr>
                <w:sz w:val="20"/>
                <w:szCs w:val="20"/>
                <w:color w:val="auto"/>
              </w:rPr>
            </w:pPr>
            <w:r>
              <w:rPr>
                <w:rFonts w:ascii="Arial" w:cs="Arial" w:eastAsia="Arial" w:hAnsi="Arial"/>
                <w:sz w:val="14"/>
                <w:szCs w:val="14"/>
                <w:color w:val="auto"/>
              </w:rPr>
              <w:t>44,371</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50,190</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(12)</w:t>
            </w:r>
          </w:p>
        </w:tc>
      </w:tr>
      <w:tr>
        <w:trPr>
          <w:trHeight w:val="274"/>
        </w:trPr>
        <w:tc>
          <w:tcPr>
            <w:tcW w:w="7940" w:type="dxa"/>
            <w:vAlign w:val="bottom"/>
          </w:tcPr>
          <w:p>
            <w:pPr>
              <w:ind w:left="40"/>
              <w:spacing w:after="0"/>
              <w:rPr>
                <w:sz w:val="20"/>
                <w:szCs w:val="20"/>
                <w:color w:val="auto"/>
              </w:rPr>
            </w:pPr>
            <w:r>
              <w:rPr>
                <w:rFonts w:ascii="Arial" w:cs="Arial" w:eastAsia="Arial" w:hAnsi="Arial"/>
                <w:sz w:val="14"/>
                <w:szCs w:val="14"/>
                <w:color w:val="auto"/>
              </w:rPr>
              <w:t>Other Campuses</w:t>
            </w:r>
          </w:p>
        </w:tc>
        <w:tc>
          <w:tcPr>
            <w:tcW w:w="120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21,099</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24,360</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(13)</w:t>
            </w:r>
          </w:p>
        </w:tc>
      </w:tr>
      <w:tr>
        <w:trPr>
          <w:trHeight w:val="268"/>
        </w:trPr>
        <w:tc>
          <w:tcPr>
            <w:tcW w:w="7940" w:type="dxa"/>
            <w:vAlign w:val="bottom"/>
          </w:tcPr>
          <w:p>
            <w:pPr>
              <w:spacing w:after="0"/>
              <w:rPr>
                <w:sz w:val="23"/>
                <w:szCs w:val="23"/>
                <w:color w:val="auto"/>
              </w:rPr>
            </w:pPr>
          </w:p>
        </w:tc>
        <w:tc>
          <w:tcPr>
            <w:tcW w:w="120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65,470</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74,550</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(12)</w:t>
            </w:r>
          </w:p>
        </w:tc>
      </w:tr>
      <w:tr>
        <w:trPr>
          <w:trHeight w:val="20"/>
        </w:trPr>
        <w:tc>
          <w:tcPr>
            <w:tcW w:w="79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22" w:right="23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722"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color w:val="auto"/>
        </w:rPr>
        <w:t>Kaplan University and Other Campuses enrollments by certificate and degree programs,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160" w:type="dxa"/>
            <w:vAlign w:val="bottom"/>
          </w:tcPr>
          <w:p>
            <w:pPr>
              <w:spacing w:after="0"/>
              <w:rPr>
                <w:sz w:val="17"/>
                <w:szCs w:val="17"/>
                <w:color w:val="auto"/>
              </w:rPr>
            </w:pPr>
          </w:p>
        </w:tc>
        <w:tc>
          <w:tcPr>
            <w:tcW w:w="2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2012</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2011</w:t>
            </w:r>
          </w:p>
        </w:tc>
      </w:tr>
      <w:tr>
        <w:trPr>
          <w:trHeight w:val="252"/>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23.2%</w:t>
            </w:r>
          </w:p>
        </w:tc>
        <w:tc>
          <w:tcPr>
            <w:tcW w:w="96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29.1%</w:t>
            </w:r>
          </w:p>
        </w:tc>
        <w:tc>
          <w:tcPr>
            <w:tcW w:w="96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33.8%</w:t>
            </w:r>
          </w:p>
        </w:tc>
        <w:tc>
          <w:tcPr>
            <w:tcW w:w="96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79"/>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13.9%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KTP includes Kaplan’s standardized test preparation and tutoring offerings. KTP revenue declined 6% in 2012. Enrollment increased 11% for 2012, driven by strength in pre-college, nursing and bar review programs. Enrollment increases were offset by competitive pricing pressure and a continued shift in demand to lower priced online test preparation offerings. The improvement in KTP operating results in 2012 is largely a result of lower operating expenses due to restructuring activities in prior years, including $12.5 million in total KTP restructuring costs recorded in 2011.</w:t>
      </w:r>
    </w:p>
    <w:p>
      <w:pPr>
        <w:spacing w:after="0" w:line="11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While overall results improved at KTP in 2012, Kaplan recorded a $111.6 million noncash goodwill and other long-lived assets impairment charge in connection with KTP in the fourth quarter of 2012. This impairment charge was determined as part of the Company’s annual goodwill and intangible assets impairment testing, based on KTP operating losses for the past three years and a recent slowdown in enrollment growth. KTP produced positive cash flow from operations in 2012.</w:t>
      </w:r>
    </w:p>
    <w:p>
      <w:pPr>
        <w:spacing w:after="0" w:line="11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outside the United States. In May 2011, Kaplan Australia acquired Franklyn Scholar and Carrick Education Group, national providers of vocational training and higher education in Australia. In June 2011, Kaplan acquired Structuralia, a provider of e-learning for the engineering and infrastructure sector in Spain. Kaplan International revenue increased 9% in 2012. Excluding revenue from acquired businesses, Kaplan International revenue increased 4% in 2012 due to enrollment growth in the English-language and Singapore higher education programs.</w:t>
      </w:r>
    </w:p>
    <w:p>
      <w:pPr>
        <w:spacing w:after="0" w:line="111"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Kaplan International operating income increased in 2012 due largely to strong results in Singapore, offset by combined losses from businesses acquired in 2011. These losses occurred primarily at certain businesses in Australia where Kaplan has been consolidating and restructuring its businesses to optimize operations. Restructuring costs at Kaplan International totaled $16.4 million in 2012. These restructuring costs were largely in Australia and included lease obligations, accelerated depreciation and severance charges.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Corporate represents unallocated expenses of Kaplan, Inc.’s corporate office, other minor businesses and certain shared activities.</w:t>
      </w:r>
    </w:p>
    <w:p>
      <w:pPr>
        <w:spacing w:after="0" w:line="144"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color w:val="auto"/>
        </w:rPr>
        <w:t>In the fourth quarter of 2012, $2.6 million in restructuring costs is included in amortization of intangible assets, largely from accelerated intangible asset amortization associated with changes to business operations in Australia.</w:t>
      </w:r>
    </w:p>
    <w:p>
      <w:pPr>
        <w:spacing w:after="0" w:line="90"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b w:val="1"/>
          <w:bCs w:val="1"/>
          <w:color w:val="auto"/>
        </w:rPr>
        <w:t xml:space="preserve">Cable Division. </w:t>
      </w:r>
      <w:r>
        <w:rPr>
          <w:rFonts w:ascii="Arial" w:cs="Arial" w:eastAsia="Arial" w:hAnsi="Arial"/>
          <w:sz w:val="18"/>
          <w:szCs w:val="18"/>
          <w:color w:val="auto"/>
        </w:rPr>
        <w:t>Cable division revenue for 2012 increased 4% to $787.1 million, from $760.2 million in 2011. The revenue results reflect</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growth of the division’s Internet and telephone service revenues and rate increases for many subscribers in June 2012, offset by a decline in video subscribers.</w:t>
      </w:r>
    </w:p>
    <w:p>
      <w:pPr>
        <w:spacing w:after="0" w:line="10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Cable division operating income in 2012 decreased 1% to $ 154.6 million, from $156.8 million in 2011. The cable division’s operating income for 2012 declined primarily due to increased programming and depreciation costs, offset partially by increased revenues. Operating margin at the cable division was 20% in 2012 and 21% in 2011.</w:t>
      </w:r>
    </w:p>
    <w:p>
      <w:pPr>
        <w:spacing w:after="0" w:line="108"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At December 31, 2012, PSUs were down 1% from the prior year due to a decline in video subscribers, offset by growth in high-speed data and telephony subscribers. A summary of PSUs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020" w:type="dxa"/>
            <w:vAlign w:val="bottom"/>
          </w:tcPr>
          <w:p>
            <w:pPr>
              <w:spacing w:after="0"/>
              <w:rPr>
                <w:sz w:val="17"/>
                <w:szCs w:val="17"/>
                <w:color w:val="auto"/>
              </w:rPr>
            </w:pPr>
          </w:p>
        </w:tc>
        <w:tc>
          <w:tcPr>
            <w:tcW w:w="2400" w:type="dxa"/>
            <w:vAlign w:val="bottom"/>
            <w:tcBorders>
              <w:bottom w:val="single" w:sz="8" w:color="auto"/>
            </w:tcBorders>
            <w:gridSpan w:val="2"/>
          </w:tcPr>
          <w:p>
            <w:pPr>
              <w:jc w:val="right"/>
              <w:ind w:right="481"/>
              <w:spacing w:after="0"/>
              <w:rPr>
                <w:sz w:val="20"/>
                <w:szCs w:val="20"/>
                <w:color w:val="auto"/>
              </w:rPr>
            </w:pPr>
            <w:r>
              <w:rPr>
                <w:rFonts w:ascii="Arial" w:cs="Arial" w:eastAsia="Arial" w:hAnsi="Arial"/>
                <w:sz w:val="14"/>
                <w:szCs w:val="14"/>
                <w:color w:val="auto"/>
              </w:rPr>
              <w:t>As of December 31</w:t>
            </w:r>
          </w:p>
        </w:tc>
      </w:tr>
      <w:tr>
        <w:trPr>
          <w:trHeight w:val="264"/>
        </w:trPr>
        <w:tc>
          <w:tcPr>
            <w:tcW w:w="90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2011</w:t>
            </w:r>
          </w:p>
        </w:tc>
      </w:tr>
      <w:tr>
        <w:trPr>
          <w:trHeight w:val="252"/>
        </w:trPr>
        <w:tc>
          <w:tcPr>
            <w:tcW w:w="9020" w:type="dxa"/>
            <w:vAlign w:val="bottom"/>
          </w:tcPr>
          <w:p>
            <w:pPr>
              <w:ind w:left="40"/>
              <w:spacing w:after="0"/>
              <w:rPr>
                <w:sz w:val="20"/>
                <w:szCs w:val="20"/>
                <w:color w:val="auto"/>
              </w:rPr>
            </w:pPr>
            <w:r>
              <w:rPr>
                <w:rFonts w:ascii="Arial" w:cs="Arial" w:eastAsia="Arial" w:hAnsi="Arial"/>
                <w:sz w:val="16"/>
                <w:szCs w:val="16"/>
                <w:color w:val="auto"/>
              </w:rPr>
              <w:t>Video</w:t>
            </w: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593,615</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621,423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High-speed data</w:t>
            </w:r>
          </w:p>
        </w:tc>
        <w:tc>
          <w:tcPr>
            <w:tcW w:w="1320" w:type="dxa"/>
            <w:vAlign w:val="bottom"/>
          </w:tcPr>
          <w:p>
            <w:pPr>
              <w:jc w:val="right"/>
              <w:ind w:right="202"/>
              <w:spacing w:after="0"/>
              <w:rPr>
                <w:sz w:val="20"/>
                <w:szCs w:val="20"/>
                <w:color w:val="auto"/>
              </w:rPr>
            </w:pPr>
            <w:r>
              <w:rPr>
                <w:rFonts w:ascii="Arial" w:cs="Arial" w:eastAsia="Arial" w:hAnsi="Arial"/>
                <w:sz w:val="16"/>
                <w:szCs w:val="16"/>
                <w:color w:val="auto"/>
              </w:rPr>
              <w:t>459,235</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451,082</w:t>
            </w:r>
          </w:p>
        </w:tc>
      </w:tr>
      <w:tr>
        <w:trPr>
          <w:trHeight w:val="279"/>
        </w:trPr>
        <w:tc>
          <w:tcPr>
            <w:tcW w:w="9020" w:type="dxa"/>
            <w:vAlign w:val="bottom"/>
          </w:tcPr>
          <w:p>
            <w:pPr>
              <w:ind w:left="40"/>
              <w:spacing w:after="0"/>
              <w:rPr>
                <w:sz w:val="20"/>
                <w:szCs w:val="20"/>
                <w:color w:val="auto"/>
              </w:rPr>
            </w:pPr>
            <w:r>
              <w:rPr>
                <w:rFonts w:ascii="Arial" w:cs="Arial" w:eastAsia="Arial" w:hAnsi="Arial"/>
                <w:sz w:val="16"/>
                <w:szCs w:val="16"/>
                <w:color w:val="auto"/>
              </w:rPr>
              <w:t>Telephony</w:t>
            </w:r>
          </w:p>
        </w:tc>
        <w:tc>
          <w:tcPr>
            <w:tcW w:w="13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184,528</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179,989</w:t>
            </w:r>
          </w:p>
        </w:tc>
      </w:tr>
      <w:tr>
        <w:trPr>
          <w:trHeight w:val="269"/>
        </w:trPr>
        <w:tc>
          <w:tcPr>
            <w:tcW w:w="9020" w:type="dxa"/>
            <w:vAlign w:val="bottom"/>
          </w:tcPr>
          <w:p>
            <w:pPr>
              <w:ind w:left="28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1,237,378</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1,252,494</w:t>
            </w:r>
          </w:p>
        </w:tc>
      </w:tr>
      <w:tr>
        <w:trPr>
          <w:trHeight w:val="20"/>
        </w:trPr>
        <w:tc>
          <w:tcPr>
            <w:tcW w:w="9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PSUs include about 6,000 subscribers who receive free video cable service, primarily local governments, schools and other organizations as required by various franchise agreements.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2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Below are details of the cable division’s capital expenditures, presented in the NCTA Standard Reporting Categories: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color w:val="auto"/>
              </w:rPr>
              <w:t>Year Ended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2011</w:t>
            </w:r>
          </w:p>
        </w:tc>
      </w:tr>
      <w:tr>
        <w:trPr>
          <w:trHeight w:val="252"/>
        </w:trPr>
        <w:tc>
          <w:tcPr>
            <w:tcW w:w="9020" w:type="dxa"/>
            <w:vAlign w:val="bottom"/>
          </w:tcPr>
          <w:p>
            <w:pPr>
              <w:ind w:left="40"/>
              <w:spacing w:after="0"/>
              <w:rPr>
                <w:sz w:val="20"/>
                <w:szCs w:val="20"/>
                <w:color w:val="auto"/>
              </w:rPr>
            </w:pPr>
            <w:r>
              <w:rPr>
                <w:rFonts w:ascii="Arial" w:cs="Arial" w:eastAsia="Arial" w:hAnsi="Arial"/>
                <w:sz w:val="16"/>
                <w:szCs w:val="16"/>
                <w:color w:val="auto"/>
              </w:rPr>
              <w:t>Customer premise equipment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43,629</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53,139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26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4,549</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3,487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Scalable infrastructure</w:t>
            </w:r>
          </w:p>
        </w:tc>
        <w:tc>
          <w:tcPr>
            <w:tcW w:w="26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24,048</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34,748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Line extensions</w:t>
            </w:r>
          </w:p>
        </w:tc>
        <w:tc>
          <w:tcPr>
            <w:tcW w:w="26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5,997</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6,318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Upgrade/rebuild</w:t>
            </w:r>
          </w:p>
        </w:tc>
        <w:tc>
          <w:tcPr>
            <w:tcW w:w="26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16,957</w:t>
            </w:r>
          </w:p>
        </w:tc>
        <w:tc>
          <w:tcPr>
            <w:tcW w:w="360" w:type="dxa"/>
            <w:vAlign w:val="bottom"/>
          </w:tcPr>
          <w:p>
            <w:pPr>
              <w:spacing w:after="0"/>
              <w:rPr>
                <w:sz w:val="23"/>
                <w:szCs w:val="23"/>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12,951</w:t>
            </w:r>
          </w:p>
        </w:tc>
      </w:tr>
      <w:tr>
        <w:trPr>
          <w:trHeight w:val="279"/>
        </w:trPr>
        <w:tc>
          <w:tcPr>
            <w:tcW w:w="9020" w:type="dxa"/>
            <w:vAlign w:val="bottom"/>
          </w:tcPr>
          <w:p>
            <w:pPr>
              <w:ind w:left="40"/>
              <w:spacing w:after="0"/>
              <w:rPr>
                <w:sz w:val="20"/>
                <w:szCs w:val="20"/>
                <w:color w:val="auto"/>
              </w:rPr>
            </w:pPr>
            <w:r>
              <w:rPr>
                <w:rFonts w:ascii="Arial" w:cs="Arial" w:eastAsia="Arial" w:hAnsi="Arial"/>
                <w:sz w:val="16"/>
                <w:szCs w:val="16"/>
                <w:color w:val="auto"/>
              </w:rPr>
              <w:t>Support capital</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55,345</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32,582</w:t>
            </w:r>
          </w:p>
        </w:tc>
      </w:tr>
      <w:tr>
        <w:trPr>
          <w:trHeight w:val="269"/>
        </w:trPr>
        <w:tc>
          <w:tcPr>
            <w:tcW w:w="9020" w:type="dxa"/>
            <w:vAlign w:val="bottom"/>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150,525</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143,225</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television broadcasting division increased 25% to $399.7 million in 2012, from $319.2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2011. Television broadcasting division operating income for 2012 increased 64% to $191.6 million, from $117.1 million in 2011.</w:t>
      </w:r>
    </w:p>
    <w:p>
      <w:pPr>
        <w:spacing w:after="0" w:line="89"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The increase in revenue and operating income for 2012 reflects improved advertising demand across many product categories. These results include a $48.1 million increase in political advertising revenue in 2012; $10.8 million in incremental summer Olympics-related advertising at the Company’s NBC affiliates in the third quarter of 2012; and increased retransmission revenues. Operating margin at the television broadcasting division was 48% in 2012 and 37% in 2011.</w:t>
      </w:r>
    </w:p>
    <w:p>
      <w:pPr>
        <w:spacing w:after="0" w:line="111"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Competitive market position remained strong for the Company’s television stations. WDIV in Detroit, KSAT in San Antonio and WJXT in Jacksonville ranked number one in the November 2012 ratings period, Monday through Friday, sign-on to sign-off; WPLG in Miami tied for the number one rank (Anglo stations), and KPRC in Houston and WKMG in Orlando ranked third.</w:t>
      </w:r>
    </w:p>
    <w:p>
      <w:pPr>
        <w:spacing w:after="0" w:line="106" w:lineRule="exact"/>
        <w:rPr>
          <w:sz w:val="20"/>
          <w:szCs w:val="20"/>
          <w:color w:val="auto"/>
        </w:rPr>
      </w:pPr>
    </w:p>
    <w:p>
      <w:pPr>
        <w:ind w:right="340"/>
        <w:spacing w:after="0" w:line="232" w:lineRule="auto"/>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operating results of SocialCode, a marketing solutions provider helping companies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on social-media platforms; Trove, a digital team focused on emerging technologies and new product development; and Celtic Healthcare, Inc., a provider of home health and hospice services in the northeastern and mid-Atlantic regions that was acquired by the Company in November 2012. Also included are The Slate Group and FP Group, previously included as part of the Company’s newspaper publishing division.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as well as a net pension credit.</w:t>
      </w:r>
    </w:p>
    <w:p>
      <w:pPr>
        <w:spacing w:after="0" w:line="144"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 xml:space="preserve">Equity in Earnings of Affiliates. </w:t>
      </w:r>
      <w:r>
        <w:rPr>
          <w:rFonts w:ascii="Arial" w:cs="Arial" w:eastAsia="Arial" w:hAnsi="Arial"/>
          <w:sz w:val="18"/>
          <w:szCs w:val="18"/>
          <w:color w:val="auto"/>
        </w:rPr>
        <w:t>The Company holds a 16.5% interest in Classified Ventures, LLC and interests in several other affiliates.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fourth quarter of 2012, the Company sold its 49% interest in Bowater Mersey Paper Company for a nominal amount; no gain or loss was recorded as the investment balance had previously been written down to zero. The Company’s equity in earnings of affiliates, net, for 2012 was $14.1 million, compared to $5.9 million in 2011. In 2011, a $9.2 million impairment charge was recorded on the Company’s interest in Bowater Mersey Paper Company.</w:t>
      </w:r>
    </w:p>
    <w:p>
      <w:pPr>
        <w:spacing w:after="0" w:line="10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color w:val="auto"/>
        </w:rPr>
        <w:t xml:space="preserve">Other Non-Operating (Expense) Income. </w:t>
      </w:r>
      <w:r>
        <w:rPr>
          <w:rFonts w:ascii="Arial" w:cs="Arial" w:eastAsia="Arial" w:hAnsi="Arial"/>
          <w:sz w:val="18"/>
          <w:szCs w:val="18"/>
          <w:color w:val="auto"/>
        </w:rPr>
        <w:t>The Company recorded other non-operating expense, net, of $5.5 million in 2012,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other non-operating expense, net, of $55.2 million in 2011.</w:t>
      </w:r>
    </w:p>
    <w:p>
      <w:pPr>
        <w:spacing w:after="0" w:line="89"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The 2012 non-operating expense, net, included an $18.0 million write-down of a marketable equity security, offset by $6.6 million in net gains from cost method investments, $3.1 million in unrealized foreign currency gains and other items. The 2011 non-operating expense, net, included a $53.8 million write-down of a marketable equity security, $3.3 million in unrealized foreign currency losses and other items.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During 2012, on an overall basis, the fair value of the Company’s marketable securities appreciated by $32.5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$32.6 million in 2012, compared to $29.1 million in 2011. At</w:t>
      </w:r>
    </w:p>
    <w:p>
      <w:pPr>
        <w:spacing w:after="0" w:line="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December 31, 2012, the Company had $696.7 million in borrowings outstanding at an average interest rate of 5.1%; at December 31, 2011, the Company had $565.2 million in borrowings outstanding at an average interest rate of 5.7%.</w:t>
      </w:r>
    </w:p>
    <w:p>
      <w:pPr>
        <w:spacing w:after="0" w:line="10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income from continuing operations in 2012 was 53.6%. This effective tax rate was</w:t>
      </w:r>
      <w:r>
        <w:rPr>
          <w:rFonts w:ascii="Arial" w:cs="Arial" w:eastAsia="Arial" w:hAnsi="Arial"/>
          <w:sz w:val="18"/>
          <w:szCs w:val="18"/>
          <w:b w:val="1"/>
          <w:bCs w:val="1"/>
          <w:color w:val="auto"/>
        </w:rPr>
        <w:t xml:space="preserve"> </w:t>
      </w:r>
      <w:r>
        <w:rPr>
          <w:rFonts w:ascii="Arial" w:cs="Arial" w:eastAsia="Arial" w:hAnsi="Arial"/>
          <w:sz w:val="18"/>
          <w:szCs w:val="18"/>
          <w:color w:val="auto"/>
        </w:rPr>
        <w:t>adversely impacted by $12.8 million from nondeductible goodwill in connection with an impairment charge recorded in 2012, and $12.5 in net state and non-U.S. valuation allowances provided against deferred income tax benefits where realization is doubtful, offset by tax benefits from lower rates at jurisdictions outside the United States.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24" w:right="239" w:bottom="1440" w:gutter="0" w:footer="0" w:header="0"/>
        </w:sectPr>
      </w:pPr>
    </w:p>
    <w:bookmarkStart w:id="49" w:name="page50"/>
    <w:bookmarkEnd w:id="49"/>
    <w:p>
      <w:pPr>
        <w:ind w:right="20"/>
        <w:spacing w:after="0"/>
        <w:rPr>
          <w:sz w:val="20"/>
          <w:szCs w:val="20"/>
          <w:color w:val="auto"/>
        </w:rPr>
      </w:pPr>
      <w:r>
        <w:rPr>
          <w:rFonts w:ascii="Arial" w:cs="Arial" w:eastAsia="Arial" w:hAnsi="Arial"/>
          <w:sz w:val="18"/>
          <w:szCs w:val="18"/>
          <w:color w:val="auto"/>
        </w:rPr>
        <w:t>The effective tax rate for income from continuing operations in 2011 was 40.8%. This effective tax rate was adversely impacted by $ 17.8 million in valuation allowances provided against deferred income tax benefits where realization is doubtful, offset by tax benefits from lower rates at jurisdictions outside the United States.</w:t>
      </w:r>
    </w:p>
    <w:p>
      <w:pPr>
        <w:spacing w:after="0" w:line="106"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The Company completed the sale of the Publishing Subsidiaries in October 2013 and The Herald in March 2013.</w:t>
      </w:r>
      <w:r>
        <w:rPr>
          <w:rFonts w:ascii="Arial" w:cs="Arial" w:eastAsia="Arial" w:hAnsi="Arial"/>
          <w:sz w:val="18"/>
          <w:szCs w:val="18"/>
          <w:b w:val="1"/>
          <w:bCs w:val="1"/>
          <w:color w:val="auto"/>
        </w:rPr>
        <w:t xml:space="preserve"> </w:t>
      </w:r>
      <w:r>
        <w:rPr>
          <w:rFonts w:ascii="Arial" w:cs="Arial" w:eastAsia="Arial" w:hAnsi="Arial"/>
          <w:sz w:val="18"/>
          <w:szCs w:val="18"/>
          <w:color w:val="auto"/>
        </w:rPr>
        <w:t>Kaplan sold Kidum in August 2012, EduNeering in April 2012, KLT in February 2012, Kaplan Compliance Solutions (KCS) in October 2011 and Kaplan Virtual Education (KVE) in July 2011. In addition, the Company divested its interest in Avenue100 Media Solutions on July 31, 2012. Consequently, income from continuing operations excludes these businesses, which have been reclassified to discontinued operations, net of tax.</w:t>
      </w:r>
    </w:p>
    <w:p>
      <w:pPr>
        <w:spacing w:after="0" w:line="10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sale of KLT resulted in a pre-tax loss of $3.1 million, which was recorded in the first quarter of 2012. The sale of EduNeering resulted in a pre-tax gain of $29.5 million, which was recorded in the second quarter of 2012. The sale of Kidum resulted in a pre-tax gain of $3.6 million, which was recorded in the third quarter of 2012.</w:t>
      </w:r>
    </w:p>
    <w:p>
      <w:pPr>
        <w:spacing w:after="0" w:line="10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In connection with each of the sales of the Company’s stock in EduNeering and KLT, in the first quarter of 2012, the Company recorded $23.2 million of income tax benefits related to the excess of the outside stock tax basis over the net book value of the net assets disposed.</w:t>
      </w:r>
    </w:p>
    <w:p>
      <w:pPr>
        <w:spacing w:after="0" w:line="92"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In connection with the disposal of Avenue100 Media Solutions, Inc., the Company recorded a pre-tax loss of $5.7 million in the third quarter of 2012. An income tax benefit of $44.5 million was also recorded in the third quarter of 2012 as the Company determined that Avenue100 Media Solutions, Inc. had no value. The income tax benefit was due to the Company’s tax basis in the stock of Avenue100 exceeding its net book value as a result of goodwill and other intangible asset impairment charges recorded in prior years, for which no tax benefit was previously recorded.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Dispositions</w:t>
      </w:r>
    </w:p>
    <w:p>
      <w:pPr>
        <w:spacing w:after="0" w:line="144"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The Company completed business acquisitions totaling approximately $23.8 million in 2013; $55.6 million in 2012; and $136.5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including assumed debt of $ 5.5 million in 2011. The assets and liabilities of the companies acquired have been recorded at their estimated fair values at the date of acquisition.</w:t>
      </w:r>
    </w:p>
    <w:p>
      <w:pPr>
        <w:spacing w:after="0" w:line="108"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During 2013, the Company acquired six businesses. On August 1, 2013, the Company completed its acquisition of Forney Corporation, a global supplier of products and systems that control and monitor combustion processes in electric utility and industrial applications. The operating results for Forney are included in other businesses. The Company also acquired four small businesses in other businesses and one small business in its education division. In the second quarter of 2013, Kaplan purchased the remaining 15% noncontrolling interest in Kaplan China; this additional interest was accounted for as an equity transaction. The purchase price allocations mostly comprise goodwill, other intangible assets and current assets.</w:t>
      </w:r>
    </w:p>
    <w:p>
      <w:pPr>
        <w:spacing w:after="0" w:line="112"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color w:val="auto"/>
        </w:rPr>
        <w:t>During 2012, the Company completed five business acquisitions. In November 2012, the Company completed its acquisition of a controlling interest in Celtic Healthcare, Inc. (Celtic), a provider of home health care and hospice services in the northeastern and mid-Atlantic regions. The operating results of Celtic are included in other businesses. The fair value of the noncontrolling interest in Celtic was $5.9 million at the acquisition date, determined using a market approach. The minority shareholder has an option to put their shares to the Company from 2018 to 2022, and the Company has an option to buy the shares of the minority shareholder in 2022. The Company also acquired three small businesses in its education division and one small business in other businesses. The purchase price allocations mostly comprised goodwill and other intangible assets.</w:t>
      </w:r>
    </w:p>
    <w:p>
      <w:pPr>
        <w:spacing w:after="0" w:line="109"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During 2011, the Company completed five business acquisitions. Kaplan acquired three businesses in its Kaplan International division, one business in its KHE division and one business in its Kaplan Ventures division. These included the May 2011 acquisitions of Franklyn Scholar and Carrick Education Group, national providers of vocational training and higher education in Australia, and the June 2011 acquisition of Structuralia, a provider of e-learning for the engineering and infrastructure sector in Spain. The purchase price allocations for these acquisitions mostly comprised goodwill, other intangible assets and property, plant and equipment.</w:t>
      </w:r>
    </w:p>
    <w:p>
      <w:pPr>
        <w:spacing w:after="0" w:line="109"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On October 1, 2013, the Company completed the sale of its Publishing Subsidiaries that together conducted most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publishing business and related services, including publishing The Washington Post, Express, The Gazette Newspapers, Southern Maryland Newspapers, Greater Washington Publishing, Fairfax County Times and El Tiempo Latino and related websites. Slate magazine, TheRoot.com and Foreign Policy were not part of the transaction and remain with the Company, as do the Trove and SocialCode businesses, the Company’s interest in Classified Ventures and certain real estate assets, including the headquarters building in downtown Washington, DC. In March 2013, the Company completed the sale of The Herald, a daily and Sunday newspaper headquartered in Everett, WA. The Herald was previously reported in the newspaper publishing division.</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724" w:right="259" w:bottom="1440" w:gutter="0" w:footer="0" w:header="0"/>
        </w:sectPr>
      </w:pPr>
    </w:p>
    <w:bookmarkStart w:id="50" w:name="page51"/>
    <w:bookmarkEnd w:id="50"/>
    <w:p>
      <w:pPr>
        <w:ind w:right="280"/>
        <w:spacing w:after="0"/>
        <w:rPr>
          <w:sz w:val="20"/>
          <w:szCs w:val="20"/>
          <w:color w:val="auto"/>
        </w:rPr>
      </w:pPr>
      <w:r>
        <w:rPr>
          <w:rFonts w:ascii="Arial" w:cs="Arial" w:eastAsia="Arial" w:hAnsi="Arial"/>
          <w:sz w:val="18"/>
          <w:szCs w:val="18"/>
          <w:color w:val="auto"/>
        </w:rPr>
        <w:t>The Company divested its interest in Avenue100 Media Solutions in July 2012, which was previously reported in other businesses. Kaplan completed the sales of Kidum in August 2012, EduNeering in April 2012, and KLT in February 2012, which were part of the Kaplan Ventures division.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Kaplan completed the sales of KVE in July 2011 and KCS in October 2011, which were part of Kaplan Ventures and KHE, respectively.</w:t>
      </w:r>
    </w:p>
    <w:p>
      <w:pPr>
        <w:spacing w:after="0" w:line="144"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Consequently, the Company’s income from continuing operations excludes results from these businesses, which have been reclassified to discontinued operations (see Note 3).</w:t>
      </w:r>
    </w:p>
    <w:p>
      <w:pPr>
        <w:spacing w:after="0" w:line="90"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2013, the Company’s capital expenditures totaled $224.1 million. The Company’s capital expenditures for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included in continuing operations for 2013, 2012 and 2011 are disclosed in Note 19 to the Consolidated Financial Statements. The Company estimates that its capital expenditures will be in the range of $240 million to $265 million in 2014.</w:t>
      </w:r>
    </w:p>
    <w:p>
      <w:pPr>
        <w:spacing w:after="0" w:line="106"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At December 31, 2013, the fair value of the Company’s investments in marketable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was $487.2 million, which includes $444.2 million in Berkshire Hathaway Inc. Class A and B common stock and $43.0 million in the common stock of three publicly traded companies.</w:t>
      </w:r>
    </w:p>
    <w:p>
      <w:pPr>
        <w:spacing w:after="0" w:line="108"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At December 31, 2013 and 2012, the unrealized gain related to the Company’s Berkshire stock investment totaled $286.9 million and $177.6 million, respectively.</w:t>
      </w:r>
    </w:p>
    <w:p>
      <w:pPr>
        <w:spacing w:after="0" w:line="92"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At the end of 2013 and 2012, the Company’s investment in Strayer Education, Inc. had been in an unrealized loss position for about six months. The Company evaluated this investment for other-than-temporary impairment based on various factors, including the duration and severity of the unrealized loss, the reason for the decline in value, the potential recovery period and the Company’s ability and intent to hold the investment. Based on this evaluation, the Company concluded that the unrealized loss was other-than-temporary and recorded a $10.4 million and $18.0 million write-down of the investment in 2013 and 2012, respectively.</w:t>
      </w:r>
    </w:p>
    <w:p>
      <w:pPr>
        <w:spacing w:after="0" w:line="11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At the end of the first quarter of 2011, the Company’s investment in Corinthian Colleges, Inc. had been in an unrealized loss position for over six months. The Company evaluated this investment for other-than-temporary impairment based on various factors, including the duration and severity of the unrealized loss, the reason for the decline in value, the potential recovery period and the Company’s ability and intent to hold the investment. Based on this evaluation, the Company concluded that the unrealized loss was other-than-temporary and recorded a $30.7 million write-down of the investment. The investment continued to decline, and in the third quarter of 2011, the Company recorded an additional $23.1 million write-down of the investment.</w:t>
      </w:r>
    </w:p>
    <w:p>
      <w:pPr>
        <w:spacing w:after="0" w:line="110" w:lineRule="exact"/>
        <w:rPr>
          <w:sz w:val="20"/>
          <w:szCs w:val="20"/>
          <w:color w:val="auto"/>
        </w:rPr>
      </w:pPr>
    </w:p>
    <w:p>
      <w:pPr>
        <w:spacing w:after="0" w:line="227" w:lineRule="auto"/>
        <w:rPr>
          <w:sz w:val="20"/>
          <w:szCs w:val="20"/>
          <w:color w:val="auto"/>
        </w:rPr>
      </w:pPr>
      <w:r>
        <w:rPr>
          <w:rFonts w:ascii="Arial" w:cs="Arial" w:eastAsia="Arial" w:hAnsi="Arial"/>
          <w:sz w:val="18"/>
          <w:szCs w:val="18"/>
          <w:b w:val="1"/>
          <w:bCs w:val="1"/>
          <w:color w:val="auto"/>
        </w:rPr>
        <w:t xml:space="preserve">Common Stock Repurchases and Dividend Rate. </w:t>
      </w:r>
      <w:r>
        <w:rPr>
          <w:rFonts w:ascii="Arial" w:cs="Arial" w:eastAsia="Arial" w:hAnsi="Arial"/>
          <w:sz w:val="18"/>
          <w:szCs w:val="18"/>
          <w:color w:val="auto"/>
        </w:rPr>
        <w:t>During 2013, 2012 and 2011, the Company purchased a total of 33,024, 301,231 and</w:t>
      </w:r>
      <w:r>
        <w:rPr>
          <w:rFonts w:ascii="Arial" w:cs="Arial" w:eastAsia="Arial" w:hAnsi="Arial"/>
          <w:sz w:val="18"/>
          <w:szCs w:val="18"/>
          <w:b w:val="1"/>
          <w:bCs w:val="1"/>
          <w:color w:val="auto"/>
        </w:rPr>
        <w:t xml:space="preserve"> </w:t>
      </w:r>
      <w:r>
        <w:rPr>
          <w:rFonts w:ascii="Arial" w:cs="Arial" w:eastAsia="Arial" w:hAnsi="Arial"/>
          <w:sz w:val="18"/>
          <w:szCs w:val="18"/>
          <w:color w:val="auto"/>
        </w:rPr>
        <w:t>644,948 shares, respectively, of its Class B common stock at a cost of approximately $17.7 million, $103.2 million and $248.1 million, respectively. In September 2011, the Board of Directors increased the authorization to repurchase a total of 750,000 shares of Class B common stock. The Company did not announce a ceiling price or a time limit for the purchases. The authorization included 43,573 shares that remained under the previous authorization. At December 31, 2013, the Company had remaining authorization from the Board of Directors to purchase up to 159,219 shares of Class B common stock. The annual dividend rate for 2014 was increased to $10.20 per share, up from $9.80 in 2012. In December 2012, the Company declared and paid an accelerated cash dividend totaling $ 9.80 per share of outstanding common stock, in lieu of regular quarterly dividends that the Company otherwise would have declared and paid in calendar year 2013.</w:t>
      </w:r>
    </w:p>
    <w:p>
      <w:pPr>
        <w:spacing w:after="0" w:line="10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During 2013, the Company’s borrowings decreased by $245.9 million and the Company’s cash and cash equivalents increased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$57.3 million.</w:t>
      </w:r>
    </w:p>
    <w:p>
      <w:pPr>
        <w:spacing w:after="0" w:line="8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At December 31, 2013, the Company has $569.7 million in cash and cash equivalents, compared to $512.4 million at December 31, 2012. Restricted cash at December 31, 2013, totaled $83.8 million, compared to $28.5 million at December 31, 2012. As of December 31, 2013 and 2012, the Company had money market investments of $431.8 million and $432.7 million, respectively, that are classified as cash, cash equivalents and restricted cash in the Company’s Consolidated Financial Statements. At December 31, 2013, the Company has approximately $15.6 million in cash and cash equivalents in countries outside the U.S., which is not immediately available for use in operations or for distribution.</w:t>
      </w:r>
    </w:p>
    <w:p>
      <w:pPr>
        <w:spacing w:after="0" w:line="112"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At December 31, 2013 and 2012, the Company had borrowings outstanding of $450.8 million and $696.7 million, respectively. The Company’s borrowings at December 31, 2013, are mostly from $400.0 million of 7.25% unsecured notes due February 1, 2019, and AUD 50 million revolving credit borrowings; the interest on $400.0 million of 7.25% unsecured notes is payable semiannually on February 1 and August 1. The Company did not have any outstanding commercial paper borrowing or USD revolving credit borrowing as of December 31, 2013. The Company’s borrowings at December 31, 2012, are mostly from $400.0 million of 7.25% unsecured notes due February 1, 2019,</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24" w:right="239" w:bottom="1440" w:gutter="0" w:footer="0" w:header="0"/>
        </w:sectPr>
      </w:pPr>
    </w:p>
    <w:bookmarkStart w:id="51" w:name="page52"/>
    <w:bookmarkEnd w:id="51"/>
    <w:p>
      <w:pPr>
        <w:ind w:right="240"/>
        <w:spacing w:after="0" w:line="260" w:lineRule="auto"/>
        <w:rPr>
          <w:sz w:val="20"/>
          <w:szCs w:val="20"/>
          <w:color w:val="auto"/>
        </w:rPr>
      </w:pPr>
      <w:r>
        <w:rPr>
          <w:rFonts w:ascii="Arial" w:cs="Arial" w:eastAsia="Arial" w:hAnsi="Arial"/>
          <w:sz w:val="18"/>
          <w:szCs w:val="18"/>
          <w:color w:val="auto"/>
        </w:rPr>
        <w:t>$240.1 million in USD revolving credit borrowings and AUD 50 million revolving credit borrowings. The Company fully repaid the $240 million USD revolving credit borrowing on January 11, 2013.</w:t>
      </w:r>
    </w:p>
    <w:p>
      <w:pPr>
        <w:spacing w:after="0" w:line="92" w:lineRule="exact"/>
        <w:rPr>
          <w:sz w:val="20"/>
          <w:szCs w:val="20"/>
          <w:color w:val="auto"/>
        </w:rPr>
      </w:pPr>
    </w:p>
    <w:p>
      <w:pPr>
        <w:jc w:val="both"/>
        <w:ind w:right="80"/>
        <w:spacing w:after="0" w:line="231" w:lineRule="auto"/>
        <w:rPr>
          <w:sz w:val="20"/>
          <w:szCs w:val="20"/>
          <w:color w:val="auto"/>
        </w:rPr>
      </w:pPr>
      <w:r>
        <w:rPr>
          <w:rFonts w:ascii="Arial" w:cs="Arial" w:eastAsia="Arial" w:hAnsi="Arial"/>
          <w:sz w:val="18"/>
          <w:szCs w:val="18"/>
          <w:color w:val="auto"/>
        </w:rPr>
        <w:t>On June 17, 2011, the Company entered into a credit agreement (the Credit Agreement) providing for a U.S. $450 million, AUD 50 million four-year revolving credit facility (the Facility) with each of the lenders party thereto, JPMorgan Chase Bank, N.A. as Administrative Agent, and J.P. Morgan Australia Limited as Australian Sub-Agent. The Credit Agreement provides for an option to increase the total U.S. dollar commitments up to an aggregate amount of U.S. $700 million. The Facility will expire on June 17, 2015, unless the Company and the banks agree to extend the term.</w:t>
      </w:r>
    </w:p>
    <w:p>
      <w:pPr>
        <w:spacing w:after="0" w:line="11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On September 7, 2011, the Company borrowed AUD 50 million under its revolving credit facility. On the same date, the Company entered into interest rate swap agreements with a total notional value of AUD 50 million and a maturity date of March 7, 2015. These interest rate swap agreements will pay the Company variable interest on the AUD 50 million notional amount at the three-month bank bill rate, and the Company will pay the counterparties a fixed rate of 4.5275%. These interest rate swap agreements were entered into to convert the variable rate Australian dollar borrowing under the revolving credit facility into a fixed rate borrowing. Based on the terms of the interest rate swap agreements and the underlying borrowing, these interest rate swap agreements were determined to be effective and thus qualify as a cash flow hedge. As such, any changes in the fair value of these interest rate swaps are recorded in other comprehensive income on the accompanying condensed consolidated balance sheets until earnings are affected by the variability of cash flows.</w:t>
      </w:r>
    </w:p>
    <w:p>
      <w:pPr>
        <w:spacing w:after="0" w:line="108"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In September 2013, Standard &amp; Poor’s affirmed the Company’s “BBB” long-term corporate debt rating and changed the outlook from Negative to Stable. In addition, S&amp;P upgraded the Company’s short-term corporate debt rating from “A-3” to “A-2.” The Company’s current credit ratings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Borders>
              <w:bottom w:val="single" w:sz="8" w:color="auto"/>
            </w:tcBorders>
          </w:tcPr>
          <w:p>
            <w:pPr>
              <w:spacing w:after="0"/>
              <w:rPr>
                <w:sz w:val="17"/>
                <w:szCs w:val="17"/>
                <w:color w:val="auto"/>
              </w:rPr>
            </w:pPr>
          </w:p>
        </w:tc>
        <w:tc>
          <w:tcPr>
            <w:tcW w:w="49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Standard &amp; Poor’s</w:t>
            </w:r>
          </w:p>
        </w:tc>
      </w:tr>
      <w:tr>
        <w:trPr>
          <w:trHeight w:val="249"/>
        </w:trPr>
        <w:tc>
          <w:tcPr>
            <w:tcW w:w="4780" w:type="dxa"/>
            <w:vAlign w:val="bottom"/>
          </w:tcPr>
          <w:p>
            <w:pPr>
              <w:ind w:left="40"/>
              <w:spacing w:after="0"/>
              <w:rPr>
                <w:sz w:val="20"/>
                <w:szCs w:val="20"/>
                <w:color w:val="auto"/>
              </w:rPr>
            </w:pPr>
            <w:r>
              <w:rPr>
                <w:rFonts w:ascii="Arial" w:cs="Arial" w:eastAsia="Arial" w:hAnsi="Arial"/>
                <w:sz w:val="16"/>
                <w:szCs w:val="16"/>
                <w:color w:val="auto"/>
              </w:rPr>
              <w:t>Long-term</w:t>
            </w:r>
          </w:p>
        </w:tc>
        <w:tc>
          <w:tcPr>
            <w:tcW w:w="4980" w:type="dxa"/>
            <w:vAlign w:val="bottom"/>
          </w:tcPr>
          <w:p>
            <w:pPr>
              <w:jc w:val="right"/>
              <w:ind w:right="102"/>
              <w:spacing w:after="0"/>
              <w:rPr>
                <w:sz w:val="20"/>
                <w:szCs w:val="20"/>
                <w:color w:val="auto"/>
              </w:rPr>
            </w:pPr>
            <w:r>
              <w:rPr>
                <w:rFonts w:ascii="Arial" w:cs="Arial" w:eastAsia="Arial" w:hAnsi="Arial"/>
                <w:sz w:val="16"/>
                <w:szCs w:val="16"/>
                <w:color w:val="auto"/>
              </w:rPr>
              <w:t>Baa1</w:t>
            </w:r>
          </w:p>
        </w:tc>
        <w:tc>
          <w:tcPr>
            <w:tcW w:w="1660" w:type="dxa"/>
            <w:vAlign w:val="bottom"/>
          </w:tcPr>
          <w:p>
            <w:pPr>
              <w:jc w:val="right"/>
              <w:spacing w:after="0"/>
              <w:rPr>
                <w:sz w:val="20"/>
                <w:szCs w:val="20"/>
                <w:color w:val="auto"/>
              </w:rPr>
            </w:pPr>
            <w:r>
              <w:rPr>
                <w:rFonts w:ascii="Arial" w:cs="Arial" w:eastAsia="Arial" w:hAnsi="Arial"/>
                <w:sz w:val="16"/>
                <w:szCs w:val="16"/>
                <w:color w:val="auto"/>
              </w:rPr>
              <w:t>BBB</w:t>
            </w:r>
          </w:p>
        </w:tc>
      </w:tr>
      <w:tr>
        <w:trPr>
          <w:trHeight w:val="270"/>
        </w:trPr>
        <w:tc>
          <w:tcPr>
            <w:tcW w:w="4780" w:type="dxa"/>
            <w:vAlign w:val="bottom"/>
          </w:tcPr>
          <w:p>
            <w:pPr>
              <w:ind w:left="40"/>
              <w:spacing w:after="0"/>
              <w:rPr>
                <w:sz w:val="20"/>
                <w:szCs w:val="20"/>
                <w:color w:val="auto"/>
              </w:rPr>
            </w:pPr>
            <w:r>
              <w:rPr>
                <w:rFonts w:ascii="Arial" w:cs="Arial" w:eastAsia="Arial" w:hAnsi="Arial"/>
                <w:sz w:val="16"/>
                <w:szCs w:val="16"/>
                <w:color w:val="auto"/>
              </w:rPr>
              <w:t>Short-term</w:t>
            </w:r>
          </w:p>
        </w:tc>
        <w:tc>
          <w:tcPr>
            <w:tcW w:w="4980" w:type="dxa"/>
            <w:vAlign w:val="bottom"/>
          </w:tcPr>
          <w:p>
            <w:pPr>
              <w:jc w:val="right"/>
              <w:ind w:right="102"/>
              <w:spacing w:after="0"/>
              <w:rPr>
                <w:sz w:val="20"/>
                <w:szCs w:val="20"/>
                <w:color w:val="auto"/>
              </w:rPr>
            </w:pPr>
            <w:r>
              <w:rPr>
                <w:rFonts w:ascii="Arial" w:cs="Arial" w:eastAsia="Arial" w:hAnsi="Arial"/>
                <w:sz w:val="16"/>
                <w:szCs w:val="16"/>
                <w:color w:val="auto"/>
              </w:rPr>
              <w:t>Prime-2</w:t>
            </w:r>
          </w:p>
        </w:tc>
        <w:tc>
          <w:tcPr>
            <w:tcW w:w="1660" w:type="dxa"/>
            <w:vAlign w:val="bottom"/>
          </w:tcPr>
          <w:p>
            <w:pPr>
              <w:jc w:val="right"/>
              <w:spacing w:after="0"/>
              <w:rPr>
                <w:sz w:val="20"/>
                <w:szCs w:val="20"/>
                <w:color w:val="auto"/>
              </w:rPr>
            </w:pPr>
            <w:r>
              <w:rPr>
                <w:rFonts w:ascii="Arial" w:cs="Arial" w:eastAsia="Arial" w:hAnsi="Arial"/>
                <w:sz w:val="16"/>
                <w:szCs w:val="16"/>
                <w:color w:val="auto"/>
              </w:rPr>
              <w:t>A-2</w:t>
            </w:r>
          </w:p>
        </w:tc>
      </w:tr>
    </w:tbl>
    <w:p>
      <w:pPr>
        <w:spacing w:after="0" w:line="14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During 2013 and 2012, the Company had average borrowings outstanding of approximately $471.4 million and $483.3 million, respectively, at average annual interest rates of approximately 6.7%. The Company incurred net interest expense of $33.8 million and $32.6 million, respectively, during 2013 and 2012.</w:t>
      </w:r>
    </w:p>
    <w:p>
      <w:pPr>
        <w:spacing w:after="0" w:line="10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At December 31, 2013 and 2012, the Company had working capital of $768.3 million and $327.5 million, respectively. The Company maintains working capital levels consistent with its underlying business requirements and consistently generates cash from operations in excess of required interest or principal payments.</w:t>
      </w:r>
    </w:p>
    <w:p>
      <w:pPr>
        <w:spacing w:after="0" w:line="10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Company’s net cash provided by operating activities, as reported in the Company’s Consolidated Statements of Cash Flows, was $327.9 million in 2013, compared to $477.2 million in 2012. The decline is largely due to an increase in income tax payments in 2013 and expenses incurred related to the sale of the Publishing Subsidiaries.</w:t>
      </w:r>
    </w:p>
    <w:p>
      <w:pPr>
        <w:spacing w:after="0" w:line="10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 November 2013, the Company announced that its headquarters building was to be sold for approximately $159 million. The sale is currently expected to close at the end of March 2014.</w:t>
      </w:r>
    </w:p>
    <w:p>
      <w:pPr>
        <w:spacing w:after="0" w:line="92"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to a lesser extent, borrowings under its revolving credit facility. In management’s opinion, the Company will have ample liquidity to meet its various cash needs in 2014.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a summary of the Company’s contractual obligations as of December 31, 2013: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9"/>
        </w:trPr>
        <w:tc>
          <w:tcPr>
            <w:tcW w:w="3440" w:type="dxa"/>
            <w:vAlign w:val="bottom"/>
          </w:tcPr>
          <w:p>
            <w:pPr>
              <w:ind w:left="40"/>
              <w:spacing w:after="0"/>
              <w:rPr>
                <w:sz w:val="20"/>
                <w:szCs w:val="20"/>
                <w:color w:val="auto"/>
              </w:rPr>
            </w:pPr>
            <w:r>
              <w:rPr>
                <w:rFonts w:ascii="Arial" w:cs="Arial" w:eastAsia="Arial" w:hAnsi="Arial"/>
                <w:sz w:val="16"/>
                <w:szCs w:val="16"/>
                <w:color w:val="auto"/>
              </w:rPr>
              <w:t>Debt and 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35,168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79,750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29,000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29,000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29,000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414,500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616,418</w:t>
            </w:r>
          </w:p>
        </w:tc>
        <w:tc>
          <w:tcPr>
            <w:tcW w:w="0" w:type="dxa"/>
            <w:vAlign w:val="bottom"/>
          </w:tcPr>
          <w:p>
            <w:pPr>
              <w:spacing w:after="0"/>
              <w:rPr>
                <w:sz w:val="1"/>
                <w:szCs w:val="1"/>
                <w:color w:val="auto"/>
              </w:rPr>
            </w:pPr>
          </w:p>
        </w:tc>
      </w:tr>
      <w:tr>
        <w:trPr>
          <w:trHeight w:val="322"/>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Programming purchase commitments </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180,825</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108,804</w:t>
            </w:r>
          </w:p>
        </w:tc>
        <w:tc>
          <w:tcPr>
            <w:tcW w:w="32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90,723</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15,969</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5,888</w:t>
            </w:r>
          </w:p>
        </w:tc>
        <w:tc>
          <w:tcPr>
            <w:tcW w:w="240" w:type="dxa"/>
            <w:vAlign w:val="bottom"/>
          </w:tcPr>
          <w:p>
            <w:pPr>
              <w:spacing w:after="0"/>
              <w:rPr>
                <w:sz w:val="24"/>
                <w:szCs w:val="24"/>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402,209</w:t>
            </w:r>
          </w:p>
        </w:tc>
        <w:tc>
          <w:tcPr>
            <w:tcW w:w="0" w:type="dxa"/>
            <w:vAlign w:val="bottom"/>
          </w:tcPr>
          <w:p>
            <w:pPr>
              <w:spacing w:after="0"/>
              <w:rPr>
                <w:sz w:val="1"/>
                <w:szCs w:val="1"/>
                <w:color w:val="auto"/>
              </w:rPr>
            </w:pPr>
          </w:p>
        </w:tc>
      </w:tr>
      <w:tr>
        <w:trPr>
          <w:trHeight w:val="219"/>
        </w:trPr>
        <w:tc>
          <w:tcPr>
            <w:tcW w:w="3440" w:type="dxa"/>
            <w:vAlign w:val="bottom"/>
          </w:tcPr>
          <w:p>
            <w:pPr>
              <w:ind w:left="40"/>
              <w:spacing w:after="0"/>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119,129</w:t>
            </w:r>
          </w:p>
        </w:tc>
        <w:tc>
          <w:tcPr>
            <w:tcW w:w="3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106,041</w:t>
            </w:r>
          </w:p>
        </w:tc>
        <w:tc>
          <w:tcPr>
            <w:tcW w:w="320" w:type="dxa"/>
            <w:vAlign w:val="bottom"/>
          </w:tcPr>
          <w:p>
            <w:pPr>
              <w:spacing w:after="0"/>
              <w:rPr>
                <w:sz w:val="19"/>
                <w:szCs w:val="19"/>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99,167</w:t>
            </w:r>
          </w:p>
        </w:tc>
        <w:tc>
          <w:tcPr>
            <w:tcW w:w="3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88,119</w:t>
            </w:r>
          </w:p>
        </w:tc>
        <w:tc>
          <w:tcPr>
            <w:tcW w:w="3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73,520</w:t>
            </w:r>
          </w:p>
        </w:tc>
        <w:tc>
          <w:tcPr>
            <w:tcW w:w="24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411,466</w:t>
            </w:r>
          </w:p>
        </w:tc>
        <w:tc>
          <w:tcPr>
            <w:tcW w:w="30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897,442</w:t>
            </w:r>
          </w:p>
        </w:tc>
        <w:tc>
          <w:tcPr>
            <w:tcW w:w="0" w:type="dxa"/>
            <w:vAlign w:val="bottom"/>
          </w:tcPr>
          <w:p>
            <w:pPr>
              <w:spacing w:after="0"/>
              <w:rPr>
                <w:sz w:val="1"/>
                <w:szCs w:val="1"/>
                <w:color w:val="auto"/>
              </w:rPr>
            </w:pPr>
          </w:p>
        </w:tc>
      </w:tr>
      <w:tr>
        <w:trPr>
          <w:trHeight w:val="322"/>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(2)</w:t>
            </w:r>
          </w:p>
        </w:tc>
        <w:tc>
          <w:tcPr>
            <w:tcW w:w="2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118,187</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56,704</w:t>
            </w:r>
          </w:p>
        </w:tc>
        <w:tc>
          <w:tcPr>
            <w:tcW w:w="32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32,505</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10,392</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4,050</w:t>
            </w:r>
          </w:p>
        </w:tc>
        <w:tc>
          <w:tcPr>
            <w:tcW w:w="240" w:type="dxa"/>
            <w:vAlign w:val="bottom"/>
          </w:tcPr>
          <w:p>
            <w:pPr>
              <w:spacing w:after="0"/>
              <w:rPr>
                <w:sz w:val="24"/>
                <w:szCs w:val="24"/>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4,005</w:t>
            </w:r>
          </w:p>
        </w:tc>
        <w:tc>
          <w:tcPr>
            <w:tcW w:w="3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225,843</w:t>
            </w:r>
          </w:p>
        </w:tc>
        <w:tc>
          <w:tcPr>
            <w:tcW w:w="0" w:type="dxa"/>
            <w:vAlign w:val="bottom"/>
          </w:tcPr>
          <w:p>
            <w:pPr>
              <w:spacing w:after="0"/>
              <w:rPr>
                <w:sz w:val="1"/>
                <w:szCs w:val="1"/>
                <w:color w:val="auto"/>
              </w:rPr>
            </w:pPr>
          </w:p>
        </w:tc>
      </w:tr>
      <w:tr>
        <w:trPr>
          <w:trHeight w:val="234"/>
        </w:trPr>
        <w:tc>
          <w:tcPr>
            <w:tcW w:w="3440" w:type="dxa"/>
            <w:vAlign w:val="bottom"/>
          </w:tcPr>
          <w:p>
            <w:pPr>
              <w:ind w:left="40"/>
              <w:spacing w:after="0" w:line="234" w:lineRule="exact"/>
              <w:rPr>
                <w:sz w:val="20"/>
                <w:szCs w:val="20"/>
                <w:color w:val="auto"/>
              </w:rPr>
            </w:pPr>
            <w:r>
              <w:rPr>
                <w:rFonts w:ascii="Arial" w:cs="Arial" w:eastAsia="Arial" w:hAnsi="Arial"/>
                <w:sz w:val="16"/>
                <w:szCs w:val="16"/>
                <w:color w:val="auto"/>
              </w:rPr>
              <w:t xml:space="preserve">Long-term liabilities </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7,052</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6,484</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6,284</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6,107</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5,848</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39,693</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71,468</w:t>
            </w:r>
          </w:p>
        </w:tc>
        <w:tc>
          <w:tcPr>
            <w:tcW w:w="0" w:type="dxa"/>
            <w:vAlign w:val="bottom"/>
          </w:tcPr>
          <w:p>
            <w:pPr>
              <w:spacing w:after="0"/>
              <w:rPr>
                <w:sz w:val="1"/>
                <w:szCs w:val="1"/>
                <w:color w:val="auto"/>
              </w:rPr>
            </w:pPr>
          </w:p>
        </w:tc>
      </w:tr>
      <w:tr>
        <w:trPr>
          <w:trHeight w:val="262"/>
        </w:trPr>
        <w:tc>
          <w:tcPr>
            <w:tcW w:w="3440" w:type="dxa"/>
            <w:vAlign w:val="bottom"/>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460,361</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357,783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257,679</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149,587</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118,306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869,664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2,213,380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3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right="520" w:hanging="332"/>
        <w:spacing w:after="0" w:line="205"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Includes commitments for the Company’s television broadcasting and cable businesses that are reflected in the Company’s Consolidated Financial Statements and commitments to purchase programming to be produced in future years.</w:t>
      </w:r>
    </w:p>
    <w:p>
      <w:pPr>
        <w:spacing w:after="0" w:line="1" w:lineRule="exact"/>
        <w:rPr>
          <w:rFonts w:ascii="Arial" w:cs="Arial" w:eastAsia="Arial" w:hAnsi="Arial"/>
          <w:sz w:val="13"/>
          <w:szCs w:val="13"/>
          <w:color w:val="auto"/>
        </w:rPr>
      </w:pPr>
    </w:p>
    <w:p>
      <w:pPr>
        <w:ind w:left="340" w:right="180" w:hanging="332"/>
        <w:spacing w:after="0" w:line="202"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Includes purchase obligations related to employment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ind w:left="340" w:right="780" w:hanging="332"/>
        <w:spacing w:after="0" w:line="221"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Primarily made up of postretirement benefit obligations other than pensions. The Company has other long-term liabilities excluded from the table above, including obligations for deferred compensation, long-term incentive plans and long-term deferred revenue.</w:t>
      </w:r>
    </w:p>
    <w:p>
      <w:pPr>
        <w:spacing w:after="0" w:line="111"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does not have any off-balance-sheet arrangements or financing activities with special-purpose entities (SPEs).</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with related parties, as discussed in Note 4 to the Company’s Consolidated Financial Statements, are in the ordinary course of business and are conducted on an arm’s-length basis.</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724" w:right="2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6"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11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10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color w:val="auto"/>
        </w:rPr>
        <w:t xml:space="preserve">Revenue Recognition, Trade Accounts Receivable and Allowance for Doubtful Accounts. </w:t>
      </w:r>
      <w:r>
        <w:rPr>
          <w:rFonts w:ascii="Arial" w:cs="Arial" w:eastAsia="Arial" w:hAnsi="Arial"/>
          <w:sz w:val="18"/>
          <w:szCs w:val="18"/>
          <w:color w:val="auto"/>
        </w:rPr>
        <w:t>Education tuition revenue is recognized ratably</w:t>
      </w:r>
      <w:r>
        <w:rPr>
          <w:rFonts w:ascii="Arial" w:cs="Arial" w:eastAsia="Arial" w:hAnsi="Arial"/>
          <w:sz w:val="18"/>
          <w:szCs w:val="18"/>
          <w:b w:val="1"/>
          <w:bCs w:val="1"/>
          <w:color w:val="auto"/>
        </w:rPr>
        <w:t xml:space="preserve"> </w:t>
      </w:r>
      <w:r>
        <w:rPr>
          <w:rFonts w:ascii="Arial" w:cs="Arial" w:eastAsia="Arial" w:hAnsi="Arial"/>
          <w:sz w:val="18"/>
          <w:szCs w:val="18"/>
          <w:color w:val="auto"/>
        </w:rPr>
        <w:t>over the period of instruction as services are delivered to students, net of any refunds, corporate discounts, scholarships and employee tuition discounts.</w:t>
      </w:r>
    </w:p>
    <w:p>
      <w:pPr>
        <w:spacing w:after="0" w:line="108"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At KTP and Kaplan International,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11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KHE, through the Kaplan Commitment program, provides first-time students with a risk-free trial period. Under the program, KHE monitors academic progress and conducts assessments to help determine whether students are likely to be successful in their chosen course of study. Students who withdraw or are subject to dismissal during the risk-free trial period do not incur any significant financial obligation. The Company does not recognize revenues related to coursework until the students complete the risk-free period and decide to continue with their studies, at which time the fees become fixed or determinable.</w:t>
      </w:r>
    </w:p>
    <w:p>
      <w:pPr>
        <w:spacing w:after="0" w:line="111"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 equal to the net amount retained when the fee is earned. In these cases, costs incurred with third-party suppliers are excluded from the Company’s revenue. The Company assesses whether it or the third-party supplier is the primary obligor and evaluates the terms of its customer arrangements as part of this assessment. In addition, the Company considers other key indicators such as latitude in establishing price, inventory risk, nature of services performed, discretion in supplier selection and credit risk.</w:t>
      </w:r>
    </w:p>
    <w:p>
      <w:pPr>
        <w:spacing w:after="0" w:line="112"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Accounts receivable have been reduced by an allowance for amounts that may be uncollectible in the future. This estimated allowance is based primarily on the aging category, historical trends and management’s evaluation of the financial condition of the customer.</w:t>
      </w:r>
    </w:p>
    <w:p>
      <w:pPr>
        <w:spacing w:after="0" w:line="90"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The Company has a significant amount of goodwill and indefinite-lived intangible assets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at least annually for possible impairment.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2012</w:t>
            </w:r>
          </w:p>
        </w:tc>
      </w:tr>
      <w:tr>
        <w:trPr>
          <w:trHeight w:val="257"/>
        </w:trPr>
        <w:tc>
          <w:tcPr>
            <w:tcW w:w="8660" w:type="dxa"/>
            <w:vAlign w:val="bottom"/>
          </w:tcPr>
          <w:p>
            <w:pPr>
              <w:ind w:left="40"/>
              <w:spacing w:after="0"/>
              <w:rPr>
                <w:sz w:val="20"/>
                <w:szCs w:val="20"/>
                <w:color w:val="auto"/>
              </w:rPr>
            </w:pPr>
            <w:r>
              <w:rPr>
                <w:rFonts w:ascii="Arial" w:cs="Arial" w:eastAsia="Arial" w:hAnsi="Arial"/>
                <w:sz w:val="16"/>
                <w:szCs w:val="16"/>
                <w:color w:val="auto"/>
              </w:rPr>
              <w:t>Goodwill and indefinite-lived intangible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1,829.9</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1,857.6</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5,811.0</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5,105.1</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Percentage of goodwill and indefinite-lived intangible assets to total assets</w:t>
            </w:r>
          </w:p>
        </w:tc>
        <w:tc>
          <w:tcPr>
            <w:tcW w:w="300" w:type="dxa"/>
            <w:vAlign w:val="bottom"/>
          </w:tcPr>
          <w:p>
            <w:pPr>
              <w:spacing w:after="0"/>
              <w:rPr>
                <w:sz w:val="23"/>
                <w:szCs w:val="23"/>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31%</w:t>
            </w:r>
          </w:p>
        </w:tc>
        <w:tc>
          <w:tcPr>
            <w:tcW w:w="42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36%</w:t>
            </w:r>
          </w:p>
        </w:tc>
      </w:tr>
    </w:tbl>
    <w:p>
      <w:pPr>
        <w:spacing w:after="0" w:line="133"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2"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Company tests its goodwill at the reporting unit level, which is an operating segment or one level below an operating segment. The Company initially performs an assessment of qualitative factors to determine if it is necessary to perform the two-step goodwill impairment test. The Company tests goodwill for impairment using the two-step process if, based on its assessment of the qualitative factors, it determines that it is more likely than not that the fair value of a reporting unit is less than its carrying amount, or if it decides to bypass the qualitative assessment. The first step of the goodwill impairment test compares the estimated fair value of a reporting unit with its carrying amount, including goodwill. This step is performed to identify potential impairment, which occurs when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22" w:right="239" w:bottom="1440" w:gutter="0" w:footer="0" w:header="0"/>
        </w:sectPr>
      </w:pPr>
    </w:p>
    <w:bookmarkStart w:id="53" w:name="page54"/>
    <w:bookmarkEnd w:id="53"/>
    <w:p>
      <w:pPr>
        <w:ind w:right="80"/>
        <w:spacing w:after="0" w:line="229" w:lineRule="auto"/>
        <w:rPr>
          <w:sz w:val="20"/>
          <w:szCs w:val="20"/>
          <w:color w:val="auto"/>
        </w:rPr>
      </w:pPr>
      <w:r>
        <w:rPr>
          <w:rFonts w:ascii="Arial" w:cs="Arial" w:eastAsia="Arial" w:hAnsi="Arial"/>
          <w:sz w:val="18"/>
          <w:szCs w:val="18"/>
          <w:color w:val="auto"/>
        </w:rPr>
        <w:t>the carrying amount of the reporting unit exceeds its estimated fair value. The second step of the goodwill impairment test is only performed when there is a potential impairment and is performed to measure the amount of impairment loss at the reporting unit. During the second step, the Company allocates the estimated fair value of the reporting unit to all of the assets and liabilities of the unit (including any unrecognized intangible assets). The excess of the fair value of the reporting unit over the amounts assigned to its assets and liabilities is the implied fair value of goodwill. The amount of the goodwill impairment is the difference between the carrying value of the reporting unit’s goodwill and the implied fair value determined during the second step.</w:t>
      </w:r>
    </w:p>
    <w:p>
      <w:pPr>
        <w:spacing w:after="0" w:line="11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had 11 reporting units as of December 31, 2013. The reporting units with significant goodwill balances as of December 31, 2013, were as follows, representing 98% of the total goodwill of the Company: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Goodwill</w:t>
            </w:r>
          </w:p>
        </w:tc>
      </w:tr>
      <w:tr>
        <w:trPr>
          <w:trHeight w:val="222"/>
        </w:trPr>
        <w:tc>
          <w:tcPr>
            <w:tcW w:w="10120" w:type="dxa"/>
            <w:vAlign w:val="bottom"/>
          </w:tcPr>
          <w:p>
            <w:pPr>
              <w:ind w:left="40"/>
              <w:spacing w:after="0"/>
              <w:rPr>
                <w:sz w:val="20"/>
                <w:szCs w:val="20"/>
                <w:color w:val="auto"/>
              </w:rPr>
            </w:pPr>
            <w:r>
              <w:rPr>
                <w:rFonts w:ascii="Arial" w:cs="Arial" w:eastAsia="Arial" w:hAnsi="Arial"/>
                <w:sz w:val="16"/>
                <w:szCs w:val="16"/>
                <w:color w:val="auto"/>
              </w:rPr>
              <w:t>Education</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409.0</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49.9</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512.2</w:t>
            </w:r>
          </w:p>
        </w:tc>
      </w:tr>
      <w:tr>
        <w:trPr>
          <w:trHeight w:val="243"/>
        </w:trPr>
        <w:tc>
          <w:tcPr>
            <w:tcW w:w="10120" w:type="dxa"/>
            <w:vAlign w:val="bottom"/>
          </w:tcPr>
          <w:p>
            <w:pPr>
              <w:ind w:left="40"/>
              <w:spacing w:after="0"/>
              <w:rPr>
                <w:sz w:val="20"/>
                <w:szCs w:val="20"/>
                <w:color w:val="auto"/>
              </w:rPr>
            </w:pPr>
            <w:r>
              <w:rPr>
                <w:rFonts w:ascii="Arial" w:cs="Arial" w:eastAsia="Arial" w:hAnsi="Arial"/>
                <w:sz w:val="16"/>
                <w:szCs w:val="16"/>
                <w:color w:val="auto"/>
              </w:rPr>
              <w:t>Cable</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85.5</w:t>
            </w:r>
          </w:p>
        </w:tc>
      </w:tr>
      <w:tr>
        <w:trPr>
          <w:trHeight w:val="252"/>
        </w:trPr>
        <w:tc>
          <w:tcPr>
            <w:tcW w:w="10120" w:type="dxa"/>
            <w:vAlign w:val="bottom"/>
          </w:tcPr>
          <w:p>
            <w:pPr>
              <w:ind w:left="40"/>
              <w:spacing w:after="0"/>
              <w:rPr>
                <w:sz w:val="20"/>
                <w:szCs w:val="20"/>
                <w:color w:val="auto"/>
              </w:rPr>
            </w:pPr>
            <w:r>
              <w:rPr>
                <w:rFonts w:ascii="Arial" w:cs="Arial" w:eastAsia="Arial" w:hAnsi="Arial"/>
                <w:sz w:val="16"/>
                <w:szCs w:val="16"/>
                <w:color w:val="auto"/>
              </w:rPr>
              <w:t>Television broadcasting</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203.2</w:t>
            </w:r>
          </w:p>
        </w:tc>
      </w:tr>
      <w:tr>
        <w:trPr>
          <w:trHeight w:val="242"/>
        </w:trPr>
        <w:tc>
          <w:tcPr>
            <w:tcW w:w="1012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1,259.8</w:t>
            </w:r>
          </w:p>
        </w:tc>
      </w:tr>
      <w:tr>
        <w:trPr>
          <w:trHeight w:val="20"/>
        </w:trPr>
        <w:tc>
          <w:tcPr>
            <w:tcW w:w="10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As of November 30, 2013, in connection with the Company’s annual impairment testing, the Company assessed the qualitative factors at the cable reporting unit and concluded it was not necessary to perform the two-step goodwill impairment process. The Company performed the two-step goodwill impairment process at the other reporting units.</w:t>
      </w:r>
    </w:p>
    <w:p>
      <w:pPr>
        <w:spacing w:after="0" w:line="108" w:lineRule="exact"/>
        <w:rPr>
          <w:sz w:val="20"/>
          <w:szCs w:val="20"/>
          <w:color w:val="auto"/>
        </w:rPr>
      </w:pPr>
    </w:p>
    <w:p>
      <w:pPr>
        <w:ind w:right="240"/>
        <w:spacing w:after="0" w:line="231" w:lineRule="auto"/>
        <w:rPr>
          <w:sz w:val="20"/>
          <w:szCs w:val="20"/>
          <w:color w:val="auto"/>
        </w:rPr>
      </w:pPr>
      <w:r>
        <w:rPr>
          <w:rFonts w:ascii="Arial" w:cs="Arial" w:eastAsia="Arial" w:hAnsi="Arial"/>
          <w:sz w:val="18"/>
          <w:szCs w:val="18"/>
          <w:color w:val="auto"/>
        </w:rPr>
        <w:t>The estimated fair value of the cable reporting unit exceeded its carrying value by a margin in excess of 100% as of November 30, 2011, the last date a quantitative review was performed. The Company’s qualitative assessment indicated that it is not more likely than not that the estimated fair value of the reporting unit is less than its carrying amount, considering all factors, including the reporting unit’s financial performance and conditions in the cable industry. The Company’s policy requires the performance of a quantitative impairment review of the goodwill at least once every three years.</w:t>
      </w:r>
    </w:p>
    <w:p>
      <w:pPr>
        <w:spacing w:after="0" w:line="111"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connection with the Company’s reporting units where the two-step goodwill impairment process was performed,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 value of the Company’s reporting units on November 30, 2013, was consistent with the one used during the 2012 annual goodwill impairment test.</w:t>
      </w:r>
    </w:p>
    <w:p>
      <w:pPr>
        <w:spacing w:after="0" w:line="1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Company made changes to certain of its assumptions utilized in the discounted cash flow models for 2013 compared with the prior year to take into account changes in the economic environment, regulations and their impact on the Company’s businesses. The key assumptions used by the Company were as follows:</w:t>
      </w:r>
    </w:p>
    <w:p>
      <w:pPr>
        <w:spacing w:after="0" w:line="54" w:lineRule="exact"/>
        <w:rPr>
          <w:sz w:val="20"/>
          <w:szCs w:val="20"/>
          <w:color w:val="auto"/>
        </w:rPr>
      </w:pPr>
    </w:p>
    <w:p>
      <w:pPr>
        <w:ind w:left="180" w:right="100" w:hanging="172"/>
        <w:spacing w:after="0" w:line="234"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2014 through 2018 were used. The expected cash flows took into account historical growth rates, the effect of the changed economic outlook at some of the Company’s businesses, industry challenges and an estimate for the possible impact of any applicable regulations. Expected cash flows also reflected the anticipated savings from restructuring plans at certain education division’s reporting units, and other initiatives.</w:t>
      </w:r>
    </w:p>
    <w:p>
      <w:pPr>
        <w:spacing w:after="0" w:line="57" w:lineRule="exact"/>
        <w:rPr>
          <w:rFonts w:ascii="Arial" w:cs="Arial" w:eastAsia="Arial" w:hAnsi="Arial"/>
          <w:sz w:val="18"/>
          <w:szCs w:val="18"/>
          <w:color w:val="auto"/>
        </w:rPr>
      </w:pPr>
    </w:p>
    <w:p>
      <w:pPr>
        <w:ind w:left="180" w:right="360" w:hanging="172"/>
        <w:spacing w:after="0" w:line="260"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flows beyond 2018 were projected to grow at a long-term growth rate, which the Company estimated between 1% and 3% for each reporting unit.</w:t>
      </w:r>
    </w:p>
    <w:p>
      <w:pPr>
        <w:spacing w:after="0" w:line="37" w:lineRule="exact"/>
        <w:rPr>
          <w:rFonts w:ascii="Arial" w:cs="Arial" w:eastAsia="Arial" w:hAnsi="Arial"/>
          <w:sz w:val="18"/>
          <w:szCs w:val="18"/>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used a discount rate of 11.0% to 13.5% to risk adjust the cash flow projections in determining the estimated fair value.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of the reporting units exceeded its respective carrying value as of November 30, 2013.</w:t>
      </w:r>
    </w:p>
    <w:p>
      <w:pPr>
        <w:spacing w:after="0" w:line="144" w:lineRule="exact"/>
        <w:rPr>
          <w:sz w:val="20"/>
          <w:szCs w:val="20"/>
          <w:color w:val="auto"/>
        </w:rPr>
      </w:pPr>
    </w:p>
    <w:p>
      <w:pPr>
        <w:ind w:right="220"/>
        <w:spacing w:after="0" w:line="231" w:lineRule="auto"/>
        <w:rPr>
          <w:sz w:val="20"/>
          <w:szCs w:val="20"/>
          <w:color w:val="auto"/>
        </w:rPr>
      </w:pPr>
      <w:r>
        <w:rPr>
          <w:rFonts w:ascii="Arial" w:cs="Arial" w:eastAsia="Arial" w:hAnsi="Arial"/>
          <w:sz w:val="18"/>
          <w:szCs w:val="18"/>
          <w:color w:val="auto"/>
        </w:rPr>
        <w:t>In 2012, the Company recorded a goodwill and other long-lived asset impairment charge of $111.6 million at the KTP reporting unit. The remaining goodwill balance at the KTP reporting unit as of December 31, 2013, totaled $49.9 million. The estimated fair value of the KTP reporting unit exceeded its carrying value by a margin in excess of 50%. The estimated fair value of the Company’s other reporting units with significant goodwill balances also exceeded their respective carrying values by a margin in excess of 50%. It is possible that impairment charges could occur in the future, given the inherent variability in projecting future operating performance.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724"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4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initially assess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 determine the estimated fair value of the indefinite-lived intangible assets.</w:t>
      </w:r>
    </w:p>
    <w:p>
      <w:pPr>
        <w:spacing w:after="0" w:line="108"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Company’s intangible assets with an indefinite life are principally from franchise agreements at its cable division. These franchise agreements result from agreements the Company has with state and local governments that allow the Company to contract and operate a cable business within a specified geographic area.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material modifications to the agreements. The franchise agreements represent 92% of the $541.3 million of indefinite-lived intangible assets of the Company as of December 31, 2013. The Company grouped the recorded values of its various cable franchise agreements into regional cable systems or units of account.</w:t>
      </w:r>
    </w:p>
    <w:p>
      <w:pPr>
        <w:spacing w:after="0" w:line="109"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As of November 30, 2013, the Company performed a qualitative analysis to test the franchise agreements for impairment. The estimated fair value of the Company’s franchise agreements exceeded their respective carrying values by a margin in excess of 50% as of November 30, 2011, the last date a quantitative review was performed. The Company’s qualitative assessment indicated that it is not more likely than not that the estimated fair value of the franchise rights are less than its carrying amount considering all factors, including the review of prior year assumptions, the cable division’s financial performance and conditions in the cable industry.</w:t>
      </w:r>
    </w:p>
    <w:p>
      <w:pPr>
        <w:spacing w:after="0" w:line="11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key assumptions used by the Company to determine the fair value of its franchise agreements as of November 30, 2011, the date of its last annual quantitative impairment review, were as follows:</w:t>
      </w:r>
    </w:p>
    <w:p>
      <w:pPr>
        <w:spacing w:after="0" w:line="38" w:lineRule="exact"/>
        <w:rPr>
          <w:sz w:val="20"/>
          <w:szCs w:val="20"/>
          <w:color w:val="auto"/>
        </w:rPr>
      </w:pPr>
    </w:p>
    <w:p>
      <w:pPr>
        <w:ind w:left="180" w:right="40" w:hanging="172"/>
        <w:spacing w:after="0" w:line="229" w:lineRule="auto"/>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2012 through 2021 were used, with the assumption that the only assets the unbuilt start-up cable systems possess are the various franchise agreements. The expected cash flows took into account the estimated initial capital investment in the system region’s physical plant and related start-up costs, revenues, operating margins and growth rates. These cash flows and growth rates were based on forecasts and long-term business plans and take into account numerous factors, including historical experience, anticipated economic conditions, changes in the cable systems’ cost structures, homes in each region’s service area, number of subscribers based on penetration of homes passed by the systems and expected revenues per subscriber.</w:t>
      </w:r>
    </w:p>
    <w:p>
      <w:pPr>
        <w:spacing w:after="0" w:line="57" w:lineRule="exact"/>
        <w:rPr>
          <w:rFonts w:ascii="Arial" w:cs="Arial" w:eastAsia="Arial" w:hAnsi="Arial"/>
          <w:sz w:val="18"/>
          <w:szCs w:val="18"/>
          <w:color w:val="auto"/>
        </w:rPr>
      </w:pPr>
    </w:p>
    <w:p>
      <w:pPr>
        <w:ind w:left="180" w:right="160" w:hanging="172"/>
        <w:spacing w:after="0" w:line="260" w:lineRule="auto"/>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 flows beyond 2021 were projected to grow at a long-term growth rate, which the Company estimated by considering historical market growth trends, anticipated cable system performance and expected market conditions.</w:t>
      </w:r>
    </w:p>
    <w:p>
      <w:pPr>
        <w:spacing w:after="0" w:line="37" w:lineRule="exact"/>
        <w:rPr>
          <w:rFonts w:ascii="Arial" w:cs="Arial" w:eastAsia="Arial" w:hAnsi="Arial"/>
          <w:sz w:val="18"/>
          <w:szCs w:val="18"/>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used a discount rate of 8% to risk adjust the cash flow projections in determining the estimated fair value.</w:t>
      </w:r>
    </w:p>
    <w:p>
      <w:pPr>
        <w:spacing w:after="0" w:line="144"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There is always a possibility that impairment charges could occur in the future, given changes in the cable market and the U.S. economic environment, as well as the inherent variability in projecting future operating performance.</w:t>
      </w:r>
    </w:p>
    <w:p>
      <w:pPr>
        <w:spacing w:after="0" w:line="90"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b w:val="1"/>
          <w:bCs w:val="1"/>
          <w:color w:val="auto"/>
        </w:rPr>
        <w:t xml:space="preserve">Pension Costs. </w:t>
      </w:r>
      <w:r>
        <w:rPr>
          <w:rFonts w:ascii="Arial" w:cs="Arial" w:eastAsia="Arial" w:hAnsi="Arial"/>
          <w:sz w:val="18"/>
          <w:szCs w:val="18"/>
          <w:color w:val="auto"/>
        </w:rPr>
        <w:t>The Company sponsors a defined benefit pension plan for eligible employees in the U.S. Excluding curtailment gain,</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loss and special termination benefits, the Company’s net pension cost including amounts for discontinued operations was $1.9 million and $16.0 million for 2013 and 2012, respectively, and the net pension credit was $4.7 million for 2011. The Company’s pension benefit obligation and related costs are actuarially determined and are impacted significantly by the Company’s assumptions related to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turnover, and updates them to reflect its experience and expectations for the future. Actual results in any given year will often differ from actuarial assumptions because of economic and other factors.</w:t>
      </w:r>
    </w:p>
    <w:p>
      <w:pPr>
        <w:spacing w:after="0" w:line="110"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The Company assumed a 6.5% expected return on plan assets for year 2013, which is consistent with the expected return assumption for years 2012 and 2011. The Company’s actual return on plan assets was 36.2% in 2013,</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726" w:right="29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18.5% in 2012 and 14.7% in 2011. The 10-year and 20-year actual returns on plan assets were 10.1% and 12.7%, respectively.</w:t>
      </w:r>
    </w:p>
    <w:p>
      <w:pPr>
        <w:spacing w:after="0" w:line="14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 to the payment of benefits. Lower discount rates increase present values and increase subsequent-year pension costs; higher discount rates decrease present values and decrease subsequent-year pension costs. The Company’s discount rate at December 31, 2013, 2012 and 2011, was 4.8%, 4.0% and 4.7%, respectively, reflecting market interest rates.</w:t>
      </w:r>
    </w:p>
    <w:p>
      <w:pPr>
        <w:spacing w:after="0" w:line="11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Changes in key assumptions for the Company’s pension plan would have the following effects on the 2013 pension cost, excluding curtailment gain, settlement loss and special termination benefits:</w:t>
      </w:r>
    </w:p>
    <w:p>
      <w:pPr>
        <w:spacing w:after="0" w:line="38" w:lineRule="exact"/>
        <w:rPr>
          <w:sz w:val="20"/>
          <w:szCs w:val="20"/>
          <w:color w:val="auto"/>
        </w:rPr>
      </w:pPr>
    </w:p>
    <w:p>
      <w:pPr>
        <w:ind w:left="180" w:right="180" w:hanging="172"/>
        <w:spacing w:after="0" w:line="260"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Expected return on assets – A 1% increase or decrease to the Company’s assumed expected return on plan assets would have decreased or increased the pension cost by approximately $16 million.</w:t>
      </w:r>
    </w:p>
    <w:p>
      <w:pPr>
        <w:spacing w:after="0" w:line="37" w:lineRule="exact"/>
        <w:rPr>
          <w:rFonts w:ascii="Arial" w:cs="Arial" w:eastAsia="Arial" w:hAnsi="Arial"/>
          <w:sz w:val="18"/>
          <w:szCs w:val="18"/>
          <w:color w:val="auto"/>
        </w:rPr>
      </w:pPr>
    </w:p>
    <w:p>
      <w:pPr>
        <w:ind w:left="180" w:right="520" w:hanging="172"/>
        <w:spacing w:after="0" w:line="290" w:lineRule="auto"/>
        <w:tabs>
          <w:tab w:leader="none" w:pos="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Discount rate – A 1% decrease to the Company’s assumed discount rate would have increased the pension cost by approximately $17 million. A 1% increase to the Company’s assumed discount rate would have decreased the pension cost by approximately $4 million.</w:t>
      </w:r>
    </w:p>
    <w:p>
      <w:pPr>
        <w:spacing w:after="0" w:line="68"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Company’s net pension cost (credit)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cost (credit) for the year.</w:t>
      </w:r>
    </w:p>
    <w:p>
      <w:pPr>
        <w:spacing w:after="0" w:line="11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w:t>
      </w:r>
    </w:p>
    <w:p>
      <w:pPr>
        <w:spacing w:after="0" w:line="11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The types of items that generate actuarial gains and losses that may be subject to amortization in net periodic pension cost (credit) include the following:</w:t>
      </w:r>
    </w:p>
    <w:p>
      <w:pPr>
        <w:spacing w:after="0" w:line="38"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90" w:lineRule="exact"/>
        <w:rPr>
          <w:rFonts w:ascii="Arial" w:cs="Arial" w:eastAsia="Arial" w:hAnsi="Arial"/>
          <w:sz w:val="18"/>
          <w:szCs w:val="18"/>
          <w:color w:val="auto"/>
        </w:rPr>
      </w:pPr>
    </w:p>
    <w:p>
      <w:pPr>
        <w:ind w:left="180" w:right="220" w:hanging="172"/>
        <w:spacing w:after="0" w:line="260"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92"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Amortization of the unrecognized actuarial gain or loss is included as a component of expense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2010, the Company had no net unamortized actuarial gains or losses in accumulated other comprehensive income potentially subject to amortization that were outside the 10% corridor, and, therefore, no amortized gain or loss amounts were included in the pension credit in 2011. During 2011, there was a decrease in the discount rate, offset by pension asset gains that resulted in net unamortized actuarial losses in accumulated other comprehensive income subject to amortization outside the corridor, and, therefore, an amortized loss amount of $9.0 million is included in the pension cost for 2012. During 2012, there were pension asset gains offset by a further decrease in the discount rate that resulted in net unamortized actuarial losses in accumulated other comprehensive income subject to amortization outside the corridor, and, therefore, an amortized loss amount of $5.6 million is included in the pension cost for the first nine months of 2013. As a result of the sale of the newspaper publishing businesses, the Company remeasured the accumulated and projected benefit obligation as of October 1, 2013, and recorded a curtailment gain and settlement loss. During the first nine months of 2013, there were significant pension asset gains and an increase in the discount rate, which resulted in net unamortized actuarial gains in accumulated other comprehensive income subject to amortization outside the corridor as of the remeasurement date, and therefore, an amortized gain amount of $ 2.8 million is included in the pension cost for the last three months of 2013. Overall, the Company recorded an amortized loss amount of $2.8 million for 2013.</w:t>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724" w:right="259" w:bottom="1440" w:gutter="0" w:footer="0" w:header="0"/>
        </w:sectPr>
      </w:pPr>
    </w:p>
    <w:bookmarkStart w:id="56" w:name="page57"/>
    <w:bookmarkEnd w:id="56"/>
    <w:p>
      <w:pPr>
        <w:spacing w:after="0" w:line="234" w:lineRule="auto"/>
        <w:rPr>
          <w:sz w:val="20"/>
          <w:szCs w:val="20"/>
          <w:color w:val="auto"/>
        </w:rPr>
      </w:pPr>
      <w:r>
        <w:rPr>
          <w:rFonts w:ascii="Arial" w:cs="Arial" w:eastAsia="Arial" w:hAnsi="Arial"/>
          <w:sz w:val="18"/>
          <w:szCs w:val="18"/>
          <w:color w:val="auto"/>
        </w:rPr>
        <w:t>During the last three months of 2013, there were additional pension asset gains. Primarily as a result of the actual return on plan assets exceeding the estimated return for 2013, the Company currently estimates that there will be net unamortized actuarial gains in accumulated other comprehensive income subject to amortization outside the corridor, and, therefore, an amortized gain amount of $28.2 million is included in the estimated pension cost for 2014.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estimates that it will record a net pension credit of approximately $65.0 million in 2014.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Note 14 to the Company’s Consolidated Financial Statements provides additional details surrounding pension costs and related assumptions.</w:t>
      </w:r>
    </w:p>
    <w:p>
      <w:pPr>
        <w:spacing w:after="0" w:line="142" w:lineRule="exact"/>
        <w:rPr>
          <w:sz w:val="20"/>
          <w:szCs w:val="20"/>
          <w:color w:val="auto"/>
        </w:rPr>
      </w:pPr>
    </w:p>
    <w:p>
      <w:pPr>
        <w:ind w:right="300"/>
        <w:spacing w:after="0" w:line="232" w:lineRule="auto"/>
        <w:rPr>
          <w:sz w:val="20"/>
          <w:szCs w:val="20"/>
          <w:color w:val="auto"/>
        </w:rPr>
      </w:pPr>
      <w:r>
        <w:rPr>
          <w:rFonts w:ascii="Arial" w:cs="Arial" w:eastAsia="Arial" w:hAnsi="Arial"/>
          <w:sz w:val="18"/>
          <w:szCs w:val="18"/>
          <w:b w:val="1"/>
          <w:bCs w:val="1"/>
          <w:color w:val="auto"/>
        </w:rPr>
        <w:t xml:space="preserve">Income Tax Valuation Allowances. </w:t>
      </w:r>
      <w:r>
        <w:rPr>
          <w:rFonts w:ascii="Arial" w:cs="Arial" w:eastAsia="Arial" w:hAnsi="Arial"/>
          <w:sz w:val="18"/>
          <w:szCs w:val="18"/>
          <w:color w:val="auto"/>
        </w:rPr>
        <w:t>Deferred income taxes arise from temporary differences between the tax and financial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assets and liabilities. In evaluating its 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109"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As of December 31, 2013, the Company had state income tax net operating loss carryforwards of $597.1 million, which will expire at various dates from 2014 through 2032. Also at December 31, 2013, the Company had $112.1 million of non-U.S. income tax loss carryforwards, of which $101.3 million may be carried forward indefinitely; $3.5 million of losses that, if unutilized, will expire in varying amounts through 2018; and $ 7.3 million of losses that, if unutilized, will start to expire after 2018. At December 31, 2013, the Company has established approximately $72.8 million in valuation allowances against deferred state tax assets, net of U.S. Federal income taxes, and non-U.S. deferred tax assets, as the Company believes that it is more likely than not that the benefit from certain state and non-U.S. net operating loss carryforwards and other deferred tax assets will not be realized. The Company has established valuation allowances against state income tax benefits recognized, without considering potentially offsetting deferred tax liabilities established with respect to prepaid pension cost and goodwill. Prepaid pension cost and goodwill have not been considered a source of future taxable income for realizing deferred tax benefits recognized since these temporary differences are not likely to reverse in the foreseeable future. The valuation allowances established against state and non-U.S. income tax benefits recorded may increase or decrease within the next 12 months, based on operating results, the market value of investment holdings or business and tax planning strategies; as a result, the Company is unable to estimate the potential tax impact, given the uncertain operating and market environment. The Company will be monitoring future operating results and projected future operating results on a quarterly basis to determine whether the valuation allowances provided against state and non-U.S. deferred tax assets should be increased or decreased, as future circumstances warrant.</w:t>
      </w:r>
    </w:p>
    <w:p>
      <w:pPr>
        <w:spacing w:after="0" w:line="111"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See Note 2 to the Company’s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724" w:right="339" w:bottom="1440" w:gutter="0" w:footer="0" w:header="0"/>
        </w:sectPr>
      </w:pPr>
    </w:p>
    <w:bookmarkStart w:id="57" w:name="page58"/>
    <w:bookmarkEnd w:id="57"/>
    <w:p>
      <w:pPr>
        <w:jc w:val="center"/>
        <w:ind w:right="-1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46"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Management of Graham Holdings Company is responsible for establishing and maintaining adequate internal control over financial reporting (as defined in Exchange Act Rules 13a-15(f) and 15d-15(f)).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11"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 xml:space="preserve">The Company’s management assessed the effectiveness of internal control over financial reporting as of December 31, 2013. In making this assessment, management used the criteria set forth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1992. Management has concluded that, as of December 31, 2013, the Company’s internal control over financial reporting was effective based on these criteria.</w:t>
      </w:r>
    </w:p>
    <w:p>
      <w:pPr>
        <w:spacing w:after="0" w:line="111" w:lineRule="exact"/>
        <w:rPr>
          <w:sz w:val="20"/>
          <w:szCs w:val="20"/>
          <w:color w:val="auto"/>
        </w:rPr>
      </w:pPr>
    </w:p>
    <w:p>
      <w:pPr>
        <w:ind w:right="1500"/>
        <w:spacing w:after="0" w:line="260" w:lineRule="auto"/>
        <w:rPr>
          <w:sz w:val="20"/>
          <w:szCs w:val="20"/>
          <w:color w:val="auto"/>
        </w:rPr>
      </w:pPr>
      <w:r>
        <w:rPr>
          <w:rFonts w:ascii="Arial" w:cs="Arial" w:eastAsia="Arial" w:hAnsi="Arial"/>
          <w:sz w:val="18"/>
          <w:szCs w:val="18"/>
          <w:color w:val="auto"/>
        </w:rPr>
        <w:t>The effectiveness of the Company’s internal control over financial reporting as of December 31, 2013, has been audited by PricewaterhouseCoopers LLP, an independent registered public accounting firm, as stated in their report included herein.</w:t>
      </w: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60"/>
          </w:cols>
          <w:pgMar w:left="240" w:top="722" w:right="39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Graham Holdings Company:</w:t>
      </w:r>
    </w:p>
    <w:p>
      <w:pPr>
        <w:spacing w:after="0" w:line="12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 xml:space="preserve">In our opinion, the consolidated financial statements referred to under Item 15 (1) on page 36 and listed in the index on page 38 present fairly, in all material respects, the financial position of Graham Holdings Company and its subsidiaries at December 31, 2013 and 2012, and the results of their operations and their cash flows for each of the three years in the period ended December 31, 2013 in conformity with accounting principles generally accepted in the United States of America. Also in our opinion, the Company maintained, in all material respects, effective internal control over financial reporting as of December 31, 2013,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(1992)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9"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722" w:right="2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2,177,508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2,196,496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2,404,459</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Subscriber</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755,662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732,370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710,253</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Advertising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366,316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400,800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327,877</w:t>
            </w:r>
          </w:p>
        </w:tc>
        <w:tc>
          <w:tcPr>
            <w:tcW w:w="0" w:type="dxa"/>
            <w:vAlign w:val="bottom"/>
          </w:tcPr>
          <w:p>
            <w:pPr>
              <w:spacing w:after="0"/>
              <w:rPr>
                <w:sz w:val="1"/>
                <w:szCs w:val="1"/>
                <w:color w:val="auto"/>
              </w:rPr>
            </w:pPr>
          </w:p>
        </w:tc>
      </w:tr>
      <w:tr>
        <w:trPr>
          <w:trHeight w:val="274"/>
        </w:trPr>
        <w:tc>
          <w:tcPr>
            <w:tcW w:w="7780" w:type="dxa"/>
            <w:vAlign w:val="bottom"/>
          </w:tcPr>
          <w:p>
            <w:pPr>
              <w:ind w:left="1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188,378</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125,904</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83,408</w:t>
            </w:r>
          </w:p>
        </w:tc>
        <w:tc>
          <w:tcPr>
            <w:tcW w:w="0" w:type="dxa"/>
            <w:vAlign w:val="bottom"/>
          </w:tcPr>
          <w:p>
            <w:pPr>
              <w:spacing w:after="0"/>
              <w:rPr>
                <w:sz w:val="1"/>
                <w:szCs w:val="1"/>
                <w:color w:val="auto"/>
              </w:rPr>
            </w:pPr>
          </w:p>
        </w:tc>
      </w:tr>
      <w:tr>
        <w:trPr>
          <w:trHeight w:val="261"/>
        </w:trPr>
        <w:tc>
          <w:tcPr>
            <w:tcW w:w="7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3,487,864</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3,455,570</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3,525,997</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Operating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1,564,911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1,566,257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1,562,615</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1,327,322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1,333,516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1,383,660</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233,218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244,078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223,403</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13,598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20,946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22,201</w:t>
            </w:r>
          </w:p>
        </w:tc>
        <w:tc>
          <w:tcPr>
            <w:tcW w:w="0" w:type="dxa"/>
            <w:vAlign w:val="bottom"/>
          </w:tcPr>
          <w:p>
            <w:pPr>
              <w:spacing w:after="0"/>
              <w:rPr>
                <w:sz w:val="1"/>
                <w:szCs w:val="1"/>
                <w:color w:val="auto"/>
              </w:rPr>
            </w:pPr>
          </w:p>
        </w:tc>
      </w:tr>
      <w:tr>
        <w:trPr>
          <w:trHeight w:val="274"/>
        </w:trPr>
        <w:tc>
          <w:tcPr>
            <w:tcW w:w="7780" w:type="dxa"/>
            <w:vAlign w:val="bottom"/>
          </w:tcPr>
          <w:p>
            <w:pPr>
              <w:ind w:left="1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3,250</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111,593</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3,142,299</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3,276,390</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3,191,879</w:t>
            </w:r>
          </w:p>
        </w:tc>
        <w:tc>
          <w:tcPr>
            <w:tcW w:w="0" w:type="dxa"/>
            <w:vAlign w:val="bottom"/>
          </w:tcPr>
          <w:p>
            <w:pPr>
              <w:spacing w:after="0"/>
              <w:rPr>
                <w:sz w:val="1"/>
                <w:szCs w:val="1"/>
                <w:color w:val="auto"/>
              </w:rPr>
            </w:pP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345,565</w:t>
            </w:r>
          </w:p>
        </w:tc>
        <w:tc>
          <w:tcPr>
            <w:tcW w:w="28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179,180</w:t>
            </w:r>
          </w:p>
        </w:tc>
        <w:tc>
          <w:tcPr>
            <w:tcW w:w="3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334,118</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13,215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14,086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5,949</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2,264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3,393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4,147</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(36,067)</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(35,944)</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(33,226)</w:t>
            </w:r>
          </w:p>
        </w:tc>
        <w:tc>
          <w:tcPr>
            <w:tcW w:w="0" w:type="dxa"/>
            <w:vAlign w:val="bottom"/>
          </w:tcPr>
          <w:p>
            <w:pPr>
              <w:spacing w:after="0"/>
              <w:rPr>
                <w:sz w:val="1"/>
                <w:szCs w:val="1"/>
                <w:color w:val="auto"/>
              </w:rPr>
            </w:pPr>
          </w:p>
        </w:tc>
      </w:tr>
      <w:tr>
        <w:trPr>
          <w:trHeight w:val="274"/>
        </w:trPr>
        <w:tc>
          <w:tcPr>
            <w:tcW w:w="7780" w:type="dxa"/>
            <w:vAlign w:val="bottom"/>
          </w:tcPr>
          <w:p>
            <w:pPr>
              <w:ind w:left="180"/>
              <w:spacing w:after="0"/>
              <w:rPr>
                <w:sz w:val="20"/>
                <w:szCs w:val="20"/>
                <w:color w:val="auto"/>
              </w:rPr>
            </w:pPr>
            <w:r>
              <w:rPr>
                <w:rFonts w:ascii="Arial" w:cs="Arial" w:eastAsia="Arial" w:hAnsi="Arial"/>
                <w:sz w:val="16"/>
                <w:szCs w:val="16"/>
                <w:color w:val="auto"/>
              </w:rPr>
              <w:t>Other expense, net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(23,751)</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(5,456)</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(55,200)</w:t>
            </w:r>
          </w:p>
        </w:tc>
        <w:tc>
          <w:tcPr>
            <w:tcW w:w="0" w:type="dxa"/>
            <w:vAlign w:val="bottom"/>
          </w:tcPr>
          <w:p>
            <w:pPr>
              <w:spacing w:after="0"/>
              <w:rPr>
                <w:sz w:val="1"/>
                <w:szCs w:val="1"/>
                <w:color w:val="auto"/>
              </w:rPr>
            </w:pP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2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301,226</w:t>
            </w:r>
          </w:p>
        </w:tc>
        <w:tc>
          <w:tcPr>
            <w:tcW w:w="28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155,259</w:t>
            </w:r>
          </w:p>
        </w:tc>
        <w:tc>
          <w:tcPr>
            <w:tcW w:w="3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255,788</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110,000</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83,200</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104,400</w:t>
            </w:r>
          </w:p>
        </w:tc>
        <w:tc>
          <w:tcPr>
            <w:tcW w:w="0" w:type="dxa"/>
            <w:vAlign w:val="bottom"/>
          </w:tcPr>
          <w:p>
            <w:pPr>
              <w:spacing w:after="0"/>
              <w:rPr>
                <w:sz w:val="1"/>
                <w:szCs w:val="1"/>
                <w:color w:val="auto"/>
              </w:rPr>
            </w:pP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2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191,226</w:t>
            </w:r>
          </w:p>
        </w:tc>
        <w:tc>
          <w:tcPr>
            <w:tcW w:w="28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72,059</w:t>
            </w:r>
          </w:p>
        </w:tc>
        <w:tc>
          <w:tcPr>
            <w:tcW w:w="3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151,388</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46,119</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60,128</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(34,231)</w:t>
            </w:r>
          </w:p>
        </w:tc>
        <w:tc>
          <w:tcPr>
            <w:tcW w:w="0" w:type="dxa"/>
            <w:vAlign w:val="bottom"/>
          </w:tcPr>
          <w:p>
            <w:pPr>
              <w:spacing w:after="0"/>
              <w:rPr>
                <w:sz w:val="1"/>
                <w:szCs w:val="1"/>
                <w:color w:val="auto"/>
              </w:rPr>
            </w:pP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237,345</w:t>
            </w:r>
          </w:p>
        </w:tc>
        <w:tc>
          <w:tcPr>
            <w:tcW w:w="28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132,187</w:t>
            </w:r>
          </w:p>
        </w:tc>
        <w:tc>
          <w:tcPr>
            <w:tcW w:w="3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117,157</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(480)</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20" w:type="dxa"/>
            <w:vAlign w:val="bottom"/>
          </w:tcPr>
          <w:p>
            <w:pPr>
              <w:spacing w:after="0"/>
              <w:rPr>
                <w:sz w:val="22"/>
                <w:szCs w:val="22"/>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236,865</w:t>
            </w:r>
          </w:p>
        </w:tc>
        <w:tc>
          <w:tcPr>
            <w:tcW w:w="28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132,113</w:t>
            </w:r>
          </w:p>
        </w:tc>
        <w:tc>
          <w:tcPr>
            <w:tcW w:w="3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117,150</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(855)</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(895)</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236,010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131,218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116,233</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189,891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71,090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150,464</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46,119</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60,128</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(34,231)</w:t>
            </w:r>
          </w:p>
        </w:tc>
        <w:tc>
          <w:tcPr>
            <w:tcW w:w="0" w:type="dxa"/>
            <w:vAlign w:val="bottom"/>
          </w:tcPr>
          <w:p>
            <w:pPr>
              <w:spacing w:after="0"/>
              <w:rPr>
                <w:sz w:val="1"/>
                <w:szCs w:val="1"/>
                <w:color w:val="auto"/>
              </w:rPr>
            </w:pPr>
          </w:p>
        </w:tc>
      </w:tr>
      <w:tr>
        <w:trPr>
          <w:trHeight w:val="265"/>
        </w:trPr>
        <w:tc>
          <w:tcPr>
            <w:tcW w:w="7780" w:type="dxa"/>
            <w:vAlign w:val="bottom"/>
          </w:tcPr>
          <w:p>
            <w:pPr>
              <w:ind w:left="4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236,010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131,218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116,233</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Basic income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25.83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9.22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Basic income (loss) per common share from discontinued operations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6.27</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8.17</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66"/>
        </w:trPr>
        <w:tc>
          <w:tcPr>
            <w:tcW w:w="77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32.10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17.39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7,238</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7,360</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7,826</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78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25.78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9.22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19.03</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Diluted income (loss) per common share from discontinued operations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6.27</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8.17</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66"/>
        </w:trPr>
        <w:tc>
          <w:tcPr>
            <w:tcW w:w="77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32.05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17.39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7,333</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7,404</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7,905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36" w:right="239"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736" w:right="2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73"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27305</wp:posOffset>
            </wp:positionV>
            <wp:extent cx="2315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2012</w:t>
            </w:r>
          </w:p>
        </w:tc>
        <w:tc>
          <w:tcPr>
            <w:tcW w:w="1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2011</w:t>
            </w:r>
          </w:p>
        </w:tc>
      </w:tr>
    </w:tbl>
    <w:p>
      <w:pPr>
        <w:spacing w:after="0" w:line="34" w:lineRule="exact"/>
        <w:rPr>
          <w:sz w:val="20"/>
          <w:szCs w:val="20"/>
          <w:color w:val="auto"/>
        </w:rPr>
      </w:pPr>
    </w:p>
    <w:p>
      <w:pPr>
        <w:sectPr>
          <w:pgSz w:w="11900" w:h="16838" w:orient="portrait"/>
          <w:cols w:equalWidth="0" w:num="1">
            <w:col w:w="11420"/>
          </w:cols>
          <w:pgMar w:left="240" w:top="736"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500" w:right="3060"/>
        <w:spacing w:after="0" w:line="397"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1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(losses) on available-for-sale securities: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Unrealized gains (losses) for the year</w:t>
      </w:r>
    </w:p>
    <w:p>
      <w:pPr>
        <w:spacing w:after="0" w:line="59" w:lineRule="exact"/>
        <w:rPr>
          <w:sz w:val="20"/>
          <w:szCs w:val="20"/>
          <w:color w:val="auto"/>
        </w:rPr>
      </w:pPr>
    </w:p>
    <w:p>
      <w:pPr>
        <w:ind w:left="660" w:hanging="161"/>
        <w:spacing w:after="0" w:line="291" w:lineRule="auto"/>
        <w:rPr>
          <w:sz w:val="20"/>
          <w:szCs w:val="20"/>
          <w:color w:val="auto"/>
        </w:rPr>
      </w:pPr>
      <w:r>
        <w:rPr>
          <w:rFonts w:ascii="Arial" w:cs="Arial" w:eastAsia="Arial" w:hAnsi="Arial"/>
          <w:sz w:val="16"/>
          <w:szCs w:val="16"/>
          <w:color w:val="auto"/>
        </w:rPr>
        <w:t>Reclassification adjustment for write-down on available-for-sale securities, net of gain, included in net income</w:t>
      </w:r>
    </w:p>
    <w:p>
      <w:pPr>
        <w:spacing w:after="0" w:line="29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Actuarial gain (loss)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actuarial loss (gain)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Curtailments and settlements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Foreign affiliate pension adjustments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Other adjustments</w:t>
      </w:r>
    </w:p>
    <w:p>
      <w:pPr>
        <w:spacing w:after="0" w:line="3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flow hedge gain (loss)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 (expense) benefit related to items of other comprehensive income (loss)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237,345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132,187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117,157</w:t>
            </w:r>
          </w:p>
        </w:tc>
      </w:tr>
      <w:tr>
        <w:trPr>
          <w:trHeight w:val="810"/>
        </w:trPr>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(1,059)</w:t>
            </w:r>
          </w:p>
        </w:tc>
        <w:tc>
          <w:tcPr>
            <w:tcW w:w="34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5,622</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(21,375)</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(888)</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(1,059)</w:t>
            </w:r>
          </w:p>
        </w:tc>
        <w:tc>
          <w:tcPr>
            <w:tcW w:w="34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4,734</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(21,375)</w:t>
            </w:r>
          </w:p>
        </w:tc>
      </w:tr>
      <w:tr>
        <w:trPr>
          <w:trHeight w:val="540"/>
        </w:trPr>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95,629</w:t>
            </w:r>
          </w:p>
        </w:tc>
        <w:tc>
          <w:tcPr>
            <w:tcW w:w="34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33,098</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(37,708)</w:t>
            </w:r>
          </w:p>
        </w:tc>
      </w:tr>
      <w:tr>
        <w:trPr>
          <w:trHeight w:val="436"/>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9,554</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17,226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53,793</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105,183</w:t>
            </w:r>
          </w:p>
        </w:tc>
        <w:tc>
          <w:tcPr>
            <w:tcW w:w="34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50,324</w:t>
            </w:r>
          </w:p>
        </w:tc>
        <w:tc>
          <w:tcPr>
            <w:tcW w:w="3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16,085</w:t>
            </w:r>
          </w:p>
        </w:tc>
      </w:tr>
      <w:tr>
        <w:trPr>
          <w:trHeight w:val="540"/>
        </w:trPr>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762,806</w:t>
            </w:r>
          </w:p>
        </w:tc>
        <w:tc>
          <w:tcPr>
            <w:tcW w:w="34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82,470</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(16,048)</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3,096</w:t>
            </w:r>
          </w:p>
        </w:tc>
        <w:tc>
          <w:tcPr>
            <w:tcW w:w="3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9,368</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(1,383)</w:t>
            </w: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(1,859)</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(3,925)</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(124,051)</w:t>
            </w:r>
          </w:p>
        </w:tc>
        <w:tc>
          <w:tcPr>
            <w:tcW w:w="3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2,088</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(745)</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640,468</w:t>
            </w:r>
          </w:p>
        </w:tc>
        <w:tc>
          <w:tcPr>
            <w:tcW w:w="34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89,234</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(18,395)</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520</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(1,581)</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745,112</w:t>
            </w:r>
          </w:p>
        </w:tc>
        <w:tc>
          <w:tcPr>
            <w:tcW w:w="34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142,711</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(23,671)</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(298,472)</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(55,186)</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6,861</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446,640</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87,525</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(16,810)</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683,985</w:t>
            </w:r>
          </w:p>
        </w:tc>
        <w:tc>
          <w:tcPr>
            <w:tcW w:w="34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219,712</w:t>
            </w:r>
          </w:p>
        </w:tc>
        <w:tc>
          <w:tcPr>
            <w:tcW w:w="3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100,347</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(503)</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683,482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219,609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100,221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40" w:space="40"/>
            <w:col w:w="3640"/>
          </w:cols>
          <w:pgMar w:left="240" w:top="736" w:right="2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736"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share amounts)</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Cash</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569,719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512,431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83,769</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28,538</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522,318</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418,938</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428,653</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399,204</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17,991</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3,974</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Inventories and contracts in progress</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2,924</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7,985</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77,013</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82,692</w:t>
            </w:r>
          </w:p>
        </w:tc>
        <w:tc>
          <w:tcPr>
            <w:tcW w:w="0" w:type="dxa"/>
            <w:vAlign w:val="bottom"/>
          </w:tcPr>
          <w:p>
            <w:pPr>
              <w:spacing w:after="0"/>
              <w:rPr>
                <w:sz w:val="1"/>
                <w:szCs w:val="1"/>
                <w:color w:val="auto"/>
              </w:rPr>
            </w:pPr>
          </w:p>
        </w:tc>
      </w:tr>
      <w:tr>
        <w:trPr>
          <w:trHeight w:val="260"/>
        </w:trPr>
        <w:tc>
          <w:tcPr>
            <w:tcW w:w="9020" w:type="dxa"/>
            <w:vAlign w:val="bottom"/>
          </w:tcPr>
          <w:p>
            <w:pPr>
              <w:ind w:left="50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1,702,387</w:t>
            </w:r>
          </w:p>
        </w:tc>
        <w:tc>
          <w:tcPr>
            <w:tcW w:w="2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1,453,762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927,542</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1,081,237</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15,754</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15,535</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Goodwill, Net</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1,288,622</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1,317,915</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Indefinite-Lived Intangible Assets, Net</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541,278</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539,728</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 Net</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39,588</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45,577</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1,245,505</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604,823</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Charges and Other Assets</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50,370</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46,492</w:t>
            </w:r>
          </w:p>
        </w:tc>
        <w:tc>
          <w:tcPr>
            <w:tcW w:w="0" w:type="dxa"/>
            <w:vAlign w:val="bottom"/>
          </w:tcPr>
          <w:p>
            <w:pPr>
              <w:spacing w:after="0"/>
              <w:rPr>
                <w:sz w:val="1"/>
                <w:szCs w:val="1"/>
                <w:color w:val="auto"/>
              </w:rPr>
            </w:pPr>
          </w:p>
        </w:tc>
      </w:tr>
      <w:tr>
        <w:trPr>
          <w:trHeight w:val="267"/>
        </w:trPr>
        <w:tc>
          <w:tcPr>
            <w:tcW w:w="9020" w:type="dxa"/>
            <w:vAlign w:val="bottom"/>
          </w:tcPr>
          <w:p>
            <w:pPr>
              <w:ind w:left="50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5,811,046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5,105,069</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0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505,699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486,396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58,411</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366,831</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395,837</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3,168</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243,327</w:t>
            </w:r>
          </w:p>
        </w:tc>
        <w:tc>
          <w:tcPr>
            <w:tcW w:w="0" w:type="dxa"/>
            <w:vAlign w:val="bottom"/>
          </w:tcPr>
          <w:p>
            <w:pPr>
              <w:spacing w:after="0"/>
              <w:rPr>
                <w:sz w:val="1"/>
                <w:szCs w:val="1"/>
                <w:color w:val="auto"/>
              </w:rPr>
            </w:pPr>
          </w:p>
        </w:tc>
      </w:tr>
      <w:tr>
        <w:trPr>
          <w:trHeight w:val="260"/>
        </w:trPr>
        <w:tc>
          <w:tcPr>
            <w:tcW w:w="9020" w:type="dxa"/>
            <w:vAlign w:val="bottom"/>
          </w:tcPr>
          <w:p>
            <w:pPr>
              <w:ind w:left="50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934,109</w:t>
            </w:r>
          </w:p>
        </w:tc>
        <w:tc>
          <w:tcPr>
            <w:tcW w:w="24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1,126,286</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Postretirement Benefits Other Than Pensions</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36,219</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59,949</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Accrued Compensation and Related Benefits</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211,526</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216,280</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86,000</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109,774</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Income Taxes</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778,735</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529,427</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Long-Term Debt</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447,608</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453,384</w:t>
            </w:r>
          </w:p>
        </w:tc>
        <w:tc>
          <w:tcPr>
            <w:tcW w:w="0" w:type="dxa"/>
            <w:vAlign w:val="bottom"/>
          </w:tcPr>
          <w:p>
            <w:pPr>
              <w:spacing w:after="0"/>
              <w:rPr>
                <w:sz w:val="1"/>
                <w:szCs w:val="1"/>
                <w:color w:val="auto"/>
              </w:rPr>
            </w:pPr>
          </w:p>
        </w:tc>
      </w:tr>
      <w:tr>
        <w:trPr>
          <w:trHeight w:val="261"/>
        </w:trPr>
        <w:tc>
          <w:tcPr>
            <w:tcW w:w="9020" w:type="dxa"/>
            <w:vAlign w:val="bottom"/>
          </w:tcPr>
          <w:p>
            <w:pPr>
              <w:ind w:left="50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2,494,197</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2,495,100</w:t>
            </w:r>
          </w:p>
        </w:tc>
        <w:tc>
          <w:tcPr>
            <w:tcW w:w="0" w:type="dxa"/>
            <w:vAlign w:val="bottom"/>
          </w:tcPr>
          <w:p>
            <w:pPr>
              <w:spacing w:after="0"/>
              <w:rPr>
                <w:sz w:val="1"/>
                <w:szCs w:val="1"/>
                <w:color w:val="auto"/>
              </w:rPr>
            </w:pP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(Notes 17 and 18)</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Redeemable Noncontrolling Interest</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5,896</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12,655</w:t>
            </w:r>
          </w:p>
        </w:tc>
        <w:tc>
          <w:tcPr>
            <w:tcW w:w="0" w:type="dxa"/>
            <w:vAlign w:val="bottom"/>
          </w:tcPr>
          <w:p>
            <w:pPr>
              <w:spacing w:after="0"/>
              <w:rPr>
                <w:sz w:val="1"/>
                <w:szCs w:val="1"/>
                <w:color w:val="auto"/>
              </w:rPr>
            </w:pPr>
          </w:p>
        </w:tc>
      </w:tr>
      <w:tr>
        <w:trPr>
          <w:trHeight w:val="206"/>
        </w:trPr>
        <w:tc>
          <w:tcPr>
            <w:tcW w:w="9020" w:type="dxa"/>
            <w:vAlign w:val="bottom"/>
          </w:tcPr>
          <w:p>
            <w:pPr>
              <w:ind w:left="520"/>
              <w:spacing w:after="0"/>
              <w:rPr>
                <w:sz w:val="20"/>
                <w:szCs w:val="20"/>
                <w:color w:val="auto"/>
              </w:rPr>
            </w:pPr>
            <w:r>
              <w:rPr>
                <w:rFonts w:ascii="Arial" w:cs="Arial" w:eastAsia="Arial" w:hAnsi="Arial"/>
                <w:sz w:val="16"/>
                <w:szCs w:val="16"/>
                <w:b w:val="1"/>
                <w:bCs w:val="1"/>
                <w:color w:val="auto"/>
              </w:rPr>
              <w:t>Redeemable Preferred Stock</w:t>
            </w:r>
            <w:r>
              <w:rPr>
                <w:rFonts w:ascii="Arial" w:cs="Arial" w:eastAsia="Arial" w:hAnsi="Arial"/>
                <w:sz w:val="16"/>
                <w:szCs w:val="16"/>
                <w:color w:val="auto"/>
              </w:rPr>
              <w:t>, Series A, $1 par value, with a redemption and liquidation value of $1,000 per share;</w:t>
            </w:r>
          </w:p>
        </w:tc>
        <w:tc>
          <w:tcPr>
            <w:tcW w:w="200" w:type="dxa"/>
            <w:vAlign w:val="bottom"/>
          </w:tcPr>
          <w:p>
            <w:pPr>
              <w:spacing w:after="0"/>
              <w:rPr>
                <w:sz w:val="17"/>
                <w:szCs w:val="17"/>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10,665</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520"/>
              <w:spacing w:after="0"/>
              <w:rPr>
                <w:sz w:val="20"/>
                <w:szCs w:val="20"/>
                <w:color w:val="auto"/>
              </w:rPr>
            </w:pPr>
            <w:r>
              <w:rPr>
                <w:rFonts w:ascii="Arial" w:cs="Arial" w:eastAsia="Arial" w:hAnsi="Arial"/>
                <w:sz w:val="16"/>
                <w:szCs w:val="16"/>
                <w:color w:val="auto"/>
              </w:rPr>
              <w:t>23,000 shares authorized; 10,665 and 11,096 shares issued and outstanding</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11,096</w:t>
            </w:r>
          </w:p>
        </w:tc>
        <w:tc>
          <w:tcPr>
            <w:tcW w:w="0" w:type="dxa"/>
            <w:vAlign w:val="bottom"/>
          </w:tcPr>
          <w:p>
            <w:pPr>
              <w:spacing w:after="0"/>
              <w:rPr>
                <w:sz w:val="1"/>
                <w:szCs w:val="1"/>
                <w:color w:val="auto"/>
              </w:rPr>
            </w:pPr>
          </w:p>
        </w:tc>
      </w:tr>
      <w:tr>
        <w:trPr>
          <w:trHeight w:val="26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 xml:space="preserve">Preferred Stock, </w:t>
            </w:r>
            <w:r>
              <w:rPr>
                <w:rFonts w:ascii="Arial" w:cs="Arial" w:eastAsia="Arial" w:hAnsi="Arial"/>
                <w:sz w:val="16"/>
                <w:szCs w:val="16"/>
                <w:color w:val="auto"/>
              </w:rPr>
              <w:t>$1 par value; 977,000 shares authorized, none issued</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Common Stockholders’ Equity</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9020" w:type="dxa"/>
            <w:vAlign w:val="bottom"/>
          </w:tcPr>
          <w:p>
            <w:pPr>
              <w:ind w:left="280"/>
              <w:spacing w:after="0"/>
              <w:rPr>
                <w:sz w:val="20"/>
                <w:szCs w:val="20"/>
                <w:color w:val="auto"/>
              </w:rPr>
            </w:pPr>
            <w:r>
              <w:rPr>
                <w:rFonts w:ascii="Arial" w:cs="Arial" w:eastAsia="Arial" w:hAnsi="Arial"/>
                <w:sz w:val="16"/>
                <w:szCs w:val="16"/>
                <w:color w:val="auto"/>
              </w:rPr>
              <w:t>Common stock</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9020" w:type="dxa"/>
            <w:vAlign w:val="bottom"/>
          </w:tcPr>
          <w:p>
            <w:pPr>
              <w:ind w:left="500"/>
              <w:spacing w:after="0"/>
              <w:rPr>
                <w:sz w:val="20"/>
                <w:szCs w:val="20"/>
                <w:color w:val="auto"/>
              </w:rPr>
            </w:pPr>
            <w:r>
              <w:rPr>
                <w:rFonts w:ascii="Arial" w:cs="Arial" w:eastAsia="Arial" w:hAnsi="Arial"/>
                <w:sz w:val="16"/>
                <w:szCs w:val="16"/>
                <w:color w:val="auto"/>
              </w:rPr>
              <w:t>Class A Common stock, $1 par value; 7,000,000 shares authorized; 1,169,073 and 1,219,383 shares issued and</w:t>
            </w:r>
          </w:p>
        </w:tc>
        <w:tc>
          <w:tcPr>
            <w:tcW w:w="200" w:type="dxa"/>
            <w:vAlign w:val="bottom"/>
          </w:tcPr>
          <w:p>
            <w:pPr>
              <w:spacing w:after="0"/>
              <w:rPr>
                <w:sz w:val="18"/>
                <w:szCs w:val="18"/>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1,169</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020" w:type="dxa"/>
            <w:vAlign w:val="bottom"/>
          </w:tcPr>
          <w:p>
            <w:pPr>
              <w:ind w:left="660"/>
              <w:spacing w:after="0"/>
              <w:rPr>
                <w:sz w:val="20"/>
                <w:szCs w:val="20"/>
                <w:color w:val="auto"/>
              </w:rPr>
            </w:pPr>
            <w:r>
              <w:rPr>
                <w:rFonts w:ascii="Arial" w:cs="Arial" w:eastAsia="Arial" w:hAnsi="Arial"/>
                <w:sz w:val="16"/>
                <w:szCs w:val="16"/>
                <w:color w:val="auto"/>
              </w:rPr>
              <w:t>outstanding</w:t>
            </w: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06"/>
        </w:trPr>
        <w:tc>
          <w:tcPr>
            <w:tcW w:w="9020" w:type="dxa"/>
            <w:vAlign w:val="bottom"/>
          </w:tcPr>
          <w:p>
            <w:pPr>
              <w:ind w:left="500"/>
              <w:spacing w:after="0"/>
              <w:rPr>
                <w:sz w:val="20"/>
                <w:szCs w:val="20"/>
                <w:color w:val="auto"/>
              </w:rPr>
            </w:pPr>
            <w:r>
              <w:rPr>
                <w:rFonts w:ascii="Arial" w:cs="Arial" w:eastAsia="Arial" w:hAnsi="Arial"/>
                <w:sz w:val="16"/>
                <w:szCs w:val="16"/>
                <w:color w:val="auto"/>
              </w:rPr>
              <w:t>Class B Common stock, $1 par value; 40,000,000 shares authorized; 18,830,927 and 18,780,617 shares issued;</w:t>
            </w:r>
          </w:p>
        </w:tc>
        <w:tc>
          <w:tcPr>
            <w:tcW w:w="200" w:type="dxa"/>
            <w:vAlign w:val="bottom"/>
          </w:tcPr>
          <w:p>
            <w:pPr>
              <w:spacing w:after="0"/>
              <w:rPr>
                <w:sz w:val="17"/>
                <w:szCs w:val="17"/>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18,831</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9020" w:type="dxa"/>
            <w:vAlign w:val="bottom"/>
          </w:tcPr>
          <w:p>
            <w:pPr>
              <w:ind w:left="660"/>
              <w:spacing w:after="0"/>
              <w:rPr>
                <w:sz w:val="20"/>
                <w:szCs w:val="20"/>
                <w:color w:val="auto"/>
              </w:rPr>
            </w:pPr>
            <w:r>
              <w:rPr>
                <w:rFonts w:ascii="Arial" w:cs="Arial" w:eastAsia="Arial" w:hAnsi="Arial"/>
                <w:sz w:val="16"/>
                <w:szCs w:val="16"/>
                <w:color w:val="auto"/>
              </w:rPr>
              <w:t>6,218,051 and 6,208,118 shares outstanding</w:t>
            </w: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18,781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Capital in excess of par value</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288,129</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240,746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4,782,777</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4,546,775</w:t>
            </w:r>
          </w:p>
        </w:tc>
        <w:tc>
          <w:tcPr>
            <w:tcW w:w="0" w:type="dxa"/>
            <w:vAlign w:val="bottom"/>
          </w:tcPr>
          <w:p>
            <w:pPr>
              <w:spacing w:after="0"/>
              <w:rPr>
                <w:sz w:val="1"/>
                <w:szCs w:val="1"/>
                <w:color w:val="auto"/>
              </w:rPr>
            </w:pPr>
          </w:p>
        </w:tc>
      </w:tr>
      <w:tr>
        <w:trPr>
          <w:trHeight w:val="262"/>
        </w:trPr>
        <w:tc>
          <w:tcPr>
            <w:tcW w:w="902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net of taxes</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9020" w:type="dxa"/>
            <w:vAlign w:val="bottom"/>
          </w:tcPr>
          <w:p>
            <w:pPr>
              <w:ind w:left="500"/>
              <w:spacing w:after="0"/>
              <w:rPr>
                <w:sz w:val="20"/>
                <w:szCs w:val="20"/>
                <w:color w:val="auto"/>
              </w:rPr>
            </w:pPr>
            <w:r>
              <w:rPr>
                <w:rFonts w:ascii="Arial" w:cs="Arial" w:eastAsia="Arial" w:hAnsi="Arial"/>
                <w:sz w:val="16"/>
                <w:szCs w:val="16"/>
                <w:color w:val="auto"/>
              </w:rPr>
              <w:t>Cumulative foreign currency translation adjustment</w:t>
            </w:r>
          </w:p>
        </w:tc>
        <w:tc>
          <w:tcPr>
            <w:tcW w:w="20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25,013</w:t>
            </w:r>
          </w:p>
        </w:tc>
        <w:tc>
          <w:tcPr>
            <w:tcW w:w="24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26,072</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Unrealized gain on available-for-sale securities</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173,663</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110,553</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Unrealized gain on pensions and other postretirement plans</w:t>
            </w:r>
          </w:p>
        </w:tc>
        <w:tc>
          <w:tcPr>
            <w:tcW w:w="200" w:type="dxa"/>
            <w:vAlign w:val="bottom"/>
          </w:tcPr>
          <w:p>
            <w:pPr>
              <w:spacing w:after="0"/>
              <w:rPr>
                <w:sz w:val="23"/>
                <w:szCs w:val="23"/>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501,446</w:t>
            </w:r>
          </w:p>
        </w:tc>
        <w:tc>
          <w:tcPr>
            <w:tcW w:w="24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117,169</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6"/>
                <w:szCs w:val="16"/>
                <w:color w:val="auto"/>
              </w:rPr>
              <w:t>Cash flow hedge</w:t>
            </w:r>
          </w:p>
        </w:tc>
        <w:tc>
          <w:tcPr>
            <w:tcW w:w="20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(628)</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6"/>
                <w:szCs w:val="16"/>
                <w:color w:val="auto"/>
              </w:rPr>
              <w:t>Cost of 12,612,876 and 12,572,499 shares of Class B common stock held in treasury</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(2,490,333)</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(2,474,347)</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b w:val="1"/>
                <w:bCs w:val="1"/>
                <w:color w:val="auto"/>
              </w:rPr>
              <w:t>Total Common Stockholders’ Equity</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3,300,067</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2,586,028</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221</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6"/>
                <w:szCs w:val="16"/>
                <w:b w:val="1"/>
                <w:bCs w:val="1"/>
                <w:color w:val="auto"/>
              </w:rPr>
              <w:t>Total Equity</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3,300,288</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2,586,218</w:t>
            </w:r>
          </w:p>
        </w:tc>
        <w:tc>
          <w:tcPr>
            <w:tcW w:w="0" w:type="dxa"/>
            <w:vAlign w:val="bottom"/>
          </w:tcPr>
          <w:p>
            <w:pPr>
              <w:spacing w:after="0"/>
              <w:rPr>
                <w:sz w:val="1"/>
                <w:szCs w:val="1"/>
                <w:color w:val="auto"/>
              </w:rPr>
            </w:pPr>
          </w:p>
        </w:tc>
      </w:tr>
    </w:tbl>
    <w:p>
      <w:pPr>
        <w:sectPr>
          <w:pgSz w:w="11900" w:h="16838" w:orient="portrait"/>
          <w:cols w:equalWidth="0" w:num="1">
            <w:col w:w="11420"/>
          </w:cols>
          <w:pgMar w:left="240" w:top="736" w:right="239" w:bottom="0" w:gutter="0" w:footer="0" w:header="0"/>
        </w:sectPr>
      </w:pPr>
    </w:p>
    <w:bookmarkStart w:id="62" w:name="page63"/>
    <w:bookmarkEnd w:id="62"/>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229"/>
        </w:trPr>
        <w:tc>
          <w:tcPr>
            <w:tcW w:w="8300" w:type="dxa"/>
            <w:vAlign w:val="bottom"/>
          </w:tcPr>
          <w:p>
            <w:pPr>
              <w:spacing w:after="0"/>
              <w:rPr>
                <w:sz w:val="20"/>
                <w:szCs w:val="20"/>
                <w:color w:val="auto"/>
              </w:rPr>
            </w:pPr>
            <w:r>
              <w:rPr>
                <w:rFonts w:ascii="Arial" w:cs="Arial" w:eastAsia="Arial" w:hAnsi="Arial"/>
                <w:sz w:val="16"/>
                <w:szCs w:val="16"/>
                <w:b w:val="1"/>
                <w:bCs w:val="1"/>
                <w:color w:val="auto"/>
              </w:rPr>
              <w:t>Total Liabilities and Equity</w:t>
            </w: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   5,811,046</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  5,105,069</w:t>
            </w:r>
          </w:p>
        </w:tc>
      </w:tr>
      <w:tr>
        <w:trPr>
          <w:trHeight w:val="35"/>
        </w:trPr>
        <w:tc>
          <w:tcPr>
            <w:tcW w:w="83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
        </w:trPr>
        <w:tc>
          <w:tcPr>
            <w:tcW w:w="8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9"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237,345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132,187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117,157</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251,262</w:t>
            </w:r>
          </w:p>
        </w:tc>
        <w:tc>
          <w:tcPr>
            <w:tcW w:w="32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269,992</w:t>
            </w:r>
          </w:p>
        </w:tc>
        <w:tc>
          <w:tcPr>
            <w:tcW w:w="36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255,975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13,598</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21,444</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30,333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Goodwill and other long-lived asset impairment charges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3,250</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111,593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11,923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Net pension expense (benefit)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1,927</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16,044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(4,726)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Early retirement program expense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22,700</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8,508</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Stock-based compensation expense, net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25,163</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14,662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11,789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Foreign exchange loss (gain)</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13,382</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(3,132)</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3,263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Net gain on sales and disposition of businesses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(157,449)</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(23,759)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(2,975)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Net loss on sales or write-downs of marketable equity securities and cost method investments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11,325</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10,925</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53,375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Equity in losses (earnings) of affiliates, including impairment charges, net of distributions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1,661</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(1,148)</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5,492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Provision (benefit) for deferred income taxes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11,595</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(64,383)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42,265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Net loss on sales of property, plant and equipment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4,746</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1,896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9,712</w:t>
            </w:r>
          </w:p>
        </w:tc>
        <w:tc>
          <w:tcPr>
            <w:tcW w:w="0" w:type="dxa"/>
            <w:vAlign w:val="bottom"/>
          </w:tcPr>
          <w:p>
            <w:pPr>
              <w:spacing w:after="0"/>
              <w:rPr>
                <w:sz w:val="1"/>
                <w:szCs w:val="1"/>
                <w:color w:val="auto"/>
              </w:rPr>
            </w:pPr>
          </w:p>
        </w:tc>
      </w:tr>
      <w:tr>
        <w:trPr>
          <w:trHeight w:val="262"/>
        </w:trPr>
        <w:tc>
          <w:tcPr>
            <w:tcW w:w="7780" w:type="dxa"/>
            <w:vAlign w:val="bottom"/>
          </w:tcPr>
          <w:p>
            <w:pPr>
              <w:ind w:left="280"/>
              <w:spacing w:after="0"/>
              <w:rPr>
                <w:sz w:val="20"/>
                <w:szCs w:val="20"/>
                <w:color w:val="auto"/>
              </w:rPr>
            </w:pPr>
            <w:r>
              <w:rPr>
                <w:rFonts w:ascii="Arial" w:cs="Arial" w:eastAsia="Arial" w:hAnsi="Arial"/>
                <w:sz w:val="16"/>
                <w:szCs w:val="16"/>
                <w:color w:val="auto"/>
              </w:rPr>
              <w:t>Change in assets and liabilities: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tcPr>
          <w:p>
            <w:pPr>
              <w:ind w:left="500"/>
              <w:spacing w:after="0"/>
              <w:rPr>
                <w:sz w:val="20"/>
                <w:szCs w:val="20"/>
                <w:color w:val="auto"/>
              </w:rPr>
            </w:pPr>
            <w:r>
              <w:rPr>
                <w:rFonts w:ascii="Arial" w:cs="Arial" w:eastAsia="Arial" w:hAnsi="Arial"/>
                <w:sz w:val="16"/>
                <w:szCs w:val="16"/>
                <w:color w:val="auto"/>
              </w:rPr>
              <w:t>(Increase) decrease in accounts receivable, net</w:t>
            </w:r>
          </w:p>
        </w:tc>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(81,989)</w:t>
            </w:r>
          </w:p>
        </w:tc>
        <w:tc>
          <w:tcPr>
            <w:tcW w:w="3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(14,846)</w:t>
            </w:r>
          </w:p>
        </w:tc>
        <w:tc>
          <w:tcPr>
            <w:tcW w:w="36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27,895</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Decrease (increase) in inventories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851</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(1,871)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(1,587)</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Increase (decrease) in 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37,926</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(34,224)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(126,771)</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(Decrease) increase in deferred revenue</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(3,434)</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24,482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(9,186)</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(Increase) in income taxes receivable and increase in income taxes payable</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(18,352)</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11,936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16,002</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Increase in 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(51,740)</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(5,367)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(49,537)</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4,097</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2,275</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2,258</w:t>
            </w:r>
          </w:p>
        </w:tc>
        <w:tc>
          <w:tcPr>
            <w:tcW w:w="0" w:type="dxa"/>
            <w:vAlign w:val="bottom"/>
          </w:tcPr>
          <w:p>
            <w:pPr>
              <w:spacing w:after="0"/>
              <w:rPr>
                <w:sz w:val="1"/>
                <w:szCs w:val="1"/>
                <w:color w:val="auto"/>
              </w:rPr>
            </w:pPr>
          </w:p>
        </w:tc>
      </w:tr>
      <w:tr>
        <w:trPr>
          <w:trHeight w:val="261"/>
        </w:trPr>
        <w:tc>
          <w:tcPr>
            <w:tcW w:w="778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327,864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477,214</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393,291</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Net proceeds from sales of businesses, property, plant and equipment and other assets</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248,105</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76,863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49,157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(224,093)</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(217,995)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(216,381)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Purchases of marketable equity securities and other investments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(28,073)</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(48,031)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(8,165)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(20,027)</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(40,339)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(83,699)</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(1,313)</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1,459</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261"/>
        </w:trPr>
        <w:tc>
          <w:tcPr>
            <w:tcW w:w="778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(25,401)</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(228,043)</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(260,728)</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(Repayment) issuance of short-term borrowing, net</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(240,121)</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130,450</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109,671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(4,196)</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(103,196)</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(248,055)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(863)</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(147,327)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(75,493)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Issuance of debt</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52,476</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1,750</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(1,772)</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(25,560)</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(243,430)</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(121,845)</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(186,961)</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(1,745)</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4,006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w:t>
            </w:r>
          </w:p>
        </w:tc>
        <w:tc>
          <w:tcPr>
            <w:tcW w:w="0" w:type="dxa"/>
            <w:vAlign w:val="bottom"/>
          </w:tcPr>
          <w:p>
            <w:pPr>
              <w:spacing w:after="0"/>
              <w:rPr>
                <w:sz w:val="1"/>
                <w:szCs w:val="1"/>
                <w:color w:val="auto"/>
              </w:rPr>
            </w:pP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6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57,288</w:t>
            </w:r>
          </w:p>
        </w:tc>
        <w:tc>
          <w:tcPr>
            <w:tcW w:w="32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131,332</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(56,641)</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512,431</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381,099</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437,740</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569,719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512,431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381,099</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780" w:type="dxa"/>
            <w:vAlign w:val="bottom"/>
          </w:tcPr>
          <w:p>
            <w:pPr>
              <w:ind w:left="280"/>
              <w:spacing w:after="0"/>
              <w:rPr>
                <w:sz w:val="20"/>
                <w:szCs w:val="20"/>
                <w:color w:val="auto"/>
              </w:rPr>
            </w:pPr>
            <w:r>
              <w:rPr>
                <w:rFonts w:ascii="Arial" w:cs="Arial" w:eastAsia="Arial" w:hAnsi="Arial"/>
                <w:sz w:val="16"/>
                <w:szCs w:val="16"/>
                <w:color w:val="auto"/>
              </w:rPr>
              <w:t>Cash paid during the year for:</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tcPr>
          <w:p>
            <w:pPr>
              <w:ind w:left="500"/>
              <w:spacing w:after="0"/>
              <w:rPr>
                <w:sz w:val="20"/>
                <w:szCs w:val="20"/>
                <w:color w:val="auto"/>
              </w:rPr>
            </w:pPr>
            <w:r>
              <w:rPr>
                <w:rFonts w:ascii="Arial" w:cs="Arial" w:eastAsia="Arial" w:hAnsi="Arial"/>
                <w:sz w:val="16"/>
                <w:szCs w:val="16"/>
                <w:color w:val="auto"/>
              </w:rPr>
              <w:t>Income taxes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144,500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50,531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38,500</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6"/>
                <w:szCs w:val="16"/>
                <w:color w:val="auto"/>
              </w:rPr>
              <w:t>Interest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35,500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35,500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32,650</w:t>
            </w: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36" w:right="239" w:bottom="754"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736" w:right="239" w:bottom="754"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1"/>
          <w:szCs w:val="11"/>
          <w:b w:val="1"/>
          <w:bCs w:val="1"/>
          <w:color w:val="auto"/>
        </w:rPr>
        <w:t>GRAHAM HOLDINGS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STATEMENTS OF CHANGES IN COMMON STOCKHOLDERS’ EQUITY</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6"/>
              </w:rPr>
              <w:t>Unrealized</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2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Cumulative</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Unrealized</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Gain (Loss)</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20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auto"/>
                <w:w w:val="99"/>
              </w:rPr>
              <w:t>Foreign</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Gain on</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on Pensions</w:t>
            </w: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2040" w:type="dxa"/>
            <w:vAlign w:val="bottom"/>
          </w:tcPr>
          <w:p>
            <w:pPr>
              <w:spacing w:after="0"/>
              <w:rPr>
                <w:sz w:val="10"/>
                <w:szCs w:val="10"/>
                <w:color w:val="auto"/>
              </w:rPr>
            </w:pPr>
          </w:p>
        </w:tc>
        <w:tc>
          <w:tcPr>
            <w:tcW w:w="1940" w:type="dxa"/>
            <w:vAlign w:val="bottom"/>
          </w:tcPr>
          <w:p>
            <w:pPr>
              <w:jc w:val="center"/>
              <w:ind w:left="1206"/>
              <w:spacing w:after="0" w:line="122" w:lineRule="exact"/>
              <w:rPr>
                <w:sz w:val="20"/>
                <w:szCs w:val="20"/>
                <w:color w:val="auto"/>
              </w:rPr>
            </w:pPr>
            <w:r>
              <w:rPr>
                <w:rFonts w:ascii="Arial" w:cs="Arial" w:eastAsia="Arial" w:hAnsi="Arial"/>
                <w:sz w:val="11"/>
                <w:szCs w:val="11"/>
                <w:b w:val="1"/>
                <w:bCs w:val="1"/>
                <w:color w:val="auto"/>
                <w:w w:val="99"/>
              </w:rPr>
              <w:t>Class A</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Class B</w:t>
            </w:r>
          </w:p>
        </w:tc>
        <w:tc>
          <w:tcPr>
            <w:tcW w:w="80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Capital in</w:t>
            </w:r>
          </w:p>
        </w:tc>
        <w:tc>
          <w:tcPr>
            <w:tcW w:w="780" w:type="dxa"/>
            <w:vAlign w:val="bottom"/>
          </w:tcPr>
          <w:p>
            <w:pPr>
              <w:spacing w:after="0"/>
              <w:rPr>
                <w:sz w:val="10"/>
                <w:szCs w:val="10"/>
                <w:color w:val="auto"/>
              </w:rPr>
            </w:pPr>
          </w:p>
        </w:tc>
        <w:tc>
          <w:tcPr>
            <w:tcW w:w="86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auto"/>
                <w:w w:val="99"/>
              </w:rPr>
              <w:t>Currency</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Available-</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and Other</w:t>
            </w:r>
          </w:p>
        </w:tc>
        <w:tc>
          <w:tcPr>
            <w:tcW w:w="6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rPr>
              <w:t>Cash</w:t>
            </w: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2040" w:type="dxa"/>
            <w:vAlign w:val="bottom"/>
          </w:tcPr>
          <w:p>
            <w:pPr>
              <w:spacing w:after="0"/>
              <w:rPr>
                <w:sz w:val="10"/>
                <w:szCs w:val="10"/>
                <w:color w:val="auto"/>
              </w:rPr>
            </w:pPr>
          </w:p>
        </w:tc>
        <w:tc>
          <w:tcPr>
            <w:tcW w:w="1940" w:type="dxa"/>
            <w:vAlign w:val="bottom"/>
          </w:tcPr>
          <w:p>
            <w:pPr>
              <w:jc w:val="center"/>
              <w:ind w:left="1206"/>
              <w:spacing w:after="0" w:line="122" w:lineRule="exact"/>
              <w:rPr>
                <w:sz w:val="20"/>
                <w:szCs w:val="20"/>
                <w:color w:val="auto"/>
              </w:rPr>
            </w:pPr>
            <w:r>
              <w:rPr>
                <w:rFonts w:ascii="Arial" w:cs="Arial" w:eastAsia="Arial" w:hAnsi="Arial"/>
                <w:sz w:val="11"/>
                <w:szCs w:val="11"/>
                <w:b w:val="1"/>
                <w:bCs w:val="1"/>
                <w:color w:val="auto"/>
              </w:rPr>
              <w:t>Common</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Common</w:t>
            </w:r>
          </w:p>
        </w:tc>
        <w:tc>
          <w:tcPr>
            <w:tcW w:w="80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Excess of</w:t>
            </w:r>
          </w:p>
        </w:tc>
        <w:tc>
          <w:tcPr>
            <w:tcW w:w="78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Retained</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Translation</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for-sale</w:t>
            </w:r>
          </w:p>
        </w:tc>
        <w:tc>
          <w:tcPr>
            <w:tcW w:w="10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Postretirement</w:t>
            </w:r>
          </w:p>
        </w:tc>
        <w:tc>
          <w:tcPr>
            <w:tcW w:w="6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5"/>
              </w:rPr>
              <w:t>Flow</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Treasury</w:t>
            </w:r>
          </w:p>
        </w:tc>
        <w:tc>
          <w:tcPr>
            <w:tcW w:w="940" w:type="dxa"/>
            <w:vAlign w:val="bottom"/>
          </w:tcPr>
          <w:p>
            <w:pPr>
              <w:jc w:val="center"/>
              <w:ind w:left="106"/>
              <w:spacing w:after="0" w:line="122" w:lineRule="exact"/>
              <w:rPr>
                <w:sz w:val="20"/>
                <w:szCs w:val="20"/>
                <w:color w:val="auto"/>
              </w:rPr>
            </w:pPr>
            <w:r>
              <w:rPr>
                <w:rFonts w:ascii="Arial" w:cs="Arial" w:eastAsia="Arial" w:hAnsi="Arial"/>
                <w:sz w:val="11"/>
                <w:szCs w:val="11"/>
                <w:b w:val="1"/>
                <w:bCs w:val="1"/>
                <w:color w:val="auto"/>
                <w:w w:val="99"/>
              </w:rPr>
              <w:t>Noncontrolling</w:t>
            </w:r>
          </w:p>
        </w:tc>
      </w:tr>
      <w:tr>
        <w:trPr>
          <w:trHeight w:val="152"/>
        </w:trPr>
        <w:tc>
          <w:tcPr>
            <w:tcW w:w="2040" w:type="dxa"/>
            <w:vAlign w:val="bottom"/>
          </w:tcPr>
          <w:p>
            <w:pPr>
              <w:spacing w:after="0"/>
              <w:rPr>
                <w:sz w:val="20"/>
                <w:szCs w:val="20"/>
                <w:color w:val="auto"/>
              </w:rPr>
            </w:pPr>
            <w:r>
              <w:rPr>
                <w:rFonts w:ascii="Arial" w:cs="Arial" w:eastAsia="Arial" w:hAnsi="Arial"/>
                <w:sz w:val="11"/>
                <w:szCs w:val="11"/>
                <w:color w:val="auto"/>
              </w:rPr>
              <w:t>(in thousands)</w:t>
            </w:r>
          </w:p>
        </w:tc>
        <w:tc>
          <w:tcPr>
            <w:tcW w:w="1940" w:type="dxa"/>
            <w:vAlign w:val="bottom"/>
          </w:tcPr>
          <w:p>
            <w:pPr>
              <w:jc w:val="center"/>
              <w:ind w:left="1206"/>
              <w:spacing w:after="0"/>
              <w:rPr>
                <w:sz w:val="20"/>
                <w:szCs w:val="20"/>
                <w:color w:val="auto"/>
              </w:rPr>
            </w:pPr>
            <w:r>
              <w:rPr>
                <w:rFonts w:ascii="Arial" w:cs="Arial" w:eastAsia="Arial" w:hAnsi="Arial"/>
                <w:sz w:val="11"/>
                <w:szCs w:val="11"/>
                <w:b w:val="1"/>
                <w:bCs w:val="1"/>
                <w:color w:val="auto"/>
                <w:w w:val="93"/>
              </w:rPr>
              <w:t>Stock</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9"/>
              </w:rPr>
              <w:t>Stock</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Par Value</w:t>
            </w: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Earnings</w:t>
            </w:r>
          </w:p>
        </w:tc>
        <w:tc>
          <w:tcPr>
            <w:tcW w:w="860" w:type="dxa"/>
            <w:vAlign w:val="bottom"/>
          </w:tcPr>
          <w:p>
            <w:pPr>
              <w:jc w:val="center"/>
              <w:ind w:left="6"/>
              <w:spacing w:after="0"/>
              <w:rPr>
                <w:sz w:val="20"/>
                <w:szCs w:val="20"/>
                <w:color w:val="auto"/>
              </w:rPr>
            </w:pPr>
            <w:r>
              <w:rPr>
                <w:rFonts w:ascii="Arial" w:cs="Arial" w:eastAsia="Arial" w:hAnsi="Arial"/>
                <w:sz w:val="11"/>
                <w:szCs w:val="11"/>
                <w:b w:val="1"/>
                <w:bCs w:val="1"/>
                <w:color w:val="auto"/>
                <w:w w:val="99"/>
              </w:rPr>
              <w:t>Adjustment</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8"/>
              </w:rPr>
              <w:t>Securities</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5"/>
              </w:rPr>
              <w:t>Plans</w:t>
            </w:r>
          </w:p>
        </w:tc>
        <w:tc>
          <w:tcPr>
            <w:tcW w:w="620" w:type="dxa"/>
            <w:vAlign w:val="bottom"/>
          </w:tcPr>
          <w:p>
            <w:pPr>
              <w:jc w:val="center"/>
              <w:ind w:right="6"/>
              <w:spacing w:after="0"/>
              <w:rPr>
                <w:sz w:val="20"/>
                <w:szCs w:val="20"/>
                <w:color w:val="auto"/>
              </w:rPr>
            </w:pPr>
            <w:r>
              <w:rPr>
                <w:rFonts w:ascii="Arial" w:cs="Arial" w:eastAsia="Arial" w:hAnsi="Arial"/>
                <w:sz w:val="11"/>
                <w:szCs w:val="11"/>
                <w:b w:val="1"/>
                <w:bCs w:val="1"/>
                <w:color w:val="auto"/>
                <w:w w:val="95"/>
              </w:rPr>
              <w:t>Hedge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3"/>
              </w:rPr>
              <w:t>Stock</w:t>
            </w:r>
          </w:p>
        </w:tc>
        <w:tc>
          <w:tcPr>
            <w:tcW w:w="940" w:type="dxa"/>
            <w:vAlign w:val="bottom"/>
          </w:tcPr>
          <w:p>
            <w:pPr>
              <w:jc w:val="center"/>
              <w:ind w:left="106"/>
              <w:spacing w:after="0"/>
              <w:rPr>
                <w:sz w:val="20"/>
                <w:szCs w:val="20"/>
                <w:color w:val="auto"/>
              </w:rPr>
            </w:pPr>
            <w:r>
              <w:rPr>
                <w:rFonts w:ascii="Arial" w:cs="Arial" w:eastAsia="Arial" w:hAnsi="Arial"/>
                <w:sz w:val="11"/>
                <w:szCs w:val="11"/>
                <w:b w:val="1"/>
                <w:bCs w:val="1"/>
                <w:color w:val="auto"/>
                <w:w w:val="95"/>
              </w:rPr>
              <w:t>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44" w:right="239" w:bottom="39" w:gutter="0" w:footer="0" w:header="0"/>
        </w:sectPr>
      </w:pPr>
    </w:p>
    <w:p>
      <w:pPr>
        <w:spacing w:after="0" w:line="3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January 2, 2011</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for the year</w:t>
      </w:r>
    </w:p>
    <w:p>
      <w:pPr>
        <w:spacing w:after="0" w:line="55" w:lineRule="exact"/>
        <w:rPr>
          <w:sz w:val="20"/>
          <w:szCs w:val="20"/>
          <w:color w:val="auto"/>
        </w:rPr>
      </w:pPr>
    </w:p>
    <w:p>
      <w:pPr>
        <w:ind w:left="200" w:right="300" w:hanging="161"/>
        <w:spacing w:after="0" w:line="250" w:lineRule="auto"/>
        <w:rPr>
          <w:sz w:val="20"/>
          <w:szCs w:val="20"/>
          <w:color w:val="auto"/>
        </w:rPr>
      </w:pPr>
      <w:r>
        <w:rPr>
          <w:rFonts w:ascii="Arial" w:cs="Arial" w:eastAsia="Arial" w:hAnsi="Arial"/>
          <w:sz w:val="14"/>
          <w:szCs w:val="14"/>
          <w:color w:val="auto"/>
        </w:rPr>
        <w:t>Net loss attributable to redeemable noncontrolling interest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Dividends paid on common stock</w:t>
      </w:r>
    </w:p>
    <w:p>
      <w:pPr>
        <w:spacing w:after="0" w:line="42" w:lineRule="exact"/>
        <w:rPr>
          <w:sz w:val="20"/>
          <w:szCs w:val="20"/>
          <w:color w:val="auto"/>
        </w:rPr>
      </w:pPr>
    </w:p>
    <w:p>
      <w:pPr>
        <w:ind w:left="40" w:right="500"/>
        <w:spacing w:after="0" w:line="301" w:lineRule="auto"/>
        <w:rPr>
          <w:sz w:val="20"/>
          <w:szCs w:val="20"/>
          <w:color w:val="auto"/>
        </w:rPr>
      </w:pPr>
      <w:r>
        <w:rPr>
          <w:rFonts w:ascii="Arial" w:cs="Arial" w:eastAsia="Arial" w:hAnsi="Arial"/>
          <w:sz w:val="14"/>
          <w:szCs w:val="14"/>
          <w:color w:val="auto"/>
        </w:rPr>
        <w:t>Dividends paid on redeemable preferred stock Repurchase of Class B common stock</w:t>
      </w:r>
    </w:p>
    <w:p>
      <w:pPr>
        <w:spacing w:after="0" w:line="1" w:lineRule="exact"/>
        <w:rPr>
          <w:sz w:val="20"/>
          <w:szCs w:val="20"/>
          <w:color w:val="auto"/>
        </w:rPr>
      </w:pPr>
    </w:p>
    <w:p>
      <w:pPr>
        <w:ind w:left="200" w:right="160" w:hanging="161"/>
        <w:spacing w:after="0" w:line="250"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16" w:lineRule="exact"/>
        <w:rPr>
          <w:sz w:val="20"/>
          <w:szCs w:val="20"/>
          <w:color w:val="auto"/>
        </w:rPr>
      </w:pPr>
    </w:p>
    <w:p>
      <w:pPr>
        <w:ind w:left="200" w:right="260" w:hanging="161"/>
        <w:spacing w:after="0" w:line="250"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16" w:lineRule="exact"/>
        <w:rPr>
          <w:sz w:val="20"/>
          <w:szCs w:val="20"/>
          <w:color w:val="auto"/>
        </w:rPr>
      </w:pPr>
    </w:p>
    <w:p>
      <w:pPr>
        <w:ind w:left="200" w:right="20" w:hanging="161"/>
        <w:spacing w:after="0" w:line="250" w:lineRule="auto"/>
        <w:rPr>
          <w:sz w:val="20"/>
          <w:szCs w:val="20"/>
          <w:color w:val="auto"/>
        </w:rPr>
      </w:pPr>
      <w:r>
        <w:rPr>
          <w:rFonts w:ascii="Arial" w:cs="Arial" w:eastAsia="Arial" w:hAnsi="Arial"/>
          <w:sz w:val="14"/>
          <w:szCs w:val="14"/>
          <w:color w:val="auto"/>
        </w:rPr>
        <w:t>Change in foreign currency translation adjustment (net of taxes)</w:t>
      </w:r>
    </w:p>
    <w:p>
      <w:pPr>
        <w:spacing w:after="0" w:line="16" w:lineRule="exact"/>
        <w:rPr>
          <w:sz w:val="20"/>
          <w:szCs w:val="20"/>
          <w:color w:val="auto"/>
        </w:rPr>
      </w:pPr>
    </w:p>
    <w:p>
      <w:pPr>
        <w:ind w:left="200" w:right="440" w:hanging="161"/>
        <w:spacing w:after="0" w:line="250" w:lineRule="auto"/>
        <w:rPr>
          <w:sz w:val="20"/>
          <w:szCs w:val="20"/>
          <w:color w:val="auto"/>
        </w:rPr>
      </w:pPr>
      <w:r>
        <w:rPr>
          <w:rFonts w:ascii="Arial" w:cs="Arial" w:eastAsia="Arial" w:hAnsi="Arial"/>
          <w:sz w:val="14"/>
          <w:szCs w:val="14"/>
          <w:color w:val="auto"/>
        </w:rPr>
        <w:t>Change in unrealized gain on available-for-sale securities (net of taxes)</w:t>
      </w:r>
    </w:p>
    <w:p>
      <w:pPr>
        <w:spacing w:after="0" w:line="16" w:lineRule="exact"/>
        <w:rPr>
          <w:sz w:val="20"/>
          <w:szCs w:val="20"/>
          <w:color w:val="auto"/>
        </w:rPr>
      </w:pPr>
    </w:p>
    <w:p>
      <w:pPr>
        <w:ind w:left="200" w:right="300" w:hanging="161"/>
        <w:spacing w:after="0" w:line="250" w:lineRule="auto"/>
        <w:rPr>
          <w:sz w:val="20"/>
          <w:szCs w:val="20"/>
          <w:color w:val="auto"/>
        </w:rPr>
      </w:pPr>
      <w:r>
        <w:rPr>
          <w:rFonts w:ascii="Arial" w:cs="Arial" w:eastAsia="Arial" w:hAnsi="Arial"/>
          <w:sz w:val="14"/>
          <w:szCs w:val="14"/>
          <w:color w:val="auto"/>
        </w:rPr>
        <w:t>Adjustment for pensions and other postretirement plans (net of taxes)</w:t>
      </w:r>
    </w:p>
    <w:p>
      <w:pPr>
        <w:spacing w:after="0" w:line="16" w:lineRule="exact"/>
        <w:rPr>
          <w:sz w:val="20"/>
          <w:szCs w:val="20"/>
          <w:color w:val="auto"/>
        </w:rPr>
      </w:pPr>
    </w:p>
    <w:p>
      <w:pPr>
        <w:ind w:left="200" w:right="360" w:hanging="161"/>
        <w:spacing w:after="0" w:line="250" w:lineRule="auto"/>
        <w:rPr>
          <w:sz w:val="20"/>
          <w:szCs w:val="20"/>
          <w:color w:val="auto"/>
        </w:rPr>
      </w:pPr>
      <w:r>
        <w:rPr>
          <w:rFonts w:ascii="Arial" w:cs="Arial" w:eastAsia="Arial" w:hAnsi="Arial"/>
          <w:sz w:val="14"/>
          <w:szCs w:val="14"/>
          <w:color w:val="auto"/>
        </w:rPr>
        <w:t>Conversion of Class A common stock to Class B common stock</w:t>
      </w:r>
    </w:p>
    <w:p>
      <w:pPr>
        <w:spacing w:after="0" w:line="16" w:lineRule="exact"/>
        <w:rPr>
          <w:sz w:val="20"/>
          <w:szCs w:val="20"/>
          <w:color w:val="auto"/>
        </w:rPr>
      </w:pPr>
    </w:p>
    <w:p>
      <w:pPr>
        <w:ind w:left="40" w:right="840"/>
        <w:spacing w:after="0" w:line="330" w:lineRule="auto"/>
        <w:rPr>
          <w:sz w:val="20"/>
          <w:szCs w:val="20"/>
          <w:color w:val="auto"/>
        </w:rPr>
      </w:pPr>
      <w:r>
        <w:rPr>
          <w:rFonts w:ascii="Arial" w:cs="Arial" w:eastAsia="Arial" w:hAnsi="Arial"/>
          <w:sz w:val="14"/>
          <w:szCs w:val="14"/>
          <w:color w:val="auto"/>
        </w:rPr>
        <w:t>Taxes arising from employee stock plans Cash flow hedge</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2011</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for the year</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Acquisitions and 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attributable to noncontrolling interests</w:t>
      </w:r>
    </w:p>
    <w:p>
      <w:pPr>
        <w:spacing w:after="0" w:line="55" w:lineRule="exact"/>
        <w:rPr>
          <w:sz w:val="20"/>
          <w:szCs w:val="20"/>
          <w:color w:val="auto"/>
        </w:rPr>
      </w:pPr>
    </w:p>
    <w:p>
      <w:pPr>
        <w:ind w:left="200" w:right="100" w:hanging="161"/>
        <w:spacing w:after="0" w:line="250" w:lineRule="auto"/>
        <w:rPr>
          <w:sz w:val="20"/>
          <w:szCs w:val="20"/>
          <w:color w:val="auto"/>
        </w:rPr>
      </w:pPr>
      <w:r>
        <w:rPr>
          <w:rFonts w:ascii="Arial" w:cs="Arial" w:eastAsia="Arial" w:hAnsi="Arial"/>
          <w:sz w:val="14"/>
          <w:szCs w:val="14"/>
          <w:color w:val="auto"/>
        </w:rPr>
        <w:t>Net income attributable to redeemable noncontrolling interests</w:t>
      </w:r>
    </w:p>
    <w:p>
      <w:pPr>
        <w:spacing w:after="0" w:line="16" w:lineRule="exact"/>
        <w:rPr>
          <w:sz w:val="20"/>
          <w:szCs w:val="20"/>
          <w:color w:val="auto"/>
        </w:rPr>
      </w:pPr>
    </w:p>
    <w:p>
      <w:pPr>
        <w:ind w:left="40" w:right="1020"/>
        <w:spacing w:after="0" w:line="411" w:lineRule="auto"/>
        <w:rPr>
          <w:sz w:val="20"/>
          <w:szCs w:val="20"/>
          <w:color w:val="auto"/>
        </w:rPr>
      </w:pPr>
      <w:r>
        <w:rPr>
          <w:rFonts w:ascii="Arial" w:cs="Arial" w:eastAsia="Arial" w:hAnsi="Arial"/>
          <w:sz w:val="12"/>
          <w:szCs w:val="12"/>
          <w:color w:val="auto"/>
        </w:rPr>
        <w:t>Distribution to noncontrolling interests Dividends paid on common stock</w:t>
      </w:r>
    </w:p>
    <w:p>
      <w:pPr>
        <w:ind w:left="40" w:right="500"/>
        <w:spacing w:after="0" w:line="301" w:lineRule="auto"/>
        <w:rPr>
          <w:sz w:val="20"/>
          <w:szCs w:val="20"/>
          <w:color w:val="auto"/>
        </w:rPr>
      </w:pPr>
      <w:r>
        <w:rPr>
          <w:rFonts w:ascii="Arial" w:cs="Arial" w:eastAsia="Arial" w:hAnsi="Arial"/>
          <w:sz w:val="14"/>
          <w:szCs w:val="14"/>
          <w:color w:val="auto"/>
        </w:rPr>
        <w:t>Dividends paid on redeemable preferred stock Repurchase of Class B common stock</w:t>
      </w:r>
    </w:p>
    <w:p>
      <w:pPr>
        <w:spacing w:after="0" w:line="1" w:lineRule="exact"/>
        <w:rPr>
          <w:sz w:val="20"/>
          <w:szCs w:val="20"/>
          <w:color w:val="auto"/>
        </w:rPr>
      </w:pPr>
    </w:p>
    <w:p>
      <w:pPr>
        <w:ind w:left="200" w:right="160" w:hanging="161"/>
        <w:spacing w:after="0" w:line="250" w:lineRule="auto"/>
        <w:rPr>
          <w:sz w:val="20"/>
          <w:szCs w:val="20"/>
          <w:color w:val="auto"/>
        </w:rPr>
      </w:pPr>
      <w:r>
        <w:rPr>
          <w:rFonts w:ascii="Arial" w:cs="Arial" w:eastAsia="Arial" w:hAnsi="Arial"/>
          <w:sz w:val="14"/>
          <w:szCs w:val="14"/>
          <w:color w:val="auto"/>
        </w:rPr>
        <w:t>Issuance of Class B common stock, net of restricted stock award forfeitures</w:t>
      </w:r>
    </w:p>
    <w:p>
      <w:pPr>
        <w:spacing w:after="0" w:line="16" w:lineRule="exact"/>
        <w:rPr>
          <w:sz w:val="20"/>
          <w:szCs w:val="20"/>
          <w:color w:val="auto"/>
        </w:rPr>
      </w:pPr>
    </w:p>
    <w:p>
      <w:pPr>
        <w:ind w:left="200" w:right="260" w:hanging="161"/>
        <w:spacing w:after="0" w:line="250" w:lineRule="auto"/>
        <w:rPr>
          <w:sz w:val="20"/>
          <w:szCs w:val="20"/>
          <w:color w:val="auto"/>
        </w:rPr>
      </w:pPr>
      <w:r>
        <w:rPr>
          <w:rFonts w:ascii="Arial" w:cs="Arial" w:eastAsia="Arial" w:hAnsi="Arial"/>
          <w:sz w:val="14"/>
          <w:szCs w:val="14"/>
          <w:color w:val="auto"/>
        </w:rPr>
        <w:t>Amortization of unearned stock compensation and stock option expense</w:t>
      </w:r>
    </w:p>
    <w:p>
      <w:pPr>
        <w:spacing w:after="0" w:line="16" w:lineRule="exact"/>
        <w:rPr>
          <w:sz w:val="20"/>
          <w:szCs w:val="20"/>
          <w:color w:val="auto"/>
        </w:rPr>
      </w:pPr>
    </w:p>
    <w:p>
      <w:pPr>
        <w:ind w:left="200" w:right="20" w:hanging="161"/>
        <w:spacing w:after="0" w:line="250" w:lineRule="auto"/>
        <w:rPr>
          <w:sz w:val="20"/>
          <w:szCs w:val="20"/>
          <w:color w:val="auto"/>
        </w:rPr>
      </w:pPr>
      <w:r>
        <w:rPr>
          <w:rFonts w:ascii="Arial" w:cs="Arial" w:eastAsia="Arial" w:hAnsi="Arial"/>
          <w:sz w:val="14"/>
          <w:szCs w:val="14"/>
          <w:color w:val="auto"/>
        </w:rPr>
        <w:t>Change in foreign currency translation adjustment (net of tax)</w:t>
      </w:r>
    </w:p>
    <w:p>
      <w:pPr>
        <w:spacing w:after="0" w:line="16" w:lineRule="exact"/>
        <w:rPr>
          <w:sz w:val="20"/>
          <w:szCs w:val="20"/>
          <w:color w:val="auto"/>
        </w:rPr>
      </w:pPr>
    </w:p>
    <w:p>
      <w:pPr>
        <w:ind w:left="200" w:right="440" w:hanging="161"/>
        <w:spacing w:after="0" w:line="250" w:lineRule="auto"/>
        <w:rPr>
          <w:sz w:val="20"/>
          <w:szCs w:val="20"/>
          <w:color w:val="auto"/>
        </w:rPr>
      </w:pPr>
      <w:r>
        <w:rPr>
          <w:rFonts w:ascii="Arial" w:cs="Arial" w:eastAsia="Arial" w:hAnsi="Arial"/>
          <w:sz w:val="14"/>
          <w:szCs w:val="14"/>
          <w:color w:val="auto"/>
        </w:rPr>
        <w:t>Change in unrealized gain on available-for-sale securities (net of taxes)</w:t>
      </w:r>
    </w:p>
    <w:p>
      <w:pPr>
        <w:spacing w:after="0" w:line="16" w:lineRule="exact"/>
        <w:rPr>
          <w:sz w:val="20"/>
          <w:szCs w:val="20"/>
          <w:color w:val="auto"/>
        </w:rPr>
      </w:pPr>
    </w:p>
    <w:p>
      <w:pPr>
        <w:ind w:left="200" w:right="300" w:hanging="161"/>
        <w:spacing w:after="0" w:line="250" w:lineRule="auto"/>
        <w:rPr>
          <w:sz w:val="20"/>
          <w:szCs w:val="20"/>
          <w:color w:val="auto"/>
        </w:rPr>
      </w:pPr>
      <w:r>
        <w:rPr>
          <w:rFonts w:ascii="Arial" w:cs="Arial" w:eastAsia="Arial" w:hAnsi="Arial"/>
          <w:sz w:val="14"/>
          <w:szCs w:val="14"/>
          <w:color w:val="auto"/>
        </w:rPr>
        <w:t>Adjustment for pensions and other postretirement plans (net of taxes)</w:t>
      </w:r>
    </w:p>
    <w:p>
      <w:pPr>
        <w:spacing w:after="0" w:line="16" w:lineRule="exact"/>
        <w:rPr>
          <w:sz w:val="20"/>
          <w:szCs w:val="20"/>
          <w:color w:val="auto"/>
        </w:rPr>
      </w:pPr>
    </w:p>
    <w:p>
      <w:pPr>
        <w:ind w:left="200" w:right="360" w:hanging="161"/>
        <w:spacing w:after="0" w:line="250" w:lineRule="auto"/>
        <w:rPr>
          <w:sz w:val="20"/>
          <w:szCs w:val="20"/>
          <w:color w:val="auto"/>
        </w:rPr>
      </w:pPr>
      <w:r>
        <w:rPr>
          <w:rFonts w:ascii="Arial" w:cs="Arial" w:eastAsia="Arial" w:hAnsi="Arial"/>
          <w:sz w:val="14"/>
          <w:szCs w:val="14"/>
          <w:color w:val="auto"/>
        </w:rPr>
        <w:t>Conversion of Class A common stock to Class B common stock</w:t>
      </w:r>
    </w:p>
    <w:p>
      <w:pPr>
        <w:spacing w:after="0" w:line="16" w:lineRule="exact"/>
        <w:rPr>
          <w:sz w:val="20"/>
          <w:szCs w:val="20"/>
          <w:color w:val="auto"/>
        </w:rPr>
      </w:pPr>
    </w:p>
    <w:p>
      <w:pPr>
        <w:ind w:left="40" w:right="840"/>
        <w:spacing w:after="0" w:line="310" w:lineRule="auto"/>
        <w:rPr>
          <w:sz w:val="20"/>
          <w:szCs w:val="20"/>
          <w:color w:val="auto"/>
        </w:rPr>
      </w:pPr>
      <w:r>
        <w:rPr>
          <w:rFonts w:ascii="Arial" w:cs="Arial" w:eastAsia="Arial" w:hAnsi="Arial"/>
          <w:sz w:val="14"/>
          <w:szCs w:val="14"/>
          <w:color w:val="auto"/>
        </w:rPr>
        <w:t>Taxes arising from employee stock plans Cash flow hedge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 of December 31, 2012</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for the year</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Acquisitions and 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Net income attributable to noncontrolling interests</w:t>
      </w:r>
    </w:p>
    <w:p>
      <w:pPr>
        <w:spacing w:after="0" w:line="78" w:lineRule="exact"/>
        <w:rPr>
          <w:sz w:val="20"/>
          <w:szCs w:val="20"/>
          <w:color w:val="auto"/>
        </w:rPr>
      </w:pPr>
    </w:p>
    <w:p>
      <w:pPr>
        <w:ind w:left="200" w:right="820" w:hanging="161"/>
        <w:spacing w:after="0" w:line="305" w:lineRule="auto"/>
        <w:rPr>
          <w:sz w:val="20"/>
          <w:szCs w:val="20"/>
          <w:color w:val="auto"/>
        </w:rPr>
      </w:pPr>
      <w:r>
        <w:rPr>
          <w:rFonts w:ascii="Arial" w:cs="Arial" w:eastAsia="Arial" w:hAnsi="Arial"/>
          <w:sz w:val="12"/>
          <w:szCs w:val="12"/>
          <w:b w:val="1"/>
          <w:bCs w:val="1"/>
          <w:color w:val="auto"/>
        </w:rPr>
        <w:t>Net income attributable to redeemable noncontrolling interests</w:t>
      </w:r>
    </w:p>
    <w:p>
      <w:pPr>
        <w:ind w:left="40"/>
        <w:spacing w:after="0"/>
        <w:rPr>
          <w:sz w:val="20"/>
          <w:szCs w:val="20"/>
          <w:color w:val="auto"/>
        </w:rPr>
      </w:pPr>
      <w:r>
        <w:rPr>
          <w:rFonts w:ascii="Arial" w:cs="Arial" w:eastAsia="Arial" w:hAnsi="Arial"/>
          <w:sz w:val="14"/>
          <w:szCs w:val="14"/>
          <w:b w:val="1"/>
          <w:bCs w:val="1"/>
          <w:color w:val="auto"/>
        </w:rPr>
        <w:t>Distribution to noncontrolling interests</w:t>
      </w:r>
    </w:p>
    <w:p>
      <w:pPr>
        <w:spacing w:after="0" w:line="109" w:lineRule="exact"/>
        <w:rPr>
          <w:sz w:val="20"/>
          <w:szCs w:val="20"/>
          <w:color w:val="auto"/>
        </w:rPr>
      </w:pPr>
    </w:p>
    <w:p>
      <w:pPr>
        <w:ind w:left="40" w:right="300"/>
        <w:spacing w:after="0" w:line="301" w:lineRule="auto"/>
        <w:rPr>
          <w:sz w:val="20"/>
          <w:szCs w:val="20"/>
          <w:color w:val="auto"/>
        </w:rPr>
      </w:pPr>
      <w:r>
        <w:rPr>
          <w:rFonts w:ascii="Arial" w:cs="Arial" w:eastAsia="Arial" w:hAnsi="Arial"/>
          <w:sz w:val="14"/>
          <w:szCs w:val="14"/>
          <w:b w:val="1"/>
          <w:bCs w:val="1"/>
          <w:color w:val="auto"/>
        </w:rPr>
        <w:t>Dividends paid on redeemable preferred stock Repurchase of Class B common stock</w:t>
      </w:r>
    </w:p>
    <w:p>
      <w:pPr>
        <w:spacing w:after="0" w:line="1" w:lineRule="exact"/>
        <w:rPr>
          <w:sz w:val="20"/>
          <w:szCs w:val="20"/>
          <w:color w:val="auto"/>
        </w:rPr>
      </w:pPr>
    </w:p>
    <w:p>
      <w:pPr>
        <w:ind w:left="200" w:right="560" w:hanging="161"/>
        <w:spacing w:after="0" w:line="261" w:lineRule="auto"/>
        <w:rPr>
          <w:sz w:val="20"/>
          <w:szCs w:val="20"/>
          <w:color w:val="auto"/>
        </w:rPr>
      </w:pPr>
      <w:r>
        <w:rPr>
          <w:rFonts w:ascii="Arial" w:cs="Arial" w:eastAsia="Arial" w:hAnsi="Arial"/>
          <w:sz w:val="14"/>
          <w:szCs w:val="14"/>
          <w:b w:val="1"/>
          <w:bCs w:val="1"/>
          <w:color w:val="auto"/>
        </w:rPr>
        <w:t>Issuance of Class B common stock, net of restricted stock award forfeitures</w:t>
      </w:r>
    </w:p>
    <w:p>
      <w:pPr>
        <w:spacing w:after="0" w:line="1" w:lineRule="exact"/>
        <w:rPr>
          <w:sz w:val="20"/>
          <w:szCs w:val="20"/>
          <w:color w:val="auto"/>
        </w:rPr>
      </w:pPr>
    </w:p>
    <w:p>
      <w:pPr>
        <w:ind w:left="200" w:hanging="161"/>
        <w:spacing w:after="0" w:line="261" w:lineRule="auto"/>
        <w:rPr>
          <w:sz w:val="20"/>
          <w:szCs w:val="20"/>
          <w:color w:val="auto"/>
        </w:rPr>
      </w:pPr>
      <w:r>
        <w:rPr>
          <w:rFonts w:ascii="Arial" w:cs="Arial" w:eastAsia="Arial" w:hAnsi="Arial"/>
          <w:sz w:val="14"/>
          <w:szCs w:val="14"/>
          <w:b w:val="1"/>
          <w:bCs w:val="1"/>
          <w:color w:val="auto"/>
        </w:rPr>
        <w:t>Amortization of unearned stock compensation and stock option expense</w:t>
      </w:r>
    </w:p>
    <w:p>
      <w:pPr>
        <w:spacing w:after="0" w:line="1" w:lineRule="exact"/>
        <w:rPr>
          <w:sz w:val="20"/>
          <w:szCs w:val="20"/>
          <w:color w:val="auto"/>
        </w:rPr>
      </w:pPr>
    </w:p>
    <w:p>
      <w:pPr>
        <w:ind w:left="200" w:right="20" w:hanging="161"/>
        <w:spacing w:after="0" w:line="261" w:lineRule="auto"/>
        <w:rPr>
          <w:sz w:val="20"/>
          <w:szCs w:val="20"/>
          <w:color w:val="auto"/>
        </w:rPr>
      </w:pPr>
      <w:r>
        <w:rPr>
          <w:rFonts w:ascii="Arial" w:cs="Arial" w:eastAsia="Arial" w:hAnsi="Arial"/>
          <w:sz w:val="14"/>
          <w:szCs w:val="14"/>
          <w:b w:val="1"/>
          <w:bCs w:val="1"/>
          <w:color w:val="auto"/>
        </w:rPr>
        <w:t>Change in foreign currency translation adjustment (net of tax)</w:t>
      </w:r>
    </w:p>
    <w:p>
      <w:pPr>
        <w:spacing w:after="0" w:line="1" w:lineRule="exact"/>
        <w:rPr>
          <w:sz w:val="20"/>
          <w:szCs w:val="20"/>
          <w:color w:val="auto"/>
        </w:rPr>
      </w:pPr>
    </w:p>
    <w:p>
      <w:pPr>
        <w:ind w:left="200" w:right="240" w:hanging="161"/>
        <w:spacing w:after="0" w:line="261" w:lineRule="auto"/>
        <w:rPr>
          <w:sz w:val="20"/>
          <w:szCs w:val="20"/>
          <w:color w:val="auto"/>
        </w:rPr>
      </w:pPr>
      <w:r>
        <w:rPr>
          <w:rFonts w:ascii="Arial" w:cs="Arial" w:eastAsia="Arial" w:hAnsi="Arial"/>
          <w:sz w:val="14"/>
          <w:szCs w:val="14"/>
          <w:b w:val="1"/>
          <w:bCs w:val="1"/>
          <w:color w:val="auto"/>
        </w:rPr>
        <w:t>Change in unrealized gain on available-for-sale securities (net of taxes)</w:t>
      </w:r>
    </w:p>
    <w:p>
      <w:pPr>
        <w:spacing w:after="0" w:line="1" w:lineRule="exact"/>
        <w:rPr>
          <w:sz w:val="20"/>
          <w:szCs w:val="20"/>
          <w:color w:val="auto"/>
        </w:rPr>
      </w:pPr>
    </w:p>
    <w:p>
      <w:pPr>
        <w:ind w:left="200" w:right="40" w:hanging="161"/>
        <w:spacing w:after="0" w:line="261" w:lineRule="auto"/>
        <w:rPr>
          <w:sz w:val="20"/>
          <w:szCs w:val="20"/>
          <w:color w:val="auto"/>
        </w:rPr>
      </w:pPr>
      <w:r>
        <w:rPr>
          <w:rFonts w:ascii="Arial" w:cs="Arial" w:eastAsia="Arial" w:hAnsi="Arial"/>
          <w:sz w:val="14"/>
          <w:szCs w:val="14"/>
          <w:b w:val="1"/>
          <w:bCs w:val="1"/>
          <w:color w:val="auto"/>
        </w:rPr>
        <w:t>Adjustment for pensions and other postretirement plans (net of taxes)</w:t>
      </w:r>
    </w:p>
    <w:p>
      <w:pPr>
        <w:spacing w:after="0" w:line="1" w:lineRule="exact"/>
        <w:rPr>
          <w:sz w:val="20"/>
          <w:szCs w:val="20"/>
          <w:color w:val="auto"/>
        </w:rPr>
      </w:pPr>
    </w:p>
    <w:p>
      <w:pPr>
        <w:ind w:left="200" w:right="140" w:hanging="161"/>
        <w:spacing w:after="0" w:line="261" w:lineRule="auto"/>
        <w:rPr>
          <w:sz w:val="20"/>
          <w:szCs w:val="20"/>
          <w:color w:val="auto"/>
        </w:rPr>
      </w:pPr>
      <w:r>
        <w:rPr>
          <w:rFonts w:ascii="Arial" w:cs="Arial" w:eastAsia="Arial" w:hAnsi="Arial"/>
          <w:sz w:val="14"/>
          <w:szCs w:val="14"/>
          <w:b w:val="1"/>
          <w:bCs w:val="1"/>
          <w:color w:val="auto"/>
        </w:rPr>
        <w:t>Conversion of Class A common stock to Class B common stock</w:t>
      </w:r>
    </w:p>
    <w:p>
      <w:pPr>
        <w:spacing w:after="0" w:line="1" w:lineRule="exact"/>
        <w:rPr>
          <w:sz w:val="20"/>
          <w:szCs w:val="20"/>
          <w:color w:val="auto"/>
        </w:rPr>
      </w:pPr>
    </w:p>
    <w:p>
      <w:pPr>
        <w:ind w:left="40" w:right="640"/>
        <w:spacing w:after="0" w:line="322" w:lineRule="auto"/>
        <w:rPr>
          <w:sz w:val="20"/>
          <w:szCs w:val="20"/>
          <w:color w:val="auto"/>
        </w:rPr>
      </w:pPr>
      <w:r>
        <w:rPr>
          <w:rFonts w:ascii="Arial" w:cs="Arial" w:eastAsia="Arial" w:hAnsi="Arial"/>
          <w:sz w:val="14"/>
          <w:szCs w:val="14"/>
          <w:b w:val="1"/>
          <w:bCs w:val="1"/>
          <w:color w:val="auto"/>
        </w:rPr>
        <w:t>Taxes arising from employee stock plans Cash flow hedge</w:t>
      </w:r>
    </w:p>
    <w:p>
      <w:pPr>
        <w:ind w:left="40"/>
        <w:spacing w:after="0"/>
        <w:rPr>
          <w:sz w:val="20"/>
          <w:szCs w:val="20"/>
          <w:color w:val="auto"/>
        </w:rPr>
      </w:pPr>
      <w:r>
        <w:rPr>
          <w:rFonts w:ascii="Arial" w:cs="Arial" w:eastAsia="Arial" w:hAnsi="Arial"/>
          <w:sz w:val="14"/>
          <w:szCs w:val="14"/>
          <w:b w:val="1"/>
          <w:bCs w:val="1"/>
          <w:color w:val="auto"/>
        </w:rPr>
        <w:t>As of December 31, 2013</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1,241</w:t>
            </w:r>
          </w:p>
        </w:tc>
        <w:tc>
          <w:tcPr>
            <w:tcW w:w="680" w:type="dxa"/>
            <w:vAlign w:val="bottom"/>
          </w:tcPr>
          <w:p>
            <w:pPr>
              <w:jc w:val="right"/>
              <w:spacing w:after="0"/>
              <w:rPr>
                <w:sz w:val="20"/>
                <w:szCs w:val="20"/>
                <w:color w:val="auto"/>
              </w:rPr>
            </w:pPr>
            <w:r>
              <w:rPr>
                <w:rFonts w:ascii="Arial" w:cs="Arial" w:eastAsia="Arial" w:hAnsi="Arial"/>
                <w:sz w:val="14"/>
                <w:szCs w:val="14"/>
                <w:color w:val="auto"/>
              </w:rPr>
              <w:t>$ 18,759</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$ 249,719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
              <w:spacing w:after="0"/>
              <w:rPr>
                <w:sz w:val="20"/>
                <w:szCs w:val="20"/>
                <w:color w:val="auto"/>
              </w:rPr>
            </w:pPr>
            <w:r>
              <w:rPr>
                <w:rFonts w:ascii="Arial" w:cs="Arial" w:eastAsia="Arial" w:hAnsi="Arial"/>
                <w:sz w:val="14"/>
                <w:szCs w:val="14"/>
                <w:color w:val="auto"/>
                <w:w w:val="99"/>
              </w:rPr>
              <w:t>4,520,332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37,606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70,707</w:t>
            </w:r>
          </w:p>
        </w:tc>
        <w:tc>
          <w:tcPr>
            <w:tcW w:w="3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73,826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w w:val="98"/>
              </w:rPr>
              <w:t>$ (2,157,826)</w:t>
            </w:r>
          </w:p>
        </w:tc>
        <w:tc>
          <w:tcPr>
            <w:tcW w:w="40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117,157</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(74,576)</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(917)</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(248,055)</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(8,040)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7,692</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11,789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(16,268)</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9,651</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(10,201)</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(12)</w:t>
            </w: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(701)</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76"/>
        </w:trPr>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w:t>
            </w:r>
          </w:p>
        </w:tc>
        <w:tc>
          <w:tcPr>
            <w:tcW w:w="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1,229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18,771</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252,767</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9"/>
              </w:rPr>
              <w:t>4,561,989</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21,338</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80,358</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63,625</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(2,398,189)</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r>
      <w:tr>
        <w:trPr>
          <w:trHeight w:val="204"/>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132,187</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191</w:t>
            </w: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51</w:t>
            </w: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(146,432)</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(895)</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(103,196)</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(27,423)</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27,038</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14,662</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4,734</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30,195</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53,544</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w:t>
            </w: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740</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9"/>
        </w:trPr>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(948)</w:t>
            </w: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210"/>
        </w:trPr>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1,219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18,781</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240,746</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99"/>
              </w:rPr>
              <w:t>4,546,775</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26,072</w:t>
            </w: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110,553</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117,169</w:t>
            </w: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(2,474,347)</w:t>
            </w: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190</w:t>
            </w:r>
          </w:p>
        </w:tc>
      </w:tr>
      <w:tr>
        <w:trPr>
          <w:trHeight w:val="212"/>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rPr>
              <w:t>237,345</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3,932</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(479)</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b w:val="1"/>
                <w:bCs w:val="1"/>
                <w:color w:val="auto"/>
              </w:rPr>
              <w:t>479</w:t>
            </w: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0"/>
        </w:trPr>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(448)</w:t>
            </w: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(863)</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(17,709)</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(4,271)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b w:val="1"/>
                <w:bCs w:val="1"/>
                <w:color w:val="auto"/>
              </w:rPr>
              <w:t>1,723</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46,908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(1,059)</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63,110</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b w:val="1"/>
                <w:bCs w:val="1"/>
                <w:color w:val="auto"/>
              </w:rPr>
              <w:t>384,277</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b w:val="1"/>
                <w:bCs w:val="1"/>
                <w:color w:val="auto"/>
              </w:rPr>
              <w:t>814</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8"/>
        </w:trPr>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312</w:t>
            </w: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21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1,169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$ 18,831</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$ 288,129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9"/>
              </w:rPr>
              <w:t>4,782,777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25,013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173,663</w:t>
            </w:r>
          </w:p>
        </w:tc>
        <w:tc>
          <w:tcPr>
            <w:tcW w:w="3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501,446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 (2,490,333)</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221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ectPr>
          <w:pgSz w:w="11900" w:h="16838" w:orient="portrait"/>
          <w:cols w:equalWidth="0" w:num="2">
            <w:col w:w="3300" w:space="40"/>
            <w:col w:w="8080"/>
          </w:cols>
          <w:pgMar w:left="240" w:top="744" w:right="239" w:bottom="39"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44" w:right="239" w:bottom="39" w:gutter="0" w:footer="0" w:header="0"/>
          <w:type w:val="continuous"/>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744" w:right="239" w:bottom="39"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4"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4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Graham Holdings Company (the Company), formerly The Washington Post Company, is a diversified education and media company. The Company’s Kaplan subsidiary provides a wide variety of educational services, both domestically and outside the United States. The Company’s media operations comprise the ownership and operation of cable systems and television broadcasting (through the ownership and operation of six television broadcast stations).</w:t>
      </w:r>
    </w:p>
    <w:p>
      <w:pPr>
        <w:spacing w:after="0" w:line="11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On October 1, 2013, the Company completed the sale of most of its newspaper publishing businesses, including The Washington Post. The operating results of these businesses have been presented in income (loss) from discontinued operations, net of tax, for all periods presented.</w:t>
      </w:r>
    </w:p>
    <w:p>
      <w:pPr>
        <w:spacing w:after="0" w:line="9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—Kaplan, Inc. provides an extensive range of educational services for students and professionals. Kaplan’s various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 three categories: Higher Education, Test Preparation and Kaplan International.</w:t>
      </w:r>
    </w:p>
    <w:p>
      <w:pPr>
        <w:spacing w:after="0" w:line="87"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—The Company’s diversified media operations comprise cable operations, television broadcasting, and several websites and print</w:t>
      </w:r>
      <w:r>
        <w:rPr>
          <w:rFonts w:ascii="Arial" w:cs="Arial" w:eastAsia="Arial" w:hAnsi="Arial"/>
          <w:sz w:val="18"/>
          <w:szCs w:val="18"/>
          <w:b w:val="1"/>
          <w:bCs w:val="1"/>
          <w:color w:val="auto"/>
        </w:rPr>
        <w:t xml:space="preserve"> </w:t>
      </w:r>
      <w:r>
        <w:rPr>
          <w:rFonts w:ascii="Arial" w:cs="Arial" w:eastAsia="Arial" w:hAnsi="Arial"/>
          <w:sz w:val="18"/>
          <w:szCs w:val="18"/>
          <w:color w:val="auto"/>
        </w:rPr>
        <w:t>publications.</w:t>
      </w:r>
    </w:p>
    <w:p>
      <w:pPr>
        <w:spacing w:after="0" w:line="8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i w:val="1"/>
          <w:iCs w:val="1"/>
          <w:color w:val="auto"/>
        </w:rPr>
        <w:t>Cable</w:t>
      </w:r>
      <w:r>
        <w:rPr>
          <w:rFonts w:ascii="Arial" w:cs="Arial" w:eastAsia="Arial" w:hAnsi="Arial"/>
          <w:sz w:val="18"/>
          <w:szCs w:val="18"/>
          <w:color w:val="auto"/>
        </w:rPr>
        <w:t>. Cable ONE provides cable services that include video, high-speed data and telephone service in the midwestern, western and southern</w:t>
      </w:r>
      <w:r>
        <w:rPr>
          <w:rFonts w:ascii="Arial" w:cs="Arial" w:eastAsia="Arial" w:hAnsi="Arial"/>
          <w:sz w:val="18"/>
          <w:szCs w:val="18"/>
          <w:i w:val="1"/>
          <w:iCs w:val="1"/>
          <w:color w:val="auto"/>
        </w:rPr>
        <w:t xml:space="preserve"> </w:t>
      </w:r>
      <w:r>
        <w:rPr>
          <w:rFonts w:ascii="Arial" w:cs="Arial" w:eastAsia="Arial" w:hAnsi="Arial"/>
          <w:sz w:val="18"/>
          <w:szCs w:val="18"/>
          <w:color w:val="auto"/>
        </w:rPr>
        <w:t>states of the United States.</w:t>
      </w:r>
    </w:p>
    <w:p>
      <w:pPr>
        <w:spacing w:after="0" w:line="92" w:lineRule="exact"/>
        <w:rPr>
          <w:sz w:val="20"/>
          <w:szCs w:val="20"/>
          <w:color w:val="auto"/>
        </w:rPr>
      </w:pPr>
    </w:p>
    <w:p>
      <w:pPr>
        <w:ind w:right="200"/>
        <w:spacing w:after="0"/>
        <w:rPr>
          <w:sz w:val="20"/>
          <w:szCs w:val="20"/>
          <w:color w:val="auto"/>
        </w:rPr>
      </w:pPr>
      <w:r>
        <w:rPr>
          <w:rFonts w:ascii="Arial" w:cs="Arial" w:eastAsia="Arial" w:hAnsi="Arial"/>
          <w:sz w:val="18"/>
          <w:szCs w:val="18"/>
          <w:i w:val="1"/>
          <w:iCs w:val="1"/>
          <w:color w:val="auto"/>
        </w:rPr>
        <w:t xml:space="preserve">Television broadcasting. </w:t>
      </w:r>
      <w:r>
        <w:rPr>
          <w:rFonts w:ascii="Arial" w:cs="Arial" w:eastAsia="Arial" w:hAnsi="Arial"/>
          <w:sz w:val="18"/>
          <w:szCs w:val="18"/>
          <w:color w:val="auto"/>
        </w:rPr>
        <w:t>The Company owns six VHF television stations located in Houston, TX; Detroit, MI; Miami, FL; Orlando, FL; San</w:t>
      </w:r>
      <w:r>
        <w:rPr>
          <w:rFonts w:ascii="Arial" w:cs="Arial" w:eastAsia="Arial" w:hAnsi="Arial"/>
          <w:sz w:val="18"/>
          <w:szCs w:val="18"/>
          <w:i w:val="1"/>
          <w:iCs w:val="1"/>
          <w:color w:val="auto"/>
        </w:rPr>
        <w:t xml:space="preserve"> </w:t>
      </w:r>
      <w:r>
        <w:rPr>
          <w:rFonts w:ascii="Arial" w:cs="Arial" w:eastAsia="Arial" w:hAnsi="Arial"/>
          <w:sz w:val="18"/>
          <w:szCs w:val="18"/>
          <w:color w:val="auto"/>
        </w:rPr>
        <w:t>Antonio, TX; and Jacksonville, FL. Other than the Company’s Jacksonville station, WJXT, the Company’s television stations are affiliated with one of the major national networks.</w:t>
      </w:r>
    </w:p>
    <w:p>
      <w:pPr>
        <w:spacing w:after="0" w:line="106"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The accompanying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generally accepted accounting principles (GAAP) in the United States and include the assets, liabilities, results of operations and cash flows of the Company and its majority-owned and controlled subsidiaries. All significant intercompany accounts and transactions have been eliminated in consolidation.</w:t>
      </w:r>
    </w:p>
    <w:p>
      <w:pPr>
        <w:spacing w:after="0" w:line="10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amounts in previously issued financial statements have been reclassified to conform with the 2013 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includes the reclassification of the results of operations of certain businesses as discontinued operations for all periods presented.</w:t>
      </w:r>
    </w:p>
    <w:p>
      <w:pPr>
        <w:spacing w:after="0" w:line="87"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 judgments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affect the amounts reported in the financial 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107" w:lineRule="exact"/>
        <w:rPr>
          <w:sz w:val="20"/>
          <w:szCs w:val="20"/>
          <w:color w:val="auto"/>
        </w:rPr>
      </w:pPr>
    </w:p>
    <w:p>
      <w:pPr>
        <w:ind w:right="240"/>
        <w:spacing w:after="0" w:line="232"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purchase price of an acquisition is allocated to the assets acquired, including intangible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based on their respective fair values at the acquisition date.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10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short-term investments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and investments in money market funds with weighted average maturities of three months or less.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represents amounts held for students that were received from U.S. Federal and state governments under</w:t>
      </w:r>
    </w:p>
    <w:p>
      <w:pPr>
        <w:spacing w:after="0" w:line="226" w:lineRule="auto"/>
        <w:rPr>
          <w:sz w:val="20"/>
          <w:szCs w:val="20"/>
          <w:color w:val="auto"/>
        </w:rPr>
      </w:pPr>
      <w:r>
        <w:rPr>
          <w:rFonts w:ascii="Arial" w:cs="Arial" w:eastAsia="Arial" w:hAnsi="Arial"/>
          <w:sz w:val="18"/>
          <w:szCs w:val="18"/>
          <w:color w:val="auto"/>
        </w:rPr>
        <w:t>various aid grant and loan programs, such as Title IV of the U.S. Federal Higher Education Act of 1965 (Higher Education Act), as amended,</w:t>
      </w:r>
    </w:p>
    <w:p>
      <w:pPr>
        <w:spacing w:after="0" w:line="219" w:lineRule="auto"/>
        <w:rPr>
          <w:sz w:val="20"/>
          <w:szCs w:val="20"/>
          <w:color w:val="auto"/>
        </w:rPr>
      </w:pPr>
      <w:r>
        <w:rPr>
          <w:rFonts w:ascii="Arial" w:cs="Arial" w:eastAsia="Arial" w:hAnsi="Arial"/>
          <w:sz w:val="18"/>
          <w:szCs w:val="18"/>
          <w:color w:val="auto"/>
        </w:rPr>
        <w:t>that the Company is required to maintain pursuant to U.S. Department of Education (ED) and other regulations. Restricted cash also includes</w:t>
      </w:r>
    </w:p>
    <w:p>
      <w:pPr>
        <w:ind w:right="60" w:firstLine="8"/>
        <w:spacing w:after="0" w:line="237" w:lineRule="auto"/>
        <w:tabs>
          <w:tab w:leader="none" w:pos="21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funds that the Company may be required to return if a student who receives Title IV program funds withdraws from a program and (ii) funds required to be held by non-U.S. higher education institutions for prepaid tuition.</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36" w:right="239" w:bottom="1440" w:gutter="0" w:footer="0" w:header="0"/>
        </w:sectPr>
      </w:pPr>
    </w:p>
    <w:bookmarkStart w:id="66" w:name="page67"/>
    <w:bookmarkEnd w:id="66"/>
    <w:p>
      <w:pPr>
        <w:ind w:right="160"/>
        <w:spacing w:after="0" w:line="232"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Cash and cash equivalents are maintained with several financial institutions domestically and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held with banks may exceed the amount of insurance provided on such deposits. Generally, these deposits may be redeemed upon demand and are maintained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trade accounts receivable.</w:t>
      </w:r>
    </w:p>
    <w:p>
      <w:pPr>
        <w:spacing w:after="0" w:line="107" w:lineRule="exact"/>
        <w:rPr>
          <w:sz w:val="20"/>
          <w:szCs w:val="20"/>
          <w:color w:val="auto"/>
        </w:rPr>
      </w:pPr>
    </w:p>
    <w:p>
      <w:pPr>
        <w:ind w:right="400"/>
        <w:spacing w:after="0" w:line="241"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Accounts receivable have been reduced by an allowance for amounts that may be uncollectible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This estimated allowance is based primarily on the aging category, historical trends and management’s evaluation of the financial condition of the customer.</w:t>
      </w:r>
    </w:p>
    <w:p>
      <w:pPr>
        <w:spacing w:after="0" w:line="106"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The Company’s investments in marketable equity securities are classified as available-for-sale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therefore, are recorded at fair value in the Consolidated Financial Statements, with the change in fair value during the period excluded from earnings and recorded net of income taxes as a separate component of other comprehensive income. If the fair value of a marketable equity security declines below its cost basis and the decline is considered other than temporary, the Company will record a write-down, which is included in earnings. The Company uses the average cost method to determine the basis of the securities sold or reclassified out of other comprehensive income.</w:t>
      </w:r>
    </w:p>
    <w:p>
      <w:pPr>
        <w:spacing w:after="0" w:line="106"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Fair value measurements are determined based on the assumptions that a market participant would use in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11"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 measures certain assets—including goodwill; intangible assets; property, plant and equipment; cost and equity-method investments—at fair value on a nonrecurring basis when they are deemed to be impaired. The fair value of these assets is determined with valuation techniques using the best information available and may include quoted market prices, market comparables and discounted cash flow models.</w:t>
      </w:r>
    </w:p>
    <w:p>
      <w:pPr>
        <w:spacing w:after="0" w:line="109"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amounts reported in the Company’s Consolidated Financial Statements for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restricted cash, accounts receivable, accounts payable and 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 The fair value of the interest rate hedge is determined based on a number of observable inputs, including time to maturity and market interest rates.</w:t>
      </w:r>
    </w:p>
    <w:p>
      <w:pPr>
        <w:spacing w:after="0" w:line="106"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realizable values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first-in, first-out (FIFO) method.</w:t>
      </w:r>
    </w:p>
    <w:p>
      <w:pPr>
        <w:spacing w:after="0" w:line="87"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recorded at cost and includes interest capitalized in connection with major</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construction projects. Replacements and major improvements are capitalized; maintenance and repairs are expensed as incurred. Depreciation is calculated using the straight-line method over the estimated useful lives of the property, plant and equipment: 3 to 20 years for machinery and equipment; 20 to 50 years for buildings. The costs of leasehold improvements are amortized over the lesser of their useful lives or the terms of the respective leases.</w:t>
      </w:r>
    </w:p>
    <w:p>
      <w:pPr>
        <w:spacing w:after="0" w:line="10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cable division capitalizes costs associated with the construction of cable transmission and distribution facilities and new cable service installations. Costs include all direct labor and materials, as well as certain indirect costs. The cost of subsequent disconnects and reconnects are expensed as they are incurred.</w:t>
      </w:r>
    </w:p>
    <w:p>
      <w:pPr>
        <w:spacing w:after="0" w:line="10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color w:val="auto"/>
        </w:rPr>
        <w:t xml:space="preserve">Evaluation of Long-Lived Assets. </w:t>
      </w:r>
      <w:r>
        <w:rPr>
          <w:rFonts w:ascii="Arial" w:cs="Arial" w:eastAsia="Arial" w:hAnsi="Arial"/>
          <w:sz w:val="18"/>
          <w:szCs w:val="18"/>
          <w:color w:val="auto"/>
        </w:rPr>
        <w:t>The recoverability of long-lived assets and finite-lived intangible assets is assessed whenever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recorded values may not be recoverable. A long-lived asset is considered to not be recoverable when the undiscounted estimated future cash flows are less than the asset’s recorded value. An impairment charge is measured based on estimated fair market value, determined primarily using estimated future cash flows on a discounted basis. Losses on long-lived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722"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assets to be disposed of are determined in a similar manner, but the fair market value would be reduced for estimated costs to dispose.</w:t>
      </w:r>
    </w:p>
    <w:p>
      <w:pPr>
        <w:spacing w:after="0" w:line="142"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is the excess of purchase price over the fair value of identified net assets of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Company’s intangible assets with an indefinite life are principally from franchise agreements at its cable division, as the Company expects its cable franchise agreements to provide the Company with substantial benefit for a period that extends beyond the foreseeable horizon, and the Company’s cable division historically has obtained renewals and extensions of such agreements for nominal costs and without any material modifications to the agreements. Amortized intangible assets are primarily student and customer relationships and trade names and trademarks, with amortization periods up to 10 years.</w:t>
      </w:r>
    </w:p>
    <w:p>
      <w:pPr>
        <w:spacing w:after="0" w:line="108"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Company reviews goodwill and indefinite-lived intangible assets at least annually, as of November 30, for possible impairment. Goodwill and indefinite-lived intangible assets are reviewed for possible impairment between annual tests if an event occurs or circumstances change that would more likely than not reduce the fair value of the reporting unit or indefinite-lived intangible asset below its carrying value. The Company tests its goodwill at the reporting unit level, which is an operating segment or one level below an operating segment. In reviewing the carrying value of indefinite-lived intangible assets at the cable division, the Company aggregates its cable systems on a regional basis. The Company initially assesses qualitative factors to determine if it is necessary to perform the two-step goodwill impairment review or indefinite-lived intangible asset quantitative impairment review. The Company reviews the goodwill for impairment using the two-step process and the indefinite-lived intangible assets using the quantitative process if, based on its assessment of the qualitative factors, it determines that it is more likely than not that the fair value of a reporting unit or indefinite-lived intangible asset is less than its carrying value, or if it decides to bypass the qualitative assessment. The Company reviews the carrying value of goodwill and indefinite-lived intangible assets utilizing a discounted cash flow model, and, where appropriate, a market value approach is also utilized to supplement the discounted cash flow model. The Company makes assumptions regarding estimated future cash flows, discount rates, long-term growth rates and market values to determine each reporting unit’s and indefinite-lived intangible asset’s estimated fair value. If these estimates or related assumptions change in the future, the Company may be required to record impairment charges.</w:t>
      </w:r>
    </w:p>
    <w:p>
      <w:pPr>
        <w:spacing w:after="0" w:line="115"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The Company uses the equity method of accounting for its investments in and earnings or losses of affiliates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control, but over which it exerts significant influence. The Company considers whether the fair values of any of its equity method investments have declined below their carrying value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w:t>
      </w:r>
    </w:p>
    <w:p>
      <w:pPr>
        <w:spacing w:after="0" w:line="106" w:lineRule="exact"/>
        <w:rPr>
          <w:sz w:val="20"/>
          <w:szCs w:val="20"/>
          <w:color w:val="auto"/>
        </w:rPr>
      </w:pPr>
    </w:p>
    <w:p>
      <w:pPr>
        <w:ind w:right="140"/>
        <w:spacing w:after="0" w:line="230"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uses the cost method of accounting for its minority investments in nonpublic companies where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have significant influence over the operations and management of the investee. Investments are recorded at the lower of cost or fair value as estimated by management. Charges recorded to write down cost method investments to their estimated fair value and gross realized gains or losses upon the sale of cost method investments are included in other (expense) income, net, in the Company’s Consolidated Financial Statements. Fair value estimates are based on a review of the investees’ product development activities, historical financial results and projected discounted cash flows.</w:t>
      </w:r>
    </w:p>
    <w:p>
      <w:pPr>
        <w:spacing w:after="0" w:line="106"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is recognized when persuasive evidence of an arrangement exists, the fees are fixed or determinable,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or service has been delivered and collectability is reasonably assured. The Company considers the terms of each arrangement to determine the appropriate accounting treatment.</w:t>
      </w:r>
    </w:p>
    <w:p>
      <w:pPr>
        <w:spacing w:after="0" w:line="108"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i w:val="1"/>
          <w:iCs w:val="1"/>
          <w:color w:val="auto"/>
        </w:rPr>
        <w:t xml:space="preserve">Education revenues. </w:t>
      </w:r>
      <w:r>
        <w:rPr>
          <w:rFonts w:ascii="Arial" w:cs="Arial" w:eastAsia="Arial" w:hAnsi="Arial"/>
          <w:sz w:val="18"/>
          <w:szCs w:val="18"/>
          <w:color w:val="auto"/>
        </w:rPr>
        <w:t>Tuition revenue is recognized ratably over the period of instruction as services are delivered to students, net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refunds, corporate discounts, scholarships and employee tuition discounts. At Kaplan’s Test Preparation (KTP) and International divisions, estimates of average student course length are developed for each course, and these estimates are evaluated on an ongoing basis and adjusted as necessary. Online access revenue is recognized ratably over the period of access. Course material revenue is recognized over the same period as the tuition or online access, if related, or when the products are delivered, if not related. Other revenues, such as student support services, are recognized when the services are provided.</w:t>
      </w:r>
    </w:p>
    <w:p>
      <w:pPr>
        <w:spacing w:after="0" w:line="112"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color w:val="auto"/>
        </w:rPr>
        <w:t>Kaplan Higher Education (KHE), through the Kaplan Commitment program, provides first-time students with a risk-free trial period. Under the program, KHE monitors academic progress and conducts assessments to help determine whether students are likely to be successful in their chosen course of study. Students who withdraw or are subject to dismissal during the risk-free trial period do not incur any significant financial obligation. The Company does not recognize revenues related to coursework until the students complete the risk-free period and decide to continue with their studies, at which time the fees become fixed or determinable.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24" w:right="239" w:bottom="1440" w:gutter="0" w:footer="0" w:header="0"/>
        </w:sectPr>
      </w:pPr>
    </w:p>
    <w:bookmarkStart w:id="68" w:name="page69"/>
    <w:bookmarkEnd w:id="68"/>
    <w:p>
      <w:pPr>
        <w:ind w:right="600"/>
        <w:spacing w:after="0"/>
        <w:rPr>
          <w:sz w:val="20"/>
          <w:szCs w:val="20"/>
          <w:color w:val="auto"/>
        </w:rPr>
      </w:pPr>
      <w:r>
        <w:rPr>
          <w:rFonts w:ascii="Arial" w:cs="Arial" w:eastAsia="Arial" w:hAnsi="Arial"/>
          <w:sz w:val="18"/>
          <w:szCs w:val="18"/>
          <w:i w:val="1"/>
          <w:iCs w:val="1"/>
          <w:color w:val="auto"/>
        </w:rPr>
        <w:t xml:space="preserve">Cable revenues. </w:t>
      </w:r>
      <w:r>
        <w:rPr>
          <w:rFonts w:ascii="Arial" w:cs="Arial" w:eastAsia="Arial" w:hAnsi="Arial"/>
          <w:sz w:val="18"/>
          <w:szCs w:val="18"/>
          <w:color w:val="auto"/>
        </w:rPr>
        <w:t>Cable revenues are primarily derived from subscriber fees for video, high-speed Internet and phone services, and from</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Cable subscriber revenue is recognized monthly as services are delivered. Advertising revenue is recognized when the commercials or programs are aired.</w:t>
      </w:r>
    </w:p>
    <w:p>
      <w:pPr>
        <w:spacing w:after="0" w:line="108"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Television broadcasting revenues. </w:t>
      </w:r>
      <w:r>
        <w:rPr>
          <w:rFonts w:ascii="Arial" w:cs="Arial" w:eastAsia="Arial" w:hAnsi="Arial"/>
          <w:sz w:val="18"/>
          <w:szCs w:val="18"/>
          <w:color w:val="auto"/>
        </w:rPr>
        <w:t>Advertising revenues are recognized, net of agency commissions, when the underlying advertisement is</w:t>
      </w:r>
      <w:r>
        <w:rPr>
          <w:rFonts w:ascii="Arial" w:cs="Arial" w:eastAsia="Arial" w:hAnsi="Arial"/>
          <w:sz w:val="18"/>
          <w:szCs w:val="18"/>
          <w:i w:val="1"/>
          <w:iCs w:val="1"/>
          <w:color w:val="auto"/>
        </w:rPr>
        <w:t xml:space="preserve"> </w:t>
      </w:r>
      <w:r>
        <w:rPr>
          <w:rFonts w:ascii="Arial" w:cs="Arial" w:eastAsia="Arial" w:hAnsi="Arial"/>
          <w:sz w:val="18"/>
          <w:szCs w:val="18"/>
          <w:color w:val="auto"/>
        </w:rPr>
        <w:t>broadcast. Retransmission revenues are recognized over the term of the agreement based on monthly subscriber counts and contractual rates.</w:t>
      </w:r>
    </w:p>
    <w:p>
      <w:pPr>
        <w:spacing w:after="0" w:line="92"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i w:val="1"/>
          <w:iCs w:val="1"/>
          <w:color w:val="auto"/>
        </w:rPr>
        <w:t>Revenue presentation</w:t>
      </w:r>
      <w:r>
        <w:rPr>
          <w:rFonts w:ascii="Arial" w:cs="Arial" w:eastAsia="Arial" w:hAnsi="Arial"/>
          <w:sz w:val="18"/>
          <w:szCs w:val="18"/>
          <w:color w:val="auto"/>
        </w:rPr>
        <w:t>. The determination of whether revenue should be reported on a gross or net basis is based on an assessment of</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 Company acts as a principal or an agent in the transaction. In certain cases, the Company is considered the agent, and the Company records revenue equal to the net amount retained when the fee is earned. In these cases, costs incurred with third-party suppliers are excluded from the Company’s revenue. The Company assesses whether it or the third-party supplier is the primary obligor and evaluates the terms of its customer arrangements as part of this assessment. In addition, the Company considers other key indicators such as latitude in establishing price, inventory risk, nature of services performed, discretion in supplier selection and credit risk.</w:t>
      </w:r>
    </w:p>
    <w:p>
      <w:pPr>
        <w:spacing w:after="0" w:line="112"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i w:val="1"/>
          <w:iCs w:val="1"/>
          <w:color w:val="auto"/>
        </w:rPr>
        <w:t xml:space="preserve">Deferred revenue. </w:t>
      </w:r>
      <w:r>
        <w:rPr>
          <w:rFonts w:ascii="Arial" w:cs="Arial" w:eastAsia="Arial" w:hAnsi="Arial"/>
          <w:sz w:val="18"/>
          <w:szCs w:val="18"/>
          <w:color w:val="auto"/>
        </w:rPr>
        <w:t>Amounts received from customers in advance of revenue recognition are deferred as liabilities. Deferred revenue to be</w:t>
      </w:r>
      <w:r>
        <w:rPr>
          <w:rFonts w:ascii="Arial" w:cs="Arial" w:eastAsia="Arial" w:hAnsi="Arial"/>
          <w:sz w:val="18"/>
          <w:szCs w:val="18"/>
          <w:i w:val="1"/>
          <w:iCs w:val="1"/>
          <w:color w:val="auto"/>
        </w:rPr>
        <w:t xml:space="preserve"> </w:t>
      </w:r>
      <w:r>
        <w:rPr>
          <w:rFonts w:ascii="Arial" w:cs="Arial" w:eastAsia="Arial" w:hAnsi="Arial"/>
          <w:sz w:val="18"/>
          <w:szCs w:val="18"/>
          <w:color w:val="auto"/>
        </w:rPr>
        <w:t>earned after one year is included in other noncurrent liabilities in the Company’s Consolidated Financial Statements.</w:t>
      </w:r>
    </w:p>
    <w:p>
      <w:pPr>
        <w:spacing w:after="0" w:line="90" w:lineRule="exact"/>
        <w:rPr>
          <w:sz w:val="20"/>
          <w:szCs w:val="20"/>
          <w:color w:val="auto"/>
        </w:rPr>
      </w:pPr>
    </w:p>
    <w:p>
      <w:pPr>
        <w:spacing w:after="0" w:line="232"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leases substantially all of its educational facilities and enters into various other lease agreements in conducting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the inception of each lease, the Company evaluates the lease agreement to determine whether the lease is an operating or capital lease. Additionally, many of the Company’s lease agreements contain renewal options, tenant improvement allowances, rent holidays and/or rent escalation clauses. When such items are included in a lease agreement, the Company records a deferred rent asset or liability in the Consolidated Financial Statements and records these items in rent expense evenly over the terms of the lease.</w:t>
      </w:r>
    </w:p>
    <w:p>
      <w:pPr>
        <w:spacing w:after="0" w:line="109"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The Company is also required to make additional payments under operating lease terms for taxes, insurance and other operating expenses incurred during the operating lease period; such items are expensed as incurred. Rental deposits are included as other assets in the Consolidated Financial Statements for lease agreements that require payments in advance or deposits held for security that are refundable, less any damages, at the end of the respective lease.</w:t>
      </w:r>
    </w:p>
    <w:p>
      <w:pPr>
        <w:spacing w:after="0" w:line="109"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The Company maintains various pension and incentive savings plans. Substantially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employees are covered by these plans. The Company also provides health care and life insurance benefits to certain retired employees. These employees become eligible for benefits after meeting age and service requirements.</w:t>
      </w:r>
    </w:p>
    <w:p>
      <w:pPr>
        <w:spacing w:after="0" w:line="108"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Company recognizes the overfunded or underfunded status of a defined benefit postretirement plan as an asset or liability in its statement of financial position and recognizes changes in that funded status in the year in which the changes occur through comprehensive income. The Company measures changes in the funded status of its plans using the projected unit credit method and several actuarial assumptions, the most significant of which are the discount rate, the long-term rate of asset return and rate of compensation increase. The Company uses a measurement date of December 31 for its pension and other postretirement benefit plans.</w:t>
      </w:r>
    </w:p>
    <w:p>
      <w:pPr>
        <w:spacing w:after="0" w:line="109"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b w:val="1"/>
          <w:bCs w:val="1"/>
          <w:color w:val="auto"/>
        </w:rPr>
        <w:t xml:space="preserve">Self-Insurance. </w:t>
      </w:r>
      <w:r>
        <w:rPr>
          <w:rFonts w:ascii="Arial" w:cs="Arial" w:eastAsia="Arial" w:hAnsi="Arial"/>
          <w:sz w:val="18"/>
          <w:szCs w:val="18"/>
          <w:color w:val="auto"/>
        </w:rPr>
        <w:t>The Company uses a combination of insurance and self-insurance for a number of risks, including claims related to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health care and dental care, disability benefits, 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from the amounts provided.</w:t>
      </w:r>
    </w:p>
    <w:p>
      <w:pPr>
        <w:spacing w:after="0" w:line="107"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asset and liability method, which requires the recognition of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09"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724" w:right="25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recorded amount, the Company would record an adjustment to the valuation allowance, which would reduce the provision for income taxes.</w:t>
      </w:r>
    </w:p>
    <w:p>
      <w:pPr>
        <w:spacing w:after="0" w:line="144"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109"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Income and expense accounts of the Company’s non-United States operations where the local currency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currency are translated into United States (U.S.) dollars using the current rate method, whereby 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106"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color w:val="auto"/>
        </w:rPr>
        <w:t xml:space="preserve">Equity-Based Compensation. </w:t>
      </w:r>
      <w:r>
        <w:rPr>
          <w:rFonts w:ascii="Arial" w:cs="Arial" w:eastAsia="Arial" w:hAnsi="Arial"/>
          <w:sz w:val="18"/>
          <w:szCs w:val="18"/>
          <w:color w:val="auto"/>
        </w:rPr>
        <w:t>The Company measures compensation expense for awards settled in shares based on the grant date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award. The Company measures compensation expense for awards settled in cash, or that may be settled in cash, based on the fair value at each reporting date. The Company recognizes the expense over the requisite service period, which is generally the vesting period of the award.</w:t>
      </w:r>
    </w:p>
    <w:p>
      <w:pPr>
        <w:spacing w:after="0" w:line="108"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calculated under the two-class method. The Company treats restricted stock 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participating security due to its nonforfeitable right to dividends. Under the two -class method, the Company allocates to the participating securities their portion of dividends declared and undistributed earnings to the extent the participating securities may share in the earnings as if all earnings for the period had been distributed.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outstanding during the period includes the dilutive effect of the assumed exercise of options and restricted stock issuable under the Company’s stock plans. The dilutive effect of potentially dilutive securities is reflected in diluted earnings per share by application of the treasury stock method.</w:t>
      </w:r>
    </w:p>
    <w:p>
      <w:pPr>
        <w:spacing w:after="0" w:line="108"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foreign currency translation adjustments, the change in unrealized</w:t>
      </w:r>
      <w:r>
        <w:rPr>
          <w:rFonts w:ascii="Arial" w:cs="Arial" w:eastAsia="Arial" w:hAnsi="Arial"/>
          <w:sz w:val="18"/>
          <w:szCs w:val="18"/>
          <w:b w:val="1"/>
          <w:bCs w:val="1"/>
          <w:color w:val="auto"/>
        </w:rPr>
        <w:t xml:space="preserve"> </w:t>
      </w:r>
      <w:r>
        <w:rPr>
          <w:rFonts w:ascii="Arial" w:cs="Arial" w:eastAsia="Arial" w:hAnsi="Arial"/>
          <w:sz w:val="18"/>
          <w:szCs w:val="18"/>
          <w:color w:val="auto"/>
        </w:rPr>
        <w:t>gains (losses) on investments in marketable equity securities, net changes in cash flow hedge and pension and other postretirement plan adjustments.</w:t>
      </w:r>
    </w:p>
    <w:p>
      <w:pPr>
        <w:spacing w:after="0" w:line="106"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A business is classified as a discontinued operation when (i) the operations and cash flows of the business can be</w:t>
      </w:r>
      <w:r>
        <w:rPr>
          <w:rFonts w:ascii="Arial" w:cs="Arial" w:eastAsia="Arial" w:hAnsi="Arial"/>
          <w:sz w:val="18"/>
          <w:szCs w:val="18"/>
          <w:b w:val="1"/>
          <w:bCs w:val="1"/>
          <w:color w:val="auto"/>
        </w:rPr>
        <w:t xml:space="preserve"> </w:t>
      </w:r>
      <w:r>
        <w:rPr>
          <w:rFonts w:ascii="Arial" w:cs="Arial" w:eastAsia="Arial" w:hAnsi="Arial"/>
          <w:sz w:val="18"/>
          <w:szCs w:val="18"/>
          <w:color w:val="auto"/>
        </w:rPr>
        <w:t>clearly distinguished and have been or will be eliminated from the Company’s ongoing operations; (ii) the business has either been disposed of or is classified as held for sale; and (iii) the Company will not have any significant continuing involvement in the operations of the business after the disposal transaction. The results of discontinued operations (as well as the gain or loss on the disposal) are aggregated and separately presented in the Company’s Consolidated Statements of Operations, net of income taxes.</w:t>
      </w:r>
    </w:p>
    <w:p>
      <w:pPr>
        <w:spacing w:after="0" w:line="107"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In February 2013,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final guidance on the presentation of reclassifications out of other comprehensive income to net income. The amendment requires an entity to provide information about the amounts reclassified out of other comprehensive income by component. In addition, an entity is required to present, either on the face of the income statement or in a footnote, significant amounts reclassified out of accumulated other comprehensive income by the respective line items of net income only if the amount reclassified is required by GAAP to be reclassified to net income in its entirety in the same reporting period. For other amounts that are not required under GAAP to be reclassified in their entirety to net income, an entity is required to cross-reference to other disclosures required under GAAP that provide details about those amounts. This amendment is effective for interim and fiscal years beginning after December 15, 2012. The adoption of the amendment in the first quarter of 2013 is reflected in the Company's Notes to Consolidated Financial Statements.</w:t>
      </w:r>
    </w:p>
    <w:p>
      <w:pPr>
        <w:spacing w:after="0" w:line="110"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46"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On October 1, 2013, the Company completed the sale of most of its newspaper publishing businesses. The publishing businesses sold include The Washington Post, Express, The Gazette Newspapers, Southern Maryland Newspapers, Greater Washington Publishing, Fairfax County Times and El Tiempo Latino and related websites (Publishing Subsidiaries). Slate magazine, TheRoot.com and Foreign Policy were not part of the transaction and remain with the Company, as do the Trove and SocialCode businesses, the Company’s interest in Classified Ventures and certain real estate assets, including the headquarters building in downtown Washington, DC.</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24" w:right="239" w:bottom="1440" w:gutter="0" w:footer="0" w:header="0"/>
        </w:sectPr>
      </w:pPr>
    </w:p>
    <w:bookmarkStart w:id="70" w:name="page71"/>
    <w:bookmarkEnd w:id="70"/>
    <w:p>
      <w:pPr>
        <w:ind w:right="20"/>
        <w:spacing w:after="0" w:line="246" w:lineRule="auto"/>
        <w:rPr>
          <w:sz w:val="20"/>
          <w:szCs w:val="20"/>
          <w:color w:val="auto"/>
        </w:rPr>
      </w:pPr>
      <w:r>
        <w:rPr>
          <w:rFonts w:ascii="Arial" w:cs="Arial" w:eastAsia="Arial" w:hAnsi="Arial"/>
          <w:sz w:val="17"/>
          <w:szCs w:val="17"/>
          <w:color w:val="auto"/>
        </w:rPr>
        <w:t>The Company sold all of the issued and outstanding equity securities of the Publishing Subsidiaries for $250 million, subject to customary adjustments for cash, debt and working capital at closing. A pre-tax gain of $157.5 million was recorded on the sale (after-tax gain of $100.0 million). This gain amount includes net curtailment and settlement gains from the Company’s pension and postretirement plans of $ 56.6 million. The net loss from discontinued operations also included early retirement program expense of $22.7 million and $8.5 million in 2013 and 2012, respectively, and stock compensation expense of $20.7 million in 2013 as a result of modifications to restricted stock awards and stock options.</w:t>
      </w:r>
    </w:p>
    <w:p>
      <w:pPr>
        <w:spacing w:after="0" w:line="10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March 2013, the Company sold The Herald. Kaplan sold Kidum in August 2012, EduNeering in April 2012 and Kaplan Learning Technologies (KLT) in February 2012. In addition, the Company divested its interest in Avenue100 Media Solutions in July 2012.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sale of The Herald resulted in a pre-tax loss of $0.1 million that was recorded in the first quarter of 2013.</w:t>
      </w:r>
    </w:p>
    <w:p>
      <w:pPr>
        <w:spacing w:after="0" w:line="14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sale of KLT resulted in a pre-tax loss of $3.1 million, which was recorded in the first quarter of 2012. The sale of EduNeering resulted in a pre-tax gain of $29.5 million, which was recorded in the second quarter of 2012. The sale of Kidum resulted in a pre-tax gain of $3.6 million, which was recorded in the third quarter of 2012.</w:t>
      </w:r>
    </w:p>
    <w:p>
      <w:pPr>
        <w:spacing w:after="0" w:line="108"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In connection with each of the sales of the Company’s stock in EduNeering and KLT, in the first quarter of 2012, the Company recorded $23.2 million of income tax benefits related to the excess of the outside stock tax basis over the net book value of the net assets disposed.</w:t>
      </w:r>
    </w:p>
    <w:p>
      <w:pPr>
        <w:spacing w:after="0" w:line="92"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In connection with the disposal of Avenue100 Media Solutions, Inc., the Company recorded a pre-tax loss of $5.7 million in the third quarter of 2012. An income tax benefit of $44.5 million was also recorded in the third quarter of 2012 as the Company determined that Avenue100 Media Solutions, Inc. had no value. The income tax benefit was due to the Company’s tax basis in the stock of Avenue100 exceeding its net book value as a result of goodwill and other intangible asset impairment charges recorded in prior years, for which no tax benefit was previously recorded.</w:t>
      </w:r>
    </w:p>
    <w:p>
      <w:pPr>
        <w:spacing w:after="0" w:line="111"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In October 2011, Kaplan completed the sale of Kaplan Compliance Solutions (KCS) and recorded an after-tax gain on the transaction of $1.5 million. In July 2011, Kaplan completed the sale of Kaplan Virtual Education (KVE) and recorded an after-tax loss on the transaction of $1.2 million.</w:t>
      </w:r>
    </w:p>
    <w:p>
      <w:pPr>
        <w:spacing w:after="0" w:line="108"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The results of operations of the Publishing Subsidiaries, The Herald, Kidum, Avenue100, Kaplan EduNeering, KLT, KCS and KVE for 2013, 2012 and 2011, where applicable, are included in the Company’s Consolidated Statements of Operations as Income (Loss) from Discontinued Operations, Net of Tax. All corresponding prior period operating results presented in the Company’s Consolidated Financial Statements and the accompanying notes have been reclassified to reflect the discontinued operations presented. The Company did not reclassify its Consolidated Statements of Cash Flows or prior year Consolidated Balance Sheet to reflect the discontinued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income (loss) from discontinued operations, net of tax, is presented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color w:val="auto"/>
              </w:rPr>
              <w:t>Operating revenues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382,705</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597,425</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723,605</w:t>
            </w:r>
          </w:p>
        </w:tc>
      </w:tr>
      <w:tr>
        <w:trPr>
          <w:trHeight w:val="271"/>
        </w:trPr>
        <w:tc>
          <w:tcPr>
            <w:tcW w:w="7780" w:type="dxa"/>
            <w:vAlign w:val="bottom"/>
          </w:tcPr>
          <w:p>
            <w:pPr>
              <w:ind w:left="40"/>
              <w:spacing w:after="0"/>
              <w:rPr>
                <w:sz w:val="20"/>
                <w:szCs w:val="20"/>
                <w:color w:val="auto"/>
              </w:rPr>
            </w:pPr>
            <w:r>
              <w:rPr>
                <w:rFonts w:ascii="Arial" w:cs="Arial" w:eastAsia="Arial" w:hAnsi="Arial"/>
                <w:sz w:val="14"/>
                <w:szCs w:val="14"/>
                <w:color w:val="auto"/>
              </w:rPr>
              <w:t>Operating costs and expenses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(465,605)</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(639,315)</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(769,129)</w:t>
            </w: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color w:val="auto"/>
              </w:rPr>
              <w:t>Loss from discontinued operations</w:t>
            </w:r>
          </w:p>
        </w:tc>
        <w:tc>
          <w:tcPr>
            <w:tcW w:w="26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(82,900)</w:t>
            </w:r>
          </w:p>
        </w:tc>
        <w:tc>
          <w:tcPr>
            <w:tcW w:w="3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(41,890)</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(45,524)</w:t>
            </w:r>
          </w:p>
        </w:tc>
      </w:tr>
      <w:tr>
        <w:trPr>
          <w:trHeight w:val="271"/>
        </w:trPr>
        <w:tc>
          <w:tcPr>
            <w:tcW w:w="7780" w:type="dxa"/>
            <w:vAlign w:val="bottom"/>
          </w:tcPr>
          <w:p>
            <w:pPr>
              <w:ind w:left="40"/>
              <w:spacing w:after="0"/>
              <w:rPr>
                <w:sz w:val="20"/>
                <w:szCs w:val="20"/>
                <w:color w:val="auto"/>
              </w:rPr>
            </w:pPr>
            <w:r>
              <w:rPr>
                <w:rFonts w:ascii="Arial" w:cs="Arial" w:eastAsia="Arial" w:hAnsi="Arial"/>
                <w:sz w:val="14"/>
                <w:szCs w:val="14"/>
                <w:color w:val="auto"/>
              </w:rPr>
              <w:t>Benefit from income taxes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(29,059)</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(13,668)</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(10,934)</w:t>
            </w: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Net Loss from Discontinued Operations</w:t>
            </w:r>
          </w:p>
        </w:tc>
        <w:tc>
          <w:tcPr>
            <w:tcW w:w="26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(53,841)</w:t>
            </w:r>
          </w:p>
        </w:tc>
        <w:tc>
          <w:tcPr>
            <w:tcW w:w="34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(28,222)</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(34,590)</w:t>
            </w:r>
          </w:p>
        </w:tc>
      </w:tr>
      <w:tr>
        <w:trPr>
          <w:trHeight w:val="270"/>
        </w:trPr>
        <w:tc>
          <w:tcPr>
            <w:tcW w:w="7780" w:type="dxa"/>
            <w:vAlign w:val="bottom"/>
          </w:tcPr>
          <w:p>
            <w:pPr>
              <w:ind w:left="40"/>
              <w:spacing w:after="0"/>
              <w:rPr>
                <w:sz w:val="20"/>
                <w:szCs w:val="20"/>
                <w:color w:val="auto"/>
              </w:rPr>
            </w:pPr>
            <w:r>
              <w:rPr>
                <w:rFonts w:ascii="Arial" w:cs="Arial" w:eastAsia="Arial" w:hAnsi="Arial"/>
                <w:sz w:val="14"/>
                <w:szCs w:val="14"/>
                <w:color w:val="auto"/>
              </w:rPr>
              <w:t>Gain on sales and disposition of discontinued operations</w:t>
            </w:r>
          </w:p>
        </w:tc>
        <w:tc>
          <w:tcPr>
            <w:tcW w:w="260" w:type="dxa"/>
            <w:vAlign w:val="bottom"/>
          </w:tcPr>
          <w:p>
            <w:pPr>
              <w:spacing w:after="0"/>
              <w:rPr>
                <w:sz w:val="23"/>
                <w:szCs w:val="23"/>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b w:val="1"/>
                <w:bCs w:val="1"/>
                <w:color w:val="auto"/>
              </w:rPr>
              <w:t>157,449</w:t>
            </w:r>
          </w:p>
        </w:tc>
        <w:tc>
          <w:tcPr>
            <w:tcW w:w="34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23,759</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2,975</w:t>
            </w:r>
          </w:p>
        </w:tc>
      </w:tr>
      <w:tr>
        <w:trPr>
          <w:trHeight w:val="271"/>
        </w:trPr>
        <w:tc>
          <w:tcPr>
            <w:tcW w:w="7780" w:type="dxa"/>
            <w:vAlign w:val="bottom"/>
          </w:tcPr>
          <w:p>
            <w:pPr>
              <w:ind w:left="40"/>
              <w:spacing w:after="0"/>
              <w:rPr>
                <w:sz w:val="20"/>
                <w:szCs w:val="20"/>
                <w:color w:val="auto"/>
              </w:rPr>
            </w:pPr>
            <w:r>
              <w:rPr>
                <w:rFonts w:ascii="Arial" w:cs="Arial" w:eastAsia="Arial" w:hAnsi="Arial"/>
                <w:sz w:val="14"/>
                <w:szCs w:val="14"/>
                <w:color w:val="auto"/>
              </w:rPr>
              <w:t>Provision (benefit) for income taxes on sales and disposition of discontinued operations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57,489</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(64,591)</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2,616</w:t>
            </w:r>
          </w:p>
        </w:tc>
      </w:tr>
      <w:tr>
        <w:trPr>
          <w:trHeight w:val="265"/>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Income (Loss) from Discontinued Operations, Net of Tax</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46,119</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60,128</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(34,231)</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2012</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197,718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195,832</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Net unrealized gains</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289,438</w:t>
            </w: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184,255</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487,156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380,087</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color w:val="auto"/>
        </w:rPr>
        <w:t>At December 31, 2013 and 2012, the Company owned 2,214 shares of Berkshire Hathaway Inc. (Berkshire) Class A common stock and 424,250 shares of Berkshire Class B common stock, respectively. The Company’s ownership of Berkshire accounted for $444.2 million, or 91%, and $334.9 million, or 88%, of the total fair value of the Company’s investments in marketable equity securities at December 31, 2013 and 2012, respectively.</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724" w:right="239" w:bottom="1440" w:gutter="0" w:footer="0" w:header="0"/>
          <w:type w:val="continuous"/>
        </w:sectPr>
      </w:pPr>
    </w:p>
    <w:bookmarkStart w:id="71" w:name="page72"/>
    <w:bookmarkEnd w:id="71"/>
    <w:p>
      <w:pPr>
        <w:ind w:right="40"/>
        <w:spacing w:after="0" w:line="231" w:lineRule="auto"/>
        <w:rPr>
          <w:sz w:val="20"/>
          <w:szCs w:val="20"/>
          <w:color w:val="auto"/>
        </w:rPr>
      </w:pPr>
      <w:r>
        <w:rPr>
          <w:rFonts w:ascii="Arial" w:cs="Arial" w:eastAsia="Arial" w:hAnsi="Arial"/>
          <w:sz w:val="18"/>
          <w:szCs w:val="18"/>
          <w:color w:val="auto"/>
        </w:rPr>
        <w:t>Berkshire is a holding company owning subsidiaries engaged in a number of diverse business activities. Berkshire also owns approximately 23% of the common stock of the Company. The chairman, chief executive officer and largest shareholder of Berkshire, Mr. Warren Buffett, was a member of the Company’s Board of Directors until May 2011, at which time Mr. Buffett retired from the Company’s Board. The Company's investment in Berkshire common stock is less than 1% of the consolidated equity of Berkshire. At December 31, 2013 and 2012, the unrealized gain related to the Company’s Berkshire stock investment totaled $286.9 million and $177.6 million, respectively.</w:t>
      </w:r>
    </w:p>
    <w:p>
      <w:pPr>
        <w:spacing w:after="0" w:line="111"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At the end of 2013 and 2012, the Company’s investment in Strayer Education, Inc. had been in an unrealized loss position for about six months. The Company evaluated this investment for other-than-temporary impairment based on various factors, including the duration and severity of the unrealized loss, the reason for the decline in value, the potential recovery period and the Company’s ability and intent to hold the investment. Based on this evaluation, the Company concluded that the unrealized loss was other-than-temporary and recorded a $10.4 million and $18.0 million write-down of the investment in 2013 and 2012, respectively.</w:t>
      </w:r>
    </w:p>
    <w:p>
      <w:pPr>
        <w:spacing w:after="0" w:line="11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At the end of the first quarter of 2011, the Company’s investment in Corinthian Colleges, Inc. had been in an unrealized loss position for over six months. The Company evaluated this investment for other-than-temporary impairment based on various factors, including the duration and severity of the unrealized loss, the reason for the decline in value, the potential recovery period and the Company’s ability and intent to hold the investment. Based on this evaluation, the Company concluded that the unrealized loss was other-than-temporary and recorded a $30.7 million write-down of the investment. The investment continued to decline, and in the third quarter of 2011, the Company recorded an additional $23.1 million write-down of the investment.</w:t>
      </w:r>
    </w:p>
    <w:p>
      <w:pPr>
        <w:spacing w:after="0" w:line="11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The Company invested $15.0 million and $45.0 million in marketable equity securities during 2013 and 2012. There were no new investments of marketable equity securities in 2011. During 2013 and 2012, proceeds from sales of marketable equity securities were $3.6 million and $2.0 million, respectively, and net realized gains on such sales were $0.9 million and $0.5 million, respectively. There were no sales of marketable equity securities during 2011.</w:t>
      </w:r>
    </w:p>
    <w:p>
      <w:pPr>
        <w:spacing w:after="0" w:line="109"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At the end of 2013, the Company held a 16.5% interest in Classified Ventures, LLC, which owns and operates</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leading businesses in the online classified advertising space and interests in several other investments.</w:t>
      </w:r>
    </w:p>
    <w:p>
      <w:pPr>
        <w:spacing w:after="0" w:line="8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the third quarter of 2011, the Company recorded impairment charges of $9.2 million on the Company’s interest in Bowater Mersey Paper Company Limited as a result of the challenging economic environment for newsprint producers. During the fourth quarter of 2012, the Company sold its 49% interest in the common stock of Bowater Mersey Paper Company Limited for a nominal amount; no loss was recorded as the investment had previously been written down to zero.</w:t>
      </w:r>
    </w:p>
    <w:p>
      <w:pPr>
        <w:spacing w:after="0" w:line="109"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ACCOUNTS PAYABLE AND ACCRUED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r>
      <w:tr>
        <w:trPr>
          <w:trHeight w:val="257"/>
        </w:trPr>
        <w:tc>
          <w:tcPr>
            <w:tcW w:w="9020" w:type="dxa"/>
            <w:vAlign w:val="bottom"/>
          </w:tcPr>
          <w:p>
            <w:pPr>
              <w:ind w:left="40"/>
              <w:spacing w:after="0"/>
              <w:rPr>
                <w:sz w:val="20"/>
                <w:szCs w:val="20"/>
                <w:color w:val="auto"/>
              </w:rPr>
            </w:pPr>
            <w:r>
              <w:rPr>
                <w:rFonts w:ascii="Arial" w:cs="Arial" w:eastAsia="Arial" w:hAnsi="Arial"/>
                <w:sz w:val="14"/>
                <w:szCs w:val="14"/>
                <w:color w:val="auto"/>
              </w:rPr>
              <w:t>Trade accounts receivable, less estimated returns, doubtful accounts and allowances</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9020" w:type="dxa"/>
            <w:vAlign w:val="bottom"/>
          </w:tcPr>
          <w:p>
            <w:pPr>
              <w:ind w:left="280"/>
              <w:spacing w:after="0"/>
              <w:rPr>
                <w:sz w:val="20"/>
                <w:szCs w:val="20"/>
                <w:color w:val="auto"/>
              </w:rPr>
            </w:pPr>
            <w:r>
              <w:rPr>
                <w:rFonts w:ascii="Arial" w:cs="Arial" w:eastAsia="Arial" w:hAnsi="Arial"/>
                <w:sz w:val="14"/>
                <w:szCs w:val="14"/>
                <w:color w:val="auto"/>
              </w:rPr>
              <w:t>of $33,834 and $35,462</w:t>
            </w: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398,014</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379,355</w:t>
            </w:r>
          </w:p>
        </w:tc>
      </w:tr>
      <w:tr>
        <w:trPr>
          <w:trHeight w:val="271"/>
        </w:trPr>
        <w:tc>
          <w:tcPr>
            <w:tcW w:w="9020" w:type="dxa"/>
            <w:vAlign w:val="bottom"/>
          </w:tcPr>
          <w:p>
            <w:pPr>
              <w:ind w:left="40"/>
              <w:spacing w:after="0"/>
              <w:rPr>
                <w:sz w:val="20"/>
                <w:szCs w:val="20"/>
                <w:color w:val="auto"/>
              </w:rPr>
            </w:pPr>
            <w:r>
              <w:rPr>
                <w:rFonts w:ascii="Arial" w:cs="Arial" w:eastAsia="Arial" w:hAnsi="Arial"/>
                <w:sz w:val="14"/>
                <w:szCs w:val="14"/>
                <w:color w:val="auto"/>
              </w:rPr>
              <w:t>Other accounts receivable</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30,639</w:t>
            </w:r>
          </w:p>
        </w:tc>
        <w:tc>
          <w:tcPr>
            <w:tcW w:w="3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19,849</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428,653</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399,204</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allowance for doubtful accounts and returns and allowance for advertising rate adjustments and discounts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rPr>
              <w:t>Additions –</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2"/>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8"/>
              <w:spacing w:after="0"/>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4"/>
                <w:szCs w:val="14"/>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rPr>
              <w:t>Charged to</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62"/>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8"/>
              <w:spacing w:after="0"/>
              <w:rPr>
                <w:sz w:val="20"/>
                <w:szCs w:val="20"/>
                <w:color w:val="auto"/>
              </w:rPr>
            </w:pPr>
            <w:r>
              <w:rPr>
                <w:rFonts w:ascii="Arial" w:cs="Arial" w:eastAsia="Arial" w:hAnsi="Arial"/>
                <w:sz w:val="14"/>
                <w:szCs w:val="14"/>
                <w:b w:val="1"/>
                <w:bCs w:val="1"/>
                <w:color w:val="auto"/>
              </w:rPr>
              <w:t>Beginning</w:t>
            </w:r>
          </w:p>
        </w:tc>
        <w:tc>
          <w:tcPr>
            <w:tcW w:w="240" w:type="dxa"/>
            <w:vAlign w:val="bottom"/>
          </w:tcPr>
          <w:p>
            <w:pPr>
              <w:spacing w:after="0"/>
              <w:rPr>
                <w:sz w:val="14"/>
                <w:szCs w:val="14"/>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b w:val="1"/>
                <w:bCs w:val="1"/>
                <w:color w:val="auto"/>
              </w:rPr>
              <w:t>Costs and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center"/>
              <w:ind w:right="128"/>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of Period</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Expenses</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Deductions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63"/>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Allowance for doubtful accounts and returns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color w:val="auto"/>
              </w:rPr>
              <w:t>33,612</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57,245</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(57,023)</w:t>
            </w:r>
          </w:p>
        </w:tc>
        <w:tc>
          <w:tcPr>
            <w:tcW w:w="2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33,834</w:t>
            </w:r>
          </w:p>
        </w:tc>
        <w:tc>
          <w:tcPr>
            <w:tcW w:w="0" w:type="dxa"/>
            <w:vAlign w:val="bottom"/>
          </w:tcPr>
          <w:p>
            <w:pPr>
              <w:spacing w:after="0"/>
              <w:rPr>
                <w:sz w:val="1"/>
                <w:szCs w:val="1"/>
                <w:color w:val="auto"/>
              </w:rPr>
            </w:pPr>
          </w:p>
        </w:tc>
      </w:tr>
      <w:tr>
        <w:trPr>
          <w:trHeight w:val="271"/>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Allowance for advertising rate adjustments and discounts</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1,850</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(1,850)</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35,462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57,245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(58,873)</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33,834</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4"/>
                <w:szCs w:val="14"/>
                <w:color w:val="auto"/>
              </w:rPr>
              <w:t>2012</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5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4"/>
                <w:szCs w:val="14"/>
                <w:color w:val="auto"/>
              </w:rPr>
              <w:t>Allowance for doubtful accounts and returns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48,199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55,605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(70,192)</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33,612</w:t>
            </w:r>
          </w:p>
        </w:tc>
        <w:tc>
          <w:tcPr>
            <w:tcW w:w="0" w:type="dxa"/>
            <w:vAlign w:val="bottom"/>
          </w:tcPr>
          <w:p>
            <w:pPr>
              <w:spacing w:after="0"/>
              <w:rPr>
                <w:sz w:val="1"/>
                <w:szCs w:val="1"/>
                <w:color w:val="auto"/>
              </w:rPr>
            </w:pPr>
          </w:p>
        </w:tc>
      </w:tr>
      <w:tr>
        <w:trPr>
          <w:trHeight w:val="274"/>
        </w:trPr>
        <w:tc>
          <w:tcPr>
            <w:tcW w:w="6520" w:type="dxa"/>
            <w:vAlign w:val="bottom"/>
          </w:tcPr>
          <w:p>
            <w:pPr>
              <w:ind w:left="40"/>
              <w:spacing w:after="0"/>
              <w:rPr>
                <w:sz w:val="20"/>
                <w:szCs w:val="20"/>
                <w:color w:val="auto"/>
              </w:rPr>
            </w:pPr>
            <w:r>
              <w:rPr>
                <w:rFonts w:ascii="Arial" w:cs="Arial" w:eastAsia="Arial" w:hAnsi="Arial"/>
                <w:sz w:val="14"/>
                <w:szCs w:val="14"/>
                <w:color w:val="auto"/>
              </w:rPr>
              <w:t>Allowance for advertising rate adjustments and discounts</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2,026</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15,088</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(15,264)</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1,850</w:t>
            </w:r>
          </w:p>
        </w:tc>
        <w:tc>
          <w:tcPr>
            <w:tcW w:w="0" w:type="dxa"/>
            <w:vAlign w:val="bottom"/>
          </w:tcPr>
          <w:p>
            <w:pPr>
              <w:spacing w:after="0"/>
              <w:rPr>
                <w:sz w:val="1"/>
                <w:szCs w:val="1"/>
                <w:color w:val="auto"/>
              </w:rPr>
            </w:pPr>
          </w:p>
        </w:tc>
      </w:tr>
      <w:tr>
        <w:trPr>
          <w:trHeight w:val="261"/>
        </w:trPr>
        <w:tc>
          <w:tcPr>
            <w:tcW w:w="65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50,225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70,693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(85,456)</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35,462</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4"/>
                <w:szCs w:val="14"/>
                <w:color w:val="auto"/>
              </w:rPr>
              <w:t>2011</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4"/>
                <w:szCs w:val="14"/>
                <w:color w:val="auto"/>
              </w:rPr>
              <w:t>Allowance for doubtful accounts and returns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67,007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61,327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(80,135)</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48,199</w:t>
            </w:r>
          </w:p>
        </w:tc>
        <w:tc>
          <w:tcPr>
            <w:tcW w:w="0" w:type="dxa"/>
            <w:vAlign w:val="bottom"/>
          </w:tcPr>
          <w:p>
            <w:pPr>
              <w:spacing w:after="0"/>
              <w:rPr>
                <w:sz w:val="1"/>
                <w:szCs w:val="1"/>
                <w:color w:val="auto"/>
              </w:rPr>
            </w:pPr>
          </w:p>
        </w:tc>
      </w:tr>
      <w:tr>
        <w:trPr>
          <w:trHeight w:val="274"/>
        </w:trPr>
        <w:tc>
          <w:tcPr>
            <w:tcW w:w="6520" w:type="dxa"/>
            <w:vAlign w:val="bottom"/>
          </w:tcPr>
          <w:p>
            <w:pPr>
              <w:ind w:left="40"/>
              <w:spacing w:after="0"/>
              <w:rPr>
                <w:sz w:val="20"/>
                <w:szCs w:val="20"/>
                <w:color w:val="auto"/>
              </w:rPr>
            </w:pPr>
            <w:r>
              <w:rPr>
                <w:rFonts w:ascii="Arial" w:cs="Arial" w:eastAsia="Arial" w:hAnsi="Arial"/>
                <w:sz w:val="14"/>
                <w:szCs w:val="14"/>
                <w:color w:val="auto"/>
              </w:rPr>
              <w:t>Allowance for advertising rate adjustments and discounts</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3,174</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11,868</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(13,016)</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70,181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73,195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(93,151)</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50,225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24" w:right="239" w:bottom="1440" w:gutter="0" w:footer="0" w:header="0"/>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724" w:right="2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2012</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343,620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310,294</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Accrued compensation and related benefits</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162,079</w:t>
            </w: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176,102</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505,699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486,396</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0"/>
                <w:szCs w:val="20"/>
                <w:color w:val="auto"/>
              </w:rPr>
            </w:pPr>
            <w:r>
              <w:rPr>
                <w:rFonts w:ascii="Arial" w:cs="Arial" w:eastAsia="Arial" w:hAnsi="Arial"/>
                <w:sz w:val="18"/>
                <w:szCs w:val="18"/>
                <w:b w:val="1"/>
                <w:bCs w:val="1"/>
                <w:color w:val="auto"/>
              </w:rPr>
              <w:t>6.</w:t>
            </w:r>
          </w:p>
        </w:tc>
        <w:tc>
          <w:tcPr>
            <w:tcW w:w="8780" w:type="dxa"/>
            <w:vAlign w:val="bottom"/>
            <w:gridSpan w:val="2"/>
          </w:tcPr>
          <w:p>
            <w:pPr>
              <w:jc w:val="right"/>
              <w:ind w:right="5500"/>
              <w:spacing w:after="0"/>
              <w:rPr>
                <w:sz w:val="20"/>
                <w:szCs w:val="20"/>
                <w:color w:val="auto"/>
              </w:rPr>
            </w:pPr>
            <w:r>
              <w:rPr>
                <w:rFonts w:ascii="Arial" w:cs="Arial" w:eastAsia="Arial" w:hAnsi="Arial"/>
                <w:sz w:val="18"/>
                <w:szCs w:val="18"/>
                <w:b w:val="1"/>
                <w:bCs w:val="1"/>
                <w:color w:val="auto"/>
              </w:rPr>
              <w:t>PROPERTY, PLANT AND EQUIPMENT</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343"/>
        </w:trPr>
        <w:tc>
          <w:tcPr>
            <w:tcW w:w="9220" w:type="dxa"/>
            <w:vAlign w:val="bottom"/>
            <w:gridSpan w:val="3"/>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7"/>
        </w:trPr>
        <w:tc>
          <w:tcPr>
            <w:tcW w:w="44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(in thousands)</w:t>
            </w: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2012</w:t>
            </w:r>
          </w:p>
        </w:tc>
      </w:tr>
      <w:tr>
        <w:trPr>
          <w:trHeight w:val="257"/>
        </w:trPr>
        <w:tc>
          <w:tcPr>
            <w:tcW w:w="440" w:type="dxa"/>
            <w:vAlign w:val="bottom"/>
          </w:tcPr>
          <w:p>
            <w:pPr>
              <w:ind w:left="40"/>
              <w:spacing w:after="0"/>
              <w:rPr>
                <w:sz w:val="20"/>
                <w:szCs w:val="20"/>
                <w:color w:val="auto"/>
              </w:rPr>
            </w:pPr>
            <w:r>
              <w:rPr>
                <w:rFonts w:ascii="Arial" w:cs="Arial" w:eastAsia="Arial" w:hAnsi="Arial"/>
                <w:sz w:val="16"/>
                <w:szCs w:val="16"/>
                <w:color w:val="auto"/>
              </w:rPr>
              <w:t>Land</w:t>
            </w:r>
          </w:p>
        </w:tc>
        <w:tc>
          <w:tcPr>
            <w:tcW w:w="8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32,618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42,992</w:t>
            </w:r>
          </w:p>
        </w:tc>
      </w:tr>
      <w:tr>
        <w:trPr>
          <w:trHeight w:val="270"/>
        </w:trPr>
        <w:tc>
          <w:tcPr>
            <w:tcW w:w="9220" w:type="dxa"/>
            <w:vAlign w:val="bottom"/>
            <w:gridSpan w:val="3"/>
          </w:tcPr>
          <w:p>
            <w:pPr>
              <w:ind w:left="40"/>
              <w:spacing w:after="0"/>
              <w:rPr>
                <w:sz w:val="20"/>
                <w:szCs w:val="20"/>
                <w:color w:val="auto"/>
              </w:rPr>
            </w:pPr>
            <w:r>
              <w:rPr>
                <w:rFonts w:ascii="Arial" w:cs="Arial" w:eastAsia="Arial" w:hAnsi="Arial"/>
                <w:sz w:val="16"/>
                <w:szCs w:val="16"/>
                <w:color w:val="auto"/>
              </w:rPr>
              <w:t>Buildings</w:t>
            </w: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299,652</w:t>
            </w:r>
          </w:p>
        </w:tc>
        <w:tc>
          <w:tcPr>
            <w:tcW w:w="2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364,844</w:t>
            </w:r>
          </w:p>
        </w:tc>
      </w:tr>
      <w:tr>
        <w:trPr>
          <w:trHeight w:val="270"/>
        </w:trPr>
        <w:tc>
          <w:tcPr>
            <w:tcW w:w="9220" w:type="dxa"/>
            <w:vAlign w:val="bottom"/>
            <w:gridSpan w:val="3"/>
          </w:tcPr>
          <w:p>
            <w:pPr>
              <w:ind w:left="40"/>
              <w:spacing w:after="0"/>
              <w:rPr>
                <w:sz w:val="20"/>
                <w:szCs w:val="20"/>
                <w:color w:val="auto"/>
              </w:rPr>
            </w:pPr>
            <w:r>
              <w:rPr>
                <w:rFonts w:ascii="Arial" w:cs="Arial" w:eastAsia="Arial" w:hAnsi="Arial"/>
                <w:sz w:val="16"/>
                <w:szCs w:val="16"/>
                <w:color w:val="auto"/>
              </w:rPr>
              <w:t>Machinery, equipment and fixtures</w:t>
            </w: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2,289,966</w:t>
            </w:r>
          </w:p>
        </w:tc>
        <w:tc>
          <w:tcPr>
            <w:tcW w:w="2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2,617,344</w:t>
            </w:r>
          </w:p>
        </w:tc>
      </w:tr>
      <w:tr>
        <w:trPr>
          <w:trHeight w:val="270"/>
        </w:trPr>
        <w:tc>
          <w:tcPr>
            <w:tcW w:w="9220" w:type="dxa"/>
            <w:vAlign w:val="bottom"/>
            <w:gridSpan w:val="3"/>
          </w:tcPr>
          <w:p>
            <w:pPr>
              <w:ind w:left="40"/>
              <w:spacing w:after="0"/>
              <w:rPr>
                <w:sz w:val="20"/>
                <w:szCs w:val="20"/>
                <w:color w:val="auto"/>
              </w:rPr>
            </w:pPr>
            <w:r>
              <w:rPr>
                <w:rFonts w:ascii="Arial" w:cs="Arial" w:eastAsia="Arial" w:hAnsi="Arial"/>
                <w:sz w:val="16"/>
                <w:szCs w:val="16"/>
                <w:color w:val="auto"/>
              </w:rPr>
              <w:t>Leasehold improvements</w:t>
            </w: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294,548</w:t>
            </w:r>
          </w:p>
        </w:tc>
        <w:tc>
          <w:tcPr>
            <w:tcW w:w="2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314,555</w:t>
            </w:r>
          </w:p>
        </w:tc>
      </w:tr>
      <w:tr>
        <w:trPr>
          <w:trHeight w:val="274"/>
        </w:trPr>
        <w:tc>
          <w:tcPr>
            <w:tcW w:w="9220" w:type="dxa"/>
            <w:vAlign w:val="bottom"/>
            <w:gridSpan w:val="3"/>
          </w:tcPr>
          <w:p>
            <w:pPr>
              <w:ind w:left="40"/>
              <w:spacing w:after="0"/>
              <w:rPr>
                <w:sz w:val="20"/>
                <w:szCs w:val="20"/>
                <w:color w:val="auto"/>
              </w:rPr>
            </w:pPr>
            <w:r>
              <w:rPr>
                <w:rFonts w:ascii="Arial" w:cs="Arial" w:eastAsia="Arial" w:hAnsi="Arial"/>
                <w:sz w:val="16"/>
                <w:szCs w:val="16"/>
                <w:color w:val="auto"/>
              </w:rPr>
              <w:t>Construction in progress</w:t>
            </w: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94,615</w:t>
            </w:r>
          </w:p>
        </w:tc>
        <w:tc>
          <w:tcPr>
            <w:tcW w:w="24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66,734</w:t>
            </w:r>
          </w:p>
        </w:tc>
      </w:tr>
      <w:tr>
        <w:trPr>
          <w:trHeight w:val="260"/>
        </w:trPr>
        <w:tc>
          <w:tcPr>
            <w:tcW w:w="440" w:type="dxa"/>
            <w:vAlign w:val="bottom"/>
          </w:tcPr>
          <w:p>
            <w:pPr>
              <w:spacing w:after="0"/>
              <w:rPr>
                <w:sz w:val="22"/>
                <w:szCs w:val="22"/>
                <w:color w:val="auto"/>
              </w:rPr>
            </w:pPr>
          </w:p>
        </w:tc>
        <w:tc>
          <w:tcPr>
            <w:tcW w:w="85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3,011,399</w:t>
            </w:r>
          </w:p>
        </w:tc>
        <w:tc>
          <w:tcPr>
            <w:tcW w:w="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3,406,469</w:t>
            </w:r>
          </w:p>
        </w:tc>
      </w:tr>
      <w:tr>
        <w:trPr>
          <w:trHeight w:val="274"/>
        </w:trPr>
        <w:tc>
          <w:tcPr>
            <w:tcW w:w="9020" w:type="dxa"/>
            <w:vAlign w:val="bottom"/>
            <w:gridSpan w:val="2"/>
          </w:tcPr>
          <w:p>
            <w:pPr>
              <w:ind w:left="4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(2,083,857)</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(2,325,232)</w:t>
            </w:r>
          </w:p>
        </w:tc>
      </w:tr>
      <w:tr>
        <w:trPr>
          <w:trHeight w:val="264"/>
        </w:trPr>
        <w:tc>
          <w:tcPr>
            <w:tcW w:w="440" w:type="dxa"/>
            <w:vAlign w:val="bottom"/>
          </w:tcPr>
          <w:p>
            <w:pPr>
              <w:spacing w:after="0"/>
              <w:rPr>
                <w:sz w:val="22"/>
                <w:szCs w:val="22"/>
                <w:color w:val="auto"/>
              </w:rPr>
            </w:pPr>
          </w:p>
        </w:tc>
        <w:tc>
          <w:tcPr>
            <w:tcW w:w="8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b w:val="1"/>
                <w:bCs w:val="1"/>
                <w:color w:val="auto"/>
              </w:rPr>
              <w:t>927,542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1,081,237</w:t>
            </w:r>
          </w:p>
        </w:tc>
      </w:tr>
      <w:tr>
        <w:trPr>
          <w:trHeight w:val="20"/>
        </w:trPr>
        <w:tc>
          <w:tcPr>
            <w:tcW w:w="44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$233.2 million, $244.1 million and $223.4 million in 2013, 2012 and 2011, respectively.</w:t>
      </w:r>
    </w:p>
    <w:p>
      <w:pPr>
        <w:spacing w:after="0" w:line="142"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w:t>
      </w:r>
    </w:p>
    <w:p>
      <w:pPr>
        <w:spacing w:after="0" w:line="144"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The Company completed business acquisitions totaling approximately $23.8 million in 2013; $55.6 million in 2012; and $136.5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including assumed debt of $ 5.5 million in 2011. The assets and liabilities of the companies acquired have been recorded at their estimated fair values at the date of acquisition.</w:t>
      </w:r>
    </w:p>
    <w:p>
      <w:pPr>
        <w:spacing w:after="0" w:line="108"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During 2013, the Company acquired six businesses. On August 1, 2013, the Company completed its acquisition of Forney Corporation, a global supplier of products and systems that control and monitor combustion processes in electric utility and industrial applications. The operating results for Forney are included in other businesses. The Company also acquired four small businesses in other businesses and one small business in its education division. In the second quarter of 2013, Kaplan purchased the remaining 15% noncontrolling interest in Kaplan China; this additional interest was accounted for as an equity transaction. The purchase price allocations mostly comprise goodwill, other intangible assets and current assets.</w:t>
      </w:r>
    </w:p>
    <w:p>
      <w:pPr>
        <w:spacing w:after="0" w:line="1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2012, the Company completed five business acquisitions. In November 2012, the Company completed its acquisition of a controlling interest in Celtic Healthcare, Inc. (Celtic), a provider of home health care and hospice services in the northeastern and mid-Atlantic regions. The operating results of Celtic are included in other businesses. The fair value of the noncontrolling interest in Celtic was $5.9 million at the acquisition date, determined using a market approach. The minority shareholder has an option to put their shares to the Company from 2018 to 2022, and the Company has an option to buy the shares of the minority shareholder in 2022. The Company also acquired three small businesses in its education division and one small business in other businesses. The purchase price allocations mostly comprised goodwill and other intangible assets.</w:t>
      </w:r>
    </w:p>
    <w:p>
      <w:pPr>
        <w:spacing w:after="0" w:line="12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During 2011, the Company completed five business acquisitions. Kaplan acquired three businesses in its Kaplan International division, one business in its KHE division and one business in its Kaplan Ventures division. These included the May 2011 acquisitions of Franklyn Scholar and Carrick Education Group, national providers of vocational training and higher education in Australia, and the June 2011 acquisition of Structuralia, a provider of e-learning for the engineering and infrastructure sector in Spain. The purchase price allocations for these acquisitions mostly comprised goodwill, other intangible assets and property, plant and equipment.</w:t>
      </w:r>
    </w:p>
    <w:p>
      <w:pPr>
        <w:spacing w:after="0" w:line="106"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Dispositions. </w:t>
      </w:r>
      <w:r>
        <w:rPr>
          <w:rFonts w:ascii="Arial" w:cs="Arial" w:eastAsia="Arial" w:hAnsi="Arial"/>
          <w:sz w:val="18"/>
          <w:szCs w:val="18"/>
          <w:color w:val="auto"/>
        </w:rPr>
        <w:t>On October 1, 2013, the Company completed the sale of its Publishing Subsidiaries that together conducted most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publishing business and related services, including publishing The Washington Post, Express, The Gazette Newspapers, Southern Maryland Newspapers, Greater Washington Publishing, Fairfax County Times and El Tiempo Latino and related websites. Slate magazine, TheRoot.com and Foreign Policy were not part of the transaction and remain with the Company, as do the Trove and SocialCode businesses, the Company’s interest in Classified Ventures and certain real estate assets, including the headquarters building in downtown Washington, DC. In March 2013, the Company completed the sale of The Herald, a daily and Sunday newspaper headquartered in Everett, WA. The Herald was previously reported in the newspaper publishing division.</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724" w:right="239" w:bottom="1440" w:gutter="0" w:footer="0" w:header="0"/>
          <w:type w:val="continuous"/>
        </w:sectPr>
      </w:pPr>
    </w:p>
    <w:bookmarkStart w:id="73" w:name="page74"/>
    <w:bookmarkEnd w:id="73"/>
    <w:p>
      <w:pPr>
        <w:ind w:right="280"/>
        <w:spacing w:after="0"/>
        <w:rPr>
          <w:sz w:val="20"/>
          <w:szCs w:val="20"/>
          <w:color w:val="auto"/>
        </w:rPr>
      </w:pPr>
      <w:r>
        <w:rPr>
          <w:rFonts w:ascii="Arial" w:cs="Arial" w:eastAsia="Arial" w:hAnsi="Arial"/>
          <w:sz w:val="18"/>
          <w:szCs w:val="18"/>
          <w:color w:val="auto"/>
        </w:rPr>
        <w:t>The Company divested its interest in Avenue100 Media Solutions in July 2012, which was previously reported in other businesses. Kaplan completed the sales of Kidum in August 2012, EduNeering in April 2012, and KLT in February 2012, which were part of the Kaplan Ventures division.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Kaplan completed the sales of KVE in July 2011 and KCS in October 2011, which were part of Kaplan Ventures and KHE, respectively.</w:t>
      </w:r>
    </w:p>
    <w:p>
      <w:pPr>
        <w:spacing w:after="0" w:line="144"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Consequently, the Company’s income from continuing operations excludes results from these businesses, which have been reclassified to discontinued operations (see Note 3).</w:t>
      </w:r>
    </w:p>
    <w:p>
      <w:pPr>
        <w:spacing w:after="0" w:line="90"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46"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In 2013, as a result of operating losses and restructuring activities at one of the Kaplan International businesses, Kaplan recorded an intangible and other long-lived assets impairment charge of $3.3 million. The Company estimated the fair value of the student and customer relationships and database and technology intangible assets using the excess earnings method, and the fair value of the trade name and trademarks intangible assets using the relief from royalty method.</w:t>
      </w:r>
    </w:p>
    <w:p>
      <w:pPr>
        <w:spacing w:after="0" w:line="11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As part of the Company’s annual impairment review in 2012, the KTP reporting unit failed the step one goodwill impairment test, and, therefore, a step two analysis was performed. As a result of the step two analysis, the Company recorded a goodwill and other long-lived asset impairment charge of $111.6 million. The Company estimated the fair value utilizing a discounted cash flow model, supported by a market approach. The impairment charge was the result of a slowdown in enrollment growth at KTP, operating losses for the preceding three years and other factors. A substantial portion of the impairment charge was due to the amount of unrecognized intangible assets identified in the step two analysis.</w:t>
      </w:r>
    </w:p>
    <w:p>
      <w:pPr>
        <w:spacing w:after="0" w:line="112"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Amortization of intangible assets for the years ended December 31, 2013, 2012 and 2011, was $13.6 million, $20.9 million and $ 22.2 million, respectively. Amortization of intangible assets is estimated to be approximately $11 million in 2014, $9 million in 2015, $8 million in 2016, $5 million in 2017, $4 million in 2018 and $3 million thereafter.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160"/>
              <w:spacing w:after="0"/>
              <w:rPr>
                <w:sz w:val="20"/>
                <w:szCs w:val="20"/>
                <w:color w:val="auto"/>
              </w:rPr>
            </w:pPr>
            <w:r>
              <w:rPr>
                <w:rFonts w:ascii="Arial" w:cs="Arial" w:eastAsia="Arial" w:hAnsi="Arial"/>
                <w:sz w:val="14"/>
                <w:szCs w:val="14"/>
                <w:b w:val="1"/>
                <w:bCs w:val="1"/>
                <w:color w:val="auto"/>
              </w:rPr>
              <w:t>Newspaper</w:t>
            </w:r>
          </w:p>
        </w:tc>
        <w:tc>
          <w:tcPr>
            <w:tcW w:w="200" w:type="dxa"/>
            <w:vAlign w:val="bottom"/>
          </w:tcPr>
          <w:p>
            <w:pPr>
              <w:spacing w:after="0"/>
              <w:rPr>
                <w:sz w:val="14"/>
                <w:szCs w:val="14"/>
                <w:color w:val="auto"/>
              </w:rPr>
            </w:pPr>
          </w:p>
        </w:tc>
        <w:tc>
          <w:tcPr>
            <w:tcW w:w="1120" w:type="dxa"/>
            <w:vAlign w:val="bottom"/>
          </w:tcPr>
          <w:p>
            <w:pPr>
              <w:jc w:val="right"/>
              <w:ind w:right="200"/>
              <w:spacing w:after="0"/>
              <w:rPr>
                <w:sz w:val="20"/>
                <w:szCs w:val="20"/>
                <w:color w:val="auto"/>
              </w:rPr>
            </w:pPr>
            <w:r>
              <w:rPr>
                <w:rFonts w:ascii="Arial" w:cs="Arial" w:eastAsia="Arial" w:hAnsi="Arial"/>
                <w:sz w:val="14"/>
                <w:szCs w:val="14"/>
                <w:b w:val="1"/>
                <w:bCs w:val="1"/>
                <w:color w:val="auto"/>
              </w:rPr>
              <w:t>Television</w:t>
            </w:r>
          </w:p>
        </w:tc>
        <w:tc>
          <w:tcPr>
            <w:tcW w:w="240" w:type="dxa"/>
            <w:vAlign w:val="bottom"/>
          </w:tcPr>
          <w:p>
            <w:pPr>
              <w:spacing w:after="0"/>
              <w:rPr>
                <w:sz w:val="14"/>
                <w:szCs w:val="14"/>
                <w:color w:val="auto"/>
              </w:rPr>
            </w:pPr>
          </w:p>
        </w:tc>
        <w:tc>
          <w:tcPr>
            <w:tcW w:w="1040" w:type="dxa"/>
            <w:vAlign w:val="bottom"/>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Education</w:t>
            </w: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Cable</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Publishing</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Broadcasting</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Businesses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r>
      <w:tr>
        <w:trPr>
          <w:trHeight w:val="249"/>
        </w:trPr>
        <w:tc>
          <w:tcPr>
            <w:tcW w:w="4000" w:type="dxa"/>
            <w:vAlign w:val="bottom"/>
          </w:tcPr>
          <w:p>
            <w:pPr>
              <w:ind w:left="40"/>
              <w:spacing w:after="0"/>
              <w:rPr>
                <w:sz w:val="20"/>
                <w:szCs w:val="20"/>
                <w:color w:val="auto"/>
              </w:rPr>
            </w:pPr>
            <w:r>
              <w:rPr>
                <w:rFonts w:ascii="Arial" w:cs="Arial" w:eastAsia="Arial" w:hAnsi="Arial"/>
                <w:sz w:val="16"/>
                <w:szCs w:val="16"/>
                <w:color w:val="auto"/>
              </w:rPr>
              <w:t>As of December 31, 2011</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1,116,615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85,488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81,183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203,165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100,152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1,586,603</w:t>
            </w:r>
          </w:p>
        </w:tc>
      </w:tr>
      <w:tr>
        <w:trPr>
          <w:trHeight w:val="279"/>
        </w:trPr>
        <w:tc>
          <w:tcPr>
            <w:tcW w:w="400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(8,492)</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(65,772)</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(97,342)</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(171,606)</w:t>
            </w:r>
          </w:p>
        </w:tc>
      </w:tr>
      <w:tr>
        <w:trPr>
          <w:trHeight w:val="264"/>
        </w:trPr>
        <w:tc>
          <w:tcPr>
            <w:tcW w:w="40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1,108,123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85,488</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15,411</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203,165</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2,810</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1,414,997</w:t>
            </w:r>
          </w:p>
        </w:tc>
      </w:tr>
      <w:tr>
        <w:trPr>
          <w:trHeight w:val="255"/>
        </w:trPr>
        <w:tc>
          <w:tcPr>
            <w:tcW w:w="400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18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7,364</w:t>
            </w:r>
          </w:p>
        </w:tc>
        <w:tc>
          <w:tcPr>
            <w:tcW w:w="3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16,242</w:t>
            </w:r>
          </w:p>
        </w:tc>
        <w:tc>
          <w:tcPr>
            <w:tcW w:w="28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23,606</w:t>
            </w: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Impairment</w:t>
            </w:r>
          </w:p>
        </w:tc>
        <w:tc>
          <w:tcPr>
            <w:tcW w:w="1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(102,259)</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(102,259)</w:t>
            </w: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Dispositions</w:t>
            </w:r>
          </w:p>
        </w:tc>
        <w:tc>
          <w:tcPr>
            <w:tcW w:w="1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(29,000)</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(29,000)</w:t>
            </w:r>
          </w:p>
        </w:tc>
      </w:tr>
      <w:tr>
        <w:trPr>
          <w:trHeight w:val="279"/>
        </w:trPr>
        <w:tc>
          <w:tcPr>
            <w:tcW w:w="4000" w:type="dxa"/>
            <w:vAlign w:val="bottom"/>
          </w:tcPr>
          <w:p>
            <w:pPr>
              <w:ind w:left="40"/>
              <w:spacing w:after="0"/>
              <w:rPr>
                <w:sz w:val="20"/>
                <w:szCs w:val="20"/>
                <w:color w:val="auto"/>
              </w:rPr>
            </w:pPr>
            <w:r>
              <w:rPr>
                <w:rFonts w:ascii="Arial" w:cs="Arial" w:eastAsia="Arial" w:hAnsi="Arial"/>
                <w:sz w:val="16"/>
                <w:szCs w:val="16"/>
                <w:color w:val="auto"/>
              </w:rPr>
              <w:t>Foreign currency exchange rate changes and other</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10,571</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10,571</w:t>
            </w:r>
          </w:p>
        </w:tc>
      </w:tr>
      <w:tr>
        <w:trPr>
          <w:trHeight w:val="255"/>
        </w:trPr>
        <w:tc>
          <w:tcPr>
            <w:tcW w:w="4000" w:type="dxa"/>
            <w:vAlign w:val="bottom"/>
          </w:tcPr>
          <w:p>
            <w:pPr>
              <w:ind w:left="40"/>
              <w:spacing w:after="0"/>
              <w:rPr>
                <w:sz w:val="20"/>
                <w:szCs w:val="20"/>
                <w:color w:val="auto"/>
              </w:rPr>
            </w:pPr>
            <w:r>
              <w:rPr>
                <w:rFonts w:ascii="Arial" w:cs="Arial" w:eastAsia="Arial" w:hAnsi="Arial"/>
                <w:sz w:val="16"/>
                <w:szCs w:val="16"/>
                <w:color w:val="auto"/>
              </w:rPr>
              <w:t>As of December 31, 2012</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1,097,058</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85,488</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81,183</w:t>
            </w:r>
          </w:p>
        </w:tc>
        <w:tc>
          <w:tcPr>
            <w:tcW w:w="20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203,165</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19,052</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1,485,946</w:t>
            </w:r>
          </w:p>
        </w:tc>
      </w:tr>
      <w:tr>
        <w:trPr>
          <w:trHeight w:val="279"/>
        </w:trPr>
        <w:tc>
          <w:tcPr>
            <w:tcW w:w="400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(102,259)</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(65,772)</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(168,031)</w:t>
            </w:r>
          </w:p>
        </w:tc>
      </w:tr>
      <w:tr>
        <w:trPr>
          <w:trHeight w:val="264"/>
        </w:trPr>
        <w:tc>
          <w:tcPr>
            <w:tcW w:w="40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994,799</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85,488</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15,411</w:t>
            </w: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203,165</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19,052</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1,317,915</w:t>
            </w:r>
          </w:p>
        </w:tc>
      </w:tr>
      <w:tr>
        <w:trPr>
          <w:trHeight w:val="263"/>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Reallocation, net</w:t>
            </w:r>
          </w:p>
        </w:tc>
        <w:tc>
          <w:tcPr>
            <w:tcW w:w="18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(1,809)</w:t>
            </w:r>
          </w:p>
        </w:tc>
        <w:tc>
          <w:tcPr>
            <w:tcW w:w="200" w:type="dxa"/>
            <w:vAlign w:val="bottom"/>
          </w:tcPr>
          <w:p>
            <w:pPr>
              <w:spacing w:after="0"/>
              <w:rPr>
                <w:sz w:val="22"/>
                <w:szCs w:val="22"/>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2"/>
                <w:szCs w:val="22"/>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1,809</w:t>
            </w:r>
          </w:p>
        </w:tc>
        <w:tc>
          <w:tcPr>
            <w:tcW w:w="28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7,934</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7,934</w:t>
            </w: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18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(13,602)</w:t>
            </w:r>
          </w:p>
        </w:tc>
        <w:tc>
          <w:tcPr>
            <w:tcW w:w="20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(13,602)</w:t>
            </w:r>
          </w:p>
        </w:tc>
      </w:tr>
      <w:tr>
        <w:trPr>
          <w:trHeight w:val="20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 and</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4000" w:type="dxa"/>
            <w:vAlign w:val="bottom"/>
          </w:tcPr>
          <w:p>
            <w:pPr>
              <w:ind w:left="200"/>
              <w:spacing w:after="0"/>
              <w:rPr>
                <w:sz w:val="20"/>
                <w:szCs w:val="20"/>
                <w:color w:val="auto"/>
              </w:rPr>
            </w:pPr>
            <w:r>
              <w:rPr>
                <w:rFonts w:ascii="Arial" w:cs="Arial" w:eastAsia="Arial" w:hAnsi="Arial"/>
                <w:sz w:val="16"/>
                <w:szCs w:val="16"/>
                <w:b w:val="1"/>
                <w:bCs w:val="1"/>
                <w:color w:val="auto"/>
              </w:rPr>
              <w:t>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(23,625)</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(23,625)</w:t>
            </w:r>
          </w:p>
        </w:tc>
      </w:tr>
      <w:tr>
        <w:trPr>
          <w:trHeight w:val="263"/>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2013</w:t>
            </w: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400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1,073,433</w:t>
            </w:r>
          </w:p>
        </w:tc>
        <w:tc>
          <w:tcPr>
            <w:tcW w:w="3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85,488</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b w:val="1"/>
                <w:bCs w:val="1"/>
                <w:color w:val="auto"/>
              </w:rPr>
              <w:t>203,165</w:t>
            </w:r>
          </w:p>
        </w:tc>
        <w:tc>
          <w:tcPr>
            <w:tcW w:w="24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34,877</w:t>
            </w:r>
          </w:p>
        </w:tc>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1,396,963</w:t>
            </w:r>
          </w:p>
        </w:tc>
      </w:tr>
      <w:tr>
        <w:trPr>
          <w:trHeight w:val="274"/>
        </w:trPr>
        <w:tc>
          <w:tcPr>
            <w:tcW w:w="400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(102,259)</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(6,082)</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(108,341)</w:t>
            </w:r>
          </w:p>
        </w:tc>
      </w:tr>
      <w:tr>
        <w:trPr>
          <w:trHeight w:val="264"/>
        </w:trPr>
        <w:tc>
          <w:tcPr>
            <w:tcW w:w="40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971,174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85,488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203,165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28,795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1,288,622</w:t>
            </w: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724" w:right="239" w:bottom="1440" w:gutter="0" w:footer="0" w:header="0"/>
        </w:sectPr>
      </w:pPr>
    </w:p>
    <w:bookmarkStart w:id="74" w:name="page75"/>
    <w:bookmarkEnd w:id="74"/>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64"/>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020" w:type="dxa"/>
            <w:vAlign w:val="bottom"/>
          </w:tcPr>
          <w:p>
            <w:pPr>
              <w:jc w:val="right"/>
              <w:ind w:right="384"/>
              <w:spacing w:after="0"/>
              <w:rPr>
                <w:sz w:val="20"/>
                <w:szCs w:val="20"/>
                <w:color w:val="auto"/>
              </w:rPr>
            </w:pPr>
            <w:r>
              <w:rPr>
                <w:rFonts w:ascii="Arial" w:cs="Arial" w:eastAsia="Arial" w:hAnsi="Arial"/>
                <w:sz w:val="14"/>
                <w:szCs w:val="14"/>
                <w:b w:val="1"/>
                <w:bCs w:val="1"/>
                <w:color w:val="auto"/>
              </w:rPr>
              <w:t>Test</w:t>
            </w:r>
          </w:p>
        </w:tc>
        <w:tc>
          <w:tcPr>
            <w:tcW w:w="220" w:type="dxa"/>
            <w:vAlign w:val="bottom"/>
          </w:tcPr>
          <w:p>
            <w:pPr>
              <w:spacing w:after="0"/>
              <w:rPr>
                <w:sz w:val="14"/>
                <w:szCs w:val="14"/>
                <w:color w:val="auto"/>
              </w:rPr>
            </w:pPr>
          </w:p>
        </w:tc>
        <w:tc>
          <w:tcPr>
            <w:tcW w:w="1160" w:type="dxa"/>
            <w:vAlign w:val="bottom"/>
          </w:tcPr>
          <w:p>
            <w:pPr>
              <w:jc w:val="right"/>
              <w:ind w:right="364"/>
              <w:spacing w:after="0"/>
              <w:rPr>
                <w:sz w:val="20"/>
                <w:szCs w:val="20"/>
                <w:color w:val="auto"/>
              </w:rPr>
            </w:pPr>
            <w:r>
              <w:rPr>
                <w:rFonts w:ascii="Arial" w:cs="Arial" w:eastAsia="Arial" w:hAnsi="Arial"/>
                <w:sz w:val="14"/>
                <w:szCs w:val="14"/>
                <w:b w:val="1"/>
                <w:bCs w:val="1"/>
                <w:color w:val="auto"/>
              </w:rPr>
              <w:t>Kaplan</w:t>
            </w:r>
          </w:p>
        </w:tc>
        <w:tc>
          <w:tcPr>
            <w:tcW w:w="220" w:type="dxa"/>
            <w:vAlign w:val="bottom"/>
          </w:tcPr>
          <w:p>
            <w:pPr>
              <w:spacing w:after="0"/>
              <w:rPr>
                <w:sz w:val="14"/>
                <w:szCs w:val="14"/>
                <w:color w:val="auto"/>
              </w:rPr>
            </w:pPr>
          </w:p>
        </w:tc>
        <w:tc>
          <w:tcPr>
            <w:tcW w:w="900" w:type="dxa"/>
            <w:vAlign w:val="bottom"/>
          </w:tcPr>
          <w:p>
            <w:pPr>
              <w:jc w:val="right"/>
              <w:ind w:right="224"/>
              <w:spacing w:after="0"/>
              <w:rPr>
                <w:sz w:val="20"/>
                <w:szCs w:val="20"/>
                <w:color w:val="auto"/>
              </w:rPr>
            </w:pPr>
            <w:r>
              <w:rPr>
                <w:rFonts w:ascii="Arial" w:cs="Arial" w:eastAsia="Arial" w:hAnsi="Arial"/>
                <w:sz w:val="14"/>
                <w:szCs w:val="14"/>
                <w:b w:val="1"/>
                <w:bCs w:val="1"/>
                <w:color w:val="auto"/>
              </w:rPr>
              <w:t>Kaplan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3"/>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Preparation</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Ventures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Total</w:t>
            </w:r>
          </w:p>
        </w:tc>
      </w:tr>
      <w:tr>
        <w:trPr>
          <w:trHeight w:val="259"/>
        </w:trPr>
        <w:tc>
          <w:tcPr>
            <w:tcW w:w="5500" w:type="dxa"/>
            <w:vAlign w:val="bottom"/>
          </w:tcPr>
          <w:p>
            <w:pPr>
              <w:ind w:left="40"/>
              <w:spacing w:after="0"/>
              <w:rPr>
                <w:sz w:val="20"/>
                <w:szCs w:val="20"/>
                <w:color w:val="auto"/>
              </w:rPr>
            </w:pPr>
            <w:r>
              <w:rPr>
                <w:rFonts w:ascii="Arial" w:cs="Arial" w:eastAsia="Arial" w:hAnsi="Arial"/>
                <w:sz w:val="15"/>
                <w:szCs w:val="15"/>
                <w:color w:val="auto"/>
              </w:rPr>
              <w:t>As of December 31, 2011</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5500" w:type="dxa"/>
            <w:vAlign w:val="bottom"/>
          </w:tcPr>
          <w:p>
            <w:pPr>
              <w:ind w:left="280"/>
              <w:spacing w:after="0"/>
              <w:rPr>
                <w:sz w:val="20"/>
                <w:szCs w:val="20"/>
                <w:color w:val="auto"/>
              </w:rPr>
            </w:pPr>
            <w:r>
              <w:rPr>
                <w:rFonts w:ascii="Arial" w:cs="Arial" w:eastAsia="Arial" w:hAnsi="Arial"/>
                <w:sz w:val="15"/>
                <w:szCs w:val="15"/>
                <w:color w:val="auto"/>
              </w:rPr>
              <w:t>Goodwill</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409,128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152,187</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515,936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39,364</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1,116,615</w:t>
            </w:r>
          </w:p>
        </w:tc>
      </w:tr>
      <w:tr>
        <w:trPr>
          <w:trHeight w:val="273"/>
        </w:trPr>
        <w:tc>
          <w:tcPr>
            <w:tcW w:w="5500" w:type="dxa"/>
            <w:vAlign w:val="bottom"/>
          </w:tcPr>
          <w:p>
            <w:pPr>
              <w:ind w:left="280"/>
              <w:spacing w:after="0"/>
              <w:rPr>
                <w:sz w:val="20"/>
                <w:szCs w:val="20"/>
                <w:color w:val="auto"/>
              </w:rPr>
            </w:pPr>
            <w:r>
              <w:rPr>
                <w:rFonts w:ascii="Arial" w:cs="Arial" w:eastAsia="Arial" w:hAnsi="Arial"/>
                <w:sz w:val="15"/>
                <w:szCs w:val="15"/>
                <w:color w:val="auto"/>
              </w:rPr>
              <w:t>Accumulated impairment losses</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(8,492)</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(8,492)</w:t>
            </w:r>
          </w:p>
        </w:tc>
      </w:tr>
      <w:tr>
        <w:trPr>
          <w:trHeight w:val="264"/>
        </w:trPr>
        <w:tc>
          <w:tcPr>
            <w:tcW w:w="5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409,128</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152,187</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515,936</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30,872</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1,108,123</w:t>
            </w:r>
          </w:p>
        </w:tc>
      </w:tr>
      <w:tr>
        <w:trPr>
          <w:trHeight w:val="261"/>
        </w:trPr>
        <w:tc>
          <w:tcPr>
            <w:tcW w:w="5500" w:type="dxa"/>
            <w:vAlign w:val="bottom"/>
          </w:tcPr>
          <w:p>
            <w:pPr>
              <w:ind w:left="40"/>
              <w:spacing w:after="0"/>
              <w:rPr>
                <w:sz w:val="20"/>
                <w:szCs w:val="20"/>
                <w:color w:val="auto"/>
              </w:rPr>
            </w:pPr>
            <w:r>
              <w:rPr>
                <w:rFonts w:ascii="Arial" w:cs="Arial" w:eastAsia="Arial" w:hAnsi="Arial"/>
                <w:sz w:val="15"/>
                <w:szCs w:val="15"/>
                <w:color w:val="auto"/>
              </w:rPr>
              <w:t>Acquisitions</w:t>
            </w:r>
          </w:p>
        </w:tc>
        <w:tc>
          <w:tcPr>
            <w:tcW w:w="140" w:type="dxa"/>
            <w:vAlign w:val="bottom"/>
          </w:tcPr>
          <w:p>
            <w:pPr>
              <w:spacing w:after="0"/>
              <w:rPr>
                <w:sz w:val="22"/>
                <w:szCs w:val="22"/>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2"/>
                <w:szCs w:val="22"/>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2"/>
                <w:szCs w:val="22"/>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7,364</w:t>
            </w:r>
          </w:p>
        </w:tc>
        <w:tc>
          <w:tcPr>
            <w:tcW w:w="220" w:type="dxa"/>
            <w:vAlign w:val="bottom"/>
          </w:tcPr>
          <w:p>
            <w:pPr>
              <w:spacing w:after="0"/>
              <w:rPr>
                <w:sz w:val="22"/>
                <w:szCs w:val="22"/>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2"/>
                <w:szCs w:val="22"/>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7,364</w:t>
            </w:r>
          </w:p>
        </w:tc>
      </w:tr>
      <w:tr>
        <w:trPr>
          <w:trHeight w:val="270"/>
        </w:trPr>
        <w:tc>
          <w:tcPr>
            <w:tcW w:w="5500" w:type="dxa"/>
            <w:vAlign w:val="bottom"/>
          </w:tcPr>
          <w:p>
            <w:pPr>
              <w:ind w:left="40"/>
              <w:spacing w:after="0"/>
              <w:rPr>
                <w:sz w:val="20"/>
                <w:szCs w:val="20"/>
                <w:color w:val="auto"/>
              </w:rPr>
            </w:pPr>
            <w:r>
              <w:rPr>
                <w:rFonts w:ascii="Arial" w:cs="Arial" w:eastAsia="Arial" w:hAnsi="Arial"/>
                <w:sz w:val="15"/>
                <w:szCs w:val="15"/>
                <w:color w:val="auto"/>
              </w:rPr>
              <w:t>Impairment Losses</w:t>
            </w:r>
          </w:p>
        </w:tc>
        <w:tc>
          <w:tcPr>
            <w:tcW w:w="140" w:type="dxa"/>
            <w:vAlign w:val="bottom"/>
          </w:tcPr>
          <w:p>
            <w:pPr>
              <w:spacing w:after="0"/>
              <w:rPr>
                <w:sz w:val="23"/>
                <w:szCs w:val="23"/>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20" w:type="dxa"/>
            <w:vAlign w:val="bottom"/>
          </w:tcPr>
          <w:p>
            <w:pPr>
              <w:jc w:val="right"/>
              <w:ind w:right="4"/>
              <w:spacing w:after="0"/>
              <w:rPr>
                <w:sz w:val="20"/>
                <w:szCs w:val="20"/>
                <w:color w:val="auto"/>
              </w:rPr>
            </w:pPr>
            <w:r>
              <w:rPr>
                <w:rFonts w:ascii="Arial" w:cs="Arial" w:eastAsia="Arial" w:hAnsi="Arial"/>
                <w:sz w:val="15"/>
                <w:szCs w:val="15"/>
                <w:color w:val="auto"/>
              </w:rPr>
              <w:t>(102,259)</w:t>
            </w:r>
          </w:p>
        </w:tc>
        <w:tc>
          <w:tcPr>
            <w:tcW w:w="220" w:type="dxa"/>
            <w:vAlign w:val="bottom"/>
          </w:tcPr>
          <w:p>
            <w:pPr>
              <w:spacing w:after="0"/>
              <w:rPr>
                <w:sz w:val="23"/>
                <w:szCs w:val="23"/>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(102,259)</w:t>
            </w:r>
          </w:p>
        </w:tc>
      </w:tr>
      <w:tr>
        <w:trPr>
          <w:trHeight w:val="270"/>
        </w:trPr>
        <w:tc>
          <w:tcPr>
            <w:tcW w:w="5500" w:type="dxa"/>
            <w:vAlign w:val="bottom"/>
          </w:tcPr>
          <w:p>
            <w:pPr>
              <w:ind w:left="40"/>
              <w:spacing w:after="0"/>
              <w:rPr>
                <w:sz w:val="20"/>
                <w:szCs w:val="20"/>
                <w:color w:val="auto"/>
              </w:rPr>
            </w:pPr>
            <w:r>
              <w:rPr>
                <w:rFonts w:ascii="Arial" w:cs="Arial" w:eastAsia="Arial" w:hAnsi="Arial"/>
                <w:sz w:val="15"/>
                <w:szCs w:val="15"/>
                <w:color w:val="auto"/>
              </w:rPr>
              <w:t>Dispositions</w:t>
            </w:r>
          </w:p>
        </w:tc>
        <w:tc>
          <w:tcPr>
            <w:tcW w:w="140" w:type="dxa"/>
            <w:vAlign w:val="bottom"/>
          </w:tcPr>
          <w:p>
            <w:pPr>
              <w:spacing w:after="0"/>
              <w:rPr>
                <w:sz w:val="23"/>
                <w:szCs w:val="23"/>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900" w:type="dxa"/>
            <w:vAlign w:val="bottom"/>
          </w:tcPr>
          <w:p>
            <w:pPr>
              <w:jc w:val="right"/>
              <w:ind w:right="24"/>
              <w:spacing w:after="0"/>
              <w:rPr>
                <w:sz w:val="20"/>
                <w:szCs w:val="20"/>
                <w:color w:val="auto"/>
              </w:rPr>
            </w:pPr>
            <w:r>
              <w:rPr>
                <w:rFonts w:ascii="Arial" w:cs="Arial" w:eastAsia="Arial" w:hAnsi="Arial"/>
                <w:sz w:val="15"/>
                <w:szCs w:val="15"/>
                <w:color w:val="auto"/>
              </w:rPr>
              <w:t>(29,000)</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(29,000)</w:t>
            </w:r>
          </w:p>
        </w:tc>
      </w:tr>
      <w:tr>
        <w:trPr>
          <w:trHeight w:val="270"/>
        </w:trPr>
        <w:tc>
          <w:tcPr>
            <w:tcW w:w="5500" w:type="dxa"/>
            <w:vAlign w:val="bottom"/>
          </w:tcPr>
          <w:p>
            <w:pPr>
              <w:ind w:left="40"/>
              <w:spacing w:after="0"/>
              <w:rPr>
                <w:sz w:val="20"/>
                <w:szCs w:val="20"/>
                <w:color w:val="auto"/>
              </w:rPr>
            </w:pPr>
            <w:r>
              <w:rPr>
                <w:rFonts w:ascii="Arial" w:cs="Arial" w:eastAsia="Arial" w:hAnsi="Arial"/>
                <w:sz w:val="15"/>
                <w:szCs w:val="15"/>
                <w:color w:val="auto"/>
              </w:rPr>
              <w:t>Foreign currency exchange rate changes and other</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56</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12,387</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(1,872)</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10,571</w:t>
            </w:r>
          </w:p>
        </w:tc>
      </w:tr>
      <w:tr>
        <w:trPr>
          <w:trHeight w:val="264"/>
        </w:trPr>
        <w:tc>
          <w:tcPr>
            <w:tcW w:w="5500" w:type="dxa"/>
            <w:vAlign w:val="bottom"/>
          </w:tcPr>
          <w:p>
            <w:pPr>
              <w:ind w:left="40"/>
              <w:spacing w:after="0"/>
              <w:rPr>
                <w:sz w:val="20"/>
                <w:szCs w:val="20"/>
                <w:color w:val="auto"/>
              </w:rPr>
            </w:pPr>
            <w:r>
              <w:rPr>
                <w:rFonts w:ascii="Arial" w:cs="Arial" w:eastAsia="Arial" w:hAnsi="Arial"/>
                <w:sz w:val="15"/>
                <w:szCs w:val="15"/>
                <w:color w:val="auto"/>
              </w:rPr>
              <w:t>As of December 31, 2012</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5500" w:type="dxa"/>
            <w:vAlign w:val="bottom"/>
          </w:tcPr>
          <w:p>
            <w:pPr>
              <w:ind w:left="280"/>
              <w:spacing w:after="0"/>
              <w:rPr>
                <w:sz w:val="20"/>
                <w:szCs w:val="20"/>
                <w:color w:val="auto"/>
              </w:rPr>
            </w:pPr>
            <w:r>
              <w:rPr>
                <w:rFonts w:ascii="Arial" w:cs="Arial" w:eastAsia="Arial" w:hAnsi="Arial"/>
                <w:sz w:val="15"/>
                <w:szCs w:val="15"/>
                <w:color w:val="auto"/>
              </w:rPr>
              <w:t>Goodwill</w:t>
            </w:r>
          </w:p>
        </w:tc>
        <w:tc>
          <w:tcPr>
            <w:tcW w:w="140" w:type="dxa"/>
            <w:vAlign w:val="bottom"/>
          </w:tcPr>
          <w:p>
            <w:pPr>
              <w:spacing w:after="0"/>
              <w:rPr>
                <w:sz w:val="23"/>
                <w:szCs w:val="23"/>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color w:val="auto"/>
              </w:rPr>
              <w:t>409,184</w:t>
            </w:r>
          </w:p>
        </w:tc>
        <w:tc>
          <w:tcPr>
            <w:tcW w:w="220" w:type="dxa"/>
            <w:vAlign w:val="bottom"/>
          </w:tcPr>
          <w:p>
            <w:pPr>
              <w:spacing w:after="0"/>
              <w:rPr>
                <w:sz w:val="23"/>
                <w:szCs w:val="23"/>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color w:val="auto"/>
              </w:rPr>
              <w:t>152,187</w:t>
            </w:r>
          </w:p>
        </w:tc>
        <w:tc>
          <w:tcPr>
            <w:tcW w:w="220" w:type="dxa"/>
            <w:vAlign w:val="bottom"/>
          </w:tcPr>
          <w:p>
            <w:pPr>
              <w:spacing w:after="0"/>
              <w:rPr>
                <w:sz w:val="23"/>
                <w:szCs w:val="23"/>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color w:val="auto"/>
              </w:rPr>
              <w:t>535,687</w:t>
            </w:r>
          </w:p>
        </w:tc>
        <w:tc>
          <w:tcPr>
            <w:tcW w:w="220" w:type="dxa"/>
            <w:vAlign w:val="bottom"/>
          </w:tcPr>
          <w:p>
            <w:pPr>
              <w:spacing w:after="0"/>
              <w:rPr>
                <w:sz w:val="23"/>
                <w:szCs w:val="23"/>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1,097,058</w:t>
            </w:r>
          </w:p>
        </w:tc>
      </w:tr>
      <w:tr>
        <w:trPr>
          <w:trHeight w:val="273"/>
        </w:trPr>
        <w:tc>
          <w:tcPr>
            <w:tcW w:w="5500" w:type="dxa"/>
            <w:vAlign w:val="bottom"/>
          </w:tcPr>
          <w:p>
            <w:pPr>
              <w:ind w:left="280"/>
              <w:spacing w:after="0"/>
              <w:rPr>
                <w:sz w:val="20"/>
                <w:szCs w:val="20"/>
                <w:color w:val="auto"/>
              </w:rPr>
            </w:pPr>
            <w:r>
              <w:rPr>
                <w:rFonts w:ascii="Arial" w:cs="Arial" w:eastAsia="Arial" w:hAnsi="Arial"/>
                <w:sz w:val="15"/>
                <w:szCs w:val="15"/>
                <w:color w:val="auto"/>
              </w:rPr>
              <w:t>Accumulated impairment losses</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(102,259)</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(102,259)</w:t>
            </w:r>
          </w:p>
        </w:tc>
      </w:tr>
      <w:tr>
        <w:trPr>
          <w:trHeight w:val="264"/>
        </w:trPr>
        <w:tc>
          <w:tcPr>
            <w:tcW w:w="5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409,184</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49,928</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535,687</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994,799</w:t>
            </w:r>
          </w:p>
        </w:tc>
      </w:tr>
      <w:tr>
        <w:trPr>
          <w:trHeight w:val="267"/>
        </w:trPr>
        <w:tc>
          <w:tcPr>
            <w:tcW w:w="5500" w:type="dxa"/>
            <w:vAlign w:val="bottom"/>
          </w:tcPr>
          <w:p>
            <w:pPr>
              <w:ind w:left="40"/>
              <w:spacing w:after="0"/>
              <w:rPr>
                <w:sz w:val="20"/>
                <w:szCs w:val="20"/>
                <w:color w:val="auto"/>
              </w:rPr>
            </w:pPr>
            <w:r>
              <w:rPr>
                <w:rFonts w:ascii="Arial" w:cs="Arial" w:eastAsia="Arial" w:hAnsi="Arial"/>
                <w:sz w:val="15"/>
                <w:szCs w:val="15"/>
                <w:b w:val="1"/>
                <w:bCs w:val="1"/>
                <w:color w:val="auto"/>
              </w:rPr>
              <w:t>Foreign currency exchange rate changes and other</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(168)</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(23,457)</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(23,625)</w:t>
            </w:r>
          </w:p>
        </w:tc>
      </w:tr>
      <w:tr>
        <w:trPr>
          <w:trHeight w:val="266"/>
        </w:trPr>
        <w:tc>
          <w:tcPr>
            <w:tcW w:w="5500" w:type="dxa"/>
            <w:vAlign w:val="bottom"/>
          </w:tcPr>
          <w:p>
            <w:pPr>
              <w:ind w:left="40"/>
              <w:spacing w:after="0"/>
              <w:rPr>
                <w:sz w:val="20"/>
                <w:szCs w:val="20"/>
                <w:color w:val="auto"/>
              </w:rPr>
            </w:pPr>
            <w:r>
              <w:rPr>
                <w:rFonts w:ascii="Arial" w:cs="Arial" w:eastAsia="Arial" w:hAnsi="Arial"/>
                <w:sz w:val="15"/>
                <w:szCs w:val="15"/>
                <w:b w:val="1"/>
                <w:bCs w:val="1"/>
                <w:color w:val="auto"/>
              </w:rPr>
              <w:t>As of December 31, 2013</w:t>
            </w: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5500" w:type="dxa"/>
            <w:vAlign w:val="bottom"/>
          </w:tcPr>
          <w:p>
            <w:pPr>
              <w:ind w:left="280"/>
              <w:spacing w:after="0"/>
              <w:rPr>
                <w:sz w:val="20"/>
                <w:szCs w:val="20"/>
                <w:color w:val="auto"/>
              </w:rPr>
            </w:pPr>
            <w:r>
              <w:rPr>
                <w:rFonts w:ascii="Arial" w:cs="Arial" w:eastAsia="Arial" w:hAnsi="Arial"/>
                <w:sz w:val="15"/>
                <w:szCs w:val="15"/>
                <w:b w:val="1"/>
                <w:bCs w:val="1"/>
                <w:color w:val="auto"/>
              </w:rPr>
              <w:t>Goodwill</w:t>
            </w:r>
          </w:p>
        </w:tc>
        <w:tc>
          <w:tcPr>
            <w:tcW w:w="140" w:type="dxa"/>
            <w:vAlign w:val="bottom"/>
          </w:tcPr>
          <w:p>
            <w:pPr>
              <w:spacing w:after="0"/>
              <w:rPr>
                <w:sz w:val="23"/>
                <w:szCs w:val="23"/>
                <w:color w:val="auto"/>
              </w:rPr>
            </w:pPr>
          </w:p>
        </w:tc>
        <w:tc>
          <w:tcPr>
            <w:tcW w:w="940" w:type="dxa"/>
            <w:vAlign w:val="bottom"/>
          </w:tcPr>
          <w:p>
            <w:pPr>
              <w:jc w:val="right"/>
              <w:ind w:right="64"/>
              <w:spacing w:after="0"/>
              <w:rPr>
                <w:sz w:val="20"/>
                <w:szCs w:val="20"/>
                <w:color w:val="auto"/>
              </w:rPr>
            </w:pPr>
            <w:r>
              <w:rPr>
                <w:rFonts w:ascii="Arial" w:cs="Arial" w:eastAsia="Arial" w:hAnsi="Arial"/>
                <w:sz w:val="15"/>
                <w:szCs w:val="15"/>
                <w:b w:val="1"/>
                <w:bCs w:val="1"/>
                <w:color w:val="auto"/>
              </w:rPr>
              <w:t>409,016</w:t>
            </w:r>
          </w:p>
        </w:tc>
        <w:tc>
          <w:tcPr>
            <w:tcW w:w="220" w:type="dxa"/>
            <w:vAlign w:val="bottom"/>
          </w:tcPr>
          <w:p>
            <w:pPr>
              <w:spacing w:after="0"/>
              <w:rPr>
                <w:sz w:val="23"/>
                <w:szCs w:val="23"/>
                <w:color w:val="auto"/>
              </w:rPr>
            </w:pPr>
          </w:p>
        </w:tc>
        <w:tc>
          <w:tcPr>
            <w:tcW w:w="1020" w:type="dxa"/>
            <w:vAlign w:val="bottom"/>
          </w:tcPr>
          <w:p>
            <w:pPr>
              <w:jc w:val="right"/>
              <w:ind w:right="64"/>
              <w:spacing w:after="0"/>
              <w:rPr>
                <w:sz w:val="20"/>
                <w:szCs w:val="20"/>
                <w:color w:val="auto"/>
              </w:rPr>
            </w:pPr>
            <w:r>
              <w:rPr>
                <w:rFonts w:ascii="Arial" w:cs="Arial" w:eastAsia="Arial" w:hAnsi="Arial"/>
                <w:sz w:val="15"/>
                <w:szCs w:val="15"/>
                <w:b w:val="1"/>
                <w:bCs w:val="1"/>
                <w:color w:val="auto"/>
              </w:rPr>
              <w:t>152,187</w:t>
            </w:r>
          </w:p>
        </w:tc>
        <w:tc>
          <w:tcPr>
            <w:tcW w:w="220" w:type="dxa"/>
            <w:vAlign w:val="bottom"/>
          </w:tcPr>
          <w:p>
            <w:pPr>
              <w:spacing w:after="0"/>
              <w:rPr>
                <w:sz w:val="23"/>
                <w:szCs w:val="23"/>
                <w:color w:val="auto"/>
              </w:rPr>
            </w:pPr>
          </w:p>
        </w:tc>
        <w:tc>
          <w:tcPr>
            <w:tcW w:w="1160" w:type="dxa"/>
            <w:vAlign w:val="bottom"/>
          </w:tcPr>
          <w:p>
            <w:pPr>
              <w:jc w:val="right"/>
              <w:ind w:right="84"/>
              <w:spacing w:after="0"/>
              <w:rPr>
                <w:sz w:val="20"/>
                <w:szCs w:val="20"/>
                <w:color w:val="auto"/>
              </w:rPr>
            </w:pPr>
            <w:r>
              <w:rPr>
                <w:rFonts w:ascii="Arial" w:cs="Arial" w:eastAsia="Arial" w:hAnsi="Arial"/>
                <w:sz w:val="15"/>
                <w:szCs w:val="15"/>
                <w:b w:val="1"/>
                <w:bCs w:val="1"/>
                <w:color w:val="auto"/>
              </w:rPr>
              <w:t>512,230</w:t>
            </w:r>
          </w:p>
        </w:tc>
        <w:tc>
          <w:tcPr>
            <w:tcW w:w="220" w:type="dxa"/>
            <w:vAlign w:val="bottom"/>
          </w:tcPr>
          <w:p>
            <w:pPr>
              <w:spacing w:after="0"/>
              <w:rPr>
                <w:sz w:val="23"/>
                <w:szCs w:val="23"/>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b w:val="1"/>
                <w:bCs w:val="1"/>
                <w:color w:val="auto"/>
              </w:rPr>
              <w:t>1,073,433</w:t>
            </w:r>
          </w:p>
        </w:tc>
      </w:tr>
      <w:tr>
        <w:trPr>
          <w:trHeight w:val="268"/>
        </w:trPr>
        <w:tc>
          <w:tcPr>
            <w:tcW w:w="5500" w:type="dxa"/>
            <w:vAlign w:val="bottom"/>
          </w:tcPr>
          <w:p>
            <w:pPr>
              <w:ind w:left="280"/>
              <w:spacing w:after="0"/>
              <w:rPr>
                <w:sz w:val="20"/>
                <w:szCs w:val="20"/>
                <w:color w:val="auto"/>
              </w:rPr>
            </w:pPr>
            <w:r>
              <w:rPr>
                <w:rFonts w:ascii="Arial" w:cs="Arial" w:eastAsia="Arial" w:hAnsi="Arial"/>
                <w:sz w:val="15"/>
                <w:szCs w:val="15"/>
                <w:b w:val="1"/>
                <w:bCs w:val="1"/>
                <w:color w:val="auto"/>
              </w:rPr>
              <w:t>Accumulated impairment losses</w:t>
            </w: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(102,259)</w:t>
            </w:r>
          </w:p>
        </w:tc>
        <w:tc>
          <w:tcPr>
            <w:tcW w:w="2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(102,259)</w:t>
            </w:r>
          </w:p>
        </w:tc>
      </w:tr>
      <w:tr>
        <w:trPr>
          <w:trHeight w:val="264"/>
        </w:trPr>
        <w:tc>
          <w:tcPr>
            <w:tcW w:w="55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409,016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49,928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512,230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971,174</w:t>
            </w: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As of December 31, 2013</w:t>
            </w: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2012</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180" w:type="dxa"/>
            <w:vAlign w:val="bottom"/>
          </w:tcPr>
          <w:p>
            <w:pPr>
              <w:spacing w:after="0"/>
              <w:rPr>
                <w:sz w:val="14"/>
                <w:szCs w:val="14"/>
                <w:color w:val="auto"/>
              </w:rPr>
            </w:pPr>
          </w:p>
        </w:tc>
        <w:tc>
          <w:tcPr>
            <w:tcW w:w="1600" w:type="dxa"/>
            <w:vAlign w:val="bottom"/>
            <w:gridSpan w:val="2"/>
          </w:tcPr>
          <w:p>
            <w:pPr>
              <w:ind w:left="500"/>
              <w:spacing w:after="0"/>
              <w:rPr>
                <w:sz w:val="20"/>
                <w:szCs w:val="20"/>
                <w:color w:val="auto"/>
              </w:rPr>
            </w:pPr>
            <w:r>
              <w:rPr>
                <w:rFonts w:ascii="Arial" w:cs="Arial" w:eastAsia="Arial" w:hAnsi="Arial"/>
                <w:sz w:val="14"/>
                <w:szCs w:val="14"/>
                <w:b w:val="1"/>
                <w:bCs w:val="1"/>
                <w:color w:val="auto"/>
              </w:rPr>
              <w:t>Useful</w:t>
            </w:r>
          </w:p>
        </w:tc>
        <w:tc>
          <w:tcPr>
            <w:tcW w:w="880" w:type="dxa"/>
            <w:vAlign w:val="bottom"/>
          </w:tcPr>
          <w:p>
            <w:pPr>
              <w:jc w:val="center"/>
              <w:ind w:right="105"/>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165"/>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4"/>
                <w:szCs w:val="14"/>
                <w:color w:val="auto"/>
              </w:rPr>
            </w:pPr>
          </w:p>
        </w:tc>
        <w:tc>
          <w:tcPr>
            <w:tcW w:w="680" w:type="dxa"/>
            <w:vAlign w:val="bottom"/>
          </w:tcPr>
          <w:p>
            <w:pPr>
              <w:jc w:val="center"/>
              <w:ind w:right="24"/>
              <w:spacing w:after="0"/>
              <w:rPr>
                <w:sz w:val="20"/>
                <w:szCs w:val="20"/>
                <w:color w:val="auto"/>
              </w:rPr>
            </w:pPr>
            <w:r>
              <w:rPr>
                <w:rFonts w:ascii="Arial" w:cs="Arial" w:eastAsia="Arial" w:hAnsi="Arial"/>
                <w:sz w:val="14"/>
                <w:szCs w:val="14"/>
                <w:color w:val="auto"/>
              </w:rPr>
              <w:t>Gross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105"/>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600" w:type="dxa"/>
            <w:vAlign w:val="bottom"/>
            <w:gridSpan w:val="2"/>
          </w:tcPr>
          <w:p>
            <w:pPr>
              <w:ind w:left="600"/>
              <w:spacing w:after="0"/>
              <w:rPr>
                <w:sz w:val="20"/>
                <w:szCs w:val="20"/>
                <w:color w:val="auto"/>
              </w:rPr>
            </w:pPr>
            <w:r>
              <w:rPr>
                <w:rFonts w:ascii="Arial" w:cs="Arial" w:eastAsia="Arial" w:hAnsi="Arial"/>
                <w:sz w:val="14"/>
                <w:szCs w:val="14"/>
                <w:b w:val="1"/>
                <w:bCs w:val="1"/>
                <w:color w:val="auto"/>
              </w:rPr>
              <w:t>Life</w:t>
            </w:r>
          </w:p>
        </w:tc>
        <w:tc>
          <w:tcPr>
            <w:tcW w:w="880" w:type="dxa"/>
            <w:vAlign w:val="bottom"/>
          </w:tcPr>
          <w:p>
            <w:pPr>
              <w:jc w:val="center"/>
              <w:ind w:right="105"/>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40" w:type="dxa"/>
            <w:vAlign w:val="bottom"/>
          </w:tcPr>
          <w:p>
            <w:pPr>
              <w:jc w:val="right"/>
              <w:ind w:right="125"/>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80" w:type="dxa"/>
            <w:vAlign w:val="bottom"/>
          </w:tcPr>
          <w:p>
            <w:pPr>
              <w:jc w:val="center"/>
              <w:ind w:right="165"/>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680" w:type="dxa"/>
            <w:vAlign w:val="bottom"/>
          </w:tcPr>
          <w:p>
            <w:pPr>
              <w:jc w:val="center"/>
              <w:ind w:right="24"/>
              <w:spacing w:after="0"/>
              <w:rPr>
                <w:sz w:val="20"/>
                <w:szCs w:val="20"/>
                <w:color w:val="auto"/>
              </w:rPr>
            </w:pPr>
            <w:r>
              <w:rPr>
                <w:rFonts w:ascii="Arial" w:cs="Arial" w:eastAsia="Arial" w:hAnsi="Arial"/>
                <w:sz w:val="14"/>
                <w:szCs w:val="14"/>
                <w:color w:val="auto"/>
              </w:rPr>
              <w:t>Carrying</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165"/>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760" w:type="dxa"/>
            <w:vAlign w:val="bottom"/>
          </w:tcPr>
          <w:p>
            <w:pPr>
              <w:jc w:val="center"/>
              <w:ind w:right="105"/>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3"/>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Range</w:t>
            </w:r>
          </w:p>
        </w:tc>
        <w:tc>
          <w:tcPr>
            <w:tcW w:w="88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85"/>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Amount</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67"/>
        </w:trPr>
        <w:tc>
          <w:tcPr>
            <w:tcW w:w="3180" w:type="dxa"/>
            <w:vAlign w:val="bottom"/>
          </w:tcPr>
          <w:p>
            <w:pPr>
              <w:ind w:left="40"/>
              <w:spacing w:after="0"/>
              <w:rPr>
                <w:sz w:val="20"/>
                <w:szCs w:val="20"/>
                <w:color w:val="auto"/>
              </w:rPr>
            </w:pPr>
            <w:r>
              <w:rPr>
                <w:rFonts w:ascii="Arial" w:cs="Arial" w:eastAsia="Arial" w:hAnsi="Arial"/>
                <w:sz w:val="15"/>
                <w:szCs w:val="15"/>
                <w:b w:val="1"/>
                <w:bCs w:val="1"/>
                <w:color w:val="auto"/>
              </w:rPr>
              <w:t>Amortized Intangible Assets</w:t>
            </w: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tcPr>
          <w:p>
            <w:pPr>
              <w:ind w:left="280"/>
              <w:spacing w:after="0"/>
              <w:rPr>
                <w:sz w:val="20"/>
                <w:szCs w:val="20"/>
                <w:color w:val="auto"/>
              </w:rPr>
            </w:pPr>
            <w:r>
              <w:rPr>
                <w:rFonts w:ascii="Arial" w:cs="Arial" w:eastAsia="Arial" w:hAnsi="Arial"/>
                <w:sz w:val="15"/>
                <w:szCs w:val="15"/>
                <w:color w:val="auto"/>
              </w:rPr>
              <w:t>Noncompete agreements</w:t>
            </w:r>
          </w:p>
        </w:tc>
        <w:tc>
          <w:tcPr>
            <w:tcW w:w="16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2–5 years  $</w:t>
            </w:r>
          </w:p>
        </w:tc>
        <w:tc>
          <w:tcPr>
            <w:tcW w:w="880" w:type="dxa"/>
            <w:vAlign w:val="bottom"/>
          </w:tcPr>
          <w:p>
            <w:pPr>
              <w:jc w:val="right"/>
              <w:ind w:right="45"/>
              <w:spacing w:after="0"/>
              <w:rPr>
                <w:sz w:val="20"/>
                <w:szCs w:val="20"/>
                <w:color w:val="auto"/>
              </w:rPr>
            </w:pPr>
            <w:r>
              <w:rPr>
                <w:rFonts w:ascii="Arial" w:cs="Arial" w:eastAsia="Arial" w:hAnsi="Arial"/>
                <w:sz w:val="15"/>
                <w:szCs w:val="15"/>
                <w:b w:val="1"/>
                <w:bCs w:val="1"/>
                <w:color w:val="auto"/>
              </w:rPr>
              <w:t>13,540</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65"/>
              <w:spacing w:after="0"/>
              <w:rPr>
                <w:sz w:val="20"/>
                <w:szCs w:val="20"/>
                <w:color w:val="auto"/>
              </w:rPr>
            </w:pPr>
            <w:r>
              <w:rPr>
                <w:rFonts w:ascii="Arial" w:cs="Arial" w:eastAsia="Arial" w:hAnsi="Arial"/>
                <w:sz w:val="15"/>
                <w:szCs w:val="15"/>
                <w:b w:val="1"/>
                <w:bCs w:val="1"/>
                <w:color w:val="auto"/>
              </w:rPr>
              <w:t>12,622</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145"/>
              <w:spacing w:after="0"/>
              <w:rPr>
                <w:sz w:val="20"/>
                <w:szCs w:val="20"/>
                <w:color w:val="auto"/>
              </w:rPr>
            </w:pPr>
            <w:r>
              <w:rPr>
                <w:rFonts w:ascii="Arial" w:cs="Arial" w:eastAsia="Arial" w:hAnsi="Arial"/>
                <w:sz w:val="15"/>
                <w:szCs w:val="15"/>
                <w:b w:val="1"/>
                <w:bCs w:val="1"/>
                <w:color w:val="auto"/>
              </w:rPr>
              <w:t>918</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14,008</w:t>
            </w:r>
          </w:p>
        </w:tc>
        <w:tc>
          <w:tcPr>
            <w:tcW w:w="3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12,546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1,462</w:t>
            </w:r>
          </w:p>
        </w:tc>
        <w:tc>
          <w:tcPr>
            <w:tcW w:w="0" w:type="dxa"/>
            <w:vAlign w:val="bottom"/>
          </w:tcPr>
          <w:p>
            <w:pPr>
              <w:spacing w:after="0"/>
              <w:rPr>
                <w:sz w:val="1"/>
                <w:szCs w:val="1"/>
                <w:color w:val="auto"/>
              </w:rPr>
            </w:pPr>
          </w:p>
        </w:tc>
      </w:tr>
      <w:tr>
        <w:trPr>
          <w:trHeight w:val="270"/>
        </w:trPr>
        <w:tc>
          <w:tcPr>
            <w:tcW w:w="3180" w:type="dxa"/>
            <w:vAlign w:val="bottom"/>
          </w:tcPr>
          <w:p>
            <w:pPr>
              <w:ind w:left="280"/>
              <w:spacing w:after="0"/>
              <w:rPr>
                <w:sz w:val="20"/>
                <w:szCs w:val="20"/>
                <w:color w:val="auto"/>
              </w:rPr>
            </w:pPr>
            <w:r>
              <w:rPr>
                <w:rFonts w:ascii="Arial" w:cs="Arial" w:eastAsia="Arial" w:hAnsi="Arial"/>
                <w:sz w:val="15"/>
                <w:szCs w:val="15"/>
                <w:color w:val="auto"/>
              </w:rPr>
              <w:t>Student and customer relationships</w:t>
            </w:r>
          </w:p>
        </w:tc>
        <w:tc>
          <w:tcPr>
            <w:tcW w:w="1600" w:type="dxa"/>
            <w:vAlign w:val="bottom"/>
            <w:gridSpan w:val="2"/>
          </w:tcPr>
          <w:p>
            <w:pPr>
              <w:ind w:left="480"/>
              <w:spacing w:after="0"/>
              <w:rPr>
                <w:sz w:val="20"/>
                <w:szCs w:val="20"/>
                <w:color w:val="auto"/>
              </w:rPr>
            </w:pPr>
            <w:r>
              <w:rPr>
                <w:rFonts w:ascii="Arial" w:cs="Arial" w:eastAsia="Arial" w:hAnsi="Arial"/>
                <w:sz w:val="15"/>
                <w:szCs w:val="15"/>
                <w:b w:val="1"/>
                <w:bCs w:val="1"/>
                <w:color w:val="auto"/>
              </w:rPr>
              <w:t>2–10 years</w:t>
            </w:r>
          </w:p>
        </w:tc>
        <w:tc>
          <w:tcPr>
            <w:tcW w:w="880" w:type="dxa"/>
            <w:vAlign w:val="bottom"/>
          </w:tcPr>
          <w:p>
            <w:pPr>
              <w:jc w:val="right"/>
              <w:ind w:right="45"/>
              <w:spacing w:after="0"/>
              <w:rPr>
                <w:sz w:val="20"/>
                <w:szCs w:val="20"/>
                <w:color w:val="auto"/>
              </w:rPr>
            </w:pPr>
            <w:r>
              <w:rPr>
                <w:rFonts w:ascii="Arial" w:cs="Arial" w:eastAsia="Arial" w:hAnsi="Arial"/>
                <w:sz w:val="15"/>
                <w:szCs w:val="15"/>
                <w:b w:val="1"/>
                <w:bCs w:val="1"/>
                <w:color w:val="auto"/>
              </w:rPr>
              <w:t>72,050</w:t>
            </w:r>
          </w:p>
        </w:tc>
        <w:tc>
          <w:tcPr>
            <w:tcW w:w="240" w:type="dxa"/>
            <w:vAlign w:val="bottom"/>
          </w:tcPr>
          <w:p>
            <w:pPr>
              <w:spacing w:after="0"/>
              <w:rPr>
                <w:sz w:val="23"/>
                <w:szCs w:val="23"/>
                <w:color w:val="auto"/>
              </w:rPr>
            </w:pPr>
          </w:p>
        </w:tc>
        <w:tc>
          <w:tcPr>
            <w:tcW w:w="1140" w:type="dxa"/>
            <w:vAlign w:val="bottom"/>
          </w:tcPr>
          <w:p>
            <w:pPr>
              <w:jc w:val="right"/>
              <w:ind w:right="65"/>
              <w:spacing w:after="0"/>
              <w:rPr>
                <w:sz w:val="20"/>
                <w:szCs w:val="20"/>
                <w:color w:val="auto"/>
              </w:rPr>
            </w:pPr>
            <w:r>
              <w:rPr>
                <w:rFonts w:ascii="Arial" w:cs="Arial" w:eastAsia="Arial" w:hAnsi="Arial"/>
                <w:sz w:val="15"/>
                <w:szCs w:val="15"/>
                <w:b w:val="1"/>
                <w:bCs w:val="1"/>
                <w:color w:val="auto"/>
              </w:rPr>
              <w:t>45,718</w:t>
            </w:r>
          </w:p>
        </w:tc>
        <w:tc>
          <w:tcPr>
            <w:tcW w:w="220" w:type="dxa"/>
            <w:vAlign w:val="bottom"/>
          </w:tcPr>
          <w:p>
            <w:pPr>
              <w:spacing w:after="0"/>
              <w:rPr>
                <w:sz w:val="23"/>
                <w:szCs w:val="23"/>
                <w:color w:val="auto"/>
              </w:rPr>
            </w:pPr>
          </w:p>
        </w:tc>
        <w:tc>
          <w:tcPr>
            <w:tcW w:w="880" w:type="dxa"/>
            <w:vAlign w:val="bottom"/>
          </w:tcPr>
          <w:p>
            <w:pPr>
              <w:jc w:val="right"/>
              <w:ind w:right="145"/>
              <w:spacing w:after="0"/>
              <w:rPr>
                <w:sz w:val="20"/>
                <w:szCs w:val="20"/>
                <w:color w:val="auto"/>
              </w:rPr>
            </w:pPr>
            <w:r>
              <w:rPr>
                <w:rFonts w:ascii="Arial" w:cs="Arial" w:eastAsia="Arial" w:hAnsi="Arial"/>
                <w:sz w:val="15"/>
                <w:szCs w:val="15"/>
                <w:b w:val="1"/>
                <w:bCs w:val="1"/>
                <w:color w:val="auto"/>
              </w:rPr>
              <w:t>26,332</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73,693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40,787</w:t>
            </w:r>
          </w:p>
        </w:tc>
        <w:tc>
          <w:tcPr>
            <w:tcW w:w="24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32,906</w:t>
            </w:r>
          </w:p>
        </w:tc>
        <w:tc>
          <w:tcPr>
            <w:tcW w:w="0" w:type="dxa"/>
            <w:vAlign w:val="bottom"/>
          </w:tcPr>
          <w:p>
            <w:pPr>
              <w:spacing w:after="0"/>
              <w:rPr>
                <w:sz w:val="1"/>
                <w:szCs w:val="1"/>
                <w:color w:val="auto"/>
              </w:rPr>
            </w:pPr>
          </w:p>
        </w:tc>
      </w:tr>
      <w:tr>
        <w:trPr>
          <w:trHeight w:val="270"/>
        </w:trPr>
        <w:tc>
          <w:tcPr>
            <w:tcW w:w="3180" w:type="dxa"/>
            <w:vAlign w:val="bottom"/>
          </w:tcPr>
          <w:p>
            <w:pPr>
              <w:ind w:left="280"/>
              <w:spacing w:after="0"/>
              <w:rPr>
                <w:sz w:val="20"/>
                <w:szCs w:val="20"/>
                <w:color w:val="auto"/>
              </w:rPr>
            </w:pPr>
            <w:r>
              <w:rPr>
                <w:rFonts w:ascii="Arial" w:cs="Arial" w:eastAsia="Arial" w:hAnsi="Arial"/>
                <w:sz w:val="15"/>
                <w:szCs w:val="15"/>
                <w:color w:val="auto"/>
              </w:rPr>
              <w:t>Databases and technology</w:t>
            </w:r>
          </w:p>
        </w:tc>
        <w:tc>
          <w:tcPr>
            <w:tcW w:w="1600" w:type="dxa"/>
            <w:vAlign w:val="bottom"/>
            <w:gridSpan w:val="2"/>
          </w:tcPr>
          <w:p>
            <w:pPr>
              <w:ind w:left="580"/>
              <w:spacing w:after="0"/>
              <w:rPr>
                <w:sz w:val="20"/>
                <w:szCs w:val="20"/>
                <w:color w:val="auto"/>
              </w:rPr>
            </w:pPr>
            <w:r>
              <w:rPr>
                <w:rFonts w:ascii="Arial" w:cs="Arial" w:eastAsia="Arial" w:hAnsi="Arial"/>
                <w:sz w:val="15"/>
                <w:szCs w:val="15"/>
                <w:b w:val="1"/>
                <w:bCs w:val="1"/>
                <w:color w:val="auto"/>
              </w:rPr>
              <w:t>3–5 years</w:t>
            </w:r>
          </w:p>
        </w:tc>
        <w:tc>
          <w:tcPr>
            <w:tcW w:w="880" w:type="dxa"/>
            <w:vAlign w:val="bottom"/>
          </w:tcPr>
          <w:p>
            <w:pPr>
              <w:jc w:val="right"/>
              <w:ind w:right="45"/>
              <w:spacing w:after="0"/>
              <w:rPr>
                <w:sz w:val="20"/>
                <w:szCs w:val="20"/>
                <w:color w:val="auto"/>
              </w:rPr>
            </w:pPr>
            <w:r>
              <w:rPr>
                <w:rFonts w:ascii="Arial" w:cs="Arial" w:eastAsia="Arial" w:hAnsi="Arial"/>
                <w:sz w:val="15"/>
                <w:szCs w:val="15"/>
                <w:b w:val="1"/>
                <w:bCs w:val="1"/>
                <w:color w:val="auto"/>
              </w:rPr>
              <w:t>10,790</w:t>
            </w:r>
          </w:p>
        </w:tc>
        <w:tc>
          <w:tcPr>
            <w:tcW w:w="240" w:type="dxa"/>
            <w:vAlign w:val="bottom"/>
          </w:tcPr>
          <w:p>
            <w:pPr>
              <w:spacing w:after="0"/>
              <w:rPr>
                <w:sz w:val="23"/>
                <w:szCs w:val="23"/>
                <w:color w:val="auto"/>
              </w:rPr>
            </w:pPr>
          </w:p>
        </w:tc>
        <w:tc>
          <w:tcPr>
            <w:tcW w:w="1140" w:type="dxa"/>
            <w:vAlign w:val="bottom"/>
          </w:tcPr>
          <w:p>
            <w:pPr>
              <w:jc w:val="right"/>
              <w:ind w:right="65"/>
              <w:spacing w:after="0"/>
              <w:rPr>
                <w:sz w:val="20"/>
                <w:szCs w:val="20"/>
                <w:color w:val="auto"/>
              </w:rPr>
            </w:pPr>
            <w:r>
              <w:rPr>
                <w:rFonts w:ascii="Arial" w:cs="Arial" w:eastAsia="Arial" w:hAnsi="Arial"/>
                <w:sz w:val="15"/>
                <w:szCs w:val="15"/>
                <w:b w:val="1"/>
                <w:bCs w:val="1"/>
                <w:color w:val="auto"/>
              </w:rPr>
              <w:t>6,991</w:t>
            </w:r>
          </w:p>
        </w:tc>
        <w:tc>
          <w:tcPr>
            <w:tcW w:w="220" w:type="dxa"/>
            <w:vAlign w:val="bottom"/>
          </w:tcPr>
          <w:p>
            <w:pPr>
              <w:spacing w:after="0"/>
              <w:rPr>
                <w:sz w:val="23"/>
                <w:szCs w:val="23"/>
                <w:color w:val="auto"/>
              </w:rPr>
            </w:pPr>
          </w:p>
        </w:tc>
        <w:tc>
          <w:tcPr>
            <w:tcW w:w="880" w:type="dxa"/>
            <w:vAlign w:val="bottom"/>
          </w:tcPr>
          <w:p>
            <w:pPr>
              <w:jc w:val="right"/>
              <w:ind w:right="145"/>
              <w:spacing w:after="0"/>
              <w:rPr>
                <w:sz w:val="20"/>
                <w:szCs w:val="20"/>
                <w:color w:val="auto"/>
              </w:rPr>
            </w:pPr>
            <w:r>
              <w:rPr>
                <w:rFonts w:ascii="Arial" w:cs="Arial" w:eastAsia="Arial" w:hAnsi="Arial"/>
                <w:sz w:val="15"/>
                <w:szCs w:val="15"/>
                <w:b w:val="1"/>
                <w:bCs w:val="1"/>
                <w:color w:val="auto"/>
              </w:rPr>
              <w:t>3,799</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6,457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5,707</w:t>
            </w:r>
          </w:p>
        </w:tc>
        <w:tc>
          <w:tcPr>
            <w:tcW w:w="24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750</w:t>
            </w:r>
          </w:p>
        </w:tc>
        <w:tc>
          <w:tcPr>
            <w:tcW w:w="0" w:type="dxa"/>
            <w:vAlign w:val="bottom"/>
          </w:tcPr>
          <w:p>
            <w:pPr>
              <w:spacing w:after="0"/>
              <w:rPr>
                <w:sz w:val="1"/>
                <w:szCs w:val="1"/>
                <w:color w:val="auto"/>
              </w:rPr>
            </w:pPr>
          </w:p>
        </w:tc>
      </w:tr>
      <w:tr>
        <w:trPr>
          <w:trHeight w:val="270"/>
        </w:trPr>
        <w:tc>
          <w:tcPr>
            <w:tcW w:w="3180" w:type="dxa"/>
            <w:vAlign w:val="bottom"/>
          </w:tcPr>
          <w:p>
            <w:pPr>
              <w:ind w:left="280"/>
              <w:spacing w:after="0"/>
              <w:rPr>
                <w:sz w:val="20"/>
                <w:szCs w:val="20"/>
                <w:color w:val="auto"/>
              </w:rPr>
            </w:pPr>
            <w:r>
              <w:rPr>
                <w:rFonts w:ascii="Arial" w:cs="Arial" w:eastAsia="Arial" w:hAnsi="Arial"/>
                <w:sz w:val="15"/>
                <w:szCs w:val="15"/>
                <w:color w:val="auto"/>
              </w:rPr>
              <w:t>Trade names and trademarks</w:t>
            </w:r>
          </w:p>
        </w:tc>
        <w:tc>
          <w:tcPr>
            <w:tcW w:w="1600" w:type="dxa"/>
            <w:vAlign w:val="bottom"/>
            <w:gridSpan w:val="2"/>
          </w:tcPr>
          <w:p>
            <w:pPr>
              <w:ind w:left="480"/>
              <w:spacing w:after="0"/>
              <w:rPr>
                <w:sz w:val="20"/>
                <w:szCs w:val="20"/>
                <w:color w:val="auto"/>
              </w:rPr>
            </w:pPr>
            <w:r>
              <w:rPr>
                <w:rFonts w:ascii="Arial" w:cs="Arial" w:eastAsia="Arial" w:hAnsi="Arial"/>
                <w:sz w:val="15"/>
                <w:szCs w:val="15"/>
                <w:b w:val="1"/>
                <w:bCs w:val="1"/>
                <w:color w:val="auto"/>
              </w:rPr>
              <w:t>2–10 years</w:t>
            </w:r>
          </w:p>
        </w:tc>
        <w:tc>
          <w:tcPr>
            <w:tcW w:w="880" w:type="dxa"/>
            <w:vAlign w:val="bottom"/>
          </w:tcPr>
          <w:p>
            <w:pPr>
              <w:jc w:val="right"/>
              <w:ind w:right="45"/>
              <w:spacing w:after="0"/>
              <w:rPr>
                <w:sz w:val="20"/>
                <w:szCs w:val="20"/>
                <w:color w:val="auto"/>
              </w:rPr>
            </w:pPr>
            <w:r>
              <w:rPr>
                <w:rFonts w:ascii="Arial" w:cs="Arial" w:eastAsia="Arial" w:hAnsi="Arial"/>
                <w:sz w:val="15"/>
                <w:szCs w:val="15"/>
                <w:b w:val="1"/>
                <w:bCs w:val="1"/>
                <w:color w:val="auto"/>
              </w:rPr>
              <w:t>22,327</w:t>
            </w:r>
          </w:p>
        </w:tc>
        <w:tc>
          <w:tcPr>
            <w:tcW w:w="240" w:type="dxa"/>
            <w:vAlign w:val="bottom"/>
          </w:tcPr>
          <w:p>
            <w:pPr>
              <w:spacing w:after="0"/>
              <w:rPr>
                <w:sz w:val="23"/>
                <w:szCs w:val="23"/>
                <w:color w:val="auto"/>
              </w:rPr>
            </w:pPr>
          </w:p>
        </w:tc>
        <w:tc>
          <w:tcPr>
            <w:tcW w:w="1140" w:type="dxa"/>
            <w:vAlign w:val="bottom"/>
          </w:tcPr>
          <w:p>
            <w:pPr>
              <w:jc w:val="right"/>
              <w:ind w:right="65"/>
              <w:spacing w:after="0"/>
              <w:rPr>
                <w:sz w:val="20"/>
                <w:szCs w:val="20"/>
                <w:color w:val="auto"/>
              </w:rPr>
            </w:pPr>
            <w:r>
              <w:rPr>
                <w:rFonts w:ascii="Arial" w:cs="Arial" w:eastAsia="Arial" w:hAnsi="Arial"/>
                <w:sz w:val="15"/>
                <w:szCs w:val="15"/>
                <w:b w:val="1"/>
                <w:bCs w:val="1"/>
                <w:color w:val="auto"/>
              </w:rPr>
              <w:t>16,052</w:t>
            </w:r>
          </w:p>
        </w:tc>
        <w:tc>
          <w:tcPr>
            <w:tcW w:w="220" w:type="dxa"/>
            <w:vAlign w:val="bottom"/>
          </w:tcPr>
          <w:p>
            <w:pPr>
              <w:spacing w:after="0"/>
              <w:rPr>
                <w:sz w:val="23"/>
                <w:szCs w:val="23"/>
                <w:color w:val="auto"/>
              </w:rPr>
            </w:pPr>
          </w:p>
        </w:tc>
        <w:tc>
          <w:tcPr>
            <w:tcW w:w="880" w:type="dxa"/>
            <w:vAlign w:val="bottom"/>
          </w:tcPr>
          <w:p>
            <w:pPr>
              <w:jc w:val="right"/>
              <w:ind w:right="145"/>
              <w:spacing w:after="0"/>
              <w:rPr>
                <w:sz w:val="20"/>
                <w:szCs w:val="20"/>
                <w:color w:val="auto"/>
              </w:rPr>
            </w:pPr>
            <w:r>
              <w:rPr>
                <w:rFonts w:ascii="Arial" w:cs="Arial" w:eastAsia="Arial" w:hAnsi="Arial"/>
                <w:sz w:val="15"/>
                <w:szCs w:val="15"/>
                <w:b w:val="1"/>
                <w:bCs w:val="1"/>
                <w:color w:val="auto"/>
              </w:rPr>
              <w:t>6,275</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26,634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18,185</w:t>
            </w:r>
          </w:p>
        </w:tc>
        <w:tc>
          <w:tcPr>
            <w:tcW w:w="240" w:type="dxa"/>
            <w:vAlign w:val="bottom"/>
          </w:tcPr>
          <w:p>
            <w:pPr>
              <w:spacing w:after="0"/>
              <w:rPr>
                <w:sz w:val="23"/>
                <w:szCs w:val="23"/>
                <w:color w:val="auto"/>
              </w:rPr>
            </w:pP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8,449</w:t>
            </w:r>
          </w:p>
        </w:tc>
        <w:tc>
          <w:tcPr>
            <w:tcW w:w="0" w:type="dxa"/>
            <w:vAlign w:val="bottom"/>
          </w:tcPr>
          <w:p>
            <w:pPr>
              <w:spacing w:after="0"/>
              <w:rPr>
                <w:sz w:val="1"/>
                <w:szCs w:val="1"/>
                <w:color w:val="auto"/>
              </w:rPr>
            </w:pPr>
          </w:p>
        </w:tc>
      </w:tr>
      <w:tr>
        <w:trPr>
          <w:trHeight w:val="268"/>
        </w:trPr>
        <w:tc>
          <w:tcPr>
            <w:tcW w:w="3180" w:type="dxa"/>
            <w:vAlign w:val="bottom"/>
          </w:tcPr>
          <w:p>
            <w:pPr>
              <w:ind w:left="280"/>
              <w:spacing w:after="0"/>
              <w:rPr>
                <w:sz w:val="20"/>
                <w:szCs w:val="20"/>
                <w:color w:val="auto"/>
              </w:rPr>
            </w:pPr>
            <w:r>
              <w:rPr>
                <w:rFonts w:ascii="Arial" w:cs="Arial" w:eastAsia="Arial" w:hAnsi="Arial"/>
                <w:sz w:val="15"/>
                <w:szCs w:val="15"/>
                <w:color w:val="auto"/>
              </w:rPr>
              <w:t>Other</w:t>
            </w:r>
          </w:p>
        </w:tc>
        <w:tc>
          <w:tcPr>
            <w:tcW w:w="1420" w:type="dxa"/>
            <w:vAlign w:val="bottom"/>
          </w:tcPr>
          <w:p>
            <w:pPr>
              <w:ind w:left="480"/>
              <w:spacing w:after="0"/>
              <w:rPr>
                <w:sz w:val="20"/>
                <w:szCs w:val="20"/>
                <w:color w:val="auto"/>
              </w:rPr>
            </w:pPr>
            <w:r>
              <w:rPr>
                <w:rFonts w:ascii="Arial" w:cs="Arial" w:eastAsia="Arial" w:hAnsi="Arial"/>
                <w:sz w:val="15"/>
                <w:szCs w:val="15"/>
                <w:b w:val="1"/>
                <w:bCs w:val="1"/>
                <w:color w:val="auto"/>
              </w:rPr>
              <w:t>1–25 years</w:t>
            </w: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9,836</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7,572</w:t>
            </w: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rPr>
              <w:t>2,264</w:t>
            </w: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8,849</w:t>
            </w: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6,839</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2,010</w:t>
            </w:r>
          </w:p>
        </w:tc>
        <w:tc>
          <w:tcPr>
            <w:tcW w:w="0" w:type="dxa"/>
            <w:vAlign w:val="bottom"/>
          </w:tcPr>
          <w:p>
            <w:pPr>
              <w:spacing w:after="0"/>
              <w:rPr>
                <w:sz w:val="1"/>
                <w:szCs w:val="1"/>
                <w:color w:val="auto"/>
              </w:rPr>
            </w:pPr>
          </w:p>
        </w:tc>
      </w:tr>
      <w:tr>
        <w:trPr>
          <w:trHeight w:val="264"/>
        </w:trPr>
        <w:tc>
          <w:tcPr>
            <w:tcW w:w="3180" w:type="dxa"/>
            <w:vAlign w:val="bottom"/>
          </w:tcPr>
          <w:p>
            <w:pPr>
              <w:spacing w:after="0"/>
              <w:rPr>
                <w:sz w:val="22"/>
                <w:szCs w:val="22"/>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45"/>
              <w:spacing w:after="0"/>
              <w:rPr>
                <w:sz w:val="20"/>
                <w:szCs w:val="20"/>
                <w:color w:val="auto"/>
              </w:rPr>
            </w:pPr>
            <w:r>
              <w:rPr>
                <w:rFonts w:ascii="Arial" w:cs="Arial" w:eastAsia="Arial" w:hAnsi="Arial"/>
                <w:sz w:val="15"/>
                <w:szCs w:val="15"/>
                <w:b w:val="1"/>
                <w:bCs w:val="1"/>
                <w:color w:val="auto"/>
              </w:rPr>
              <w:t>128,543</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65"/>
              <w:spacing w:after="0"/>
              <w:rPr>
                <w:sz w:val="20"/>
                <w:szCs w:val="20"/>
                <w:color w:val="auto"/>
              </w:rPr>
            </w:pPr>
            <w:r>
              <w:rPr>
                <w:rFonts w:ascii="Arial" w:cs="Arial" w:eastAsia="Arial" w:hAnsi="Arial"/>
                <w:sz w:val="15"/>
                <w:szCs w:val="15"/>
                <w:b w:val="1"/>
                <w:bCs w:val="1"/>
                <w:color w:val="auto"/>
              </w:rPr>
              <w:t>88,955</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145"/>
              <w:spacing w:after="0"/>
              <w:rPr>
                <w:sz w:val="20"/>
                <w:szCs w:val="20"/>
                <w:color w:val="auto"/>
              </w:rPr>
            </w:pPr>
            <w:r>
              <w:rPr>
                <w:rFonts w:ascii="Arial" w:cs="Arial" w:eastAsia="Arial" w:hAnsi="Arial"/>
                <w:sz w:val="15"/>
                <w:szCs w:val="15"/>
                <w:b w:val="1"/>
                <w:bCs w:val="1"/>
                <w:color w:val="auto"/>
              </w:rPr>
              <w:t>39,588</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129,641</w:t>
            </w:r>
          </w:p>
        </w:tc>
        <w:tc>
          <w:tcPr>
            <w:tcW w:w="3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45"/>
              <w:spacing w:after="0"/>
              <w:rPr>
                <w:sz w:val="20"/>
                <w:szCs w:val="20"/>
                <w:color w:val="auto"/>
              </w:rPr>
            </w:pPr>
            <w:r>
              <w:rPr>
                <w:rFonts w:ascii="Arial" w:cs="Arial" w:eastAsia="Arial" w:hAnsi="Arial"/>
                <w:sz w:val="15"/>
                <w:szCs w:val="15"/>
                <w:color w:val="auto"/>
              </w:rPr>
              <w:t>84,064</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5"/>
              <w:spacing w:after="0"/>
              <w:rPr>
                <w:sz w:val="20"/>
                <w:szCs w:val="20"/>
                <w:color w:val="auto"/>
              </w:rPr>
            </w:pPr>
            <w:r>
              <w:rPr>
                <w:rFonts w:ascii="Arial" w:cs="Arial" w:eastAsia="Arial" w:hAnsi="Arial"/>
                <w:sz w:val="15"/>
                <w:szCs w:val="15"/>
                <w:color w:val="auto"/>
              </w:rPr>
              <w:t>45,577</w:t>
            </w:r>
          </w:p>
        </w:tc>
        <w:tc>
          <w:tcPr>
            <w:tcW w:w="0" w:type="dxa"/>
            <w:vAlign w:val="bottom"/>
          </w:tcPr>
          <w:p>
            <w:pPr>
              <w:spacing w:after="0"/>
              <w:rPr>
                <w:sz w:val="1"/>
                <w:szCs w:val="1"/>
                <w:color w:val="auto"/>
              </w:rPr>
            </w:pPr>
          </w:p>
        </w:tc>
      </w:tr>
      <w:tr>
        <w:trPr>
          <w:trHeight w:val="20"/>
        </w:trPr>
        <w:tc>
          <w:tcPr>
            <w:tcW w:w="318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Indefinite-Lived Intangible Assets</w:t>
            </w: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3180" w:type="dxa"/>
            <w:vAlign w:val="bottom"/>
            <w:vMerge w:val="continue"/>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180" w:type="dxa"/>
            <w:vAlign w:val="bottom"/>
          </w:tcPr>
          <w:p>
            <w:pPr>
              <w:ind w:left="280"/>
              <w:spacing w:after="0"/>
              <w:rPr>
                <w:sz w:val="20"/>
                <w:szCs w:val="20"/>
                <w:color w:val="auto"/>
              </w:rPr>
            </w:pPr>
            <w:r>
              <w:rPr>
                <w:rFonts w:ascii="Arial" w:cs="Arial" w:eastAsia="Arial" w:hAnsi="Arial"/>
                <w:sz w:val="15"/>
                <w:szCs w:val="15"/>
                <w:color w:val="auto"/>
              </w:rPr>
              <w:t>Franchise agreements</w:t>
            </w:r>
          </w:p>
        </w:tc>
        <w:tc>
          <w:tcPr>
            <w:tcW w:w="16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45"/>
              <w:spacing w:after="0"/>
              <w:rPr>
                <w:sz w:val="20"/>
                <w:szCs w:val="20"/>
                <w:color w:val="auto"/>
              </w:rPr>
            </w:pPr>
            <w:r>
              <w:rPr>
                <w:rFonts w:ascii="Arial" w:cs="Arial" w:eastAsia="Arial" w:hAnsi="Arial"/>
                <w:sz w:val="15"/>
                <w:szCs w:val="15"/>
                <w:b w:val="1"/>
                <w:bCs w:val="1"/>
                <w:color w:val="auto"/>
              </w:rPr>
              <w:t>496,321</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496,321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tcPr>
          <w:p>
            <w:pPr>
              <w:ind w:left="280"/>
              <w:spacing w:after="0"/>
              <w:rPr>
                <w:sz w:val="20"/>
                <w:szCs w:val="20"/>
                <w:color w:val="auto"/>
              </w:rPr>
            </w:pPr>
            <w:r>
              <w:rPr>
                <w:rFonts w:ascii="Arial" w:cs="Arial" w:eastAsia="Arial" w:hAnsi="Arial"/>
                <w:sz w:val="15"/>
                <w:szCs w:val="15"/>
                <w:color w:val="auto"/>
              </w:rPr>
              <w:t>Wireless licenses</w:t>
            </w: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b w:val="1"/>
                <w:bCs w:val="1"/>
                <w:color w:val="auto"/>
              </w:rPr>
              <w:t>22,150</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22,150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180" w:type="dxa"/>
            <w:vAlign w:val="bottom"/>
          </w:tcPr>
          <w:p>
            <w:pPr>
              <w:ind w:left="280"/>
              <w:spacing w:after="0"/>
              <w:rPr>
                <w:sz w:val="20"/>
                <w:szCs w:val="20"/>
                <w:color w:val="auto"/>
              </w:rPr>
            </w:pPr>
            <w:r>
              <w:rPr>
                <w:rFonts w:ascii="Arial" w:cs="Arial" w:eastAsia="Arial" w:hAnsi="Arial"/>
                <w:sz w:val="15"/>
                <w:szCs w:val="15"/>
                <w:color w:val="auto"/>
              </w:rPr>
              <w:t>Licensure and accreditation</w:t>
            </w: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5"/>
              <w:spacing w:after="0"/>
              <w:rPr>
                <w:sz w:val="20"/>
                <w:szCs w:val="20"/>
                <w:color w:val="auto"/>
              </w:rPr>
            </w:pPr>
            <w:r>
              <w:rPr>
                <w:rFonts w:ascii="Arial" w:cs="Arial" w:eastAsia="Arial" w:hAnsi="Arial"/>
                <w:sz w:val="15"/>
                <w:szCs w:val="15"/>
                <w:b w:val="1"/>
                <w:bCs w:val="1"/>
                <w:color w:val="auto"/>
              </w:rPr>
              <w:t>7,171</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7,371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180" w:type="dxa"/>
            <w:vAlign w:val="bottom"/>
          </w:tcPr>
          <w:p>
            <w:pPr>
              <w:ind w:left="280"/>
              <w:spacing w:after="0"/>
              <w:rPr>
                <w:sz w:val="20"/>
                <w:szCs w:val="20"/>
                <w:color w:val="auto"/>
              </w:rPr>
            </w:pPr>
            <w:r>
              <w:rPr>
                <w:rFonts w:ascii="Arial" w:cs="Arial" w:eastAsia="Arial" w:hAnsi="Arial"/>
                <w:sz w:val="15"/>
                <w:szCs w:val="15"/>
                <w:color w:val="auto"/>
              </w:rPr>
              <w:t>Other</w:t>
            </w:r>
          </w:p>
        </w:tc>
        <w:tc>
          <w:tcPr>
            <w:tcW w:w="14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15,636</w:t>
            </w: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13,886</w:t>
            </w:r>
          </w:p>
        </w:tc>
        <w:tc>
          <w:tcPr>
            <w:tcW w:w="8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180" w:type="dxa"/>
            <w:vAlign w:val="bottom"/>
          </w:tcPr>
          <w:p>
            <w:pPr>
              <w:spacing w:after="0"/>
              <w:rPr>
                <w:sz w:val="20"/>
                <w:szCs w:val="20"/>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45"/>
              <w:spacing w:after="0"/>
              <w:rPr>
                <w:sz w:val="20"/>
                <w:szCs w:val="20"/>
                <w:color w:val="auto"/>
              </w:rPr>
            </w:pPr>
            <w:r>
              <w:rPr>
                <w:rFonts w:ascii="Arial" w:cs="Arial" w:eastAsia="Arial" w:hAnsi="Arial"/>
                <w:sz w:val="15"/>
                <w:szCs w:val="15"/>
                <w:b w:val="1"/>
                <w:bCs w:val="1"/>
                <w:color w:val="auto"/>
              </w:rPr>
              <w:t>541,278</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539,728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before income taxes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4"/>
          </w:tcPr>
          <w:p>
            <w:pPr>
              <w:jc w:val="center"/>
              <w:ind w:left="60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color w:val="auto"/>
              </w:rPr>
              <w:t>U.S.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287,221</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137,743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243,913</w:t>
            </w:r>
          </w:p>
        </w:tc>
        <w:tc>
          <w:tcPr>
            <w:tcW w:w="0" w:type="dxa"/>
            <w:vAlign w:val="bottom"/>
          </w:tcPr>
          <w:p>
            <w:pPr>
              <w:spacing w:after="0"/>
              <w:rPr>
                <w:sz w:val="1"/>
                <w:szCs w:val="1"/>
                <w:color w:val="auto"/>
              </w:rPr>
            </w:pPr>
          </w:p>
        </w:tc>
      </w:tr>
      <w:tr>
        <w:trPr>
          <w:trHeight w:val="271"/>
        </w:trPr>
        <w:tc>
          <w:tcPr>
            <w:tcW w:w="7780" w:type="dxa"/>
            <w:vAlign w:val="bottom"/>
          </w:tcPr>
          <w:p>
            <w:pPr>
              <w:ind w:left="40"/>
              <w:spacing w:after="0"/>
              <w:rPr>
                <w:sz w:val="20"/>
                <w:szCs w:val="20"/>
                <w:color w:val="auto"/>
              </w:rPr>
            </w:pPr>
            <w:r>
              <w:rPr>
                <w:rFonts w:ascii="Arial" w:cs="Arial" w:eastAsia="Arial" w:hAnsi="Arial"/>
                <w:sz w:val="14"/>
                <w:szCs w:val="14"/>
                <w:color w:val="auto"/>
              </w:rPr>
              <w:t>Non-U.S.</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14,005</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17,516</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11,875</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301,226</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155,259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255,788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The provision for income taxes on income from continuing operations consists of the following:</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77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Current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Deferred</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Year Ended December 31, 2013</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U.S. Federal</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78,375</w:t>
            </w:r>
          </w:p>
        </w:tc>
        <w:tc>
          <w:tcPr>
            <w:tcW w:w="3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22,438</w:t>
            </w:r>
          </w:p>
        </w:tc>
        <w:tc>
          <w:tcPr>
            <w:tcW w:w="3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100,813</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State and Local</w:t>
            </w: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10,514</w:t>
            </w:r>
          </w:p>
        </w:tc>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(9,808)</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706</w:t>
            </w:r>
          </w:p>
        </w:tc>
        <w:tc>
          <w:tcPr>
            <w:tcW w:w="0" w:type="dxa"/>
            <w:vAlign w:val="bottom"/>
          </w:tcPr>
          <w:p>
            <w:pPr>
              <w:spacing w:after="0"/>
              <w:rPr>
                <w:sz w:val="1"/>
                <w:szCs w:val="1"/>
                <w:color w:val="auto"/>
              </w:rPr>
            </w:pPr>
          </w:p>
        </w:tc>
      </w:tr>
      <w:tr>
        <w:trPr>
          <w:trHeight w:val="271"/>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Non-U.S.</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10,051</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(1,570)</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8,481</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98,940</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11,060</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110,000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Year Ended December 31, 2012</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7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4"/>
                <w:szCs w:val="14"/>
                <w:color w:val="auto"/>
              </w:rPr>
              <w:t>U.S. Federal</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111,024</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(48,685)</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62,339</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4"/>
                <w:szCs w:val="14"/>
                <w:color w:val="auto"/>
              </w:rPr>
              <w:t>State and Local</w:t>
            </w: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14,062</w:t>
            </w:r>
          </w:p>
        </w:tc>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(5,135)</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8,927</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4"/>
                <w:szCs w:val="14"/>
                <w:color w:val="auto"/>
              </w:rPr>
              <w:t>Non-U.S.</w:t>
            </w: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12,631</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(697)</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11,934</w:t>
            </w:r>
          </w:p>
        </w:tc>
        <w:tc>
          <w:tcPr>
            <w:tcW w:w="0" w:type="dxa"/>
            <w:vAlign w:val="bottom"/>
          </w:tcPr>
          <w:p>
            <w:pPr>
              <w:spacing w:after="0"/>
              <w:rPr>
                <w:sz w:val="1"/>
                <w:szCs w:val="1"/>
                <w:color w:val="auto"/>
              </w:rPr>
            </w:pPr>
          </w:p>
        </w:tc>
      </w:tr>
    </w:tbl>
    <w:p>
      <w:pPr>
        <w:sectPr>
          <w:pgSz w:w="11900" w:h="16857" w:orient="portrait"/>
          <w:cols w:equalWidth="0" w:num="1">
            <w:col w:w="11420"/>
          </w:cols>
          <w:pgMar w:left="240" w:top="724" w:right="239" w:bottom="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4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137,717</w:t>
            </w:r>
          </w:p>
        </w:tc>
        <w:tc>
          <w:tcPr>
            <w:tcW w:w="4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(54,517)</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83,200</w:t>
            </w:r>
          </w:p>
        </w:tc>
        <w:tc>
          <w:tcPr>
            <w:tcW w:w="0" w:type="dxa"/>
            <w:vAlign w:val="bottom"/>
          </w:tcPr>
          <w:p>
            <w:pPr>
              <w:spacing w:after="0"/>
              <w:rPr>
                <w:sz w:val="1"/>
                <w:szCs w:val="1"/>
                <w:color w:val="auto"/>
              </w:rPr>
            </w:pPr>
          </w:p>
        </w:tc>
      </w:tr>
      <w:tr>
        <w:trPr>
          <w:trHeight w:val="62"/>
        </w:trPr>
        <w:tc>
          <w:tcPr>
            <w:tcW w:w="7740" w:type="dxa"/>
            <w:vAlign w:val="bottom"/>
            <w:vMerge w:val="restart"/>
          </w:tcPr>
          <w:p>
            <w:pPr>
              <w:spacing w:after="0"/>
              <w:rPr>
                <w:sz w:val="20"/>
                <w:szCs w:val="20"/>
                <w:color w:val="auto"/>
              </w:rPr>
            </w:pPr>
            <w:r>
              <w:rPr>
                <w:rFonts w:ascii="Arial" w:cs="Arial" w:eastAsia="Arial" w:hAnsi="Arial"/>
                <w:sz w:val="14"/>
                <w:szCs w:val="14"/>
                <w:color w:val="auto"/>
              </w:rPr>
              <w:t>Year Ended December 31, 2011</w:t>
            </w:r>
          </w:p>
        </w:tc>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7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4"/>
                <w:szCs w:val="14"/>
                <w:color w:val="auto"/>
              </w:rPr>
              <w:t>U.S. Federal</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42,950</w:t>
            </w:r>
          </w:p>
        </w:tc>
        <w:tc>
          <w:tcPr>
            <w:tcW w:w="4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26,732</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69,682</w:t>
            </w:r>
          </w:p>
        </w:tc>
        <w:tc>
          <w:tcPr>
            <w:tcW w:w="0" w:type="dxa"/>
            <w:vAlign w:val="bottom"/>
          </w:tcPr>
          <w:p>
            <w:pPr>
              <w:spacing w:after="0"/>
              <w:rPr>
                <w:sz w:val="1"/>
                <w:szCs w:val="1"/>
                <w:color w:val="auto"/>
              </w:rPr>
            </w:pPr>
          </w:p>
        </w:tc>
      </w:tr>
      <w:tr>
        <w:trPr>
          <w:trHeight w:val="270"/>
        </w:trPr>
        <w:tc>
          <w:tcPr>
            <w:tcW w:w="7740" w:type="dxa"/>
            <w:vAlign w:val="bottom"/>
          </w:tcPr>
          <w:p>
            <w:pPr>
              <w:spacing w:after="0"/>
              <w:rPr>
                <w:sz w:val="20"/>
                <w:szCs w:val="20"/>
                <w:color w:val="auto"/>
              </w:rPr>
            </w:pPr>
            <w:r>
              <w:rPr>
                <w:rFonts w:ascii="Arial" w:cs="Arial" w:eastAsia="Arial" w:hAnsi="Arial"/>
                <w:sz w:val="14"/>
                <w:szCs w:val="14"/>
                <w:color w:val="auto"/>
              </w:rPr>
              <w:t>State and Local</w:t>
            </w:r>
          </w:p>
        </w:tc>
        <w:tc>
          <w:tcPr>
            <w:tcW w:w="30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15,937</w:t>
            </w:r>
          </w:p>
        </w:tc>
        <w:tc>
          <w:tcPr>
            <w:tcW w:w="44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10,475</w:t>
            </w:r>
          </w:p>
        </w:tc>
        <w:tc>
          <w:tcPr>
            <w:tcW w:w="3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26,412</w:t>
            </w:r>
          </w:p>
        </w:tc>
        <w:tc>
          <w:tcPr>
            <w:tcW w:w="0" w:type="dxa"/>
            <w:vAlign w:val="bottom"/>
          </w:tcPr>
          <w:p>
            <w:pPr>
              <w:spacing w:after="0"/>
              <w:rPr>
                <w:sz w:val="1"/>
                <w:szCs w:val="1"/>
                <w:color w:val="auto"/>
              </w:rPr>
            </w:pPr>
          </w:p>
        </w:tc>
      </w:tr>
      <w:tr>
        <w:trPr>
          <w:trHeight w:val="274"/>
        </w:trPr>
        <w:tc>
          <w:tcPr>
            <w:tcW w:w="7740" w:type="dxa"/>
            <w:vAlign w:val="bottom"/>
          </w:tcPr>
          <w:p>
            <w:pPr>
              <w:spacing w:after="0"/>
              <w:rPr>
                <w:sz w:val="20"/>
                <w:szCs w:val="20"/>
                <w:color w:val="auto"/>
              </w:rPr>
            </w:pPr>
            <w:r>
              <w:rPr>
                <w:rFonts w:ascii="Arial" w:cs="Arial" w:eastAsia="Arial" w:hAnsi="Arial"/>
                <w:sz w:val="14"/>
                <w:szCs w:val="14"/>
                <w:color w:val="auto"/>
              </w:rPr>
              <w:t>Non-U.S.</w:t>
            </w: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9,129</w:t>
            </w:r>
          </w:p>
        </w:tc>
        <w:tc>
          <w:tcPr>
            <w:tcW w:w="4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(823)</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8,306</w:t>
            </w:r>
          </w:p>
        </w:tc>
        <w:tc>
          <w:tcPr>
            <w:tcW w:w="0" w:type="dxa"/>
            <w:vAlign w:val="bottom"/>
          </w:tcPr>
          <w:p>
            <w:pPr>
              <w:spacing w:after="0"/>
              <w:rPr>
                <w:sz w:val="1"/>
                <w:szCs w:val="1"/>
                <w:color w:val="auto"/>
              </w:rPr>
            </w:pPr>
          </w:p>
        </w:tc>
      </w:tr>
      <w:tr>
        <w:trPr>
          <w:trHeight w:val="264"/>
        </w:trPr>
        <w:tc>
          <w:tcPr>
            <w:tcW w:w="7740" w:type="dxa"/>
            <w:vAlign w:val="bottom"/>
          </w:tcPr>
          <w:p>
            <w:pPr>
              <w:spacing w:after="0"/>
              <w:rPr>
                <w:sz w:val="22"/>
                <w:szCs w:val="22"/>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68,016</w:t>
            </w:r>
          </w:p>
        </w:tc>
        <w:tc>
          <w:tcPr>
            <w:tcW w:w="4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36,384</w:t>
            </w:r>
          </w:p>
        </w:tc>
        <w:tc>
          <w:tcPr>
            <w:tcW w:w="3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104,400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80" w:top="126" w:right="239" w:bottom="1440" w:gutter="0" w:footer="0" w:header="0"/>
        </w:sectPr>
      </w:pPr>
    </w:p>
    <w:bookmarkStart w:id="76" w:name="page77"/>
    <w:bookmarkEnd w:id="76"/>
    <w:p>
      <w:pPr>
        <w:ind w:right="140"/>
        <w:spacing w:after="0" w:line="260" w:lineRule="auto"/>
        <w:rPr>
          <w:sz w:val="20"/>
          <w:szCs w:val="20"/>
          <w:color w:val="auto"/>
        </w:rPr>
      </w:pPr>
      <w:r>
        <w:rPr>
          <w:rFonts w:ascii="Arial" w:cs="Arial" w:eastAsia="Arial" w:hAnsi="Arial"/>
          <w:sz w:val="18"/>
          <w:szCs w:val="18"/>
          <w:color w:val="auto"/>
        </w:rPr>
        <w:t>The provision for income taxes on continuing operations exceeds the amount of income tax determined by applying the U.S. Federal statutory rate of 35% to income from continuing operations before taxes as a result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2011</w:t>
            </w: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color w:val="auto"/>
              </w:rPr>
              <w:t>U.S. Federal taxes at statutory rate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105,429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54,341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89,526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 taxes, net of U.S. Federal tax</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3,097</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9,247</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4,143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Valuation allowances against state tax benefits, net of U.S. Federal tax</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(2,638)</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(3,443)</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9,748</w:t>
            </w:r>
          </w:p>
        </w:tc>
      </w:tr>
      <w:tr>
        <w:trPr>
          <w:trHeight w:val="262"/>
        </w:trPr>
        <w:tc>
          <w:tcPr>
            <w:tcW w:w="7780" w:type="dxa"/>
            <w:vAlign w:val="bottom"/>
          </w:tcPr>
          <w:p>
            <w:pPr>
              <w:ind w:left="40"/>
              <w:spacing w:after="0"/>
              <w:rPr>
                <w:sz w:val="20"/>
                <w:szCs w:val="20"/>
                <w:color w:val="auto"/>
              </w:rPr>
            </w:pPr>
            <w:r>
              <w:rPr>
                <w:rFonts w:ascii="Arial" w:cs="Arial" w:eastAsia="Arial" w:hAnsi="Arial"/>
                <w:sz w:val="16"/>
                <w:szCs w:val="16"/>
                <w:color w:val="auto"/>
              </w:rPr>
              <w:t>Tax provided on non-U.S. subsidiary earnings and distributions at more (less) than the</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8"/>
        </w:trPr>
        <w:tc>
          <w:tcPr>
            <w:tcW w:w="7780" w:type="dxa"/>
            <w:vAlign w:val="bottom"/>
          </w:tcPr>
          <w:p>
            <w:pPr>
              <w:ind w:left="280"/>
              <w:spacing w:after="0"/>
              <w:rPr>
                <w:sz w:val="20"/>
                <w:szCs w:val="20"/>
                <w:color w:val="auto"/>
              </w:rPr>
            </w:pPr>
            <w:r>
              <w:rPr>
                <w:rFonts w:ascii="Arial" w:cs="Arial" w:eastAsia="Arial" w:hAnsi="Arial"/>
                <w:sz w:val="16"/>
                <w:szCs w:val="16"/>
                <w:color w:val="auto"/>
              </w:rPr>
              <w:t>expected U.S. Federal statutory tax rate</w:t>
            </w:r>
          </w:p>
        </w:tc>
        <w:tc>
          <w:tcPr>
            <w:tcW w:w="26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694</w:t>
            </w:r>
          </w:p>
        </w:tc>
        <w:tc>
          <w:tcPr>
            <w:tcW w:w="32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(7,320)</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(6,882)</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Valuation allowances against non-U.S. income tax benefits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7,233</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15,966</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8,072</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12,776</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 Manufacturing Deduction tax (benefit) expense</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(5,218)</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(3,323)</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1,365</w:t>
            </w: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1,403</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4,956</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110,000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83,200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104,400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During 2013, 2012 and 2011, in addition to the income tax provision for continuing operations presented above, the Company also recorded tax expense or benefits on discontinued operations. Losses from discontinued operations and gains or losses on sales and dispositions of discontinued operations have been reclassified from previously reported income from operations and reported separately as loss from discontinued operations, net of tax. Tax expense of $28.4 million and tax benefits of $78.3 million and $8.3 million with respect to discontinued operations were recorded in 2013, 2012 and 2011,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2012</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color w:val="auto"/>
              </w:rPr>
              <w:t>Accrued postretirement benefits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15,408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25,287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Other benefit obligations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101,923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123,306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24,911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31,073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State income tax loss carryforwards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30,036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34,578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income tax loss carryforwards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2,613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2,857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capital loss carryforwards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10,837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foreign income tax credit carryforwards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8,265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6,781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Non-U.S. income tax loss carryforwards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32,600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27,039</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61,753</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58,133</w:t>
            </w:r>
          </w:p>
        </w:tc>
      </w:tr>
      <w:tr>
        <w:trPr>
          <w:trHeight w:val="26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w:t>
            </w:r>
          </w:p>
        </w:tc>
        <w:tc>
          <w:tcPr>
            <w:tcW w:w="220" w:type="dxa"/>
            <w:vAlign w:val="bottom"/>
          </w:tcPr>
          <w:p>
            <w:pPr>
              <w:spacing w:after="0"/>
              <w:rPr>
                <w:sz w:val="22"/>
                <w:szCs w:val="22"/>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277,509</w:t>
            </w:r>
          </w:p>
        </w:tc>
        <w:tc>
          <w:tcPr>
            <w:tcW w:w="3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319,891</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Valuation allowances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(72,767)</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(78,109)</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204,742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241,782</w:t>
            </w:r>
          </w:p>
        </w:tc>
      </w:tr>
      <w:tr>
        <w:trPr>
          <w:trHeight w:val="260"/>
        </w:trPr>
        <w:tc>
          <w:tcPr>
            <w:tcW w:w="90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22"/>
                <w:szCs w:val="22"/>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134,627</w:t>
            </w:r>
          </w:p>
        </w:tc>
        <w:tc>
          <w:tcPr>
            <w:tcW w:w="32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175,025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Prepaid pension cost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497,727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241,846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Unrealized gain on available-for-sale securities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115,785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73,712</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Goodwill and other intangible assets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293,749</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276,652</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1,041,888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767,235</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Income Tax Liabilities, Net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837,146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525,453</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Company has $597.1 million of state income tax loss carryforwards available to offset future state taxable income. State income tax loss carryforwards, if unutilized, will start to expire approximately as follows: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80" w:type="dxa"/>
            <w:vAlign w:val="bottom"/>
          </w:tcPr>
          <w:p>
            <w:pPr>
              <w:spacing w:after="0"/>
              <w:rPr>
                <w:sz w:val="20"/>
                <w:szCs w:val="20"/>
                <w:color w:val="auto"/>
              </w:rPr>
            </w:pPr>
            <w:r>
              <w:rPr>
                <w:rFonts w:ascii="Arial" w:cs="Arial" w:eastAsia="Arial" w:hAnsi="Arial"/>
                <w:sz w:val="16"/>
                <w:szCs w:val="16"/>
                <w:color w:val="auto"/>
              </w:rPr>
              <w:t>2014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2015</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2017</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252"/>
        </w:trPr>
        <w:tc>
          <w:tcPr>
            <w:tcW w:w="10480" w:type="dxa"/>
            <w:vAlign w:val="bottom"/>
          </w:tcPr>
          <w:p>
            <w:pPr>
              <w:spacing w:after="0"/>
              <w:rPr>
                <w:sz w:val="20"/>
                <w:szCs w:val="20"/>
                <w:color w:val="auto"/>
              </w:rPr>
            </w:pPr>
            <w:r>
              <w:rPr>
                <w:rFonts w:ascii="Arial" w:cs="Arial" w:eastAsia="Arial" w:hAnsi="Arial"/>
                <w:sz w:val="16"/>
                <w:szCs w:val="16"/>
                <w:color w:val="auto"/>
              </w:rPr>
              <w:t>2019 and after</w:t>
            </w: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573.7</w:t>
            </w:r>
          </w:p>
        </w:tc>
      </w:tr>
      <w:tr>
        <w:trPr>
          <w:trHeight w:val="243"/>
        </w:trPr>
        <w:tc>
          <w:tcPr>
            <w:tcW w:w="104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597.1</w:t>
            </w:r>
          </w:p>
        </w:tc>
      </w:tr>
      <w:tr>
        <w:trPr>
          <w:trHeight w:val="20"/>
        </w:trPr>
        <w:tc>
          <w:tcPr>
            <w:tcW w:w="10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Company has recorded at December 31, 2013, $30.0 million in deferred state income tax assets, net of U.S. Federal income tax, with respect to these state income tax loss carryforwards. The Company has established a full valuation allowance, reducing the net recorded amount of deferred tax assets with respect to state tax loss carryforwards, since the Company has determined that it is more likely than not that the state tax losses may not be fully utilized in the future to reduce state taxable income.</w:t>
      </w:r>
    </w:p>
    <w:p>
      <w:pPr>
        <w:sectPr>
          <w:pgSz w:w="11900" w:h="16838" w:orient="portrait"/>
          <w:cols w:equalWidth="0" w:num="1">
            <w:col w:w="11420"/>
          </w:cols>
          <w:pgMar w:left="240" w:top="724" w:right="239" w:bottom="282"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724" w:right="239" w:bottom="282" w:gutter="0" w:footer="0" w:header="0"/>
          <w:type w:val="continuous"/>
        </w:sectPr>
      </w:pPr>
    </w:p>
    <w:bookmarkStart w:id="77" w:name="page78"/>
    <w:bookmarkEnd w:id="77"/>
    <w:p>
      <w:pPr>
        <w:ind w:right="480"/>
        <w:spacing w:after="0" w:line="260" w:lineRule="auto"/>
        <w:rPr>
          <w:sz w:val="20"/>
          <w:szCs w:val="20"/>
          <w:color w:val="auto"/>
        </w:rPr>
      </w:pPr>
      <w:r>
        <w:rPr>
          <w:rFonts w:ascii="Arial" w:cs="Arial" w:eastAsia="Arial" w:hAnsi="Arial"/>
          <w:sz w:val="18"/>
          <w:szCs w:val="18"/>
          <w:color w:val="auto"/>
        </w:rPr>
        <w:t>The Company has $7.4 million of U.S. Federal income tax loss carryforwards obtained as a result of prior stock acquisitions. U.S. Federal income tax loss carryforwards are expected to be fully utilized as follows: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580" w:type="dxa"/>
            <w:vAlign w:val="bottom"/>
          </w:tcPr>
          <w:p>
            <w:pPr>
              <w:spacing w:after="0"/>
              <w:rPr>
                <w:sz w:val="20"/>
                <w:szCs w:val="20"/>
                <w:color w:val="auto"/>
              </w:rPr>
            </w:pPr>
            <w:r>
              <w:rPr>
                <w:rFonts w:ascii="Arial" w:cs="Arial" w:eastAsia="Arial" w:hAnsi="Arial"/>
                <w:sz w:val="16"/>
                <w:szCs w:val="16"/>
                <w:color w:val="auto"/>
              </w:rPr>
              <w:t>2014</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2016</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2017</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252"/>
        </w:trPr>
        <w:tc>
          <w:tcPr>
            <w:tcW w:w="10580" w:type="dxa"/>
            <w:vAlign w:val="bottom"/>
          </w:tcPr>
          <w:p>
            <w:pPr>
              <w:spacing w:after="0"/>
              <w:rPr>
                <w:sz w:val="20"/>
                <w:szCs w:val="20"/>
                <w:color w:val="auto"/>
              </w:rPr>
            </w:pPr>
            <w:r>
              <w:rPr>
                <w:rFonts w:ascii="Arial" w:cs="Arial" w:eastAsia="Arial" w:hAnsi="Arial"/>
                <w:sz w:val="16"/>
                <w:szCs w:val="16"/>
                <w:color w:val="auto"/>
              </w:rPr>
              <w:t>2019 and after</w:t>
            </w:r>
          </w:p>
        </w:tc>
        <w:tc>
          <w:tcPr>
            <w:tcW w:w="3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w:t>
            </w:r>
          </w:p>
        </w:tc>
      </w:tr>
      <w:tr>
        <w:trPr>
          <w:trHeight w:val="243"/>
        </w:trPr>
        <w:tc>
          <w:tcPr>
            <w:tcW w:w="105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7.4</w:t>
            </w:r>
          </w:p>
        </w:tc>
      </w:tr>
      <w:tr>
        <w:trPr>
          <w:trHeight w:val="20"/>
        </w:trPr>
        <w:tc>
          <w:tcPr>
            <w:tcW w:w="10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 Company has established at December 31, 2013, $2.6 million in U.S. Federal deferred tax assets with respect to these U.S. Federal income tax loss carryforwards.</w:t>
      </w:r>
    </w:p>
    <w:p>
      <w:pPr>
        <w:spacing w:after="0" w:line="92"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For U.S. Federal income tax purposes, the Company has $8.3 million of foreign tax credits available to be credited against future U.S. Federal income tax liabilities. These U.S. Federal foreign tax credits are expected to be fully utilized in the future; $6.8 million and $ 1.5 million will expire at the end of 2022 and 2023, respectively, if not utilized. The Company has established at December 31, 2013, $8.3 million of U.S. Federal deferred tax assets with respect to these U.S. Federal foreign tax credit carryforwards.</w:t>
      </w:r>
    </w:p>
    <w:p>
      <w:pPr>
        <w:spacing w:after="0" w:line="11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Company has $112.1 million of non-U.S. income tax loss carryforwards, as a result of operating losses and prior stock acquisitions that are available to offset future non-U.S. taxable income and has recorded, with respect to these losses, $32.6 million in non-U.S. deferred income tax assets. The Company has established $31.4 million in valuation allowances against the deferred tax assets recorded for the portion of non-U.S. tax losses that may not be fully utilized to reduce future non-U.S. taxable income. The $112.1 million of non-U.S. income tax loss carryforwards consist of $101.3 million in losses that may be carried forward indefinitely; $3.5 million of losses that, if unutilized, will expire in varying amounts through 2018; and $7.3 million of losses that, if unutilized, will start to expire after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Deferred tax valuation allowances and changes in deferred tax valuation allowances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rPr>
              <w:t>Beginning of</w:t>
            </w:r>
          </w:p>
        </w:tc>
        <w:tc>
          <w:tcPr>
            <w:tcW w:w="260" w:type="dxa"/>
            <w:vAlign w:val="bottom"/>
          </w:tcPr>
          <w:p>
            <w:pPr>
              <w:spacing w:after="0"/>
              <w:rPr>
                <w:sz w:val="14"/>
                <w:szCs w:val="14"/>
                <w:color w:val="auto"/>
              </w:rPr>
            </w:pPr>
          </w:p>
        </w:tc>
        <w:tc>
          <w:tcPr>
            <w:tcW w:w="1480" w:type="dxa"/>
            <w:vAlign w:val="bottom"/>
          </w:tcPr>
          <w:p>
            <w:pPr>
              <w:jc w:val="right"/>
              <w:ind w:right="203"/>
              <w:spacing w:after="0"/>
              <w:rPr>
                <w:sz w:val="20"/>
                <w:szCs w:val="20"/>
                <w:color w:val="auto"/>
              </w:rPr>
            </w:pPr>
            <w:r>
              <w:rPr>
                <w:rFonts w:ascii="Arial" w:cs="Arial" w:eastAsia="Arial" w:hAnsi="Arial"/>
                <w:sz w:val="14"/>
                <w:szCs w:val="14"/>
                <w:b w:val="1"/>
                <w:bCs w:val="1"/>
                <w:color w:val="auto"/>
              </w:rPr>
              <w:t>Tax Expense and</w:t>
            </w:r>
          </w:p>
        </w:tc>
        <w:tc>
          <w:tcPr>
            <w:tcW w:w="120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at End</w:t>
            </w:r>
          </w:p>
        </w:tc>
      </w:tr>
      <w:tr>
        <w:trPr>
          <w:trHeight w:val="203"/>
        </w:trPr>
        <w:tc>
          <w:tcPr>
            <w:tcW w:w="3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Period</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Revaluation</w:t>
            </w: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of Period</w:t>
            </w:r>
          </w:p>
        </w:tc>
      </w:tr>
      <w:tr>
        <w:trPr>
          <w:trHeight w:val="257"/>
        </w:trPr>
        <w:tc>
          <w:tcPr>
            <w:tcW w:w="3820" w:type="dxa"/>
            <w:vAlign w:val="bottom"/>
          </w:tcPr>
          <w:p>
            <w:pPr>
              <w:ind w:left="40"/>
              <w:spacing w:after="0"/>
              <w:rPr>
                <w:sz w:val="20"/>
                <w:szCs w:val="20"/>
                <w:color w:val="auto"/>
              </w:rPr>
            </w:pPr>
            <w:r>
              <w:rPr>
                <w:rFonts w:ascii="Arial" w:cs="Arial" w:eastAsia="Arial" w:hAnsi="Arial"/>
                <w:sz w:val="16"/>
                <w:szCs w:val="16"/>
                <w:b w:val="1"/>
                <w:bCs w:val="1"/>
                <w:color w:val="auto"/>
              </w:rPr>
              <w:t>Year ended</w:t>
            </w:r>
          </w:p>
        </w:tc>
        <w:tc>
          <w:tcPr>
            <w:tcW w:w="2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b w:val="1"/>
                <w:bCs w:val="1"/>
                <w:color w:val="auto"/>
              </w:rPr>
              <w:t>December 31, 2013</w:t>
            </w:r>
          </w:p>
        </w:tc>
        <w:tc>
          <w:tcPr>
            <w:tcW w:w="24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78,109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jc w:val="right"/>
              <w:ind w:right="143"/>
              <w:spacing w:after="0"/>
              <w:rPr>
                <w:sz w:val="20"/>
                <w:szCs w:val="20"/>
                <w:color w:val="auto"/>
              </w:rPr>
            </w:pPr>
            <w:r>
              <w:rPr>
                <w:rFonts w:ascii="Arial" w:cs="Arial" w:eastAsia="Arial" w:hAnsi="Arial"/>
                <w:sz w:val="16"/>
                <w:szCs w:val="16"/>
                <w:b w:val="1"/>
                <w:bCs w:val="1"/>
                <w:color w:val="auto"/>
              </w:rPr>
              <w:t>(5,342)</w:t>
            </w:r>
          </w:p>
        </w:tc>
        <w:tc>
          <w:tcPr>
            <w:tcW w:w="1200" w:type="dxa"/>
            <w:vAlign w:val="bottom"/>
          </w:tcPr>
          <w:p>
            <w:pPr>
              <w:ind w:left="90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72,767</w:t>
            </w:r>
          </w:p>
        </w:tc>
      </w:tr>
      <w:tr>
        <w:trPr>
          <w:trHeight w:val="262"/>
        </w:trPr>
        <w:tc>
          <w:tcPr>
            <w:tcW w:w="3820" w:type="dxa"/>
            <w:vAlign w:val="bottom"/>
          </w:tcPr>
          <w:p>
            <w:pPr>
              <w:ind w:left="40"/>
              <w:spacing w:after="0"/>
              <w:rPr>
                <w:sz w:val="20"/>
                <w:szCs w:val="20"/>
                <w:color w:val="auto"/>
              </w:rPr>
            </w:pPr>
            <w:r>
              <w:rPr>
                <w:rFonts w:ascii="Arial" w:cs="Arial" w:eastAsia="Arial" w:hAnsi="Arial"/>
                <w:sz w:val="16"/>
                <w:szCs w:val="16"/>
                <w:color w:val="auto"/>
              </w:rPr>
              <w:t>December 31, 2012</w:t>
            </w:r>
          </w:p>
        </w:tc>
        <w:tc>
          <w:tcPr>
            <w:tcW w:w="24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59,179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3"/>
              <w:spacing w:after="0"/>
              <w:rPr>
                <w:sz w:val="20"/>
                <w:szCs w:val="20"/>
                <w:color w:val="auto"/>
              </w:rPr>
            </w:pPr>
            <w:r>
              <w:rPr>
                <w:rFonts w:ascii="Arial" w:cs="Arial" w:eastAsia="Arial" w:hAnsi="Arial"/>
                <w:sz w:val="16"/>
                <w:szCs w:val="16"/>
                <w:color w:val="auto"/>
              </w:rPr>
              <w:t>18,930</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78,109</w:t>
            </w:r>
          </w:p>
        </w:tc>
      </w:tr>
      <w:tr>
        <w:trPr>
          <w:trHeight w:val="270"/>
        </w:trPr>
        <w:tc>
          <w:tcPr>
            <w:tcW w:w="3820" w:type="dxa"/>
            <w:vAlign w:val="bottom"/>
          </w:tcPr>
          <w:p>
            <w:pPr>
              <w:ind w:left="40"/>
              <w:spacing w:after="0"/>
              <w:rPr>
                <w:sz w:val="20"/>
                <w:szCs w:val="20"/>
                <w:color w:val="auto"/>
              </w:rPr>
            </w:pPr>
            <w:r>
              <w:rPr>
                <w:rFonts w:ascii="Arial" w:cs="Arial" w:eastAsia="Arial" w:hAnsi="Arial"/>
                <w:sz w:val="16"/>
                <w:szCs w:val="16"/>
                <w:color w:val="auto"/>
              </w:rPr>
              <w:t>December 31, 2011</w:t>
            </w:r>
          </w:p>
        </w:tc>
        <w:tc>
          <w:tcPr>
            <w:tcW w:w="24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41,359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03"/>
              <w:spacing w:after="0"/>
              <w:rPr>
                <w:sz w:val="20"/>
                <w:szCs w:val="20"/>
                <w:color w:val="auto"/>
              </w:rPr>
            </w:pPr>
            <w:r>
              <w:rPr>
                <w:rFonts w:ascii="Arial" w:cs="Arial" w:eastAsia="Arial" w:hAnsi="Arial"/>
                <w:sz w:val="16"/>
                <w:szCs w:val="16"/>
                <w:color w:val="auto"/>
              </w:rPr>
              <w:t>17,820</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59,179</w:t>
            </w:r>
          </w:p>
        </w:tc>
      </w:tr>
    </w:tbl>
    <w:p>
      <w:pPr>
        <w:spacing w:after="0" w:line="141"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Company has established $35.6 million in valuation allowances against deferred state tax assets recognized, net of U.S. Federal tax. As stated above, approximately $30.0 million of the valuation allowances, net of U.S. Federal income tax, relate to state income tax loss carryforwards. The Company has established valuation allowances against state income tax assets recognized, without considering potentially offsetting deferred tax liabilities established with respect to prepaid pension cost and goodwill. Prepaid pension cost and goodwill have not been considered a source of future taxable income for realizing deferred tax assets recognized since these temporary differences are not likely to reverse in the foreseeable future. The valuation allowances established against state income tax assets are recorded at the parent company and the education division and may increase or decrease within the next 12 months, based on operating results or the market value of investment holdings. As a result, the Company is unable to estimate the potential tax impact, given the uncertain operating and market environment. The Company will be monitoring future operating results and projected future operating results on a quarterly basis to determine whether the valuation allowances provided against deferred state tax assets should be increased or decreased, as future circumstances warrant.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established valuation allowances against any U.S. Federal deferred tax assets.</w:t>
      </w:r>
    </w:p>
    <w:p>
      <w:pPr>
        <w:spacing w:after="0" w:line="144"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Company has established $37.2 million in valuation allowances against non-U.S. deferred tax assets, and, as stated above, $31.4 million of the non-U.S. valuation allowances relate to non-U.S. income tax loss carryforwards.</w:t>
      </w:r>
    </w:p>
    <w:p>
      <w:pPr>
        <w:spacing w:after="0" w:line="92"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Deferred U.S. Federal and state income taxes are recorded with respect to undistributed earnings of investments in non-U.S. subsidiaries to the extent taxable dividend income would be recognized if such earnings were distributed. Deferred income taxes recorded with respect to undistributed earnings of investments in non-U.S. subsidiaries are recorded net of foreign tax credits with respect to such undistributed earnings estimated to be creditable against future U.S. Federal tax liabilities. At December 31, 2013 and 2012, net U.S. Federal and state deferred income tax liabilities of about $7.7 million and $1.7 million, respectively, were recorded with respect to undistributed earnings of investments in non-U.S. subsidiaries based on the year-end position.</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24" w:right="239" w:bottom="1440" w:gutter="0" w:footer="0" w:header="0"/>
        </w:sectPr>
      </w:pPr>
    </w:p>
    <w:bookmarkStart w:id="78" w:name="page79"/>
    <w:bookmarkEnd w:id="78"/>
    <w:p>
      <w:pPr>
        <w:ind w:right="80"/>
        <w:spacing w:after="0" w:line="227" w:lineRule="auto"/>
        <w:rPr>
          <w:sz w:val="20"/>
          <w:szCs w:val="20"/>
          <w:color w:val="auto"/>
        </w:rPr>
      </w:pPr>
      <w:r>
        <w:rPr>
          <w:rFonts w:ascii="Arial" w:cs="Arial" w:eastAsia="Arial" w:hAnsi="Arial"/>
          <w:sz w:val="18"/>
          <w:szCs w:val="18"/>
          <w:color w:val="auto"/>
        </w:rPr>
        <w:t>Deferred U.S. Federal and state income taxes have not been recorded for the full book value and tax basis differences related to investments in non-U.S. subsidiaries because such investments are expected to be indefinitely held. The book value exceeded the tax basis of investments in non-U.S. subsidiaries by approximately $66.8 million and $64.2 million at December 31, 2013 and 2012, respectively; these differences would result in approximately $5.9 million and $14.7 million of net additional U.S. Federal and state deferred tax liabilities, net of foreign tax credits related to undistributed earnings and estimated to be creditable against future U.S. Federal tax liabilities, at December 31, 2013 and 2012, respectively. If investments in non-U.S. subsidiaries were held for sale instead of expected to be held indefinitely, additional U.S. Federal and state deferred tax liabilities would be required to be recorded, and such deferred tax liabilities, if recorded, may exceed the above estimates.</w:t>
      </w:r>
    </w:p>
    <w:p>
      <w:pPr>
        <w:spacing w:after="0" w:line="10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Company does not currently anticipate that within the next 12 months there will be any events requiring the establishment of any valuation allowances against U.S. Federal net deferred tax assets. The valuation allowances established against non-U.S. deferred tax assets are recorded at the education division, as this is the only division with significant non-U.S operating activities, and these are largely related to the education division’s operations in Australia. These valuation allowances may increase or decrease within the next 12 months, based on operating results. As a result, the Company is unable to estimate the potential tax impact, given the uncertain operating environment. The Company will be monitoring future education division operating results and projected future operating results on a quarterly basis to determine whether the valuation allowances provided against non-U.S. deferred tax assets should be increased or decreased, as future circumstances warrant.</w:t>
      </w:r>
    </w:p>
    <w:p>
      <w:pPr>
        <w:spacing w:after="0" w:line="108"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The Company has recorded a $10.5 million U.S. Federal income tax receivable at December 31, 2013, with respect to capital loss and foreign tax credit carrybacks to the 2010 tax year.</w:t>
      </w:r>
    </w:p>
    <w:p>
      <w:pPr>
        <w:spacing w:after="0" w:line="92"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The Company files income tax returns with the U.S. Federal government and in various state, local and non-U.S. governmental jurisdictions, with the consolidated U.S. Federal tax return filing considered the only major tax jurisdiction. The statute of limitations has expired on all consolidated U.S. Federal corporate income tax returns filed through 2009, and the Internal Revenue Service is not currently examining any of the post-2009 returns filed by the Company.</w:t>
      </w:r>
    </w:p>
    <w:p>
      <w:pPr>
        <w:spacing w:after="0" w:line="11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 The Company has taken reasonable efforts to address uncertain tax positions and has determined that there are no material transactions and no material tax positions taken by the Company that would fail to meet the more-likely-than-not threshold for recognizing transactions or tax positions in the financial statements. Accordingly, the Company has not recorded a reserve for uncertain tax positions in the financial statements, and the Company does not expect any significant tax increase or decrease to occur within the next 12 months with respect to any transactions or tax positions taken and reflected in the financial statements. In making these determinations, the Company presumes that taxing authorities pursuing examinations of the Company’s compliance with tax law filing requirements will have full knowledge of all relevant information, and, if necessary, the Company will pursue resolution of disputed tax positions by appeals or litigation.</w:t>
      </w:r>
    </w:p>
    <w:p>
      <w:pPr>
        <w:spacing w:after="0" w:line="108"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r>
      <w:tr>
        <w:trPr>
          <w:trHeight w:val="263"/>
        </w:trPr>
        <w:tc>
          <w:tcPr>
            <w:tcW w:w="9020" w:type="dxa"/>
            <w:vAlign w:val="bottom"/>
          </w:tcPr>
          <w:p>
            <w:pPr>
              <w:ind w:left="40"/>
              <w:spacing w:after="0"/>
              <w:rPr>
                <w:sz w:val="20"/>
                <w:szCs w:val="20"/>
                <w:color w:val="auto"/>
              </w:rPr>
            </w:pPr>
            <w:r>
              <w:rPr>
                <w:rFonts w:ascii="Arial" w:cs="Arial" w:eastAsia="Arial" w:hAnsi="Arial"/>
                <w:sz w:val="14"/>
                <w:szCs w:val="14"/>
                <w:color w:val="auto"/>
              </w:rPr>
              <w:t>7.25% unsecured notes due February 1, 2019</w:t>
            </w: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397,893</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397,479</w:t>
            </w:r>
          </w:p>
        </w:tc>
      </w:tr>
      <w:tr>
        <w:trPr>
          <w:trHeight w:val="270"/>
        </w:trPr>
        <w:tc>
          <w:tcPr>
            <w:tcW w:w="9020" w:type="dxa"/>
            <w:vAlign w:val="bottom"/>
          </w:tcPr>
          <w:p>
            <w:pPr>
              <w:ind w:left="40"/>
              <w:spacing w:after="0"/>
              <w:rPr>
                <w:sz w:val="20"/>
                <w:szCs w:val="20"/>
                <w:color w:val="auto"/>
              </w:rPr>
            </w:pPr>
            <w:r>
              <w:rPr>
                <w:rFonts w:ascii="Arial" w:cs="Arial" w:eastAsia="Arial" w:hAnsi="Arial"/>
                <w:sz w:val="14"/>
                <w:szCs w:val="14"/>
                <w:color w:val="auto"/>
              </w:rPr>
              <w:t>USD Revolving credit borrowing</w:t>
            </w:r>
          </w:p>
        </w:tc>
        <w:tc>
          <w:tcPr>
            <w:tcW w:w="280" w:type="dxa"/>
            <w:vAlign w:val="bottom"/>
          </w:tcPr>
          <w:p>
            <w:pPr>
              <w:spacing w:after="0"/>
              <w:rPr>
                <w:sz w:val="23"/>
                <w:szCs w:val="23"/>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240,121</w:t>
            </w:r>
          </w:p>
        </w:tc>
      </w:tr>
      <w:tr>
        <w:trPr>
          <w:trHeight w:val="270"/>
        </w:trPr>
        <w:tc>
          <w:tcPr>
            <w:tcW w:w="9020" w:type="dxa"/>
            <w:vAlign w:val="bottom"/>
          </w:tcPr>
          <w:p>
            <w:pPr>
              <w:ind w:left="40"/>
              <w:spacing w:after="0"/>
              <w:rPr>
                <w:sz w:val="20"/>
                <w:szCs w:val="20"/>
                <w:color w:val="auto"/>
              </w:rPr>
            </w:pPr>
            <w:r>
              <w:rPr>
                <w:rFonts w:ascii="Arial" w:cs="Arial" w:eastAsia="Arial" w:hAnsi="Arial"/>
                <w:sz w:val="14"/>
                <w:szCs w:val="14"/>
                <w:color w:val="auto"/>
              </w:rPr>
              <w:t>AUD Revolving credit borrowing</w:t>
            </w:r>
          </w:p>
        </w:tc>
        <w:tc>
          <w:tcPr>
            <w:tcW w:w="280" w:type="dxa"/>
            <w:vAlign w:val="bottom"/>
          </w:tcPr>
          <w:p>
            <w:pPr>
              <w:spacing w:after="0"/>
              <w:rPr>
                <w:sz w:val="23"/>
                <w:szCs w:val="23"/>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44,625</w:t>
            </w:r>
          </w:p>
        </w:tc>
        <w:tc>
          <w:tcPr>
            <w:tcW w:w="3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51,915</w:t>
            </w:r>
          </w:p>
        </w:tc>
      </w:tr>
      <w:tr>
        <w:trPr>
          <w:trHeight w:val="271"/>
        </w:trPr>
        <w:tc>
          <w:tcPr>
            <w:tcW w:w="9020" w:type="dxa"/>
            <w:vAlign w:val="bottom"/>
          </w:tcPr>
          <w:p>
            <w:pPr>
              <w:ind w:left="40"/>
              <w:spacing w:after="0"/>
              <w:rPr>
                <w:sz w:val="20"/>
                <w:szCs w:val="20"/>
                <w:color w:val="auto"/>
              </w:rPr>
            </w:pPr>
            <w:r>
              <w:rPr>
                <w:rFonts w:ascii="Arial" w:cs="Arial" w:eastAsia="Arial" w:hAnsi="Arial"/>
                <w:sz w:val="14"/>
                <w:szCs w:val="14"/>
                <w:color w:val="auto"/>
              </w:rPr>
              <w:t>Other indebtedness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8,258</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7,196</w:t>
            </w:r>
          </w:p>
        </w:tc>
      </w:tr>
      <w:tr>
        <w:trPr>
          <w:trHeight w:val="263"/>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Total Debt</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450,776</w:t>
            </w:r>
          </w:p>
        </w:tc>
        <w:tc>
          <w:tcPr>
            <w:tcW w:w="3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696,711</w:t>
            </w:r>
          </w:p>
        </w:tc>
      </w:tr>
      <w:tr>
        <w:trPr>
          <w:trHeight w:val="271"/>
        </w:trPr>
        <w:tc>
          <w:tcPr>
            <w:tcW w:w="9020" w:type="dxa"/>
            <w:vAlign w:val="bottom"/>
          </w:tcPr>
          <w:p>
            <w:pPr>
              <w:ind w:left="40"/>
              <w:spacing w:after="0"/>
              <w:rPr>
                <w:sz w:val="20"/>
                <w:szCs w:val="20"/>
                <w:color w:val="auto"/>
              </w:rPr>
            </w:pPr>
            <w:r>
              <w:rPr>
                <w:rFonts w:ascii="Arial" w:cs="Arial" w:eastAsia="Arial" w:hAnsi="Arial"/>
                <w:sz w:val="14"/>
                <w:szCs w:val="14"/>
                <w:color w:val="auto"/>
              </w:rPr>
              <w:t>Less: current portion</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(3,168)</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(243,327)</w:t>
            </w:r>
          </w:p>
        </w:tc>
      </w:tr>
      <w:tr>
        <w:trPr>
          <w:trHeight w:val="265"/>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Total Long-Term Debt</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447,608</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453,384</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Company did not borrow funds under its USD revolving credit facility in 2013. On December 20, 2012, the Company borrowed $240 million under its revolving credit facility at an interest rate of 1.5107%; this was fully repaid on January 11, 2013. The Company’s other indebtedness at December 31, 2013, is at interest rates of 0% to 6% and matures between 2014 and 2017.</w:t>
      </w:r>
    </w:p>
    <w:p>
      <w:pPr>
        <w:spacing w:after="0" w:line="108"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In January 2009, the Company issued $400 million in unsecured ten-year fixed-rate notes due February 1, 2019 (the Notes). The Notes have a coupon rate of 7.25% per annum, payable semiannually on February 1 and August 1. Under the terms of the Notes, unless the Company has exercised its right to redeem the Notes, the Company is required to offer to repurchase the Notes in cash at 101% of the principal amount, plus accrued and unpaid interest, upon the occurrence of both a Change of Control and Below Investment Grade Rating Events as described in the Prospectus Supplement of January 27, 2009.</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24" w:right="239" w:bottom="1440" w:gutter="0" w:footer="0" w:header="0"/>
        </w:sectPr>
      </w:pPr>
    </w:p>
    <w:bookmarkStart w:id="79" w:name="page80"/>
    <w:bookmarkEnd w:id="79"/>
    <w:p>
      <w:pPr>
        <w:ind w:right="80"/>
        <w:spacing w:after="0" w:line="234" w:lineRule="auto"/>
        <w:rPr>
          <w:sz w:val="20"/>
          <w:szCs w:val="20"/>
          <w:color w:val="auto"/>
        </w:rPr>
      </w:pPr>
      <w:r>
        <w:rPr>
          <w:rFonts w:ascii="Arial" w:cs="Arial" w:eastAsia="Arial" w:hAnsi="Arial"/>
          <w:sz w:val="17"/>
          <w:szCs w:val="17"/>
          <w:color w:val="auto"/>
        </w:rPr>
        <w:t>On June 17, 2011, the Company entered into a credit agreement (the Credit Agreement) providing for a U.S. $450 million, AUD 50 million four-year revolving credit facility (the Facility) with each of the lenders party thereto, JPMorgan Chase Bank, N.A. as Administrative Agent, and J.P. Morgan Australia Limited as Australian Sub-Agent. The Facility consists of two tranches: (a) U.S. $450 million and (b) AUD 50 million (subject, at the Company’s option, to conversion of the unused Australian dollar commitments into U.S. dollar commitments at a specified exchange rate). The Credit Agreement provides for an option to increase the total U.S. dollar commitments up to an aggregate amount of U.S. $700 million. The Company is required to pay a facility fee on a quarterly basis, based on the Company’s long-term debt ratings, of between 0.08% and 0.20% of the amount of the Facility. Any borrowings are made on an unsecured basis and bear interest at (a) for U.S. dollar borrowings, at the Company’s option, either (i) a fluctuating interest rate equal to the highest of JPMorgan’s prime rate, 0.5% above the Federal funds rate or the one-month eurodollar rate plus 1%, or (ii) the eurodollar rate for the applicable interest period; or (b) for Australian dollar borrowings, the bank bill rate, in each case plus an applicable margin that depends on the Company’s long-term debt ratings. The Facility will expire on</w:t>
      </w:r>
    </w:p>
    <w:p>
      <w:pPr>
        <w:spacing w:after="0" w:line="7"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June 17, 2015, unless the Company and the banks agree to extend the term. Any outstanding borrowings must be repaid on or prior to the final termination date. The Credit Agreement contains terms and conditions, including remedies in the event of a default by the Company, typical of facilities of this type and, among other things, requires the Company to maintain at least $1.5 billion of consolidated stockholders’ equity.</w:t>
      </w:r>
    </w:p>
    <w:p>
      <w:pPr>
        <w:spacing w:after="0" w:line="110"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On September 7, 2011, the Company borrowed AUD 50 million under its revolving credit facility. On the same date, the Company entered into interest rate swap agreements with a total notional value of AUD 50 million and a maturity date of March 7, 2015. These interest rate swap agreements will pay the Company variable interest on the AUD 50 million notional amount at the three-month bank bill rate, and the Company will pay the counterparties a fixed rate of 4.5275%. These interest rate swap agreements were entered into to convert the variable rate Australian dollar borrowing under the revolving credit facility into a fixed rate borrowing. Based on the terms of the interest rate swap agreements and the underlying borrowing, these interest rate swap agreements were determined to be effective and thus qualify as a cash flow hedge. As such, any changes in the fair value of these interest rate swaps are recorded in other comprehensive income on the accompanying condensed consolidated balance sheets until earnings are affected by the variability of cash flows.</w:t>
      </w:r>
    </w:p>
    <w:p>
      <w:pPr>
        <w:spacing w:after="0" w:line="108"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During 2013 and 2012, the Company had average borrowings outstanding of approximately $471.4 million and $483.3 million, respectively, at average annual interest rates of approximately 6.7%. The Company incurred net interest expense of $33.8 million, $32.6 million and $29.1 million during 2013, 2012 and 2011, respectively. At December 31, 2013 and 2012, the fair value of the Company’s 7.25% unsecured notes, based on quoted market prices, totaled $ 475.2 million and $481.4 million, respectively, compared with the carrying amount of $397.9 million and $397.5 million. The carrying value of the Company’s other unsecured debt at December 31, 2013, approximates fair value.</w:t>
      </w:r>
    </w:p>
    <w:p>
      <w:pPr>
        <w:spacing w:after="0" w:line="109"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As of December 31, 2013</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Money market investments (1)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431,836</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431,836</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 (2)</w:t>
            </w:r>
          </w:p>
        </w:tc>
        <w:tc>
          <w:tcPr>
            <w:tcW w:w="22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487,156</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487,156</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current investments (3)</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11,826</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23,336</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35,162</w:t>
            </w:r>
          </w:p>
        </w:tc>
        <w:tc>
          <w:tcPr>
            <w:tcW w:w="0" w:type="dxa"/>
            <w:vAlign w:val="bottom"/>
          </w:tcPr>
          <w:p>
            <w:pPr>
              <w:spacing w:after="0"/>
              <w:rPr>
                <w:sz w:val="1"/>
                <w:szCs w:val="1"/>
                <w:color w:val="auto"/>
              </w:rPr>
            </w:pPr>
          </w:p>
        </w:tc>
      </w:tr>
      <w:tr>
        <w:trPr>
          <w:trHeight w:val="267"/>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498,982</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455,172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954,154</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Deferred compensation plan liabilities (4)</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67,603</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67,603</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7.25% unsecured notes (5)</w:t>
            </w:r>
          </w:p>
        </w:tc>
        <w:tc>
          <w:tcPr>
            <w:tcW w:w="22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475,224</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475,224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AUD revolving credit borrowing (5)</w:t>
            </w:r>
          </w:p>
        </w:tc>
        <w:tc>
          <w:tcPr>
            <w:tcW w:w="220" w:type="dxa"/>
            <w:vAlign w:val="bottom"/>
          </w:tcPr>
          <w:p>
            <w:pPr>
              <w:spacing w:after="0"/>
              <w:rPr>
                <w:sz w:val="23"/>
                <w:szCs w:val="23"/>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44,625</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44,625</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Interest rate swap (6)</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1,047</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1,047</w:t>
            </w:r>
          </w:p>
        </w:tc>
        <w:tc>
          <w:tcPr>
            <w:tcW w:w="0" w:type="dxa"/>
            <w:vAlign w:val="bottom"/>
          </w:tcPr>
          <w:p>
            <w:pPr>
              <w:spacing w:after="0"/>
              <w:rPr>
                <w:sz w:val="1"/>
                <w:szCs w:val="1"/>
                <w:color w:val="auto"/>
              </w:rPr>
            </w:pPr>
          </w:p>
        </w:tc>
      </w:tr>
      <w:tr>
        <w:trPr>
          <w:trHeight w:val="267"/>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588,499</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588,499</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260" w:hanging="252"/>
        <w:spacing w:after="0" w:line="216" w:lineRule="auto"/>
        <w:tabs>
          <w:tab w:leader="none" w:pos="2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Company’s money market investments are included in cash, cash equivalents and restricted cash.</w:t>
      </w:r>
    </w:p>
    <w:p>
      <w:pPr>
        <w:ind w:left="260" w:hanging="252"/>
        <w:spacing w:after="0" w:line="216" w:lineRule="auto"/>
        <w:tabs>
          <w:tab w:leader="none" w:pos="2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Company’s investments in marketable equity securities are classified as available-for-sale.</w:t>
      </w:r>
    </w:p>
    <w:p>
      <w:pPr>
        <w:ind w:left="260" w:hanging="252"/>
        <w:spacing w:after="0" w:line="216" w:lineRule="auto"/>
        <w:tabs>
          <w:tab w:leader="none" w:pos="2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U.S. Government Securities, corporate bonds, mutual funds and time deposits (with original maturities greater than 90 days, but less than one year).</w:t>
      </w:r>
    </w:p>
    <w:p>
      <w:pPr>
        <w:ind w:left="260" w:right="160" w:hanging="252"/>
        <w:spacing w:after="0" w:line="205" w:lineRule="auto"/>
        <w:tabs>
          <w:tab w:leader="none" w:pos="2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Graham Holdings Company’s Deferred Compensation Plan and supplemental savings plan benefits under the Graham Holdings Company’s Supplemental Executive Retirement Plan, which are included in accrued compensation and related benefits.</w:t>
      </w:r>
    </w:p>
    <w:p>
      <w:pPr>
        <w:spacing w:after="0" w:line="1" w:lineRule="exact"/>
        <w:rPr>
          <w:rFonts w:ascii="Arial" w:cs="Arial" w:eastAsia="Arial" w:hAnsi="Arial"/>
          <w:sz w:val="13"/>
          <w:szCs w:val="13"/>
          <w:color w:val="auto"/>
        </w:rPr>
      </w:pPr>
    </w:p>
    <w:p>
      <w:pPr>
        <w:ind w:left="260" w:hanging="252"/>
        <w:spacing w:after="0" w:line="216" w:lineRule="auto"/>
        <w:tabs>
          <w:tab w:leader="none" w:pos="2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See Note 10 for carrying amount of these notes and borrowing.</w:t>
      </w:r>
    </w:p>
    <w:p>
      <w:pPr>
        <w:ind w:left="260" w:right="420" w:hanging="252"/>
        <w:spacing w:after="0" w:line="221" w:lineRule="auto"/>
        <w:tabs>
          <w:tab w:leader="none" w:pos="2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Included in Other liabilities. The Company utilized a market approach model using the notional amount of the interest rate swap multiplied by the observable inputs of time to maturity and market interest rates.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24" w:right="239" w:bottom="1440" w:gutter="0" w:footer="0" w:header="0"/>
        </w:sectPr>
      </w:pPr>
    </w:p>
    <w:bookmarkStart w:id="80" w:name="page81"/>
    <w:bookmarkEnd w:id="80"/>
    <w:p>
      <w:pPr>
        <w:ind w:left="8800"/>
        <w:spacing w:after="0"/>
        <w:rPr>
          <w:sz w:val="20"/>
          <w:szCs w:val="20"/>
          <w:color w:val="auto"/>
        </w:rPr>
      </w:pPr>
      <w:r>
        <w:rPr>
          <w:rFonts w:ascii="Arial" w:cs="Arial" w:eastAsia="Arial" w:hAnsi="Arial"/>
          <w:sz w:val="14"/>
          <w:szCs w:val="14"/>
          <w:color w:val="auto"/>
        </w:rPr>
        <w:t>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p>
      <w:pPr>
        <w:ind w:left="40"/>
        <w:spacing w:after="0"/>
        <w:tabs>
          <w:tab w:leader="none" w:pos="8100" w:val="left"/>
          <w:tab w:leader="none" w:pos="9360" w:val="left"/>
          <w:tab w:leader="none" w:pos="10680" w:val="left"/>
        </w:tabs>
        <w:rPr>
          <w:sz w:val="20"/>
          <w:szCs w:val="20"/>
          <w:color w:val="auto"/>
        </w:rPr>
      </w:pPr>
      <w:r>
        <w:rPr>
          <w:rFonts w:ascii="Arial" w:cs="Arial" w:eastAsia="Arial" w:hAnsi="Arial"/>
          <w:sz w:val="14"/>
          <w:szCs w:val="14"/>
          <w:color w:val="auto"/>
        </w:rPr>
        <w:t>(in thousands)</w:t>
      </w:r>
      <w:r>
        <w:rPr>
          <w:sz w:val="20"/>
          <w:szCs w:val="20"/>
          <w:color w:val="auto"/>
        </w:rPr>
        <w:tab/>
      </w:r>
      <w:r>
        <w:rPr>
          <w:rFonts w:ascii="Arial" w:cs="Arial" w:eastAsia="Arial" w:hAnsi="Arial"/>
          <w:sz w:val="14"/>
          <w:szCs w:val="14"/>
          <w:color w:val="auto"/>
        </w:rPr>
        <w:t>Level 1</w:t>
      </w:r>
      <w:r>
        <w:rPr>
          <w:sz w:val="20"/>
          <w:szCs w:val="20"/>
          <w:color w:val="auto"/>
        </w:rPr>
        <w:tab/>
      </w: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w:t>
      </w:r>
    </w:p>
    <w:p>
      <w:pPr>
        <w:sectPr>
          <w:pgSz w:w="11900" w:h="16838" w:orient="portrait"/>
          <w:cols w:equalWidth="0" w:num="1">
            <w:col w:w="11420"/>
          </w:cols>
          <w:pgMar w:left="240" w:top="964" w:right="239" w:bottom="1440" w:gutter="0" w:footer="0" w:header="0"/>
        </w:sectPr>
      </w:pP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Money market investments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Marketable equity securities (2)</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current investments (3)</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Financial 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Liabilities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compensation plan liabilities (4)</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7.25% unsecured notes (5)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AUD revolving credit borrowing (5)</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rate swap (6)</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Total Financial Liabilities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432,670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432,670</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380,087</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380,087</w:t>
            </w:r>
          </w:p>
        </w:tc>
      </w:tr>
      <w:tr>
        <w:trPr>
          <w:trHeight w:val="2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14,134</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24,717</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38,851</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394,221</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457,387</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851,608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12"/>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62,297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62,297</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481,424</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481,424</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51,915</w:t>
            </w: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51,915</w:t>
            </w:r>
          </w:p>
        </w:tc>
      </w:tr>
      <w:tr>
        <w:trPr>
          <w:trHeight w:val="279"/>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1,567</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1,567</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597,203</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597,203</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60" w:space="720"/>
            <w:col w:w="3640"/>
          </w:cols>
          <w:pgMar w:left="240" w:top="964" w:right="239" w:bottom="1440" w:gutter="0" w:footer="0" w:header="0"/>
          <w:type w:val="continuous"/>
        </w:sectPr>
      </w:pPr>
    </w:p>
    <w:p>
      <w:pPr>
        <w:ind w:left="260" w:hanging="252"/>
        <w:spacing w:after="0" w:line="230" w:lineRule="auto"/>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Company’s money market investments are included in cash, cash equivalents and restricted cash.</w:t>
      </w:r>
    </w:p>
    <w:p>
      <w:pPr>
        <w:ind w:left="260" w:hanging="252"/>
        <w:spacing w:after="0" w:line="216" w:lineRule="auto"/>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Company’s investments in marketable equity securities are classified as available-for-sale.</w:t>
      </w:r>
    </w:p>
    <w:p>
      <w:pPr>
        <w:ind w:left="260" w:hanging="252"/>
        <w:spacing w:after="0" w:line="216" w:lineRule="auto"/>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Includes U.S. Government Securities, corporate bonds, mutual funds and time deposits (with original maturities greater than 90 days, but less than one year).</w:t>
      </w:r>
    </w:p>
    <w:p>
      <w:pPr>
        <w:ind w:left="260" w:right="160" w:hanging="252"/>
        <w:spacing w:after="0" w:line="205" w:lineRule="auto"/>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Includes Graham Holdings Company’s Deferred Compensation Plan and supplemental savings plan benefits under the Graham Holdings Company’s Supplemental Executive Retirement Plan, which are included in accrued compensation and related benefits.</w:t>
      </w:r>
    </w:p>
    <w:p>
      <w:pPr>
        <w:spacing w:after="0" w:line="1" w:lineRule="exact"/>
        <w:rPr>
          <w:rFonts w:ascii="Arial" w:cs="Arial" w:eastAsia="Arial" w:hAnsi="Arial"/>
          <w:sz w:val="13"/>
          <w:szCs w:val="13"/>
          <w:color w:val="auto"/>
        </w:rPr>
      </w:pPr>
    </w:p>
    <w:p>
      <w:pPr>
        <w:ind w:left="260" w:hanging="252"/>
        <w:spacing w:after="0" w:line="216" w:lineRule="auto"/>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See Note 10 for carrying amount of these notes and borrowing.</w:t>
      </w:r>
    </w:p>
    <w:p>
      <w:pPr>
        <w:ind w:left="260" w:right="420" w:hanging="252"/>
        <w:spacing w:after="0" w:line="221" w:lineRule="auto"/>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Included in Other liabilities. The Company utilized a market approach model using the notional amount of the interest rate swap multiplied by the observable inputs of time to maturity and market interest rates.</w:t>
      </w:r>
    </w:p>
    <w:p>
      <w:pPr>
        <w:spacing w:after="0" w:line="113"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For the year ended December 31, 2013, the Company recorded an intangible and other long-lived assets impairment charge of $3.3 million. For the year ended December 31, 2012, the Company recorded a goodwill and other long-lived assets impairment charge of $111.6 million (see Notes 2 and 8). The remeasurement of the goodwill and other long-lived assets is classified as a Level 3 fair value assessment due to the significance of unobservable inputs developed in the determination of the fair value.</w:t>
      </w:r>
    </w:p>
    <w:p>
      <w:pPr>
        <w:spacing w:after="0" w:line="109"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PREFERRED STOCK</w:t>
      </w:r>
    </w:p>
    <w:p>
      <w:pPr>
        <w:spacing w:after="0" w:line="146"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 60-day election period.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110"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STOCK AWARDS AND STOCK OPTIONS</w:t>
      </w:r>
    </w:p>
    <w:p>
      <w:pPr>
        <w:spacing w:after="0" w:line="144"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voting rights and as a class has the right to elect 30% of the Board of Directors; the Class A stock has unlimited voting rights, including the right to elect a majority of the Board of Directors. In 2013 and 2012, the Company’s Class A shareholders converted 50,310, or 4%, and 10,000, or 1%, respectively, of the Class A shares of the Company to an equal number of Class B shares. The conversions had no impact on the voting rights of the Class A and Class B common stock.</w:t>
      </w:r>
    </w:p>
    <w:p>
      <w:pPr>
        <w:spacing w:after="0" w:line="109"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During 2013, 2012 and 2011, the Company purchased a total of 33,024, 301,231 and 644,948 shares, respectively, of its Class B common stock at a cost of approximately $17.7 million, $103.2 million and $248.1 million, respectively. In September 2011, the Board of Directors increased the authorization to repurchase a total of 750,000 shares of Class B common stock. The Company did not announce a ceiling price or a time limit for the purchases. The authorization included 43,573 shares that remained under the previous authorization. At December 31, 2013, the Company had remaining authorization from the Board of Directors to purchase up to 159,219 shares of Class B common stock.</w:t>
      </w:r>
    </w:p>
    <w:p>
      <w:pPr>
        <w:spacing w:after="0" w:line="109"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In 2001, the Company adopted an incentive compensation plan, which, among other provisions, authorizes the awarding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B common stock to key employees. Stock awards made under this incentive compensation plan are primarily subject to the general restriction that stock awarded to a participant will be forfeited and revert to Company ownership if the participant’s employment terminates before the end of a specified period of service to the Company. Some of the awards are also subject to performance and market conditions and will be forfeited and revert to Company ownership if the conditions are not met. At December 31, 2013, there were 43,950 shares reserved for issuance under this incentive compensation plan, which were all subject to awards outstanding.</w:t>
      </w:r>
    </w:p>
    <w:p>
      <w:pPr>
        <w:spacing w:after="0" w:line="108"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2012, the Company adopted a new incentive compensation plan (the 2012 Plan), which, among other provisions, authorizes the awarding of Class B common stock to key employees in the form of stock awards, stock options and</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964" w:right="239" w:bottom="1440" w:gutter="0" w:footer="0" w:header="0"/>
          <w:type w:val="continuous"/>
        </w:sectPr>
      </w:pPr>
    </w:p>
    <w:bookmarkStart w:id="81" w:name="page82"/>
    <w:bookmarkEnd w:id="81"/>
    <w:p>
      <w:pPr>
        <w:ind w:right="180"/>
        <w:spacing w:after="0" w:line="228" w:lineRule="auto"/>
        <w:rPr>
          <w:sz w:val="20"/>
          <w:szCs w:val="20"/>
          <w:color w:val="auto"/>
        </w:rPr>
      </w:pPr>
      <w:r>
        <w:rPr>
          <w:rFonts w:ascii="Arial" w:cs="Arial" w:eastAsia="Arial" w:hAnsi="Arial"/>
          <w:sz w:val="18"/>
          <w:szCs w:val="18"/>
          <w:color w:val="auto"/>
        </w:rPr>
        <w:t>other awards involving the actual transfer of shares. All stock awards, stock options and other awards involving the actual transfer of shares issued subsequent to the adoption of this plan are covered under this new incentive compensation plan. Stock awards made under the 2012 incentive compensation plan are primarily subject to the general restriction that stock awarded to a participant will be forfeited and revert to Company ownership if the participant’s employment terminates before the end of a specified period of service to the Company. Some of the awards are also subject to performance and market conditions and will be forfeited and revert to Company ownership if the conditions are not met. At December 31, 2013, there were 471,800 shares reserved for issuance under the 2012 incentive compensation plan. Of this number, 91,029 shares were subject to stock awards and stock options outstanding and 380,771 shares were available for future awards.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awards under these incentive compensation plans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264"/>
        </w:trPr>
        <w:tc>
          <w:tcPr>
            <w:tcW w:w="436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2013</w:t>
            </w:r>
          </w:p>
        </w:tc>
        <w:tc>
          <w:tcPr>
            <w:tcW w:w="9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w w:val="96"/>
              </w:rPr>
              <w:t>2012</w:t>
            </w:r>
          </w:p>
        </w:tc>
        <w:tc>
          <w:tcPr>
            <w:tcW w:w="8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color w:val="auto"/>
                <w:w w:val="96"/>
              </w:rPr>
              <w:t>2011</w:t>
            </w:r>
          </w:p>
        </w:tc>
        <w:tc>
          <w:tcPr>
            <w:tcW w:w="760" w:type="dxa"/>
            <w:vAlign w:val="bottom"/>
            <w:tcBorders>
              <w:bottom w:val="single" w:sz="8" w:color="auto"/>
            </w:tcBorders>
          </w:tcPr>
          <w:p>
            <w:pPr>
              <w:spacing w:after="0"/>
              <w:rPr>
                <w:sz w:val="22"/>
                <w:szCs w:val="22"/>
                <w:color w:val="auto"/>
              </w:rPr>
            </w:pPr>
          </w:p>
        </w:tc>
      </w:tr>
      <w:tr>
        <w:trPr>
          <w:trHeight w:val="168"/>
        </w:trPr>
        <w:tc>
          <w:tcPr>
            <w:tcW w:w="436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4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Average Grant-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Number of</w:t>
            </w:r>
          </w:p>
        </w:tc>
        <w:tc>
          <w:tcPr>
            <w:tcW w:w="60" w:type="dxa"/>
            <w:vAlign w:val="bottom"/>
          </w:tcPr>
          <w:p>
            <w:pPr>
              <w:spacing w:after="0"/>
              <w:rPr>
                <w:sz w:val="14"/>
                <w:szCs w:val="14"/>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4"/>
                <w:szCs w:val="14"/>
                <w:color w:val="auto"/>
              </w:rPr>
              <w:t>Average Grant-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Number of</w:t>
            </w:r>
          </w:p>
        </w:tc>
        <w:tc>
          <w:tcPr>
            <w:tcW w:w="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Average Grant-</w:t>
            </w:r>
          </w:p>
        </w:tc>
      </w:tr>
      <w:tr>
        <w:trPr>
          <w:trHeight w:val="203"/>
        </w:trPr>
        <w:tc>
          <w:tcPr>
            <w:tcW w:w="4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Date Fair Value</w:t>
            </w: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Shares</w:t>
            </w:r>
          </w:p>
        </w:tc>
        <w:tc>
          <w:tcPr>
            <w:tcW w:w="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Date Fair Value</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Shares</w:t>
            </w:r>
          </w:p>
        </w:tc>
        <w:tc>
          <w:tcPr>
            <w:tcW w:w="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Date Fair Value</w:t>
            </w:r>
          </w:p>
        </w:tc>
      </w:tr>
      <w:tr>
        <w:trPr>
          <w:trHeight w:val="263"/>
        </w:trPr>
        <w:tc>
          <w:tcPr>
            <w:tcW w:w="4360" w:type="dxa"/>
            <w:vAlign w:val="bottom"/>
          </w:tcPr>
          <w:p>
            <w:pPr>
              <w:ind w:left="40"/>
              <w:spacing w:after="0"/>
              <w:rPr>
                <w:sz w:val="20"/>
                <w:szCs w:val="20"/>
                <w:color w:val="auto"/>
              </w:rPr>
            </w:pPr>
            <w:r>
              <w:rPr>
                <w:rFonts w:ascii="Arial" w:cs="Arial" w:eastAsia="Arial" w:hAnsi="Arial"/>
                <w:sz w:val="14"/>
                <w:szCs w:val="14"/>
                <w:color w:val="auto"/>
              </w:rPr>
              <w:t>Beginning of year, unvested</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207,917</w:t>
            </w:r>
          </w:p>
        </w:tc>
        <w:tc>
          <w:tcPr>
            <w:tcW w:w="56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350.21</w:t>
            </w:r>
          </w:p>
        </w:tc>
        <w:tc>
          <w:tcPr>
            <w:tcW w:w="980" w:type="dxa"/>
            <w:vAlign w:val="bottom"/>
          </w:tcPr>
          <w:p>
            <w:pPr>
              <w:jc w:val="right"/>
              <w:spacing w:after="0"/>
              <w:rPr>
                <w:sz w:val="20"/>
                <w:szCs w:val="20"/>
                <w:color w:val="auto"/>
              </w:rPr>
            </w:pPr>
            <w:r>
              <w:rPr>
                <w:rFonts w:ascii="Arial" w:cs="Arial" w:eastAsia="Arial" w:hAnsi="Arial"/>
                <w:sz w:val="14"/>
                <w:szCs w:val="14"/>
                <w:color w:val="auto"/>
              </w:rPr>
              <w:t>77,319</w:t>
            </w:r>
          </w:p>
        </w:tc>
        <w:tc>
          <w:tcPr>
            <w:tcW w:w="5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424.45</w:t>
            </w:r>
          </w:p>
        </w:tc>
        <w:tc>
          <w:tcPr>
            <w:tcW w:w="960" w:type="dxa"/>
            <w:vAlign w:val="bottom"/>
          </w:tcPr>
          <w:p>
            <w:pPr>
              <w:jc w:val="right"/>
              <w:spacing w:after="0"/>
              <w:rPr>
                <w:sz w:val="20"/>
                <w:szCs w:val="20"/>
                <w:color w:val="auto"/>
              </w:rPr>
            </w:pPr>
            <w:r>
              <w:rPr>
                <w:rFonts w:ascii="Arial" w:cs="Arial" w:eastAsia="Arial" w:hAnsi="Arial"/>
                <w:sz w:val="14"/>
                <w:szCs w:val="14"/>
                <w:color w:val="auto"/>
              </w:rPr>
              <w:t>48,359</w:t>
            </w:r>
          </w:p>
        </w:tc>
        <w:tc>
          <w:tcPr>
            <w:tcW w:w="52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498.95</w:t>
            </w:r>
          </w:p>
        </w:tc>
      </w:tr>
      <w:tr>
        <w:trPr>
          <w:trHeight w:val="270"/>
        </w:trPr>
        <w:tc>
          <w:tcPr>
            <w:tcW w:w="4360" w:type="dxa"/>
            <w:vAlign w:val="bottom"/>
          </w:tcPr>
          <w:p>
            <w:pPr>
              <w:ind w:left="40"/>
              <w:spacing w:after="0"/>
              <w:rPr>
                <w:sz w:val="20"/>
                <w:szCs w:val="20"/>
                <w:color w:val="auto"/>
              </w:rPr>
            </w:pPr>
            <w:r>
              <w:rPr>
                <w:rFonts w:ascii="Arial" w:cs="Arial" w:eastAsia="Arial" w:hAnsi="Arial"/>
                <w:sz w:val="14"/>
                <w:szCs w:val="14"/>
                <w:color w:val="auto"/>
              </w:rPr>
              <w:t>Awarded</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70,165</w:t>
            </w: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562.29</w:t>
            </w:r>
          </w:p>
        </w:tc>
        <w:tc>
          <w:tcPr>
            <w:tcW w:w="980" w:type="dxa"/>
            <w:vAlign w:val="bottom"/>
          </w:tcPr>
          <w:p>
            <w:pPr>
              <w:jc w:val="right"/>
              <w:spacing w:after="0"/>
              <w:rPr>
                <w:sz w:val="20"/>
                <w:szCs w:val="20"/>
                <w:color w:val="auto"/>
              </w:rPr>
            </w:pPr>
            <w:r>
              <w:rPr>
                <w:rFonts w:ascii="Arial" w:cs="Arial" w:eastAsia="Arial" w:hAnsi="Arial"/>
                <w:sz w:val="14"/>
                <w:szCs w:val="14"/>
                <w:color w:val="auto"/>
              </w:rPr>
              <w:t>145,348</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321.56</w:t>
            </w:r>
          </w:p>
        </w:tc>
        <w:tc>
          <w:tcPr>
            <w:tcW w:w="960" w:type="dxa"/>
            <w:vAlign w:val="bottom"/>
          </w:tcPr>
          <w:p>
            <w:pPr>
              <w:jc w:val="right"/>
              <w:spacing w:after="0"/>
              <w:rPr>
                <w:sz w:val="20"/>
                <w:szCs w:val="20"/>
                <w:color w:val="auto"/>
              </w:rPr>
            </w:pPr>
            <w:r>
              <w:rPr>
                <w:rFonts w:ascii="Arial" w:cs="Arial" w:eastAsia="Arial" w:hAnsi="Arial"/>
                <w:sz w:val="14"/>
                <w:szCs w:val="14"/>
                <w:color w:val="auto"/>
              </w:rPr>
              <w:t>44,030</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432.09</w:t>
            </w:r>
          </w:p>
        </w:tc>
      </w:tr>
      <w:tr>
        <w:trPr>
          <w:trHeight w:val="270"/>
        </w:trPr>
        <w:tc>
          <w:tcPr>
            <w:tcW w:w="4360" w:type="dxa"/>
            <w:vAlign w:val="bottom"/>
          </w:tcPr>
          <w:p>
            <w:pPr>
              <w:ind w:left="40"/>
              <w:spacing w:after="0"/>
              <w:rPr>
                <w:sz w:val="20"/>
                <w:szCs w:val="20"/>
                <w:color w:val="auto"/>
              </w:rPr>
            </w:pPr>
            <w:r>
              <w:rPr>
                <w:rFonts w:ascii="Arial" w:cs="Arial" w:eastAsia="Arial" w:hAnsi="Arial"/>
                <w:sz w:val="14"/>
                <w:szCs w:val="14"/>
                <w:color w:val="auto"/>
              </w:rPr>
              <w:t>Vested</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(71,585)</w:t>
            </w: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515.09</w:t>
            </w:r>
          </w:p>
        </w:tc>
        <w:tc>
          <w:tcPr>
            <w:tcW w:w="980" w:type="dxa"/>
            <w:vAlign w:val="bottom"/>
          </w:tcPr>
          <w:p>
            <w:pPr>
              <w:jc w:val="right"/>
              <w:spacing w:after="0"/>
              <w:rPr>
                <w:sz w:val="20"/>
                <w:szCs w:val="20"/>
                <w:color w:val="auto"/>
              </w:rPr>
            </w:pPr>
            <w:r>
              <w:rPr>
                <w:rFonts w:ascii="Arial" w:cs="Arial" w:eastAsia="Arial" w:hAnsi="Arial"/>
                <w:sz w:val="14"/>
                <w:szCs w:val="14"/>
                <w:color w:val="auto"/>
              </w:rPr>
              <w:t>(7,134)</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499.06</w:t>
            </w:r>
          </w:p>
        </w:tc>
        <w:tc>
          <w:tcPr>
            <w:tcW w:w="960" w:type="dxa"/>
            <w:vAlign w:val="bottom"/>
          </w:tcPr>
          <w:p>
            <w:pPr>
              <w:jc w:val="right"/>
              <w:spacing w:after="0"/>
              <w:rPr>
                <w:sz w:val="20"/>
                <w:szCs w:val="20"/>
                <w:color w:val="auto"/>
              </w:rPr>
            </w:pPr>
            <w:r>
              <w:rPr>
                <w:rFonts w:ascii="Arial" w:cs="Arial" w:eastAsia="Arial" w:hAnsi="Arial"/>
                <w:sz w:val="14"/>
                <w:szCs w:val="14"/>
                <w:color w:val="auto"/>
              </w:rPr>
              <w:t>(13,132)</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722.67</w:t>
            </w:r>
          </w:p>
        </w:tc>
      </w:tr>
      <w:tr>
        <w:trPr>
          <w:trHeight w:val="271"/>
        </w:trPr>
        <w:tc>
          <w:tcPr>
            <w:tcW w:w="4360" w:type="dxa"/>
            <w:vAlign w:val="bottom"/>
          </w:tcPr>
          <w:p>
            <w:pPr>
              <w:ind w:left="40"/>
              <w:spacing w:after="0"/>
              <w:rPr>
                <w:sz w:val="20"/>
                <w:szCs w:val="20"/>
                <w:color w:val="auto"/>
              </w:rPr>
            </w:pPr>
            <w:r>
              <w:rPr>
                <w:rFonts w:ascii="Arial" w:cs="Arial" w:eastAsia="Arial" w:hAnsi="Arial"/>
                <w:sz w:val="14"/>
                <w:szCs w:val="14"/>
                <w:color w:val="auto"/>
              </w:rPr>
              <w:t>Forfeited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(92,018)</w:t>
            </w:r>
          </w:p>
        </w:tc>
        <w:tc>
          <w:tcPr>
            <w:tcW w:w="60" w:type="dxa"/>
            <w:vAlign w:val="bottom"/>
            <w:tcBorders>
              <w:bottom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300.86</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(7,616)</w:t>
            </w:r>
          </w:p>
        </w:tc>
        <w:tc>
          <w:tcPr>
            <w:tcW w:w="60" w:type="dxa"/>
            <w:vAlign w:val="bottom"/>
            <w:tcBorders>
              <w:bottom w:val="single" w:sz="8" w:color="auto"/>
            </w:tcBorders>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417.79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(1,938)</w:t>
            </w:r>
          </w:p>
        </w:tc>
        <w:tc>
          <w:tcPr>
            <w:tcW w:w="60" w:type="dxa"/>
            <w:vAlign w:val="bottom"/>
            <w:tcBorders>
              <w:bottom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436.31</w:t>
            </w:r>
          </w:p>
        </w:tc>
      </w:tr>
      <w:tr>
        <w:trPr>
          <w:trHeight w:val="238"/>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End of Year, Unvested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114,479</w:t>
            </w:r>
          </w:p>
        </w:tc>
        <w:tc>
          <w:tcPr>
            <w:tcW w:w="6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b w:val="1"/>
                <w:bCs w:val="1"/>
                <w:color w:val="auto"/>
              </w:rPr>
              <w:t>424.65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207,917</w:t>
            </w:r>
          </w:p>
        </w:tc>
        <w:tc>
          <w:tcPr>
            <w:tcW w:w="6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350.21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77,319</w:t>
            </w:r>
          </w:p>
        </w:tc>
        <w:tc>
          <w:tcPr>
            <w:tcW w:w="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424.45</w:t>
            </w:r>
          </w:p>
        </w:tc>
      </w:tr>
      <w:tr>
        <w:trPr>
          <w:trHeight w:val="20"/>
        </w:trPr>
        <w:tc>
          <w:tcPr>
            <w:tcW w:w="4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3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connection with the sale of the Publishing Subsidiaries, the Company modified the terms of 86,824 share awards affecting 102 employees. The modification resulted in the acceleration of the vesting period for 45,374 share awards, the elimination of a market condition and vesting terms of 15,000 share awards, and the forfeiture of 26,450 share awards; the effect of which are reflected in the above activity. The Company also offered some employees with 26,124 share awards the option to settle their awards in cash resulting in a modification of these awards from equity awards to liability awards. The Company paid employees $13.1 million for the settlement of these liability awards. The Company recorded incremental stock compensation expense, net of forfeitures, amounting to $19.9 million, which is included in income (loss) from discontinued operations, net of tax, in the consolidated statement of operations.</w:t>
      </w:r>
    </w:p>
    <w:p>
      <w:pPr>
        <w:spacing w:after="0" w:line="123"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For the share awards outstanding at December 31, 2013, the aforementioned restriction will lapse in 2014 for 10,250 shares, in 2015 for 32,453 shares, in 2016 for 21,515 shares and in 2017 for 50,261 shares. Also, in early 2014, the Company made stock awards of 750 shares. Stock-based compensation costs resulting from Company stock awards were $35.2 million, $11.4 million and $8.9 million in 2013, 2012 and 2011, respectively.</w:t>
      </w:r>
    </w:p>
    <w:p>
      <w:pPr>
        <w:spacing w:after="0" w:line="11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As of December 31, 2013, there was $29.6 million of total unrecognized compensation expense related to these awards. That cost is expected to be recognized on a straight-line basis over a weighted average period of 2.1 years.</w:t>
      </w:r>
    </w:p>
    <w:p>
      <w:pPr>
        <w:spacing w:after="0" w:line="90"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Company’s 2003 employee stock option plan reserves 1,900,000 shares of the Company’s Class B common stock for</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to be granted under the plan. The purchase price of the shares covered by an option cannot be less than the fair value on the grant date. Options generally vest over four years and have a maximum term of 10 years. At December 31, 2013, there were 101,194 shares reserved for issuance under this stock option plan, which were all subject to options outstanding.</w:t>
      </w:r>
    </w:p>
    <w:p>
      <w:pPr>
        <w:spacing w:after="0" w:line="110"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Stock options granted under the 2012 Plan cannot be less than the fair value on the grant date, and generally vest over four years and have a maximum term of 10 years.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options outstanding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400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jc w:val="right"/>
              <w:ind w:right="1108"/>
              <w:spacing w:after="0"/>
              <w:rPr>
                <w:sz w:val="20"/>
                <w:szCs w:val="20"/>
                <w:color w:val="auto"/>
              </w:rPr>
            </w:pPr>
            <w:r>
              <w:rPr>
                <w:rFonts w:ascii="Arial" w:cs="Arial" w:eastAsia="Arial" w:hAnsi="Arial"/>
                <w:sz w:val="14"/>
                <w:szCs w:val="14"/>
                <w:b w:val="1"/>
                <w:bCs w:val="1"/>
                <w:color w:val="auto"/>
              </w:rPr>
              <w:t>2013</w:t>
            </w:r>
          </w:p>
        </w:tc>
        <w:tc>
          <w:tcPr>
            <w:tcW w:w="10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1048"/>
              <w:spacing w:after="0"/>
              <w:rPr>
                <w:sz w:val="20"/>
                <w:szCs w:val="20"/>
                <w:color w:val="auto"/>
              </w:rPr>
            </w:pPr>
            <w:r>
              <w:rPr>
                <w:rFonts w:ascii="Arial" w:cs="Arial" w:eastAsia="Arial" w:hAnsi="Arial"/>
                <w:sz w:val="14"/>
                <w:szCs w:val="14"/>
                <w:color w:val="auto"/>
              </w:rPr>
              <w:t>2012</w:t>
            </w:r>
          </w:p>
        </w:tc>
        <w:tc>
          <w:tcPr>
            <w:tcW w:w="10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948"/>
              <w:spacing w:after="0"/>
              <w:rPr>
                <w:sz w:val="20"/>
                <w:szCs w:val="20"/>
                <w:color w:val="auto"/>
              </w:rPr>
            </w:pPr>
            <w:r>
              <w:rPr>
                <w:rFonts w:ascii="Arial" w:cs="Arial" w:eastAsia="Arial" w:hAnsi="Arial"/>
                <w:sz w:val="14"/>
                <w:szCs w:val="14"/>
                <w:color w:val="auto"/>
              </w:rPr>
              <w:t>2011</w:t>
            </w:r>
          </w:p>
        </w:tc>
      </w:tr>
      <w:tr>
        <w:trPr>
          <w:trHeight w:val="168"/>
        </w:trPr>
        <w:tc>
          <w:tcPr>
            <w:tcW w:w="40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300" w:type="dxa"/>
            <w:vAlign w:val="bottom"/>
          </w:tcPr>
          <w:p>
            <w:pPr>
              <w:jc w:val="right"/>
              <w:ind w:right="168"/>
              <w:spacing w:after="0"/>
              <w:rPr>
                <w:sz w:val="20"/>
                <w:szCs w:val="20"/>
                <w:color w:val="auto"/>
              </w:rPr>
            </w:pPr>
            <w:r>
              <w:rPr>
                <w:rFonts w:ascii="Arial" w:cs="Arial" w:eastAsia="Arial" w:hAnsi="Arial"/>
                <w:sz w:val="14"/>
                <w:szCs w:val="14"/>
                <w:b w:val="1"/>
                <w:bCs w:val="1"/>
                <w:color w:val="auto"/>
                <w:w w:val="99"/>
              </w:rPr>
              <w:t>Average Option</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Average Option</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Average Option</w:t>
            </w:r>
          </w:p>
        </w:tc>
      </w:tr>
      <w:tr>
        <w:trPr>
          <w:trHeight w:val="203"/>
        </w:trPr>
        <w:tc>
          <w:tcPr>
            <w:tcW w:w="40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Price</w:t>
            </w: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Price</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Shares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Price</w:t>
            </w:r>
          </w:p>
        </w:tc>
      </w:tr>
      <w:tr>
        <w:trPr>
          <w:trHeight w:val="263"/>
        </w:trPr>
        <w:tc>
          <w:tcPr>
            <w:tcW w:w="4000" w:type="dxa"/>
            <w:vAlign w:val="bottom"/>
          </w:tcPr>
          <w:p>
            <w:pPr>
              <w:ind w:left="40"/>
              <w:spacing w:after="0"/>
              <w:rPr>
                <w:sz w:val="20"/>
                <w:szCs w:val="20"/>
                <w:color w:val="auto"/>
              </w:rPr>
            </w:pPr>
            <w:r>
              <w:rPr>
                <w:rFonts w:ascii="Arial" w:cs="Arial" w:eastAsia="Arial" w:hAnsi="Arial"/>
                <w:sz w:val="14"/>
                <w:szCs w:val="14"/>
                <w:color w:val="auto"/>
              </w:rPr>
              <w:t>Beginning of year</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125,694</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88"/>
              <w:spacing w:after="0"/>
              <w:rPr>
                <w:sz w:val="20"/>
                <w:szCs w:val="20"/>
                <w:color w:val="auto"/>
              </w:rPr>
            </w:pPr>
            <w:r>
              <w:rPr>
                <w:rFonts w:ascii="Arial" w:cs="Arial" w:eastAsia="Arial" w:hAnsi="Arial"/>
                <w:sz w:val="14"/>
                <w:szCs w:val="14"/>
                <w:b w:val="1"/>
                <w:bCs w:val="1"/>
                <w:color w:val="auto"/>
              </w:rPr>
              <w:t>478.32</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129,044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494.95</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87,919</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495.05</w:t>
            </w:r>
          </w:p>
        </w:tc>
      </w:tr>
      <w:tr>
        <w:trPr>
          <w:trHeight w:val="270"/>
        </w:trPr>
        <w:tc>
          <w:tcPr>
            <w:tcW w:w="4000" w:type="dxa"/>
            <w:vAlign w:val="bottom"/>
          </w:tcPr>
          <w:p>
            <w:pPr>
              <w:ind w:left="40"/>
              <w:spacing w:after="0"/>
              <w:rPr>
                <w:sz w:val="20"/>
                <w:szCs w:val="20"/>
                <w:color w:val="auto"/>
              </w:rPr>
            </w:pPr>
            <w:r>
              <w:rPr>
                <w:rFonts w:ascii="Arial" w:cs="Arial" w:eastAsia="Arial" w:hAnsi="Arial"/>
                <w:sz w:val="14"/>
                <w:szCs w:val="14"/>
                <w:color w:val="auto"/>
              </w:rPr>
              <w:t>Granted</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15,000</w:t>
            </w:r>
          </w:p>
        </w:tc>
        <w:tc>
          <w:tcPr>
            <w:tcW w:w="240" w:type="dxa"/>
            <w:vAlign w:val="bottom"/>
          </w:tcPr>
          <w:p>
            <w:pPr>
              <w:spacing w:after="0"/>
              <w:rPr>
                <w:sz w:val="23"/>
                <w:szCs w:val="23"/>
                <w:color w:val="auto"/>
              </w:rPr>
            </w:pPr>
          </w:p>
        </w:tc>
        <w:tc>
          <w:tcPr>
            <w:tcW w:w="1300" w:type="dxa"/>
            <w:vAlign w:val="bottom"/>
          </w:tcPr>
          <w:p>
            <w:pPr>
              <w:jc w:val="right"/>
              <w:ind w:right="188"/>
              <w:spacing w:after="0"/>
              <w:rPr>
                <w:sz w:val="20"/>
                <w:szCs w:val="20"/>
                <w:color w:val="auto"/>
              </w:rPr>
            </w:pPr>
            <w:r>
              <w:rPr>
                <w:rFonts w:ascii="Arial" w:cs="Arial" w:eastAsia="Arial" w:hAnsi="Arial"/>
                <w:sz w:val="14"/>
                <w:szCs w:val="14"/>
                <w:b w:val="1"/>
                <w:bCs w:val="1"/>
                <w:color w:val="auto"/>
              </w:rPr>
              <w:t>373.03</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7,500</w:t>
            </w:r>
          </w:p>
        </w:tc>
        <w:tc>
          <w:tcPr>
            <w:tcW w:w="220" w:type="dxa"/>
            <w:vAlign w:val="bottom"/>
          </w:tcPr>
          <w:p>
            <w:pPr>
              <w:spacing w:after="0"/>
              <w:rPr>
                <w:sz w:val="23"/>
                <w:szCs w:val="23"/>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378.00</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51,000</w:t>
            </w: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499.45</w:t>
            </w:r>
          </w:p>
        </w:tc>
      </w:tr>
      <w:tr>
        <w:trPr>
          <w:trHeight w:val="270"/>
        </w:trPr>
        <w:tc>
          <w:tcPr>
            <w:tcW w:w="4000" w:type="dxa"/>
            <w:vAlign w:val="bottom"/>
          </w:tcPr>
          <w:p>
            <w:pPr>
              <w:ind w:left="40"/>
              <w:spacing w:after="0"/>
              <w:rPr>
                <w:sz w:val="20"/>
                <w:szCs w:val="20"/>
                <w:color w:val="auto"/>
              </w:rPr>
            </w:pPr>
            <w:r>
              <w:rPr>
                <w:rFonts w:ascii="Arial" w:cs="Arial" w:eastAsia="Arial" w:hAnsi="Arial"/>
                <w:sz w:val="14"/>
                <w:szCs w:val="14"/>
                <w:color w:val="auto"/>
              </w:rPr>
              <w:t>Exercised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(14,500)</w:t>
            </w:r>
          </w:p>
        </w:tc>
        <w:tc>
          <w:tcPr>
            <w:tcW w:w="240" w:type="dxa"/>
            <w:vAlign w:val="bottom"/>
          </w:tcPr>
          <w:p>
            <w:pPr>
              <w:spacing w:after="0"/>
              <w:rPr>
                <w:sz w:val="23"/>
                <w:szCs w:val="23"/>
                <w:color w:val="auto"/>
              </w:rPr>
            </w:pPr>
          </w:p>
        </w:tc>
        <w:tc>
          <w:tcPr>
            <w:tcW w:w="1300" w:type="dxa"/>
            <w:vAlign w:val="bottom"/>
          </w:tcPr>
          <w:p>
            <w:pPr>
              <w:jc w:val="right"/>
              <w:ind w:right="188"/>
              <w:spacing w:after="0"/>
              <w:rPr>
                <w:sz w:val="20"/>
                <w:szCs w:val="20"/>
                <w:color w:val="auto"/>
              </w:rPr>
            </w:pPr>
            <w:r>
              <w:rPr>
                <w:rFonts w:ascii="Arial" w:cs="Arial" w:eastAsia="Arial" w:hAnsi="Arial"/>
                <w:sz w:val="14"/>
                <w:szCs w:val="14"/>
                <w:b w:val="1"/>
                <w:bCs w:val="1"/>
                <w:color w:val="auto"/>
              </w:rPr>
              <w:t>391.83</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1"/>
        </w:trPr>
        <w:tc>
          <w:tcPr>
            <w:tcW w:w="4000" w:type="dxa"/>
            <w:vAlign w:val="bottom"/>
          </w:tcPr>
          <w:p>
            <w:pPr>
              <w:ind w:left="40"/>
              <w:spacing w:after="0"/>
              <w:rPr>
                <w:sz w:val="20"/>
                <w:szCs w:val="20"/>
                <w:color w:val="auto"/>
              </w:rPr>
            </w:pPr>
            <w:r>
              <w:rPr>
                <w:rFonts w:ascii="Arial" w:cs="Arial" w:eastAsia="Arial" w:hAnsi="Arial"/>
                <w:sz w:val="14"/>
                <w:szCs w:val="14"/>
                <w:color w:val="auto"/>
              </w:rPr>
              <w:t>Expired or forfeited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(4,500)</w:t>
            </w:r>
          </w:p>
        </w:tc>
        <w:tc>
          <w:tcPr>
            <w:tcW w:w="240" w:type="dxa"/>
            <w:vAlign w:val="bottom"/>
          </w:tcPr>
          <w:p>
            <w:pPr>
              <w:spacing w:after="0"/>
              <w:rPr>
                <w:sz w:val="23"/>
                <w:szCs w:val="23"/>
                <w:color w:val="auto"/>
              </w:rPr>
            </w:pPr>
          </w:p>
        </w:tc>
        <w:tc>
          <w:tcPr>
            <w:tcW w:w="1300" w:type="dxa"/>
            <w:vAlign w:val="bottom"/>
          </w:tcPr>
          <w:p>
            <w:pPr>
              <w:jc w:val="right"/>
              <w:ind w:right="188"/>
              <w:spacing w:after="0"/>
              <w:rPr>
                <w:sz w:val="20"/>
                <w:szCs w:val="20"/>
                <w:color w:val="auto"/>
              </w:rPr>
            </w:pPr>
            <w:r>
              <w:rPr>
                <w:rFonts w:ascii="Arial" w:cs="Arial" w:eastAsia="Arial" w:hAnsi="Arial"/>
                <w:sz w:val="14"/>
                <w:szCs w:val="14"/>
                <w:b w:val="1"/>
                <w:bCs w:val="1"/>
                <w:color w:val="auto"/>
              </w:rPr>
              <w:t>637.53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(10,850)</w:t>
            </w:r>
          </w:p>
        </w:tc>
        <w:tc>
          <w:tcPr>
            <w:tcW w:w="220" w:type="dxa"/>
            <w:vAlign w:val="bottom"/>
          </w:tcPr>
          <w:p>
            <w:pPr>
              <w:spacing w:after="0"/>
              <w:rPr>
                <w:sz w:val="23"/>
                <w:szCs w:val="23"/>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605.82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(9,875)</w:t>
            </w: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519.04</w:t>
            </w:r>
          </w:p>
        </w:tc>
      </w:tr>
      <w:tr>
        <w:trPr>
          <w:trHeight w:val="238"/>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End of Year</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121,694</w:t>
            </w:r>
          </w:p>
        </w:tc>
        <w:tc>
          <w:tcPr>
            <w:tcW w:w="240" w:type="dxa"/>
            <w:vAlign w:val="bottom"/>
          </w:tcPr>
          <w:p>
            <w:pPr>
              <w:spacing w:after="0"/>
              <w:rPr>
                <w:sz w:val="20"/>
                <w:szCs w:val="20"/>
                <w:color w:val="auto"/>
              </w:rPr>
            </w:pPr>
          </w:p>
        </w:tc>
        <w:tc>
          <w:tcPr>
            <w:tcW w:w="1300" w:type="dxa"/>
            <w:vAlign w:val="bottom"/>
          </w:tcPr>
          <w:p>
            <w:pPr>
              <w:jc w:val="right"/>
              <w:ind w:right="188"/>
              <w:spacing w:after="0"/>
              <w:rPr>
                <w:sz w:val="20"/>
                <w:szCs w:val="20"/>
                <w:color w:val="auto"/>
              </w:rPr>
            </w:pPr>
            <w:r>
              <w:rPr>
                <w:rFonts w:ascii="Arial" w:cs="Arial" w:eastAsia="Arial" w:hAnsi="Arial"/>
                <w:sz w:val="14"/>
                <w:szCs w:val="14"/>
                <w:b w:val="1"/>
                <w:bCs w:val="1"/>
                <w:color w:val="auto"/>
              </w:rPr>
              <w:t>469.76</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125,694</w:t>
            </w:r>
          </w:p>
        </w:tc>
        <w:tc>
          <w:tcPr>
            <w:tcW w:w="220" w:type="dxa"/>
            <w:vAlign w:val="bottom"/>
          </w:tcPr>
          <w:p>
            <w:pPr>
              <w:spacing w:after="0"/>
              <w:rPr>
                <w:sz w:val="20"/>
                <w:szCs w:val="20"/>
                <w:color w:val="auto"/>
              </w:rPr>
            </w:pP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478.32</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129,044</w:t>
            </w:r>
          </w:p>
        </w:tc>
        <w:tc>
          <w:tcPr>
            <w:tcW w:w="240" w:type="dxa"/>
            <w:vAlign w:val="bottom"/>
          </w:tcPr>
          <w:p>
            <w:pPr>
              <w:spacing w:after="0"/>
              <w:rPr>
                <w:sz w:val="20"/>
                <w:szCs w:val="20"/>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494.95</w:t>
            </w:r>
          </w:p>
        </w:tc>
      </w:tr>
      <w:tr>
        <w:trPr>
          <w:trHeight w:val="20"/>
        </w:trPr>
        <w:tc>
          <w:tcPr>
            <w:tcW w:w="4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connection with the sale of the Publishing Subsidiaries, the Company modified the terms of 4,500 stock options affecting six employees. The modification resulted in the acceleration of the vesting period for 4,250 stock options and the forfeiture of 250 stock options. The Company recorded incremental stock option expense amounting to $0.8</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724" w:right="2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color w:val="auto"/>
        </w:rPr>
        <w:t>million, which is included in income (loss) from discontinued operations, net of tax, in the consolidated statement of operations.</w:t>
      </w:r>
    </w:p>
    <w:p>
      <w:pPr>
        <w:spacing w:after="0" w:line="144" w:lineRule="exact"/>
        <w:rPr>
          <w:sz w:val="20"/>
          <w:szCs w:val="20"/>
          <w:color w:val="auto"/>
        </w:rPr>
      </w:pPr>
    </w:p>
    <w:p>
      <w:pPr>
        <w:jc w:val="both"/>
        <w:ind w:right="80"/>
        <w:spacing w:after="0" w:line="234" w:lineRule="auto"/>
        <w:rPr>
          <w:sz w:val="20"/>
          <w:szCs w:val="20"/>
          <w:color w:val="auto"/>
        </w:rPr>
      </w:pPr>
      <w:r>
        <w:rPr>
          <w:rFonts w:ascii="Arial" w:cs="Arial" w:eastAsia="Arial" w:hAnsi="Arial"/>
          <w:sz w:val="18"/>
          <w:szCs w:val="18"/>
          <w:color w:val="auto"/>
        </w:rPr>
        <w:t>Of the shares covered by options outstanding at the end of 2013, 73,194 are now exercisable; 21,500 will become exercisable in 2014; 17,875 will become exercisable in 2015; 5,375 will become exercisable in 2016; and 3,750 will become exercisable in 2017. For 2013, 2012 and 2011, the Company recorded expense of $ 3.5 million, $2.9 million and $2.7 million related to stock options, respectively. Information related to stock options outstanding and exercisable at December 31, 2013,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Exercisable</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68"/>
        </w:trPr>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00" w:type="dxa"/>
            <w:vAlign w:val="bottom"/>
          </w:tcPr>
          <w:p>
            <w:pPr>
              <w:jc w:val="center"/>
              <w:ind w:right="222"/>
              <w:spacing w:after="0"/>
              <w:rPr>
                <w:sz w:val="20"/>
                <w:szCs w:val="20"/>
                <w:color w:val="auto"/>
              </w:rPr>
            </w:pPr>
            <w:r>
              <w:rPr>
                <w:rFonts w:ascii="Arial" w:cs="Arial" w:eastAsia="Arial" w:hAnsi="Arial"/>
                <w:sz w:val="14"/>
                <w:szCs w:val="14"/>
                <w:b w:val="1"/>
                <w:bCs w:val="1"/>
                <w:color w:val="auto"/>
              </w:rPr>
              <w:t>Weighted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880" w:type="dxa"/>
            <w:vAlign w:val="bottom"/>
          </w:tcPr>
          <w:p>
            <w:pPr>
              <w:jc w:val="center"/>
              <w:ind w:right="122"/>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2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000" w:type="dxa"/>
            <w:vAlign w:val="bottom"/>
          </w:tcPr>
          <w:p>
            <w:pPr>
              <w:jc w:val="center"/>
              <w:ind w:right="202"/>
              <w:spacing w:after="0"/>
              <w:rPr>
                <w:sz w:val="20"/>
                <w:szCs w:val="20"/>
                <w:color w:val="auto"/>
              </w:rPr>
            </w:pPr>
            <w:r>
              <w:rPr>
                <w:rFonts w:ascii="Arial" w:cs="Arial" w:eastAsia="Arial" w:hAnsi="Arial"/>
                <w:sz w:val="14"/>
                <w:szCs w:val="14"/>
                <w:b w:val="1"/>
                <w:bCs w:val="1"/>
                <w:color w:val="auto"/>
              </w:rPr>
              <w:t>Average</w:t>
            </w:r>
          </w:p>
        </w:tc>
        <w:tc>
          <w:tcPr>
            <w:tcW w:w="1160" w:type="dxa"/>
            <w:vAlign w:val="bottom"/>
          </w:tcPr>
          <w:p>
            <w:pPr>
              <w:jc w:val="center"/>
              <w:ind w:left="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880" w:type="dxa"/>
            <w:vAlign w:val="bottom"/>
          </w:tcPr>
          <w:p>
            <w:pPr>
              <w:jc w:val="center"/>
              <w:ind w:right="122"/>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42"/>
              <w:spacing w:after="0"/>
              <w:rPr>
                <w:sz w:val="20"/>
                <w:szCs w:val="20"/>
                <w:color w:val="auto"/>
              </w:rPr>
            </w:pPr>
            <w:r>
              <w:rPr>
                <w:rFonts w:ascii="Arial" w:cs="Arial" w:eastAsia="Arial" w:hAnsi="Arial"/>
                <w:sz w:val="14"/>
                <w:szCs w:val="14"/>
                <w:b w:val="1"/>
                <w:bCs w:val="1"/>
                <w:color w:val="auto"/>
              </w:rPr>
              <w:t>Outstanding at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rPr>
              <w:t>Exercise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Exercisable at</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880" w:type="dxa"/>
            <w:vAlign w:val="bottom"/>
          </w:tcPr>
          <w:p>
            <w:pPr>
              <w:jc w:val="center"/>
              <w:ind w:right="62"/>
              <w:spacing w:after="0"/>
              <w:rPr>
                <w:sz w:val="20"/>
                <w:szCs w:val="20"/>
                <w:color w:val="auto"/>
              </w:rPr>
            </w:pPr>
            <w:r>
              <w:rPr>
                <w:rFonts w:ascii="Arial" w:cs="Arial" w:eastAsia="Arial" w:hAnsi="Arial"/>
                <w:sz w:val="14"/>
                <w:szCs w:val="14"/>
                <w:b w:val="1"/>
                <w:bCs w:val="1"/>
                <w:color w:val="auto"/>
              </w:rPr>
              <w:t>Exercise</w:t>
            </w:r>
          </w:p>
        </w:tc>
      </w:tr>
      <w:tr>
        <w:trPr>
          <w:trHeight w:val="203"/>
        </w:trPr>
        <w:tc>
          <w:tcPr>
            <w:tcW w:w="3780" w:type="dxa"/>
            <w:vAlign w:val="bottom"/>
            <w:tcBorders>
              <w:bottom w:val="single" w:sz="8" w:color="auto"/>
            </w:tcBorders>
          </w:tcPr>
          <w:p>
            <w:pPr>
              <w:jc w:val="right"/>
              <w:ind w:right="1940"/>
              <w:spacing w:after="0"/>
              <w:rPr>
                <w:sz w:val="20"/>
                <w:szCs w:val="20"/>
                <w:color w:val="auto"/>
              </w:rPr>
            </w:pPr>
            <w:r>
              <w:rPr>
                <w:rFonts w:ascii="Arial" w:cs="Arial" w:eastAsia="Arial" w:hAnsi="Arial"/>
                <w:sz w:val="14"/>
                <w:szCs w:val="14"/>
                <w:b w:val="1"/>
                <w:bCs w:val="1"/>
                <w:color w:val="auto"/>
              </w:rPr>
              <w:t>Range of Exercise Prices</w:t>
            </w:r>
          </w:p>
        </w:tc>
        <w:tc>
          <w:tcPr>
            <w:tcW w:w="118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12/31/2013</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9"/>
              </w:rPr>
              <w:t>Price</w:t>
            </w: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12/31/2013</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9"/>
              </w:rPr>
              <w:t>Price</w:t>
            </w:r>
          </w:p>
        </w:tc>
      </w:tr>
      <w:tr>
        <w:trPr>
          <w:trHeight w:val="249"/>
        </w:trPr>
        <w:tc>
          <w:tcPr>
            <w:tcW w:w="3780" w:type="dxa"/>
            <w:vAlign w:val="bottom"/>
          </w:tcPr>
          <w:p>
            <w:pPr>
              <w:jc w:val="right"/>
              <w:ind w:right="2460"/>
              <w:spacing w:after="0"/>
              <w:rPr>
                <w:sz w:val="20"/>
                <w:szCs w:val="20"/>
                <w:color w:val="auto"/>
              </w:rPr>
            </w:pPr>
            <w:r>
              <w:rPr>
                <w:rFonts w:ascii="Arial" w:cs="Arial" w:eastAsia="Arial" w:hAnsi="Arial"/>
                <w:sz w:val="16"/>
                <w:szCs w:val="16"/>
                <w:color w:val="auto"/>
              </w:rPr>
              <w:t>$369-396</w:t>
            </w:r>
          </w:p>
        </w:tc>
        <w:tc>
          <w:tcPr>
            <w:tcW w:w="1180" w:type="dxa"/>
            <w:vAlign w:val="bottom"/>
          </w:tcPr>
          <w:p>
            <w:pPr>
              <w:jc w:val="right"/>
              <w:spacing w:after="0"/>
              <w:rPr>
                <w:sz w:val="20"/>
                <w:szCs w:val="20"/>
                <w:color w:val="auto"/>
              </w:rPr>
            </w:pPr>
            <w:r>
              <w:rPr>
                <w:rFonts w:ascii="Arial" w:cs="Arial" w:eastAsia="Arial" w:hAnsi="Arial"/>
                <w:sz w:val="16"/>
                <w:szCs w:val="16"/>
                <w:color w:val="auto"/>
              </w:rPr>
              <w:t>44,000</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7.6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380.96</w:t>
            </w:r>
          </w:p>
        </w:tc>
        <w:tc>
          <w:tcPr>
            <w:tcW w:w="1160" w:type="dxa"/>
            <w:vAlign w:val="bottom"/>
          </w:tcPr>
          <w:p>
            <w:pPr>
              <w:jc w:val="right"/>
              <w:spacing w:after="0"/>
              <w:rPr>
                <w:sz w:val="20"/>
                <w:szCs w:val="20"/>
                <w:color w:val="auto"/>
              </w:rPr>
            </w:pPr>
            <w:r>
              <w:rPr>
                <w:rFonts w:ascii="Arial" w:cs="Arial" w:eastAsia="Arial" w:hAnsi="Arial"/>
                <w:sz w:val="16"/>
                <w:szCs w:val="16"/>
                <w:color w:val="auto"/>
              </w:rPr>
              <w:t>20,500</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6.3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384.82</w:t>
            </w:r>
          </w:p>
        </w:tc>
      </w:tr>
      <w:tr>
        <w:trPr>
          <w:trHeight w:val="270"/>
        </w:trPr>
        <w:tc>
          <w:tcPr>
            <w:tcW w:w="3780" w:type="dxa"/>
            <w:vAlign w:val="bottom"/>
          </w:tcPr>
          <w:p>
            <w:pPr>
              <w:jc w:val="right"/>
              <w:ind w:right="2460"/>
              <w:spacing w:after="0"/>
              <w:rPr>
                <w:sz w:val="20"/>
                <w:szCs w:val="20"/>
                <w:color w:val="auto"/>
              </w:rPr>
            </w:pPr>
            <w:r>
              <w:rPr>
                <w:rFonts w:ascii="Arial" w:cs="Arial" w:eastAsia="Arial" w:hAnsi="Arial"/>
                <w:sz w:val="16"/>
                <w:szCs w:val="16"/>
                <w:color w:val="auto"/>
              </w:rPr>
              <w:t>419-439</w:t>
            </w:r>
          </w:p>
        </w:tc>
        <w:tc>
          <w:tcPr>
            <w:tcW w:w="1180" w:type="dxa"/>
            <w:vAlign w:val="bottom"/>
          </w:tcPr>
          <w:p>
            <w:pPr>
              <w:jc w:val="right"/>
              <w:spacing w:after="0"/>
              <w:rPr>
                <w:sz w:val="20"/>
                <w:szCs w:val="20"/>
                <w:color w:val="auto"/>
              </w:rPr>
            </w:pPr>
            <w:r>
              <w:rPr>
                <w:rFonts w:ascii="Arial" w:cs="Arial" w:eastAsia="Arial" w:hAnsi="Arial"/>
                <w:sz w:val="16"/>
                <w:szCs w:val="16"/>
                <w:color w:val="auto"/>
              </w:rPr>
              <w:t>17,694</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23"/>
                <w:szCs w:val="23"/>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421.75</w:t>
            </w:r>
          </w:p>
        </w:tc>
        <w:tc>
          <w:tcPr>
            <w:tcW w:w="1160" w:type="dxa"/>
            <w:vAlign w:val="bottom"/>
          </w:tcPr>
          <w:p>
            <w:pPr>
              <w:jc w:val="right"/>
              <w:spacing w:after="0"/>
              <w:rPr>
                <w:sz w:val="20"/>
                <w:szCs w:val="20"/>
                <w:color w:val="auto"/>
              </w:rPr>
            </w:pPr>
            <w:r>
              <w:rPr>
                <w:rFonts w:ascii="Arial" w:cs="Arial" w:eastAsia="Arial" w:hAnsi="Arial"/>
                <w:sz w:val="16"/>
                <w:szCs w:val="16"/>
                <w:color w:val="auto"/>
              </w:rPr>
              <w:t>17,694</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5.4</w:t>
            </w:r>
          </w:p>
        </w:tc>
        <w:tc>
          <w:tcPr>
            <w:tcW w:w="20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421.75</w:t>
            </w:r>
          </w:p>
        </w:tc>
      </w:tr>
      <w:tr>
        <w:trPr>
          <w:trHeight w:val="270"/>
        </w:trPr>
        <w:tc>
          <w:tcPr>
            <w:tcW w:w="3780" w:type="dxa"/>
            <w:vAlign w:val="bottom"/>
          </w:tcPr>
          <w:p>
            <w:pPr>
              <w:jc w:val="right"/>
              <w:ind w:right="2460"/>
              <w:spacing w:after="0"/>
              <w:rPr>
                <w:sz w:val="20"/>
                <w:szCs w:val="20"/>
                <w:color w:val="auto"/>
              </w:rPr>
            </w:pPr>
            <w:r>
              <w:rPr>
                <w:rFonts w:ascii="Arial" w:cs="Arial" w:eastAsia="Arial" w:hAnsi="Arial"/>
                <w:sz w:val="16"/>
                <w:szCs w:val="16"/>
                <w:color w:val="auto"/>
              </w:rPr>
              <w:t>503</w:t>
            </w:r>
          </w:p>
        </w:tc>
        <w:tc>
          <w:tcPr>
            <w:tcW w:w="1180" w:type="dxa"/>
            <w:vAlign w:val="bottom"/>
          </w:tcPr>
          <w:p>
            <w:pPr>
              <w:jc w:val="right"/>
              <w:spacing w:after="0"/>
              <w:rPr>
                <w:sz w:val="20"/>
                <w:szCs w:val="20"/>
                <w:color w:val="auto"/>
              </w:rPr>
            </w:pPr>
            <w:r>
              <w:rPr>
                <w:rFonts w:ascii="Arial" w:cs="Arial" w:eastAsia="Arial" w:hAnsi="Arial"/>
                <w:sz w:val="16"/>
                <w:szCs w:val="16"/>
                <w:color w:val="auto"/>
              </w:rPr>
              <w:t>50,000</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23"/>
                <w:szCs w:val="23"/>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502.58</w:t>
            </w:r>
          </w:p>
        </w:tc>
        <w:tc>
          <w:tcPr>
            <w:tcW w:w="1160" w:type="dxa"/>
            <w:vAlign w:val="bottom"/>
          </w:tcPr>
          <w:p>
            <w:pPr>
              <w:jc w:val="right"/>
              <w:spacing w:after="0"/>
              <w:rPr>
                <w:sz w:val="20"/>
                <w:szCs w:val="20"/>
                <w:color w:val="auto"/>
              </w:rPr>
            </w:pPr>
            <w:r>
              <w:rPr>
                <w:rFonts w:ascii="Arial" w:cs="Arial" w:eastAsia="Arial" w:hAnsi="Arial"/>
                <w:sz w:val="16"/>
                <w:szCs w:val="16"/>
                <w:color w:val="auto"/>
              </w:rPr>
              <w:t>25,000</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502.58</w:t>
            </w:r>
          </w:p>
        </w:tc>
      </w:tr>
      <w:tr>
        <w:trPr>
          <w:trHeight w:val="270"/>
        </w:trPr>
        <w:tc>
          <w:tcPr>
            <w:tcW w:w="3780" w:type="dxa"/>
            <w:vAlign w:val="bottom"/>
          </w:tcPr>
          <w:p>
            <w:pPr>
              <w:jc w:val="right"/>
              <w:ind w:right="2460"/>
              <w:spacing w:after="0"/>
              <w:rPr>
                <w:sz w:val="20"/>
                <w:szCs w:val="20"/>
                <w:color w:val="auto"/>
              </w:rPr>
            </w:pPr>
            <w:r>
              <w:rPr>
                <w:rFonts w:ascii="Arial" w:cs="Arial" w:eastAsia="Arial" w:hAnsi="Arial"/>
                <w:sz w:val="16"/>
                <w:szCs w:val="16"/>
                <w:color w:val="auto"/>
              </w:rPr>
              <w:t>652</w:t>
            </w:r>
          </w:p>
        </w:tc>
        <w:tc>
          <w:tcPr>
            <w:tcW w:w="1180" w:type="dxa"/>
            <w:vAlign w:val="bottom"/>
          </w:tcPr>
          <w:p>
            <w:pPr>
              <w:jc w:val="right"/>
              <w:spacing w:after="0"/>
              <w:rPr>
                <w:sz w:val="20"/>
                <w:szCs w:val="20"/>
                <w:color w:val="auto"/>
              </w:rPr>
            </w:pPr>
            <w:r>
              <w:rPr>
                <w:rFonts w:ascii="Arial" w:cs="Arial" w:eastAsia="Arial" w:hAnsi="Arial"/>
                <w:sz w:val="16"/>
                <w:szCs w:val="16"/>
                <w:color w:val="auto"/>
              </w:rPr>
              <w:t>2,000</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23"/>
                <w:szCs w:val="23"/>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651.91</w:t>
            </w:r>
          </w:p>
        </w:tc>
        <w:tc>
          <w:tcPr>
            <w:tcW w:w="1160" w:type="dxa"/>
            <w:vAlign w:val="bottom"/>
          </w:tcPr>
          <w:p>
            <w:pPr>
              <w:jc w:val="right"/>
              <w:spacing w:after="0"/>
              <w:rPr>
                <w:sz w:val="20"/>
                <w:szCs w:val="20"/>
                <w:color w:val="auto"/>
              </w:rPr>
            </w:pPr>
            <w:r>
              <w:rPr>
                <w:rFonts w:ascii="Arial" w:cs="Arial" w:eastAsia="Arial" w:hAnsi="Arial"/>
                <w:sz w:val="16"/>
                <w:szCs w:val="16"/>
                <w:color w:val="auto"/>
              </w:rPr>
              <w:t>2,000</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651.91</w:t>
            </w:r>
          </w:p>
        </w:tc>
      </w:tr>
      <w:tr>
        <w:trPr>
          <w:trHeight w:val="270"/>
        </w:trPr>
        <w:tc>
          <w:tcPr>
            <w:tcW w:w="3780" w:type="dxa"/>
            <w:vAlign w:val="bottom"/>
          </w:tcPr>
          <w:p>
            <w:pPr>
              <w:jc w:val="right"/>
              <w:ind w:right="2460"/>
              <w:spacing w:after="0"/>
              <w:rPr>
                <w:sz w:val="20"/>
                <w:szCs w:val="20"/>
                <w:color w:val="auto"/>
              </w:rPr>
            </w:pPr>
            <w:r>
              <w:rPr>
                <w:rFonts w:ascii="Arial" w:cs="Arial" w:eastAsia="Arial" w:hAnsi="Arial"/>
                <w:sz w:val="16"/>
                <w:szCs w:val="16"/>
                <w:color w:val="auto"/>
              </w:rPr>
              <w:t>730</w:t>
            </w:r>
          </w:p>
        </w:tc>
        <w:tc>
          <w:tcPr>
            <w:tcW w:w="1180" w:type="dxa"/>
            <w:vAlign w:val="bottom"/>
          </w:tcPr>
          <w:p>
            <w:pPr>
              <w:jc w:val="right"/>
              <w:spacing w:after="0"/>
              <w:rPr>
                <w:sz w:val="20"/>
                <w:szCs w:val="20"/>
                <w:color w:val="auto"/>
              </w:rPr>
            </w:pPr>
            <w:r>
              <w:rPr>
                <w:rFonts w:ascii="Arial" w:cs="Arial" w:eastAsia="Arial" w:hAnsi="Arial"/>
                <w:sz w:val="16"/>
                <w:szCs w:val="16"/>
                <w:color w:val="auto"/>
              </w:rPr>
              <w:t>5,000</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23"/>
                <w:szCs w:val="23"/>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729.67</w:t>
            </w:r>
          </w:p>
        </w:tc>
        <w:tc>
          <w:tcPr>
            <w:tcW w:w="1160" w:type="dxa"/>
            <w:vAlign w:val="bottom"/>
          </w:tcPr>
          <w:p>
            <w:pPr>
              <w:jc w:val="right"/>
              <w:spacing w:after="0"/>
              <w:rPr>
                <w:sz w:val="20"/>
                <w:szCs w:val="20"/>
                <w:color w:val="auto"/>
              </w:rPr>
            </w:pPr>
            <w:r>
              <w:rPr>
                <w:rFonts w:ascii="Arial" w:cs="Arial" w:eastAsia="Arial" w:hAnsi="Arial"/>
                <w:sz w:val="16"/>
                <w:szCs w:val="16"/>
                <w:color w:val="auto"/>
              </w:rPr>
              <w:t>5,000</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23"/>
                <w:szCs w:val="23"/>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729.67</w:t>
            </w:r>
          </w:p>
        </w:tc>
      </w:tr>
      <w:tr>
        <w:trPr>
          <w:trHeight w:val="279"/>
        </w:trPr>
        <w:tc>
          <w:tcPr>
            <w:tcW w:w="3780" w:type="dxa"/>
            <w:vAlign w:val="bottom"/>
          </w:tcPr>
          <w:p>
            <w:pPr>
              <w:jc w:val="right"/>
              <w:ind w:right="2460"/>
              <w:spacing w:after="0"/>
              <w:rPr>
                <w:sz w:val="20"/>
                <w:szCs w:val="20"/>
                <w:color w:val="auto"/>
              </w:rPr>
            </w:pPr>
            <w:r>
              <w:rPr>
                <w:rFonts w:ascii="Arial" w:cs="Arial" w:eastAsia="Arial" w:hAnsi="Arial"/>
                <w:sz w:val="16"/>
                <w:szCs w:val="16"/>
                <w:color w:val="auto"/>
              </w:rPr>
              <w:t>954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auto"/>
            </w:tcBorders>
          </w:tcPr>
          <w:p>
            <w:pPr>
              <w:spacing w:after="0"/>
              <w:rPr>
                <w:sz w:val="24"/>
                <w:szCs w:val="24"/>
                <w:color w:val="auto"/>
              </w:rPr>
            </w:pPr>
          </w:p>
        </w:tc>
        <w:tc>
          <w:tcPr>
            <w:tcW w:w="1440" w:type="dxa"/>
            <w:vAlign w:val="bottom"/>
          </w:tcPr>
          <w:p>
            <w:pPr>
              <w:jc w:val="right"/>
              <w:ind w:right="367"/>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4"/>
                <w:szCs w:val="24"/>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953.50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Borders>
              <w:bottom w:val="single" w:sz="8" w:color="auto"/>
            </w:tcBorders>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953.50</w:t>
            </w:r>
          </w:p>
        </w:tc>
      </w:tr>
      <w:tr>
        <w:trPr>
          <w:trHeight w:val="242"/>
        </w:trPr>
        <w:tc>
          <w:tcPr>
            <w:tcW w:w="37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121,694</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color w:val="auto"/>
              </w:rPr>
              <w:t>6.7</w:t>
            </w:r>
          </w:p>
        </w:tc>
        <w:tc>
          <w:tcPr>
            <w:tcW w:w="200" w:type="dxa"/>
            <w:vAlign w:val="bottom"/>
          </w:tcPr>
          <w:p>
            <w:pPr>
              <w:spacing w:after="0"/>
              <w:rPr>
                <w:sz w:val="21"/>
                <w:szCs w:val="21"/>
                <w:color w:val="auto"/>
              </w:rPr>
            </w:pP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469.76</w:t>
            </w:r>
          </w:p>
        </w:tc>
        <w:tc>
          <w:tcPr>
            <w:tcW w:w="1160" w:type="dxa"/>
            <w:vAlign w:val="bottom"/>
          </w:tcPr>
          <w:p>
            <w:pPr>
              <w:jc w:val="right"/>
              <w:spacing w:after="0"/>
              <w:rPr>
                <w:sz w:val="20"/>
                <w:szCs w:val="20"/>
                <w:color w:val="auto"/>
              </w:rPr>
            </w:pPr>
            <w:r>
              <w:rPr>
                <w:rFonts w:ascii="Arial" w:cs="Arial" w:eastAsia="Arial" w:hAnsi="Arial"/>
                <w:sz w:val="16"/>
                <w:szCs w:val="16"/>
                <w:color w:val="auto"/>
              </w:rPr>
              <w:t>73,194</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color w:val="auto"/>
              </w:rPr>
              <w:t>5.9</w:t>
            </w:r>
          </w:p>
        </w:tc>
        <w:tc>
          <w:tcPr>
            <w:tcW w:w="200" w:type="dxa"/>
            <w:vAlign w:val="bottom"/>
          </w:tcPr>
          <w:p>
            <w:pPr>
              <w:spacing w:after="0"/>
              <w:rPr>
                <w:sz w:val="21"/>
                <w:szCs w:val="21"/>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488.13</w:t>
            </w:r>
          </w:p>
        </w:tc>
      </w:tr>
      <w:tr>
        <w:trPr>
          <w:trHeight w:val="20"/>
        </w:trPr>
        <w:tc>
          <w:tcPr>
            <w:tcW w:w="3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26"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At December 31, 2013, the intrinsic value for all options outstanding, exercisable and unvested was $24.8 million, $14.0 million and $10.7 million, respectively. The intrinsic value of a stock option is the amount by which the market value of the underlying stock exceeds the exercise price of the option. The market value of the Company’s stock was $663.32 at December 31, 2013. At December 31, 2013, there were 48,500 unvested options related to this plan with an average exercise price of $442.02 and a weighted average remaining contractual term of 7.9 years. At December 31, 2012, there were 61,673 unvested options with an average exercise price of $460.24.</w:t>
      </w:r>
    </w:p>
    <w:p>
      <w:pPr>
        <w:spacing w:after="0" w:line="111"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As of December 31, 2013, total unrecognized stock-based compensation expense related to stock options was $ 3.4 million, which is expected to be recognized on a straight-line basis over a weighted average period of approximately 1.9 years. There were 14,500 options exercised during 2013. The total intrinsic value of options exercised during 2013 was $3.2 million; a tax benefit from these stock option exercises of $1.3 million was realized. No options were exercised during 2012 and 2011.</w:t>
      </w:r>
    </w:p>
    <w:p>
      <w:pPr>
        <w:spacing w:after="0" w:line="11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All options granted during 2013 and 2012 were at an exercise price equal to the fair market value of the Company’s common stock at the date of grant. During 2011, the Company granted 50,000 options at an exercise price above the fair market value of its common stock at the date of grant. All other options granted during 2011 were at an exercise price equal to the fair market value of the Company’s common stock at the date of grant. The weighted average grant-date fair value of options granted during 2013, 2012 and 2011 was $91.74, $91.71 and $110.67, respectively. Also, in early 2014, an additional 5,000 stock options were granted.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at date of grant was estimated using the Black-Scholes method utilizing the following assumptions: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jc w:val="center"/>
              <w:ind w:left="2441"/>
              <w:spacing w:after="0"/>
              <w:rPr>
                <w:sz w:val="20"/>
                <w:szCs w:val="20"/>
                <w:color w:val="auto"/>
              </w:rPr>
            </w:pPr>
            <w:r>
              <w:rPr>
                <w:rFonts w:ascii="Arial" w:cs="Arial" w:eastAsia="Arial" w:hAnsi="Arial"/>
                <w:sz w:val="14"/>
                <w:szCs w:val="14"/>
                <w:b w:val="1"/>
                <w:bCs w:val="1"/>
                <w:color w:val="auto"/>
              </w:rPr>
              <w:t>2013</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2012</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2011</w:t>
            </w:r>
          </w:p>
        </w:tc>
      </w:tr>
      <w:tr>
        <w:trPr>
          <w:trHeight w:val="257"/>
        </w:trPr>
        <w:tc>
          <w:tcPr>
            <w:tcW w:w="4340" w:type="dxa"/>
            <w:vAlign w:val="bottom"/>
          </w:tcPr>
          <w:p>
            <w:pPr>
              <w:ind w:left="40"/>
              <w:spacing w:after="0"/>
              <w:rPr>
                <w:sz w:val="20"/>
                <w:szCs w:val="20"/>
                <w:color w:val="auto"/>
              </w:rPr>
            </w:pPr>
            <w:r>
              <w:rPr>
                <w:rFonts w:ascii="Arial" w:cs="Arial" w:eastAsia="Arial" w:hAnsi="Arial"/>
                <w:sz w:val="16"/>
                <w:szCs w:val="16"/>
                <w:color w:val="auto"/>
              </w:rPr>
              <w:t>Expected life (years)</w:t>
            </w:r>
          </w:p>
        </w:tc>
        <w:tc>
          <w:tcPr>
            <w:tcW w:w="3680" w:type="dxa"/>
            <w:vAlign w:val="bottom"/>
          </w:tcPr>
          <w:p>
            <w:pPr>
              <w:jc w:val="center"/>
              <w:ind w:left="2441"/>
              <w:spacing w:after="0"/>
              <w:rPr>
                <w:sz w:val="20"/>
                <w:szCs w:val="20"/>
                <w:color w:val="auto"/>
              </w:rPr>
            </w:pPr>
            <w:r>
              <w:rPr>
                <w:rFonts w:ascii="Arial" w:cs="Arial" w:eastAsia="Arial" w:hAnsi="Arial"/>
                <w:sz w:val="16"/>
                <w:szCs w:val="16"/>
                <w:b w:val="1"/>
                <w:bCs w:val="1"/>
                <w:color w:val="auto"/>
                <w:w w:val="89"/>
              </w:rPr>
              <w:t>7</w:t>
            </w:r>
          </w:p>
        </w:tc>
        <w:tc>
          <w:tcPr>
            <w:tcW w:w="176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7</w:t>
            </w:r>
          </w:p>
        </w:tc>
      </w:tr>
      <w:tr>
        <w:trPr>
          <w:trHeight w:val="270"/>
        </w:trPr>
        <w:tc>
          <w:tcPr>
            <w:tcW w:w="4340" w:type="dxa"/>
            <w:vAlign w:val="bottom"/>
          </w:tcPr>
          <w:p>
            <w:pPr>
              <w:ind w:left="40"/>
              <w:spacing w:after="0"/>
              <w:rPr>
                <w:sz w:val="20"/>
                <w:szCs w:val="20"/>
                <w:color w:val="auto"/>
              </w:rPr>
            </w:pPr>
            <w:r>
              <w:rPr>
                <w:rFonts w:ascii="Arial" w:cs="Arial" w:eastAsia="Arial" w:hAnsi="Arial"/>
                <w:sz w:val="16"/>
                <w:szCs w:val="16"/>
                <w:color w:val="auto"/>
              </w:rPr>
              <w:t>Interest rate</w:t>
            </w:r>
          </w:p>
        </w:tc>
        <w:tc>
          <w:tcPr>
            <w:tcW w:w="3680" w:type="dxa"/>
            <w:vAlign w:val="bottom"/>
          </w:tcPr>
          <w:p>
            <w:pPr>
              <w:jc w:val="center"/>
              <w:ind w:left="2461"/>
              <w:spacing w:after="0"/>
              <w:rPr>
                <w:sz w:val="20"/>
                <w:szCs w:val="20"/>
                <w:color w:val="auto"/>
              </w:rPr>
            </w:pPr>
            <w:r>
              <w:rPr>
                <w:rFonts w:ascii="Arial" w:cs="Arial" w:eastAsia="Arial" w:hAnsi="Arial"/>
                <w:sz w:val="16"/>
                <w:szCs w:val="16"/>
                <w:b w:val="1"/>
                <w:bCs w:val="1"/>
                <w:color w:val="auto"/>
              </w:rPr>
              <w:t>1.31%</w:t>
            </w:r>
          </w:p>
        </w:tc>
        <w:tc>
          <w:tcPr>
            <w:tcW w:w="1760" w:type="dxa"/>
            <w:vAlign w:val="bottom"/>
          </w:tcPr>
          <w:p>
            <w:pPr>
              <w:jc w:val="center"/>
              <w:spacing w:after="0"/>
              <w:rPr>
                <w:sz w:val="20"/>
                <w:szCs w:val="20"/>
                <w:color w:val="auto"/>
              </w:rPr>
            </w:pPr>
            <w:r>
              <w:rPr>
                <w:rFonts w:ascii="Arial" w:cs="Arial" w:eastAsia="Arial" w:hAnsi="Arial"/>
                <w:sz w:val="16"/>
                <w:szCs w:val="16"/>
                <w:color w:val="auto"/>
              </w:rPr>
              <w:t>1.04%–1.27%</w:t>
            </w:r>
          </w:p>
        </w:tc>
        <w:tc>
          <w:tcPr>
            <w:tcW w:w="1640" w:type="dxa"/>
            <w:vAlign w:val="bottom"/>
          </w:tcPr>
          <w:p>
            <w:pPr>
              <w:jc w:val="center"/>
              <w:spacing w:after="0"/>
              <w:rPr>
                <w:sz w:val="20"/>
                <w:szCs w:val="20"/>
                <w:color w:val="auto"/>
              </w:rPr>
            </w:pPr>
            <w:r>
              <w:rPr>
                <w:rFonts w:ascii="Arial" w:cs="Arial" w:eastAsia="Arial" w:hAnsi="Arial"/>
                <w:sz w:val="16"/>
                <w:szCs w:val="16"/>
                <w:color w:val="auto"/>
              </w:rPr>
              <w:t>1.49%–2.85%</w:t>
            </w:r>
          </w:p>
        </w:tc>
      </w:tr>
      <w:tr>
        <w:trPr>
          <w:trHeight w:val="270"/>
        </w:trPr>
        <w:tc>
          <w:tcPr>
            <w:tcW w:w="434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3680" w:type="dxa"/>
            <w:vAlign w:val="bottom"/>
          </w:tcPr>
          <w:p>
            <w:pPr>
              <w:jc w:val="center"/>
              <w:ind w:left="2441"/>
              <w:spacing w:after="0"/>
              <w:rPr>
                <w:sz w:val="20"/>
                <w:szCs w:val="20"/>
                <w:color w:val="auto"/>
              </w:rPr>
            </w:pPr>
            <w:r>
              <w:rPr>
                <w:rFonts w:ascii="Arial" w:cs="Arial" w:eastAsia="Arial" w:hAnsi="Arial"/>
                <w:sz w:val="16"/>
                <w:szCs w:val="16"/>
                <w:b w:val="1"/>
                <w:bCs w:val="1"/>
                <w:color w:val="auto"/>
              </w:rPr>
              <w:t>31.80%</w:t>
            </w:r>
          </w:p>
        </w:tc>
        <w:tc>
          <w:tcPr>
            <w:tcW w:w="1760" w:type="dxa"/>
            <w:vAlign w:val="bottom"/>
          </w:tcPr>
          <w:p>
            <w:pPr>
              <w:jc w:val="center"/>
              <w:spacing w:after="0"/>
              <w:rPr>
                <w:sz w:val="20"/>
                <w:szCs w:val="20"/>
                <w:color w:val="auto"/>
              </w:rPr>
            </w:pPr>
            <w:r>
              <w:rPr>
                <w:rFonts w:ascii="Arial" w:cs="Arial" w:eastAsia="Arial" w:hAnsi="Arial"/>
                <w:sz w:val="16"/>
                <w:szCs w:val="16"/>
                <w:color w:val="auto"/>
              </w:rPr>
              <w:t>31.71%–31.80%</w:t>
            </w:r>
          </w:p>
        </w:tc>
        <w:tc>
          <w:tcPr>
            <w:tcW w:w="1640" w:type="dxa"/>
            <w:vAlign w:val="bottom"/>
          </w:tcPr>
          <w:p>
            <w:pPr>
              <w:jc w:val="center"/>
              <w:spacing w:after="0"/>
              <w:rPr>
                <w:sz w:val="20"/>
                <w:szCs w:val="20"/>
                <w:color w:val="auto"/>
              </w:rPr>
            </w:pPr>
            <w:r>
              <w:rPr>
                <w:rFonts w:ascii="Arial" w:cs="Arial" w:eastAsia="Arial" w:hAnsi="Arial"/>
                <w:sz w:val="16"/>
                <w:szCs w:val="16"/>
                <w:color w:val="auto"/>
              </w:rPr>
              <w:t>30.35%–31.24%</w:t>
            </w:r>
          </w:p>
        </w:tc>
      </w:tr>
      <w:tr>
        <w:trPr>
          <w:trHeight w:val="270"/>
        </w:trPr>
        <w:tc>
          <w:tcPr>
            <w:tcW w:w="434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3680" w:type="dxa"/>
            <w:vAlign w:val="bottom"/>
          </w:tcPr>
          <w:p>
            <w:pPr>
              <w:jc w:val="center"/>
              <w:ind w:left="2461"/>
              <w:spacing w:after="0"/>
              <w:rPr>
                <w:sz w:val="20"/>
                <w:szCs w:val="20"/>
                <w:color w:val="auto"/>
              </w:rPr>
            </w:pPr>
            <w:r>
              <w:rPr>
                <w:rFonts w:ascii="Arial" w:cs="Arial" w:eastAsia="Arial" w:hAnsi="Arial"/>
                <w:sz w:val="16"/>
                <w:szCs w:val="16"/>
                <w:b w:val="1"/>
                <w:bCs w:val="1"/>
                <w:color w:val="auto"/>
              </w:rPr>
              <w:t>2.63%</w:t>
            </w:r>
          </w:p>
        </w:tc>
        <w:tc>
          <w:tcPr>
            <w:tcW w:w="1760" w:type="dxa"/>
            <w:vAlign w:val="bottom"/>
          </w:tcPr>
          <w:p>
            <w:pPr>
              <w:jc w:val="center"/>
              <w:spacing w:after="0"/>
              <w:rPr>
                <w:sz w:val="20"/>
                <w:szCs w:val="20"/>
                <w:color w:val="auto"/>
              </w:rPr>
            </w:pPr>
            <w:r>
              <w:rPr>
                <w:rFonts w:ascii="Arial" w:cs="Arial" w:eastAsia="Arial" w:hAnsi="Arial"/>
                <w:sz w:val="16"/>
                <w:szCs w:val="16"/>
                <w:color w:val="auto"/>
              </w:rPr>
              <w:t>2.54%–2.60%</w:t>
            </w:r>
          </w:p>
        </w:tc>
        <w:tc>
          <w:tcPr>
            <w:tcW w:w="1640" w:type="dxa"/>
            <w:vAlign w:val="bottom"/>
          </w:tcPr>
          <w:p>
            <w:pPr>
              <w:jc w:val="center"/>
              <w:spacing w:after="0"/>
              <w:rPr>
                <w:sz w:val="20"/>
                <w:szCs w:val="20"/>
                <w:color w:val="auto"/>
              </w:rPr>
            </w:pPr>
            <w:r>
              <w:rPr>
                <w:rFonts w:ascii="Arial" w:cs="Arial" w:eastAsia="Arial" w:hAnsi="Arial"/>
                <w:sz w:val="16"/>
                <w:szCs w:val="16"/>
                <w:color w:val="auto"/>
              </w:rPr>
              <w:t>2.11%–2.74%</w:t>
            </w:r>
          </w:p>
        </w:tc>
      </w:tr>
    </w:tbl>
    <w:p>
      <w:pPr>
        <w:spacing w:after="0" w:line="133"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Company also maintains a stock option plan at Kaplan.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111" w:lineRule="exact"/>
        <w:rPr>
          <w:sz w:val="20"/>
          <w:szCs w:val="20"/>
          <w:color w:val="auto"/>
        </w:rPr>
      </w:pPr>
    </w:p>
    <w:p>
      <w:pPr>
        <w:jc w:val="both"/>
        <w:ind w:right="40"/>
        <w:spacing w:after="0" w:line="227" w:lineRule="auto"/>
        <w:rPr>
          <w:sz w:val="20"/>
          <w:szCs w:val="20"/>
          <w:color w:val="auto"/>
        </w:rPr>
      </w:pPr>
      <w:r>
        <w:rPr>
          <w:rFonts w:ascii="Arial" w:cs="Arial" w:eastAsia="Arial" w:hAnsi="Arial"/>
          <w:sz w:val="18"/>
          <w:szCs w:val="18"/>
          <w:color w:val="auto"/>
        </w:rPr>
        <w:t>At December 31, 2013, a Kaplan senior manager holds 7,206 Kaplan restricted shares. The fair value of Kaplan’s common stock is determined by the Company's compensation committee of the Board of Directors, and in January 2014, the committee set the fair value price at $1,150 per share. During 2013, 5,000 options were awarded to a Kaplan senior manager at a price of $973 per share which vest over a four-year period.</w:t>
      </w:r>
    </w:p>
    <w:p>
      <w:pPr>
        <w:spacing w:after="0" w:line="2"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No options were awarded during 2012 or 2011; no options were exercised during 2013 or 2012; and there were 5,000 options outstanding at December 31, 2013. In December 2011, a Kaplan senior manager exercised 2,000 Kaplan stock options at an option price of $652 per option. Additionally, in January 2014, an additional 2,500 stock options were awarded.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24" w:right="239" w:bottom="1440" w:gutter="0" w:footer="0" w:header="0"/>
        </w:sectPr>
      </w:pPr>
    </w:p>
    <w:bookmarkStart w:id="83" w:name="page84"/>
    <w:bookmarkEnd w:id="83"/>
    <w:p>
      <w:pPr>
        <w:spacing w:after="0" w:line="15"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Kaplan recorded stock compensation expense of $ 2.9 million in 2013, and a stock compensation credit of $1.1 million and $1.3 million in 2012 and 2011, respectively. At December 31, 2013, the Company’s accrual balance related to Kaplan stock-based compensation totaled $9.9 million. There were no payouts in 2013, 2012 or 2011. The total intrinsic value of options exercised during 2011 was $1.0 million.</w:t>
      </w:r>
    </w:p>
    <w:p>
      <w:pPr>
        <w:spacing w:after="0" w:line="106"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Company's unvested restricted stock awards contain nonforfeitable rights to dividends and, therefore,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08"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The following reflects the Company's income from continuing operations and share data used in the basic and diluted earnings per share computations using the two-class method: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49"/>
        </w:trPr>
        <w:tc>
          <w:tcPr>
            <w:tcW w:w="7600" w:type="dxa"/>
            <w:vAlign w:val="bottom"/>
          </w:tcPr>
          <w:p>
            <w:pPr>
              <w:ind w:left="4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600" w:type="dxa"/>
            <w:vAlign w:val="bottom"/>
          </w:tcPr>
          <w:p>
            <w:pPr>
              <w:ind w:left="280"/>
              <w:spacing w:after="0"/>
              <w:rPr>
                <w:sz w:val="20"/>
                <w:szCs w:val="20"/>
                <w:color w:val="auto"/>
              </w:rPr>
            </w:pPr>
            <w:r>
              <w:rPr>
                <w:rFonts w:ascii="Arial" w:cs="Arial" w:eastAsia="Arial" w:hAnsi="Arial"/>
                <w:sz w:val="16"/>
                <w:szCs w:val="16"/>
                <w:color w:val="auto"/>
              </w:rPr>
              <w:t>Income from continuing operations attributable to Graham Holdings Company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189,891</w:t>
            </w:r>
          </w:p>
        </w:tc>
        <w:tc>
          <w:tcPr>
            <w:tcW w:w="5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71,090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150,464</w:t>
            </w:r>
          </w:p>
        </w:tc>
        <w:tc>
          <w:tcPr>
            <w:tcW w:w="0" w:type="dxa"/>
            <w:vAlign w:val="bottom"/>
          </w:tcPr>
          <w:p>
            <w:pPr>
              <w:spacing w:after="0"/>
              <w:rPr>
                <w:sz w:val="1"/>
                <w:szCs w:val="1"/>
                <w:color w:val="auto"/>
              </w:rPr>
            </w:pPr>
          </w:p>
        </w:tc>
      </w:tr>
      <w:tr>
        <w:trPr>
          <w:trHeight w:val="274"/>
        </w:trPr>
        <w:tc>
          <w:tcPr>
            <w:tcW w:w="760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(146,432)</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(74,575)</w:t>
            </w:r>
          </w:p>
        </w:tc>
        <w:tc>
          <w:tcPr>
            <w:tcW w:w="0" w:type="dxa"/>
            <w:vAlign w:val="bottom"/>
          </w:tcPr>
          <w:p>
            <w:pPr>
              <w:spacing w:after="0"/>
              <w:rPr>
                <w:sz w:val="1"/>
                <w:szCs w:val="1"/>
                <w:color w:val="auto"/>
              </w:rPr>
            </w:pPr>
          </w:p>
        </w:tc>
      </w:tr>
      <w:tr>
        <w:trPr>
          <w:trHeight w:val="260"/>
        </w:trPr>
        <w:tc>
          <w:tcPr>
            <w:tcW w:w="7600" w:type="dxa"/>
            <w:vAlign w:val="bottom"/>
          </w:tcPr>
          <w:p>
            <w:pPr>
              <w:ind w:left="280"/>
              <w:spacing w:after="0"/>
              <w:rPr>
                <w:sz w:val="20"/>
                <w:szCs w:val="20"/>
                <w:color w:val="auto"/>
              </w:rPr>
            </w:pPr>
            <w:r>
              <w:rPr>
                <w:rFonts w:ascii="Arial" w:cs="Arial" w:eastAsia="Arial" w:hAnsi="Arial"/>
                <w:sz w:val="16"/>
                <w:szCs w:val="16"/>
                <w:color w:val="auto"/>
              </w:rPr>
              <w:t>Undistributed earnings (losses)</w:t>
            </w: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189,891</w:t>
            </w:r>
          </w:p>
        </w:tc>
        <w:tc>
          <w:tcPr>
            <w:tcW w:w="520" w:type="dxa"/>
            <w:vAlign w:val="bottom"/>
          </w:tcPr>
          <w:p>
            <w:pPr>
              <w:spacing w:after="0"/>
              <w:rPr>
                <w:sz w:val="22"/>
                <w:szCs w:val="22"/>
                <w:color w:val="auto"/>
              </w:rPr>
            </w:pP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(75,342)</w:t>
            </w:r>
          </w:p>
        </w:tc>
        <w:tc>
          <w:tcPr>
            <w:tcW w:w="360" w:type="dxa"/>
            <w:vAlign w:val="bottom"/>
          </w:tcPr>
          <w:p>
            <w:pPr>
              <w:spacing w:after="0"/>
              <w:rPr>
                <w:sz w:val="22"/>
                <w:szCs w:val="22"/>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75,889</w:t>
            </w:r>
          </w:p>
        </w:tc>
        <w:tc>
          <w:tcPr>
            <w:tcW w:w="0" w:type="dxa"/>
            <w:vAlign w:val="bottom"/>
          </w:tcPr>
          <w:p>
            <w:pPr>
              <w:spacing w:after="0"/>
              <w:rPr>
                <w:sz w:val="1"/>
                <w:szCs w:val="1"/>
                <w:color w:val="auto"/>
              </w:rPr>
            </w:pPr>
          </w:p>
        </w:tc>
      </w:tr>
      <w:tr>
        <w:trPr>
          <w:trHeight w:val="278"/>
        </w:trPr>
        <w:tc>
          <w:tcPr>
            <w:tcW w:w="7600" w:type="dxa"/>
            <w:vAlign w:val="bottom"/>
          </w:tcPr>
          <w:p>
            <w:pPr>
              <w:ind w:left="280"/>
              <w:spacing w:after="0"/>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322"/>
              <w:spacing w:after="0"/>
              <w:rPr>
                <w:sz w:val="20"/>
                <w:szCs w:val="20"/>
                <w:color w:val="auto"/>
              </w:rPr>
            </w:pPr>
            <w:r>
              <w:rPr>
                <w:rFonts w:ascii="Arial" w:cs="Arial" w:eastAsia="Arial" w:hAnsi="Arial"/>
                <w:sz w:val="16"/>
                <w:szCs w:val="16"/>
                <w:b w:val="1"/>
                <w:bCs w:val="1"/>
                <w:color w:val="auto"/>
              </w:rPr>
              <w:t>98.45%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98.98%</w:t>
            </w:r>
          </w:p>
        </w:tc>
        <w:tc>
          <w:tcPr>
            <w:tcW w:w="0" w:type="dxa"/>
            <w:vAlign w:val="bottom"/>
          </w:tcPr>
          <w:p>
            <w:pPr>
              <w:spacing w:after="0"/>
              <w:rPr>
                <w:sz w:val="1"/>
                <w:szCs w:val="1"/>
                <w:color w:val="auto"/>
              </w:rPr>
            </w:pPr>
          </w:p>
        </w:tc>
      </w:tr>
      <w:tr>
        <w:trPr>
          <w:trHeight w:val="256"/>
        </w:trPr>
        <w:tc>
          <w:tcPr>
            <w:tcW w:w="7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186,948</w:t>
            </w:r>
          </w:p>
        </w:tc>
        <w:tc>
          <w:tcPr>
            <w:tcW w:w="520" w:type="dxa"/>
            <w:vAlign w:val="bottom"/>
          </w:tcPr>
          <w:p>
            <w:pPr>
              <w:spacing w:after="0"/>
              <w:rPr>
                <w:sz w:val="22"/>
                <w:szCs w:val="22"/>
                <w:color w:val="auto"/>
              </w:rPr>
            </w:pP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(75,342)</w:t>
            </w:r>
          </w:p>
        </w:tc>
        <w:tc>
          <w:tcPr>
            <w:tcW w:w="360" w:type="dxa"/>
            <w:vAlign w:val="bottom"/>
          </w:tcPr>
          <w:p>
            <w:pPr>
              <w:spacing w:after="0"/>
              <w:rPr>
                <w:sz w:val="22"/>
                <w:szCs w:val="22"/>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75,115</w:t>
            </w:r>
          </w:p>
        </w:tc>
        <w:tc>
          <w:tcPr>
            <w:tcW w:w="0" w:type="dxa"/>
            <w:vAlign w:val="bottom"/>
          </w:tcPr>
          <w:p>
            <w:pPr>
              <w:spacing w:after="0"/>
              <w:rPr>
                <w:sz w:val="1"/>
                <w:szCs w:val="1"/>
                <w:color w:val="auto"/>
              </w:rPr>
            </w:pPr>
          </w:p>
        </w:tc>
      </w:tr>
      <w:tr>
        <w:trPr>
          <w:trHeight w:val="274"/>
        </w:trPr>
        <w:tc>
          <w:tcPr>
            <w:tcW w:w="7600" w:type="dxa"/>
            <w:vAlign w:val="bottom"/>
          </w:tcPr>
          <w:p>
            <w:pPr>
              <w:ind w:left="28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143,175</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73,831</w:t>
            </w:r>
          </w:p>
        </w:tc>
        <w:tc>
          <w:tcPr>
            <w:tcW w:w="0" w:type="dxa"/>
            <w:vAlign w:val="bottom"/>
          </w:tcPr>
          <w:p>
            <w:pPr>
              <w:spacing w:after="0"/>
              <w:rPr>
                <w:sz w:val="1"/>
                <w:szCs w:val="1"/>
                <w:color w:val="auto"/>
              </w:rPr>
            </w:pPr>
          </w:p>
        </w:tc>
      </w:tr>
      <w:tr>
        <w:trPr>
          <w:trHeight w:val="266"/>
        </w:trPr>
        <w:tc>
          <w:tcPr>
            <w:tcW w:w="7600" w:type="dxa"/>
            <w:vAlign w:val="bottom"/>
          </w:tcPr>
          <w:p>
            <w:pPr>
              <w:ind w:left="280"/>
              <w:spacing w:after="0"/>
              <w:rPr>
                <w:sz w:val="20"/>
                <w:szCs w:val="20"/>
                <w:color w:val="auto"/>
              </w:rPr>
            </w:pPr>
            <w:r>
              <w:rPr>
                <w:rFonts w:ascii="Arial" w:cs="Arial" w:eastAsia="Arial" w:hAnsi="Arial"/>
                <w:sz w:val="16"/>
                <w:szCs w:val="16"/>
                <w:color w:val="auto"/>
              </w:rPr>
              <w:t>Numerator for basic earnings per share</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186,948</w:t>
            </w:r>
          </w:p>
        </w:tc>
        <w:tc>
          <w:tcPr>
            <w:tcW w:w="5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67,833</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148,946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5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7600" w:type="dxa"/>
            <w:vAlign w:val="bottom"/>
          </w:tcPr>
          <w:p>
            <w:pPr>
              <w:ind w:left="180"/>
              <w:spacing w:after="0"/>
              <w:rPr>
                <w:sz w:val="20"/>
                <w:szCs w:val="20"/>
                <w:color w:val="auto"/>
              </w:rPr>
            </w:pPr>
            <w:r>
              <w:rPr>
                <w:rFonts w:ascii="Arial" w:cs="Arial" w:eastAsia="Arial" w:hAnsi="Arial"/>
                <w:sz w:val="16"/>
                <w:szCs w:val="16"/>
                <w:color w:val="auto"/>
              </w:rPr>
              <w:t>Numerator for 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186,953</w:t>
            </w:r>
          </w:p>
        </w:tc>
        <w:tc>
          <w:tcPr>
            <w:tcW w:w="5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67,833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148,946</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4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80"/>
              <w:spacing w:after="0"/>
              <w:rPr>
                <w:sz w:val="20"/>
                <w:szCs w:val="20"/>
                <w:color w:val="auto"/>
              </w:rPr>
            </w:pPr>
            <w:r>
              <w:rPr>
                <w:rFonts w:ascii="Arial" w:cs="Arial" w:eastAsia="Arial" w:hAnsi="Arial"/>
                <w:sz w:val="16"/>
                <w:szCs w:val="16"/>
                <w:color w:val="auto"/>
              </w:rPr>
              <w:t>Denominator for basic earnings per share:</w:t>
            </w: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60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7,238</w:t>
            </w:r>
          </w:p>
        </w:tc>
        <w:tc>
          <w:tcPr>
            <w:tcW w:w="520" w:type="dxa"/>
            <w:vAlign w:val="bottom"/>
          </w:tcPr>
          <w:p>
            <w:pPr>
              <w:spacing w:after="0"/>
              <w:rPr>
                <w:sz w:val="24"/>
                <w:szCs w:val="24"/>
                <w:color w:val="auto"/>
              </w:rPr>
            </w:pP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7,360</w:t>
            </w:r>
          </w:p>
        </w:tc>
        <w:tc>
          <w:tcPr>
            <w:tcW w:w="36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7,826</w:t>
            </w:r>
          </w:p>
        </w:tc>
        <w:tc>
          <w:tcPr>
            <w:tcW w:w="0" w:type="dxa"/>
            <w:vAlign w:val="bottom"/>
          </w:tcPr>
          <w:p>
            <w:pPr>
              <w:spacing w:after="0"/>
              <w:rPr>
                <w:sz w:val="1"/>
                <w:szCs w:val="1"/>
                <w:color w:val="auto"/>
              </w:rPr>
            </w:pPr>
          </w:p>
        </w:tc>
      </w:tr>
      <w:tr>
        <w:trPr>
          <w:trHeight w:val="274"/>
        </w:trPr>
        <w:tc>
          <w:tcPr>
            <w:tcW w:w="760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5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6"/>
        </w:trPr>
        <w:tc>
          <w:tcPr>
            <w:tcW w:w="7600" w:type="dxa"/>
            <w:vAlign w:val="bottom"/>
          </w:tcPr>
          <w:p>
            <w:pPr>
              <w:ind w:left="180"/>
              <w:spacing w:after="0"/>
              <w:rPr>
                <w:sz w:val="20"/>
                <w:szCs w:val="20"/>
                <w:color w:val="auto"/>
              </w:rPr>
            </w:pPr>
            <w:r>
              <w:rPr>
                <w:rFonts w:ascii="Arial" w:cs="Arial" w:eastAsia="Arial" w:hAnsi="Arial"/>
                <w:sz w:val="16"/>
                <w:szCs w:val="16"/>
                <w:color w:val="auto"/>
              </w:rPr>
              <w:t>Denominator for diluted earnings per share</w:t>
            </w:r>
          </w:p>
        </w:tc>
        <w:tc>
          <w:tcPr>
            <w:tcW w:w="2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7,250</w:t>
            </w:r>
          </w:p>
        </w:tc>
        <w:tc>
          <w:tcPr>
            <w:tcW w:w="5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7,360</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7,826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sectPr>
          <w:pgSz w:w="11900" w:h="16853" w:orient="portrait"/>
          <w:cols w:equalWidth="0" w:num="1">
            <w:col w:w="11420"/>
          </w:cols>
          <w:pgMar w:left="240" w:top="724" w:right="239" w:bottom="0" w:gutter="0" w:footer="0" w:header="0"/>
        </w:sectPr>
      </w:pPr>
    </w:p>
    <w:p>
      <w:pPr>
        <w:ind w:left="180" w:right="2520" w:hanging="134"/>
        <w:spacing w:after="0" w:line="377" w:lineRule="auto"/>
        <w:rPr>
          <w:sz w:val="20"/>
          <w:szCs w:val="20"/>
          <w:color w:val="auto"/>
        </w:rPr>
      </w:pPr>
      <w:r>
        <w:rPr>
          <w:rFonts w:ascii="Arial" w:cs="Arial" w:eastAsia="Arial" w:hAnsi="Arial"/>
          <w:sz w:val="16"/>
          <w:szCs w:val="16"/>
          <w:b w:val="1"/>
          <w:bCs w:val="1"/>
          <w:color w:val="auto"/>
        </w:rPr>
        <w:t>Graham Holdings Company Common Stockholders: Basic earnings per share from continuing operations Diluted earnings per share from continuing operations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25.83</w:t>
            </w:r>
          </w:p>
        </w:tc>
        <w:tc>
          <w:tcPr>
            <w:tcW w:w="5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9.22</w:t>
            </w:r>
          </w:p>
        </w:tc>
        <w:tc>
          <w:tcPr>
            <w:tcW w:w="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19.03</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47"/>
        </w:trPr>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25.78</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9.22</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19.03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4269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697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22225</wp:posOffset>
            </wp:positionV>
            <wp:extent cx="24269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58" w:lineRule="exact"/>
        <w:rPr>
          <w:sz w:val="20"/>
          <w:szCs w:val="20"/>
          <w:color w:val="auto"/>
        </w:rPr>
      </w:pPr>
    </w:p>
    <w:p>
      <w:pPr>
        <w:sectPr>
          <w:pgSz w:w="11900" w:h="16853" w:orient="portrait"/>
          <w:cols w:equalWidth="0" w:num="2">
            <w:col w:w="6880" w:space="720"/>
            <w:col w:w="3820"/>
          </w:cols>
          <w:pgMar w:left="240" w:top="724" w:right="239" w:bottom="0" w:gutter="0" w:footer="0" w:header="0"/>
          <w:type w:val="continuous"/>
        </w:sectPr>
      </w:pPr>
    </w:p>
    <w:p>
      <w:pPr>
        <w:spacing w:after="0"/>
        <w:rPr>
          <w:sz w:val="20"/>
          <w:szCs w:val="20"/>
          <w:color w:val="auto"/>
        </w:rPr>
      </w:pPr>
      <w:r>
        <w:rPr>
          <w:rFonts w:ascii="Arial" w:cs="Arial" w:eastAsia="Arial" w:hAnsi="Arial"/>
          <w:sz w:val="11"/>
          <w:szCs w:val="11"/>
          <w:color w:val="auto"/>
        </w:rPr>
        <w:t>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(1)  Percent of undistributed losses allocated to common stockholders is 100% in 2012 as participating securities are not contractually obligated to share in losses.</w:t>
      </w:r>
    </w:p>
    <w:p>
      <w:pPr>
        <w:spacing w:after="0" w:line="14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800" w:type="dxa"/>
            <w:vAlign w:val="bottom"/>
            <w:tcBorders>
              <w:bottom w:val="single" w:sz="8" w:color="auto"/>
            </w:tcBorders>
            <w:gridSpan w:val="2"/>
          </w:tcPr>
          <w:p>
            <w:pPr>
              <w:jc w:val="center"/>
              <w:ind w:left="80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2013</w:t>
            </w:r>
          </w:p>
        </w:tc>
        <w:tc>
          <w:tcPr>
            <w:tcW w:w="144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color w:val="auto"/>
              </w:rPr>
              <w:t>2012</w:t>
            </w:r>
          </w:p>
        </w:tc>
        <w:tc>
          <w:tcPr>
            <w:tcW w:w="8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color w:val="auto"/>
              </w:rPr>
              <w:t>2011</w:t>
            </w:r>
          </w:p>
        </w:tc>
      </w:tr>
      <w:tr>
        <w:trPr>
          <w:trHeight w:val="257"/>
        </w:trPr>
        <w:tc>
          <w:tcPr>
            <w:tcW w:w="778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360" w:type="dxa"/>
            <w:vAlign w:val="bottom"/>
          </w:tcPr>
          <w:p>
            <w:pPr>
              <w:jc w:val="right"/>
              <w:ind w:right="245"/>
              <w:spacing w:after="0"/>
              <w:rPr>
                <w:sz w:val="20"/>
                <w:szCs w:val="20"/>
                <w:color w:val="auto"/>
              </w:rPr>
            </w:pPr>
            <w:r>
              <w:rPr>
                <w:rFonts w:ascii="Arial" w:cs="Arial" w:eastAsia="Arial" w:hAnsi="Arial"/>
                <w:sz w:val="16"/>
                <w:szCs w:val="16"/>
                <w:b w:val="1"/>
                <w:bCs w:val="1"/>
                <w:color w:val="auto"/>
              </w:rPr>
              <w:t>83</w:t>
            </w:r>
          </w:p>
        </w:tc>
        <w:tc>
          <w:tcPr>
            <w:tcW w:w="1440" w:type="dxa"/>
            <w:vAlign w:val="bottom"/>
          </w:tcPr>
          <w:p>
            <w:pPr>
              <w:jc w:val="right"/>
              <w:ind w:right="443"/>
              <w:spacing w:after="0"/>
              <w:rPr>
                <w:sz w:val="20"/>
                <w:szCs w:val="20"/>
                <w:color w:val="auto"/>
              </w:rPr>
            </w:pPr>
            <w:r>
              <w:rPr>
                <w:rFonts w:ascii="Arial" w:cs="Arial" w:eastAsia="Arial" w:hAnsi="Arial"/>
                <w:sz w:val="16"/>
                <w:szCs w:val="16"/>
                <w:color w:val="auto"/>
              </w:rPr>
              <w:t>44</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79</w:t>
            </w:r>
          </w:p>
        </w:tc>
      </w:tr>
    </w:tbl>
    <w:p>
      <w:pPr>
        <w:spacing w:after="0" w:line="13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2013, 2012 and 2011 diluted earnings per share amounts exclude the effects of 10,000, 124,694 and 115,294 stock options outstanding, respectively, as their inclusion would have been antidilutive. The 2013 and 2012 diluted earnings per share amounts also exclude the effects of 5,500 and 52,200 restricted stock awards, respectively, as their inclusion would have been antidilutive.</w:t>
      </w:r>
    </w:p>
    <w:p>
      <w:pPr>
        <w:spacing w:after="0" w:line="10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2012 and 2011, the Company declared regular dividends totaling $9.80 and $ 9.40 per share, respectively. In December 2012, the Company declared and paid an accelerated cash dividend totaling $9.80 per share, in lieu of regular quarterly dividends that the Company otherwise would have declared and paid in calendar year 2013.</w:t>
      </w:r>
    </w:p>
    <w:p>
      <w:pPr>
        <w:spacing w:after="0" w:line="106"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PLANS</w:t>
      </w:r>
    </w:p>
    <w:p>
      <w:pPr>
        <w:spacing w:after="0" w:line="14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maintains various pension and incentive savings plans and contributed to multiemployer plans on behalf of certain union-represented employee groups. Most of the Company’s employees are covered by these plans. The Company also provides health care and life insurance benefits to certain retired employees. These employees become eligible for benefits after meeting age and service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42"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b w:val="1"/>
          <w:bCs w:val="1"/>
          <w:color w:val="auto"/>
        </w:rPr>
        <w:t xml:space="preserve">Sale of Publishing Subsidiaries. </w:t>
      </w:r>
      <w:r>
        <w:rPr>
          <w:rFonts w:ascii="Arial" w:cs="Arial" w:eastAsia="Arial" w:hAnsi="Arial"/>
          <w:sz w:val="18"/>
          <w:szCs w:val="18"/>
          <w:color w:val="auto"/>
        </w:rPr>
        <w:t>On October 1, 2013, as part of the sale of the Publishing Subsidiaries, the Purchaser assumed the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active employees of the Company’s defined benefit pension plan, Supplemental Executive Retirement Plan (SERP) and other postretirement plans. In addition to the assumed liabilities, the Company transferred pension plan assets of $318 million in accordance with the terms of the sale. As a result of the sale of the Publishing Subsidiaries, the Company remeasured the accumulated and projected benefit obligation of the pension, SERP and other postretirement plans as of October 1, 2013, and recorded curtailment and settlement gains (losses). The new measurement basis was used for the recognition of the pension and other postretirement plan cost (credit) recorded in the fourth quarter of 2013. The curtailment and settlement gains (losses) are included in the gain on the sale of the Publishing Subsidiaries, which is included in income (loss) from discontinued operations, net of tax. The Company excluded the historical pension expense for retirees from the reclassification of the Publishing Subsidiaries’ results to discontinued operations, since the associated assets and liabilities will be retained by the Company.</w:t>
      </w:r>
    </w:p>
    <w:p>
      <w:pPr>
        <w:spacing w:after="0" w:line="112" w:lineRule="exact"/>
        <w:rPr>
          <w:sz w:val="20"/>
          <w:szCs w:val="20"/>
          <w:color w:val="auto"/>
        </w:rPr>
      </w:pPr>
    </w:p>
    <w:p>
      <w:pPr>
        <w:ind w:right="720"/>
        <w:spacing w:after="0" w:line="263"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Company’s defined benefit pension plans consist of various pension plans and a SERP offered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of the Company.</w:t>
      </w:r>
    </w:p>
    <w:p>
      <w:pPr>
        <w:sectPr>
          <w:pgSz w:w="11900" w:h="16853" w:orient="portrait"/>
          <w:cols w:equalWidth="0" w:num="1">
            <w:col w:w="11420"/>
          </w:cols>
          <w:pgMar w:left="240" w:top="724" w:right="239" w:bottom="0" w:gutter="0" w:footer="0" w:header="0"/>
          <w:type w:val="continuous"/>
        </w:sectPr>
      </w:pPr>
    </w:p>
    <w:bookmarkStart w:id="84" w:name="page85"/>
    <w:bookmarkEnd w:id="84"/>
    <w:p>
      <w:pPr>
        <w:jc w:val="both"/>
        <w:spacing w:after="0"/>
        <w:rPr>
          <w:sz w:val="20"/>
          <w:szCs w:val="20"/>
          <w:color w:val="auto"/>
        </w:rPr>
      </w:pPr>
      <w:r>
        <w:rPr>
          <w:rFonts w:ascii="Arial" w:cs="Arial" w:eastAsia="Arial" w:hAnsi="Arial"/>
          <w:sz w:val="18"/>
          <w:szCs w:val="18"/>
          <w:color w:val="auto"/>
        </w:rPr>
        <w:t>Effective August 1, 2012, the Company’s defined benefit pension plan was amended to provide most of the current participants with a new cash balance benefit. The cash balance benefit is funded from the assets of the Company’s pension plans. As a result of this benefit, the Company’s matching contribution for its 401(k) Savings Plans was reduced.</w:t>
      </w:r>
    </w:p>
    <w:p>
      <w:pPr>
        <w:spacing w:after="0" w:line="108"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In February 2013, the Company offered a Voluntary Retirement Incentive Program to certain employees of The Washington Post newspaper and recorded early retirement expense of $20.4 million. In addition, The Washington Post newspaper recorded $2.3 million in special separation benefits for a group of employees in the first quarter of 2013. The expense for these programs is funded from the assets of the Company's pension plans.</w:t>
      </w:r>
    </w:p>
    <w:p>
      <w:pPr>
        <w:spacing w:after="0" w:line="111" w:lineRule="exact"/>
        <w:rPr>
          <w:sz w:val="20"/>
          <w:szCs w:val="20"/>
          <w:color w:val="auto"/>
        </w:rPr>
      </w:pPr>
    </w:p>
    <w:p>
      <w:pPr>
        <w:ind w:right="200"/>
        <w:spacing w:after="0" w:line="234" w:lineRule="auto"/>
        <w:rPr>
          <w:sz w:val="20"/>
          <w:szCs w:val="20"/>
          <w:color w:val="auto"/>
        </w:rPr>
      </w:pPr>
      <w:r>
        <w:rPr>
          <w:rFonts w:ascii="Arial" w:cs="Arial" w:eastAsia="Arial" w:hAnsi="Arial"/>
          <w:sz w:val="18"/>
          <w:szCs w:val="18"/>
          <w:color w:val="auto"/>
        </w:rPr>
        <w:t>In 2012, the Company offered a Voluntary Retirement Incentive Program to certain employees of The Washington Post newspaper and recorded early retirement expense of $7.5 million. In addition, the Company offered a Voluntary Retirement Incentive Program to certain employees of Post–Newsweek Media and recorded early retirement expense of $1.0 million. The early retirement program expense for these programs is funded from the assets of the Company’s pension plans.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71" w:right="239" w:bottom="1440" w:gutter="0" w:footer="0" w:header="0"/>
        </w:sectPr>
      </w:pPr>
    </w:p>
    <w:bookmarkStart w:id="85" w:name="page86"/>
    <w:bookmarkEnd w:id="85"/>
    <w:p>
      <w:pPr>
        <w:ind w:right="140"/>
        <w:spacing w:after="0"/>
        <w:rPr>
          <w:sz w:val="20"/>
          <w:szCs w:val="20"/>
          <w:color w:val="auto"/>
        </w:rPr>
      </w:pPr>
      <w:r>
        <w:rPr>
          <w:rFonts w:ascii="Arial" w:cs="Arial" w:eastAsia="Arial" w:hAnsi="Arial"/>
          <w:sz w:val="18"/>
          <w:szCs w:val="18"/>
          <w:color w:val="auto"/>
        </w:rPr>
        <w:t>In 2011, the Company offered a Voluntary Retirement Incentive Program to certain employees of Robinson Terminal Warehouse Corporation and The Washington Post and recorded early retirement expense of $0.6 million. The early retirement program expense for these programs is funded from the assets of the Company’s pension plans.</w:t>
      </w:r>
    </w:p>
    <w:p>
      <w:pPr>
        <w:spacing w:after="0" w:line="108"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early retirement program and special separation benefit expenses are included in income (loss) from discontinued operations, net of tax, for 2013, 2012 and 2011.</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plans: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Pension Plans</w:t>
            </w:r>
          </w:p>
        </w:tc>
      </w:tr>
      <w:tr>
        <w:trPr>
          <w:trHeight w:val="250"/>
        </w:trPr>
        <w:tc>
          <w:tcPr>
            <w:tcW w:w="9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2012</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1,466,322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1,279,315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46,115</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40,344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55,821</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59,124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Amendments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22,700</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8,508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(gain) loss</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(156,385)</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144,286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(81,162)</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(65,255)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(55,690)</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(171,377)</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1,126,344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1,466,322</w:t>
            </w: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2,071,145</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1,816,577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699,518</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319,823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(81,162)</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(65,255)</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(317,652)</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2,371,849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2,071,145</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1,245,505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604,823</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85"/>
        </w:trPr>
        <w:tc>
          <w:tcPr>
            <w:tcW w:w="9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641"/>
              <w:spacing w:after="0"/>
              <w:rPr>
                <w:sz w:val="20"/>
                <w:szCs w:val="20"/>
                <w:color w:val="auto"/>
              </w:rPr>
            </w:pPr>
            <w:r>
              <w:rPr>
                <w:rFonts w:ascii="Arial" w:cs="Arial" w:eastAsia="Arial" w:hAnsi="Arial"/>
                <w:sz w:val="14"/>
                <w:szCs w:val="14"/>
                <w:b w:val="1"/>
                <w:bCs w:val="1"/>
                <w:color w:val="auto"/>
              </w:rPr>
              <w:t>SERP</w:t>
            </w:r>
          </w:p>
        </w:tc>
        <w:tc>
          <w:tcPr>
            <w:tcW w:w="900" w:type="dxa"/>
            <w:vAlign w:val="bottom"/>
            <w:tcBorders>
              <w:bottom w:val="single" w:sz="8" w:color="auto"/>
            </w:tcBorders>
          </w:tcPr>
          <w:p>
            <w:pPr>
              <w:spacing w:after="0"/>
              <w:rPr>
                <w:sz w:val="24"/>
                <w:szCs w:val="24"/>
                <w:color w:val="auto"/>
              </w:rPr>
            </w:pPr>
          </w:p>
        </w:tc>
      </w:tr>
      <w:tr>
        <w:trPr>
          <w:trHeight w:val="250"/>
        </w:trPr>
        <w:tc>
          <w:tcPr>
            <w:tcW w:w="9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2012</w:t>
            </w:r>
          </w:p>
        </w:tc>
      </w:tr>
      <w:tr>
        <w:trPr>
          <w:trHeight w:val="25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104,062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92,863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1,612</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1,467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4,148</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4,241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(gain) loss</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(9,180)</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8,428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 and other</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(4,101)</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(2,937)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(2,059)</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(3,313)</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6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91,169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104,062</w:t>
            </w:r>
          </w:p>
        </w:tc>
      </w:tr>
      <w:tr>
        <w:trPr>
          <w:trHeight w:val="26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Employer contributions and other</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4,101</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3,681</w:t>
            </w:r>
          </w:p>
        </w:tc>
      </w:tr>
      <w:tr>
        <w:trPr>
          <w:trHeight w:val="274"/>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(4,101)</w:t>
            </w:r>
          </w:p>
        </w:tc>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(3,681)</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(91,169)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(104,062)</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the Company’s pension plans at December 31, 2013 and 2012, was $1,091.1 million and $1,349.2</w:t>
      </w:r>
    </w:p>
    <w:p>
      <w:pPr>
        <w:spacing w:after="0" w:line="223" w:lineRule="auto"/>
        <w:rPr>
          <w:sz w:val="20"/>
          <w:szCs w:val="20"/>
          <w:color w:val="auto"/>
        </w:rPr>
      </w:pPr>
      <w:r>
        <w:rPr>
          <w:rFonts w:ascii="Arial" w:cs="Arial" w:eastAsia="Arial" w:hAnsi="Arial"/>
          <w:sz w:val="18"/>
          <w:szCs w:val="18"/>
          <w:color w:val="auto"/>
        </w:rPr>
        <w:t>million, respectively. The accumulated benefit obligation for the Company’s SERP at December 31, 2013 and 2012, was $89.3 million and</w:t>
      </w:r>
    </w:p>
    <w:p>
      <w:pPr>
        <w:spacing w:after="0" w:line="233" w:lineRule="auto"/>
        <w:rPr>
          <w:sz w:val="20"/>
          <w:szCs w:val="20"/>
          <w:color w:val="auto"/>
        </w:rPr>
      </w:pPr>
      <w:r>
        <w:rPr>
          <w:rFonts w:ascii="Arial" w:cs="Arial" w:eastAsia="Arial" w:hAnsi="Arial"/>
          <w:sz w:val="17"/>
          <w:szCs w:val="17"/>
          <w:color w:val="auto"/>
        </w:rPr>
        <w:t>$97.6 million, respectively. The amounts recognized in the Company’s Consolidated Balance Sheets for its defined benefit pension plans are as</w:t>
      </w:r>
    </w:p>
    <w:p>
      <w:pPr>
        <w:spacing w:after="0"/>
        <w:rPr>
          <w:sz w:val="20"/>
          <w:szCs w:val="20"/>
          <w:color w:val="auto"/>
        </w:rPr>
      </w:pPr>
      <w:r>
        <w:rPr>
          <w:rFonts w:ascii="Arial" w:cs="Arial" w:eastAsia="Arial" w:hAnsi="Arial"/>
          <w:sz w:val="18"/>
          <w:szCs w:val="18"/>
          <w:color w:val="auto"/>
        </w:rPr>
        <w:t>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2012</w:t>
            </w:r>
          </w:p>
        </w:tc>
      </w:tr>
      <w:tr>
        <w:trPr>
          <w:trHeight w:val="257"/>
        </w:trPr>
        <w:tc>
          <w:tcPr>
            <w:tcW w:w="6520" w:type="dxa"/>
            <w:vAlign w:val="bottom"/>
          </w:tcPr>
          <w:p>
            <w:pPr>
              <w:ind w:left="40"/>
              <w:spacing w:after="0"/>
              <w:rPr>
                <w:sz w:val="20"/>
                <w:szCs w:val="20"/>
                <w:color w:val="auto"/>
              </w:rPr>
            </w:pPr>
            <w:r>
              <w:rPr>
                <w:rFonts w:ascii="Arial" w:cs="Arial" w:eastAsia="Arial" w:hAnsi="Arial"/>
                <w:sz w:val="16"/>
                <w:szCs w:val="16"/>
                <w:color w:val="auto"/>
              </w:rPr>
              <w:t>Noncurrent asset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3"/>
              <w:spacing w:after="0"/>
              <w:rPr>
                <w:sz w:val="20"/>
                <w:szCs w:val="20"/>
                <w:color w:val="auto"/>
              </w:rPr>
            </w:pPr>
            <w:r>
              <w:rPr>
                <w:rFonts w:ascii="Arial" w:cs="Arial" w:eastAsia="Arial" w:hAnsi="Arial"/>
                <w:sz w:val="16"/>
                <w:szCs w:val="16"/>
                <w:b w:val="1"/>
                <w:bCs w:val="1"/>
                <w:color w:val="auto"/>
              </w:rPr>
              <w:t>1,245,505</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604,823</w:t>
            </w:r>
          </w:p>
        </w:tc>
        <w:tc>
          <w:tcPr>
            <w:tcW w:w="360" w:type="dxa"/>
            <w:vAlign w:val="bottom"/>
          </w:tcPr>
          <w:p>
            <w:pPr>
              <w:spacing w:after="0"/>
              <w:rPr>
                <w:sz w:val="22"/>
                <w:szCs w:val="22"/>
                <w:color w:val="auto"/>
              </w:rPr>
            </w:pPr>
          </w:p>
        </w:tc>
        <w:tc>
          <w:tcPr>
            <w:tcW w:w="92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Current liability</w:t>
            </w:r>
          </w:p>
        </w:tc>
        <w:tc>
          <w:tcPr>
            <w:tcW w:w="220" w:type="dxa"/>
            <w:vAlign w:val="bottom"/>
          </w:tcPr>
          <w:p>
            <w:pPr>
              <w:spacing w:after="0"/>
              <w:rPr>
                <w:sz w:val="23"/>
                <w:szCs w:val="23"/>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(4,251)</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(4,368)</w:t>
            </w:r>
          </w:p>
        </w:tc>
      </w:tr>
      <w:tr>
        <w:trPr>
          <w:trHeight w:val="274"/>
        </w:trPr>
        <w:tc>
          <w:tcPr>
            <w:tcW w:w="6520" w:type="dxa"/>
            <w:vAlign w:val="bottom"/>
          </w:tcPr>
          <w:p>
            <w:pPr>
              <w:ind w:left="40"/>
              <w:spacing w:after="0"/>
              <w:rPr>
                <w:sz w:val="20"/>
                <w:szCs w:val="20"/>
                <w:color w:val="auto"/>
              </w:rPr>
            </w:pPr>
            <w:r>
              <w:rPr>
                <w:rFonts w:ascii="Arial" w:cs="Arial" w:eastAsia="Arial" w:hAnsi="Arial"/>
                <w:sz w:val="16"/>
                <w:szCs w:val="16"/>
                <w:color w:val="auto"/>
              </w:rPr>
              <w:t>Noncurrent liability</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(86,918)</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(99,694)</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Recognized Asset (Liability)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1,245,505</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604,823</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(91,169)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(104,062)</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24" w:right="239" w:bottom="238" w:gutter="0" w:footer="0" w:header="0"/>
        </w:sectPr>
      </w:pPr>
    </w:p>
    <w:bookmarkStart w:id="86" w:name="page87"/>
    <w:bookmarkEnd w:id="86"/>
    <w:p>
      <w:pPr>
        <w:jc w:val="center"/>
        <w:ind w:right="-20"/>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9019"/>
          </w:cols>
          <w:pgMar w:left="1440" w:top="225" w:right="1440"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Key assumptions utilized for determining the benefit obligation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 Plans</w:t>
            </w:r>
          </w:p>
        </w:tc>
        <w:tc>
          <w:tcPr>
            <w:tcW w:w="10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103"/>
              <w:spacing w:after="0"/>
              <w:rPr>
                <w:sz w:val="20"/>
                <w:szCs w:val="20"/>
                <w:color w:val="auto"/>
              </w:rPr>
            </w:pPr>
            <w:r>
              <w:rPr>
                <w:rFonts w:ascii="Arial" w:cs="Arial" w:eastAsia="Arial" w:hAnsi="Arial"/>
                <w:sz w:val="14"/>
                <w:szCs w:val="14"/>
                <w:b w:val="1"/>
                <w:bCs w:val="1"/>
                <w:color w:val="auto"/>
              </w:rPr>
              <w:t>SERP</w:t>
            </w:r>
          </w:p>
        </w:tc>
      </w:tr>
      <w:tr>
        <w:trPr>
          <w:trHeight w:val="264"/>
        </w:trPr>
        <w:tc>
          <w:tcPr>
            <w:tcW w:w="5740" w:type="dxa"/>
            <w:vAlign w:val="bottom"/>
          </w:tcPr>
          <w:p>
            <w:pPr>
              <w:spacing w:after="0"/>
              <w:rPr>
                <w:sz w:val="22"/>
                <w:szCs w:val="22"/>
                <w:color w:val="auto"/>
              </w:rPr>
            </w:pPr>
          </w:p>
        </w:tc>
        <w:tc>
          <w:tcPr>
            <w:tcW w:w="2940" w:type="dxa"/>
            <w:vAlign w:val="bottom"/>
            <w:tcBorders>
              <w:bottom w:val="single" w:sz="8" w:color="auto"/>
            </w:tcBorders>
            <w:gridSpan w:val="2"/>
          </w:tcPr>
          <w:p>
            <w:pPr>
              <w:jc w:val="right"/>
              <w:ind w:right="822"/>
              <w:spacing w:after="0"/>
              <w:rPr>
                <w:sz w:val="20"/>
                <w:szCs w:val="20"/>
                <w:color w:val="auto"/>
              </w:rPr>
            </w:pPr>
            <w:r>
              <w:rPr>
                <w:rFonts w:ascii="Arial" w:cs="Arial" w:eastAsia="Arial" w:hAnsi="Arial"/>
                <w:sz w:val="14"/>
                <w:szCs w:val="14"/>
                <w:b w:val="1"/>
                <w:bCs w:val="1"/>
                <w:color w:val="auto"/>
              </w:rPr>
              <w:t>As of December 31</w:t>
            </w:r>
          </w:p>
        </w:tc>
        <w:tc>
          <w:tcPr>
            <w:tcW w:w="2740" w:type="dxa"/>
            <w:vAlign w:val="bottom"/>
            <w:tcBorders>
              <w:bottom w:val="single" w:sz="8" w:color="auto"/>
            </w:tcBorders>
            <w:gridSpan w:val="2"/>
          </w:tcPr>
          <w:p>
            <w:pPr>
              <w:jc w:val="right"/>
              <w:ind w:right="66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57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1024"/>
              <w:spacing w:after="0"/>
              <w:rPr>
                <w:sz w:val="20"/>
                <w:szCs w:val="20"/>
                <w:color w:val="auto"/>
              </w:rPr>
            </w:pPr>
            <w:r>
              <w:rPr>
                <w:rFonts w:ascii="Arial" w:cs="Arial" w:eastAsia="Arial" w:hAnsi="Arial"/>
                <w:sz w:val="14"/>
                <w:szCs w:val="14"/>
                <w:b w:val="1"/>
                <w:bCs w:val="1"/>
                <w:color w:val="auto"/>
              </w:rPr>
              <w:t>2013</w:t>
            </w:r>
          </w:p>
        </w:tc>
        <w:tc>
          <w:tcPr>
            <w:tcW w:w="102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2013</w:t>
            </w:r>
          </w:p>
        </w:tc>
        <w:tc>
          <w:tcPr>
            <w:tcW w:w="16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2012</w:t>
            </w:r>
          </w:p>
        </w:tc>
      </w:tr>
      <w:tr>
        <w:trPr>
          <w:trHeight w:val="257"/>
        </w:trPr>
        <w:tc>
          <w:tcPr>
            <w:tcW w:w="574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1920" w:type="dxa"/>
            <w:vAlign w:val="bottom"/>
          </w:tcPr>
          <w:p>
            <w:pPr>
              <w:jc w:val="right"/>
              <w:ind w:right="784"/>
              <w:spacing w:after="0"/>
              <w:rPr>
                <w:sz w:val="20"/>
                <w:szCs w:val="20"/>
                <w:color w:val="auto"/>
              </w:rPr>
            </w:pPr>
            <w:r>
              <w:rPr>
                <w:rFonts w:ascii="Arial" w:cs="Arial" w:eastAsia="Arial" w:hAnsi="Arial"/>
                <w:sz w:val="16"/>
                <w:szCs w:val="16"/>
                <w:b w:val="1"/>
                <w:bCs w:val="1"/>
                <w:color w:val="auto"/>
              </w:rPr>
              <w:t>4.8%</w:t>
            </w:r>
          </w:p>
        </w:tc>
        <w:tc>
          <w:tcPr>
            <w:tcW w:w="1020" w:type="dxa"/>
            <w:vAlign w:val="bottom"/>
          </w:tcPr>
          <w:p>
            <w:pPr>
              <w:jc w:val="right"/>
              <w:ind w:right="362"/>
              <w:spacing w:after="0"/>
              <w:rPr>
                <w:sz w:val="20"/>
                <w:szCs w:val="20"/>
                <w:color w:val="auto"/>
              </w:rPr>
            </w:pPr>
            <w:r>
              <w:rPr>
                <w:rFonts w:ascii="Arial" w:cs="Arial" w:eastAsia="Arial" w:hAnsi="Arial"/>
                <w:sz w:val="16"/>
                <w:szCs w:val="16"/>
                <w:color w:val="auto"/>
              </w:rPr>
              <w:t>4.0%</w:t>
            </w:r>
          </w:p>
        </w:tc>
        <w:tc>
          <w:tcPr>
            <w:tcW w:w="1080" w:type="dxa"/>
            <w:vAlign w:val="bottom"/>
          </w:tcPr>
          <w:p>
            <w:pPr>
              <w:jc w:val="right"/>
              <w:ind w:right="3"/>
              <w:spacing w:after="0"/>
              <w:rPr>
                <w:sz w:val="20"/>
                <w:szCs w:val="20"/>
                <w:color w:val="auto"/>
              </w:rPr>
            </w:pPr>
            <w:r>
              <w:rPr>
                <w:rFonts w:ascii="Arial" w:cs="Arial" w:eastAsia="Arial" w:hAnsi="Arial"/>
                <w:sz w:val="16"/>
                <w:szCs w:val="16"/>
                <w:b w:val="1"/>
                <w:bCs w:val="1"/>
                <w:color w:val="auto"/>
              </w:rPr>
              <w:t>4.8%</w:t>
            </w:r>
          </w:p>
        </w:tc>
        <w:tc>
          <w:tcPr>
            <w:tcW w:w="1660" w:type="dxa"/>
            <w:vAlign w:val="bottom"/>
          </w:tcPr>
          <w:p>
            <w:pPr>
              <w:jc w:val="right"/>
              <w:ind w:right="203"/>
              <w:spacing w:after="0"/>
              <w:rPr>
                <w:sz w:val="20"/>
                <w:szCs w:val="20"/>
                <w:color w:val="auto"/>
              </w:rPr>
            </w:pPr>
            <w:r>
              <w:rPr>
                <w:rFonts w:ascii="Arial" w:cs="Arial" w:eastAsia="Arial" w:hAnsi="Arial"/>
                <w:sz w:val="16"/>
                <w:szCs w:val="16"/>
                <w:color w:val="auto"/>
              </w:rPr>
              <w:t>4.0%</w:t>
            </w:r>
          </w:p>
        </w:tc>
      </w:tr>
      <w:tr>
        <w:trPr>
          <w:trHeight w:val="270"/>
        </w:trPr>
        <w:tc>
          <w:tcPr>
            <w:tcW w:w="5740" w:type="dxa"/>
            <w:vAlign w:val="bottom"/>
          </w:tcPr>
          <w:p>
            <w:pPr>
              <w:ind w:left="40"/>
              <w:spacing w:after="0"/>
              <w:rPr>
                <w:sz w:val="20"/>
                <w:szCs w:val="20"/>
                <w:color w:val="auto"/>
              </w:rPr>
            </w:pPr>
            <w:r>
              <w:rPr>
                <w:rFonts w:ascii="Arial" w:cs="Arial" w:eastAsia="Arial" w:hAnsi="Arial"/>
                <w:sz w:val="16"/>
                <w:szCs w:val="16"/>
                <w:color w:val="auto"/>
              </w:rPr>
              <w:t>Rate of compensation increase</w:t>
            </w:r>
          </w:p>
        </w:tc>
        <w:tc>
          <w:tcPr>
            <w:tcW w:w="1920" w:type="dxa"/>
            <w:vAlign w:val="bottom"/>
          </w:tcPr>
          <w:p>
            <w:pPr>
              <w:jc w:val="right"/>
              <w:ind w:right="784"/>
              <w:spacing w:after="0"/>
              <w:rPr>
                <w:sz w:val="20"/>
                <w:szCs w:val="20"/>
                <w:color w:val="auto"/>
              </w:rPr>
            </w:pPr>
            <w:r>
              <w:rPr>
                <w:rFonts w:ascii="Arial" w:cs="Arial" w:eastAsia="Arial" w:hAnsi="Arial"/>
                <w:sz w:val="16"/>
                <w:szCs w:val="16"/>
                <w:b w:val="1"/>
                <w:bCs w:val="1"/>
                <w:color w:val="auto"/>
              </w:rPr>
              <w:t>4.0%</w:t>
            </w:r>
          </w:p>
        </w:tc>
        <w:tc>
          <w:tcPr>
            <w:tcW w:w="1020" w:type="dxa"/>
            <w:vAlign w:val="bottom"/>
          </w:tcPr>
          <w:p>
            <w:pPr>
              <w:jc w:val="right"/>
              <w:ind w:right="362"/>
              <w:spacing w:after="0"/>
              <w:rPr>
                <w:sz w:val="20"/>
                <w:szCs w:val="20"/>
                <w:color w:val="auto"/>
              </w:rPr>
            </w:pPr>
            <w:r>
              <w:rPr>
                <w:rFonts w:ascii="Arial" w:cs="Arial" w:eastAsia="Arial" w:hAnsi="Arial"/>
                <w:sz w:val="16"/>
                <w:szCs w:val="16"/>
                <w:color w:val="auto"/>
              </w:rPr>
              <w:t>4.0%</w:t>
            </w:r>
          </w:p>
        </w:tc>
        <w:tc>
          <w:tcPr>
            <w:tcW w:w="1080" w:type="dxa"/>
            <w:vAlign w:val="bottom"/>
          </w:tcPr>
          <w:p>
            <w:pPr>
              <w:jc w:val="right"/>
              <w:ind w:right="3"/>
              <w:spacing w:after="0"/>
              <w:rPr>
                <w:sz w:val="20"/>
                <w:szCs w:val="20"/>
                <w:color w:val="auto"/>
              </w:rPr>
            </w:pPr>
            <w:r>
              <w:rPr>
                <w:rFonts w:ascii="Arial" w:cs="Arial" w:eastAsia="Arial" w:hAnsi="Arial"/>
                <w:sz w:val="16"/>
                <w:szCs w:val="16"/>
                <w:b w:val="1"/>
                <w:bCs w:val="1"/>
                <w:color w:val="auto"/>
              </w:rPr>
              <w:t>4.0%</w:t>
            </w:r>
          </w:p>
        </w:tc>
        <w:tc>
          <w:tcPr>
            <w:tcW w:w="1660" w:type="dxa"/>
            <w:vAlign w:val="bottom"/>
          </w:tcPr>
          <w:p>
            <w:pPr>
              <w:jc w:val="right"/>
              <w:ind w:right="203"/>
              <w:spacing w:after="0"/>
              <w:rPr>
                <w:sz w:val="20"/>
                <w:szCs w:val="20"/>
                <w:color w:val="auto"/>
              </w:rPr>
            </w:pPr>
            <w:r>
              <w:rPr>
                <w:rFonts w:ascii="Arial" w:cs="Arial" w:eastAsia="Arial" w:hAnsi="Arial"/>
                <w:sz w:val="16"/>
                <w:szCs w:val="16"/>
                <w:color w:val="auto"/>
              </w:rPr>
              <w:t>4.0%</w:t>
            </w:r>
          </w:p>
        </w:tc>
      </w:tr>
    </w:tbl>
    <w:p>
      <w:pPr>
        <w:spacing w:after="0" w:line="133"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Company made no contributions to its pension plans in 2013, 2012 and 2011, and the Company does not expect to make any contributions in 2014. The Company made contributions to its SERP of $4.1 million and $ 3.7 million for the years ended December 31, 2013 and 2012, respectively. As the plan is unfunded, the Company makes contributions to the SERP based on actual benefit payments.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future estimated benefit payments, excluding charges for early retirement programs,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5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SERP</w:t>
            </w:r>
          </w:p>
        </w:tc>
      </w:tr>
      <w:tr>
        <w:trPr>
          <w:trHeight w:val="249"/>
        </w:trPr>
        <w:tc>
          <w:tcPr>
            <w:tcW w:w="5000" w:type="dxa"/>
            <w:vAlign w:val="bottom"/>
          </w:tcPr>
          <w:p>
            <w:pPr>
              <w:ind w:left="40"/>
              <w:spacing w:after="0"/>
              <w:rPr>
                <w:sz w:val="20"/>
                <w:szCs w:val="20"/>
                <w:color w:val="auto"/>
              </w:rPr>
            </w:pPr>
            <w:r>
              <w:rPr>
                <w:rFonts w:ascii="Arial" w:cs="Arial" w:eastAsia="Arial" w:hAnsi="Arial"/>
                <w:sz w:val="16"/>
                <w:szCs w:val="16"/>
                <w:color w:val="auto"/>
              </w:rPr>
              <w:t>2014</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79,012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5,010</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2015</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76,105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5,098</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2016</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74,913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5,426</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2017</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74,794</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5,592</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2018</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75,357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5,879</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2019-2023</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385,612</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31,610</w:t>
            </w: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887" w:right="239" w:bottom="1440" w:gutter="0" w:footer="0" w:header="0"/>
        </w:sectPr>
      </w:pPr>
    </w:p>
    <w:bookmarkStart w:id="88" w:name="page89"/>
    <w:bookmarkEnd w:id="88"/>
    <w:p>
      <w:pPr>
        <w:ind w:right="360"/>
        <w:spacing w:after="0" w:line="260" w:lineRule="auto"/>
        <w:rPr>
          <w:sz w:val="20"/>
          <w:szCs w:val="20"/>
          <w:color w:val="auto"/>
        </w:rPr>
      </w:pPr>
      <w:r>
        <w:rPr>
          <w:rFonts w:ascii="Arial" w:cs="Arial" w:eastAsia="Arial" w:hAnsi="Arial"/>
          <w:sz w:val="18"/>
          <w:szCs w:val="18"/>
          <w:color w:val="auto"/>
        </w:rPr>
        <w:t>The total cost (benefit) arising from the Company’s defined benefit pension plans, including the portion included in discontinued operations, consists of the following components:</w:t>
      </w:r>
    </w:p>
    <w:p>
      <w:pPr>
        <w:spacing w:after="0" w:line="167"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27305</wp:posOffset>
            </wp:positionV>
            <wp:extent cx="2315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9"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27305</wp:posOffset>
            </wp:positionV>
            <wp:extent cx="2315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2012</w:t>
            </w:r>
          </w:p>
        </w:tc>
        <w:tc>
          <w:tcPr>
            <w:tcW w:w="1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2011</w:t>
            </w:r>
          </w:p>
        </w:tc>
      </w:tr>
    </w:tbl>
    <w:p>
      <w:pPr>
        <w:spacing w:after="0" w:line="34" w:lineRule="exact"/>
        <w:rPr>
          <w:sz w:val="20"/>
          <w:szCs w:val="20"/>
          <w:color w:val="auto"/>
        </w:rPr>
      </w:pPr>
    </w:p>
    <w:p>
      <w:pPr>
        <w:sectPr>
          <w:pgSz w:w="11900" w:h="16838" w:orient="portrait"/>
          <w:cols w:equalWidth="0" w:num="1">
            <w:col w:w="11420"/>
          </w:cols>
          <w:pgMar w:left="240" w:top="724" w:right="239" w:bottom="0" w:gutter="0" w:footer="0" w:header="0"/>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return on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loss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Periodic Cost (Benefit) for the Year</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Early retirement programs and special separation benefit expense</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Cost (Benefit) for the Year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Changes in Plan Assets and Benefit Obligations Recognized in Other Comprehensive Income</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(gain)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Cost (Benefit)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46,115</w:t>
            </w:r>
          </w:p>
        </w:tc>
        <w:tc>
          <w:tcPr>
            <w:tcW w:w="36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40,344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27,619</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55,821</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59,124</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60,033</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(105,574)</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(96,132)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(95,983)</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2,809</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3,695</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3,605</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2,756</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9,013</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60" w:type="dxa"/>
            <w:vAlign w:val="bottom"/>
          </w:tcPr>
          <w:p>
            <w:pPr>
              <w:spacing w:after="0"/>
              <w:rPr>
                <w:sz w:val="22"/>
                <w:szCs w:val="22"/>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1,927</w:t>
            </w:r>
          </w:p>
        </w:tc>
        <w:tc>
          <w:tcPr>
            <w:tcW w:w="36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16,044</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(4,726)</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(43,930)</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39,995</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22,700</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8,508</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634</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20,692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24,552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(4,092)</w:t>
            </w:r>
          </w:p>
        </w:tc>
      </w:tr>
      <w:tr>
        <w:trPr>
          <w:trHeight w:val="530"/>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(750,328)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(79,405)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7,046</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(2,809)</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(3,695)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(1,463)</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(2,756)</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(9,013)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94,520</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(661,373)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(92,113)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5,583</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(640,681)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(67,561)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00" w:space="80"/>
            <w:col w:w="3640"/>
          </w:cols>
          <w:pgMar w:left="240" w:top="724" w:right="239" w:bottom="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9"/>
              </w:rPr>
              <w:t>SERP</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50"/>
        </w:trPr>
        <w:tc>
          <w:tcPr>
            <w:tcW w:w="7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left="541"/>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2011</w:t>
            </w: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1,612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1,467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1,655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4,148</w:t>
            </w:r>
          </w:p>
        </w:tc>
        <w:tc>
          <w:tcPr>
            <w:tcW w:w="30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4,241</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4,342</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Plan amendment</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369</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55</w:t>
            </w:r>
          </w:p>
        </w:tc>
        <w:tc>
          <w:tcPr>
            <w:tcW w:w="300" w:type="dxa"/>
            <w:vAlign w:val="bottom"/>
          </w:tcPr>
          <w:p>
            <w:pPr>
              <w:spacing w:after="0"/>
              <w:rPr>
                <w:sz w:val="23"/>
                <w:szCs w:val="23"/>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54</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260</w:t>
            </w: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Recognized actuarial loss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2,481</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1,833</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1,411</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Periodic Cost for the Year</w:t>
            </w:r>
          </w:p>
        </w:tc>
        <w:tc>
          <w:tcPr>
            <w:tcW w:w="260" w:type="dxa"/>
            <w:vAlign w:val="bottom"/>
          </w:tcPr>
          <w:p>
            <w:pPr>
              <w:spacing w:after="0"/>
              <w:rPr>
                <w:sz w:val="22"/>
                <w:szCs w:val="22"/>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8,296</w:t>
            </w:r>
          </w:p>
        </w:tc>
        <w:tc>
          <w:tcPr>
            <w:tcW w:w="300" w:type="dxa"/>
            <w:vAlign w:val="bottom"/>
          </w:tcPr>
          <w:p>
            <w:pPr>
              <w:spacing w:after="0"/>
              <w:rPr>
                <w:sz w:val="22"/>
                <w:szCs w:val="22"/>
                <w:color w:val="auto"/>
              </w:rPr>
            </w:pPr>
          </w:p>
        </w:tc>
        <w:tc>
          <w:tcPr>
            <w:tcW w:w="920" w:type="dxa"/>
            <w:vAlign w:val="bottom"/>
          </w:tcPr>
          <w:p>
            <w:pPr>
              <w:jc w:val="right"/>
              <w:ind w:right="61"/>
              <w:spacing w:after="0"/>
              <w:rPr>
                <w:sz w:val="20"/>
                <w:szCs w:val="20"/>
                <w:color w:val="auto"/>
              </w:rPr>
            </w:pPr>
            <w:r>
              <w:rPr>
                <w:rFonts w:ascii="Arial" w:cs="Arial" w:eastAsia="Arial" w:hAnsi="Arial"/>
                <w:sz w:val="16"/>
                <w:szCs w:val="16"/>
                <w:color w:val="auto"/>
              </w:rPr>
              <w:t>7,595</w:t>
            </w:r>
          </w:p>
        </w:tc>
        <w:tc>
          <w:tcPr>
            <w:tcW w:w="38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8,037</w:t>
            </w: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(2,575)</w:t>
            </w:r>
          </w:p>
        </w:tc>
        <w:tc>
          <w:tcPr>
            <w:tcW w:w="3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Cost for the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5,721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7,595</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8,037</w:t>
            </w:r>
          </w:p>
        </w:tc>
      </w:tr>
      <w:tr>
        <w:trPr>
          <w:trHeight w:val="26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41" w:lineRule="exact"/>
        <w:rPr>
          <w:sz w:val="20"/>
          <w:szCs w:val="20"/>
          <w:color w:val="auto"/>
        </w:rPr>
      </w:pPr>
    </w:p>
    <w:p>
      <w:pPr>
        <w:sectPr>
          <w:pgSz w:w="11900" w:h="16838" w:orient="portrait"/>
          <w:cols w:equalWidth="0" w:num="1">
            <w:col w:w="11420"/>
          </w:cols>
          <w:pgMar w:left="240" w:top="724" w:right="239" w:bottom="0" w:gutter="0" w:footer="0" w:header="0"/>
          <w:type w:val="continuous"/>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(gain)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adjustments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Cost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(9,180)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8,428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9,059</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(55)</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(2,481)</w:t>
            </w:r>
          </w:p>
        </w:tc>
        <w:tc>
          <w:tcPr>
            <w:tcW w:w="3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(1,833)</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(1,411)</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(2,798)</w:t>
            </w:r>
          </w:p>
        </w:tc>
        <w:tc>
          <w:tcPr>
            <w:tcW w:w="3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3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745</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(14,514)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7,286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7,388</w:t>
            </w:r>
          </w:p>
        </w:tc>
      </w:tr>
      <w:tr>
        <w:trPr>
          <w:trHeight w:val="264"/>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(8,793)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14,881</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15,425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ectPr>
          <w:pgSz w:w="11900" w:h="16838" w:orient="portrait"/>
          <w:cols w:equalWidth="0" w:num="2">
            <w:col w:w="7060" w:space="720"/>
            <w:col w:w="3640"/>
          </w:cols>
          <w:pgMar w:left="240" w:top="724" w:right="239" w:bottom="0" w:gutter="0" w:footer="0" w:header="0"/>
          <w:type w:val="continuous"/>
        </w:sectPr>
      </w:pPr>
    </w:p>
    <w:p>
      <w:pPr>
        <w:ind w:right="260"/>
        <w:spacing w:after="0" w:line="229" w:lineRule="auto"/>
        <w:rPr>
          <w:sz w:val="20"/>
          <w:szCs w:val="20"/>
          <w:color w:val="auto"/>
        </w:rPr>
      </w:pPr>
      <w:r>
        <w:rPr>
          <w:rFonts w:ascii="Arial" w:cs="Arial" w:eastAsia="Arial" w:hAnsi="Arial"/>
          <w:sz w:val="18"/>
          <w:szCs w:val="18"/>
          <w:color w:val="auto"/>
        </w:rPr>
        <w:t>The net periodic cost (benefit) for the Company’s pension plans, as reported above, includes pension cost of $19.5 million, $24.7 million and $18.7 million reported in discontinued operations for 2013, 2012 and 2011, respectively. The net periodic cost for the Company's SERP, as reported above, includes cost of $0.6 million, $0.6 million and $0.8 million reported in discontinued operations for 2013, 2012 and 2011, respectively. The early retirement programs and special separation benefit expenses are also included in discontinued operations for 2013, 2012 and 2011. The curtailments and settlements are included in the gain on sale of Publishing Subsidiaries, which is also reported in discontinued operations.</w:t>
      </w:r>
    </w:p>
    <w:p>
      <w:pPr>
        <w:spacing w:after="0" w:line="112"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The costs for the Company’s defined benefit pension plans are actuarially determined. Below are the key assumptions utilized to determine periodic cost: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Pension Plans</w:t>
            </w:r>
          </w:p>
        </w:tc>
        <w:tc>
          <w:tcPr>
            <w:tcW w:w="8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343"/>
              <w:spacing w:after="0"/>
              <w:rPr>
                <w:sz w:val="20"/>
                <w:szCs w:val="20"/>
                <w:color w:val="auto"/>
              </w:rPr>
            </w:pPr>
            <w:r>
              <w:rPr>
                <w:rFonts w:ascii="Arial" w:cs="Arial" w:eastAsia="Arial" w:hAnsi="Arial"/>
                <w:sz w:val="14"/>
                <w:szCs w:val="14"/>
                <w:b w:val="1"/>
                <w:bCs w:val="1"/>
                <w:color w:val="auto"/>
              </w:rPr>
              <w:t>SERP</w:t>
            </w:r>
          </w:p>
        </w:tc>
        <w:tc>
          <w:tcPr>
            <w:tcW w:w="720" w:type="dxa"/>
            <w:vAlign w:val="bottom"/>
            <w:tcBorders>
              <w:bottom w:val="single" w:sz="8" w:color="auto"/>
            </w:tcBorders>
          </w:tcPr>
          <w:p>
            <w:pPr>
              <w:spacing w:after="0"/>
              <w:rPr>
                <w:sz w:val="17"/>
                <w:szCs w:val="17"/>
                <w:color w:val="auto"/>
              </w:rPr>
            </w:pPr>
          </w:p>
        </w:tc>
      </w:tr>
      <w:tr>
        <w:trPr>
          <w:trHeight w:val="264"/>
        </w:trPr>
        <w:tc>
          <w:tcPr>
            <w:tcW w:w="4720" w:type="dxa"/>
            <w:vAlign w:val="bottom"/>
          </w:tcPr>
          <w:p>
            <w:pPr>
              <w:spacing w:after="0"/>
              <w:rPr>
                <w:sz w:val="22"/>
                <w:szCs w:val="22"/>
                <w:color w:val="auto"/>
              </w:rPr>
            </w:pPr>
          </w:p>
        </w:tc>
        <w:tc>
          <w:tcPr>
            <w:tcW w:w="2580" w:type="dxa"/>
            <w:vAlign w:val="bottom"/>
            <w:tcBorders>
              <w:bottom w:val="single" w:sz="8" w:color="auto"/>
            </w:tcBorders>
            <w:gridSpan w:val="2"/>
          </w:tcPr>
          <w:p>
            <w:pPr>
              <w:jc w:val="center"/>
              <w:ind w:left="663"/>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2"/>
          </w:tcPr>
          <w:p>
            <w:pPr>
              <w:jc w:val="center"/>
              <w:ind w:left="623"/>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2"/>
                <w:szCs w:val="22"/>
                <w:color w:val="auto"/>
              </w:rPr>
            </w:pPr>
          </w:p>
        </w:tc>
      </w:tr>
      <w:tr>
        <w:trPr>
          <w:trHeight w:val="264"/>
        </w:trPr>
        <w:tc>
          <w:tcPr>
            <w:tcW w:w="47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2013</w:t>
            </w:r>
          </w:p>
        </w:tc>
        <w:tc>
          <w:tcPr>
            <w:tcW w:w="1560" w:type="dxa"/>
            <w:vAlign w:val="bottom"/>
            <w:tcBorders>
              <w:bottom w:val="single" w:sz="8" w:color="auto"/>
            </w:tcBorders>
          </w:tcPr>
          <w:p>
            <w:pPr>
              <w:jc w:val="center"/>
              <w:ind w:right="243"/>
              <w:spacing w:after="0"/>
              <w:rPr>
                <w:sz w:val="20"/>
                <w:szCs w:val="20"/>
                <w:color w:val="auto"/>
              </w:rPr>
            </w:pPr>
            <w:r>
              <w:rPr>
                <w:rFonts w:ascii="Arial" w:cs="Arial" w:eastAsia="Arial" w:hAnsi="Arial"/>
                <w:sz w:val="14"/>
                <w:szCs w:val="14"/>
                <w:color w:val="auto"/>
              </w:rPr>
              <w:t>2012</w:t>
            </w:r>
          </w:p>
        </w:tc>
        <w:tc>
          <w:tcPr>
            <w:tcW w:w="8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2011</w:t>
            </w: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2013</w:t>
            </w:r>
          </w:p>
        </w:tc>
        <w:tc>
          <w:tcPr>
            <w:tcW w:w="1420" w:type="dxa"/>
            <w:vAlign w:val="bottom"/>
            <w:tcBorders>
              <w:bottom w:val="single" w:sz="8" w:color="auto"/>
            </w:tcBorders>
          </w:tcPr>
          <w:p>
            <w:pPr>
              <w:jc w:val="center"/>
              <w:ind w:right="343"/>
              <w:spacing w:after="0"/>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2011</w:t>
            </w:r>
          </w:p>
        </w:tc>
      </w:tr>
      <w:tr>
        <w:trPr>
          <w:trHeight w:val="257"/>
        </w:trPr>
        <w:tc>
          <w:tcPr>
            <w:tcW w:w="472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4.0%</w:t>
            </w:r>
          </w:p>
        </w:tc>
        <w:tc>
          <w:tcPr>
            <w:tcW w:w="1560" w:type="dxa"/>
            <w:vAlign w:val="bottom"/>
          </w:tcPr>
          <w:p>
            <w:pPr>
              <w:jc w:val="right"/>
              <w:ind w:right="503"/>
              <w:spacing w:after="0"/>
              <w:rPr>
                <w:sz w:val="20"/>
                <w:szCs w:val="20"/>
                <w:color w:val="auto"/>
              </w:rPr>
            </w:pPr>
            <w:r>
              <w:rPr>
                <w:rFonts w:ascii="Arial" w:cs="Arial" w:eastAsia="Arial" w:hAnsi="Arial"/>
                <w:sz w:val="16"/>
                <w:szCs w:val="16"/>
                <w:color w:val="auto"/>
              </w:rPr>
              <w:t>4.7%</w:t>
            </w:r>
          </w:p>
        </w:tc>
        <w:tc>
          <w:tcPr>
            <w:tcW w:w="860" w:type="dxa"/>
            <w:vAlign w:val="bottom"/>
          </w:tcPr>
          <w:p>
            <w:pPr>
              <w:jc w:val="right"/>
              <w:ind w:right="221"/>
              <w:spacing w:after="0"/>
              <w:rPr>
                <w:sz w:val="20"/>
                <w:szCs w:val="20"/>
                <w:color w:val="auto"/>
              </w:rPr>
            </w:pPr>
            <w:r>
              <w:rPr>
                <w:rFonts w:ascii="Arial" w:cs="Arial" w:eastAsia="Arial" w:hAnsi="Arial"/>
                <w:sz w:val="16"/>
                <w:szCs w:val="16"/>
                <w:color w:val="auto"/>
              </w:rPr>
              <w:t>5.6%</w:t>
            </w:r>
          </w:p>
        </w:tc>
        <w:tc>
          <w:tcPr>
            <w:tcW w:w="1120" w:type="dxa"/>
            <w:vAlign w:val="bottom"/>
          </w:tcPr>
          <w:p>
            <w:pPr>
              <w:jc w:val="right"/>
              <w:ind w:right="223"/>
              <w:spacing w:after="0"/>
              <w:rPr>
                <w:sz w:val="20"/>
                <w:szCs w:val="20"/>
                <w:color w:val="auto"/>
              </w:rPr>
            </w:pPr>
            <w:r>
              <w:rPr>
                <w:rFonts w:ascii="Arial" w:cs="Arial" w:eastAsia="Arial" w:hAnsi="Arial"/>
                <w:sz w:val="16"/>
                <w:szCs w:val="16"/>
                <w:b w:val="1"/>
                <w:bCs w:val="1"/>
                <w:color w:val="auto"/>
              </w:rPr>
              <w:t>4.0%</w:t>
            </w:r>
          </w:p>
        </w:tc>
        <w:tc>
          <w:tcPr>
            <w:tcW w:w="1420" w:type="dxa"/>
            <w:vAlign w:val="bottom"/>
          </w:tcPr>
          <w:p>
            <w:pPr>
              <w:jc w:val="right"/>
              <w:ind w:right="503"/>
              <w:spacing w:after="0"/>
              <w:rPr>
                <w:sz w:val="20"/>
                <w:szCs w:val="20"/>
                <w:color w:val="auto"/>
              </w:rPr>
            </w:pPr>
            <w:r>
              <w:rPr>
                <w:rFonts w:ascii="Arial" w:cs="Arial" w:eastAsia="Arial" w:hAnsi="Arial"/>
                <w:sz w:val="16"/>
                <w:szCs w:val="16"/>
                <w:color w:val="auto"/>
              </w:rPr>
              <w:t>4.7%</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5.6%</w:t>
            </w:r>
          </w:p>
        </w:tc>
      </w:tr>
      <w:tr>
        <w:trPr>
          <w:trHeight w:val="270"/>
        </w:trPr>
        <w:tc>
          <w:tcPr>
            <w:tcW w:w="472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6.5%</w:t>
            </w:r>
          </w:p>
        </w:tc>
        <w:tc>
          <w:tcPr>
            <w:tcW w:w="1560" w:type="dxa"/>
            <w:vAlign w:val="bottom"/>
          </w:tcPr>
          <w:p>
            <w:pPr>
              <w:jc w:val="right"/>
              <w:ind w:right="503"/>
              <w:spacing w:after="0"/>
              <w:rPr>
                <w:sz w:val="20"/>
                <w:szCs w:val="20"/>
                <w:color w:val="auto"/>
              </w:rPr>
            </w:pPr>
            <w:r>
              <w:rPr>
                <w:rFonts w:ascii="Arial" w:cs="Arial" w:eastAsia="Arial" w:hAnsi="Arial"/>
                <w:sz w:val="16"/>
                <w:szCs w:val="16"/>
                <w:color w:val="auto"/>
              </w:rPr>
              <w:t>6.5%</w:t>
            </w:r>
          </w:p>
        </w:tc>
        <w:tc>
          <w:tcPr>
            <w:tcW w:w="860" w:type="dxa"/>
            <w:vAlign w:val="bottom"/>
          </w:tcPr>
          <w:p>
            <w:pPr>
              <w:jc w:val="right"/>
              <w:ind w:right="221"/>
              <w:spacing w:after="0"/>
              <w:rPr>
                <w:sz w:val="20"/>
                <w:szCs w:val="20"/>
                <w:color w:val="auto"/>
              </w:rPr>
            </w:pPr>
            <w:r>
              <w:rPr>
                <w:rFonts w:ascii="Arial" w:cs="Arial" w:eastAsia="Arial" w:hAnsi="Arial"/>
                <w:sz w:val="16"/>
                <w:szCs w:val="16"/>
                <w:color w:val="auto"/>
              </w:rPr>
              <w:t>6.5%</w:t>
            </w:r>
          </w:p>
        </w:tc>
        <w:tc>
          <w:tcPr>
            <w:tcW w:w="1120" w:type="dxa"/>
            <w:vAlign w:val="bottom"/>
          </w:tcPr>
          <w:p>
            <w:pPr>
              <w:jc w:val="right"/>
              <w:ind w:right="363"/>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41"/>
              <w:spacing w:after="0"/>
              <w:rPr>
                <w:sz w:val="20"/>
                <w:szCs w:val="20"/>
                <w:color w:val="auto"/>
              </w:rPr>
            </w:pPr>
            <w:r>
              <w:rPr>
                <w:rFonts w:ascii="Arial" w:cs="Arial" w:eastAsia="Arial" w:hAnsi="Arial"/>
                <w:sz w:val="16"/>
                <w:szCs w:val="16"/>
                <w:color w:val="auto"/>
              </w:rPr>
              <w:t>—</w:t>
            </w:r>
          </w:p>
        </w:tc>
      </w:tr>
      <w:tr>
        <w:trPr>
          <w:trHeight w:val="270"/>
        </w:trPr>
        <w:tc>
          <w:tcPr>
            <w:tcW w:w="4720" w:type="dxa"/>
            <w:vAlign w:val="bottom"/>
          </w:tcPr>
          <w:p>
            <w:pPr>
              <w:ind w:left="40"/>
              <w:spacing w:after="0"/>
              <w:rPr>
                <w:sz w:val="20"/>
                <w:szCs w:val="20"/>
                <w:color w:val="auto"/>
              </w:rPr>
            </w:pPr>
            <w:r>
              <w:rPr>
                <w:rFonts w:ascii="Arial" w:cs="Arial" w:eastAsia="Arial" w:hAnsi="Arial"/>
                <w:sz w:val="16"/>
                <w:szCs w:val="16"/>
                <w:color w:val="auto"/>
              </w:rPr>
              <w:t>Rate of compensation increase</w:t>
            </w: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4.0%</w:t>
            </w:r>
          </w:p>
        </w:tc>
        <w:tc>
          <w:tcPr>
            <w:tcW w:w="1560" w:type="dxa"/>
            <w:vAlign w:val="bottom"/>
          </w:tcPr>
          <w:p>
            <w:pPr>
              <w:jc w:val="right"/>
              <w:ind w:right="503"/>
              <w:spacing w:after="0"/>
              <w:rPr>
                <w:sz w:val="20"/>
                <w:szCs w:val="20"/>
                <w:color w:val="auto"/>
              </w:rPr>
            </w:pPr>
            <w:r>
              <w:rPr>
                <w:rFonts w:ascii="Arial" w:cs="Arial" w:eastAsia="Arial" w:hAnsi="Arial"/>
                <w:sz w:val="16"/>
                <w:szCs w:val="16"/>
                <w:color w:val="auto"/>
              </w:rPr>
              <w:t>4.0%</w:t>
            </w:r>
          </w:p>
        </w:tc>
        <w:tc>
          <w:tcPr>
            <w:tcW w:w="860" w:type="dxa"/>
            <w:vAlign w:val="bottom"/>
          </w:tcPr>
          <w:p>
            <w:pPr>
              <w:jc w:val="right"/>
              <w:ind w:right="221"/>
              <w:spacing w:after="0"/>
              <w:rPr>
                <w:sz w:val="20"/>
                <w:szCs w:val="20"/>
                <w:color w:val="auto"/>
              </w:rPr>
            </w:pPr>
            <w:r>
              <w:rPr>
                <w:rFonts w:ascii="Arial" w:cs="Arial" w:eastAsia="Arial" w:hAnsi="Arial"/>
                <w:sz w:val="16"/>
                <w:szCs w:val="16"/>
                <w:color w:val="auto"/>
              </w:rPr>
              <w:t>4.0%</w:t>
            </w:r>
          </w:p>
        </w:tc>
        <w:tc>
          <w:tcPr>
            <w:tcW w:w="1120" w:type="dxa"/>
            <w:vAlign w:val="bottom"/>
          </w:tcPr>
          <w:p>
            <w:pPr>
              <w:jc w:val="right"/>
              <w:ind w:right="223"/>
              <w:spacing w:after="0"/>
              <w:rPr>
                <w:sz w:val="20"/>
                <w:szCs w:val="20"/>
                <w:color w:val="auto"/>
              </w:rPr>
            </w:pPr>
            <w:r>
              <w:rPr>
                <w:rFonts w:ascii="Arial" w:cs="Arial" w:eastAsia="Arial" w:hAnsi="Arial"/>
                <w:sz w:val="16"/>
                <w:szCs w:val="16"/>
                <w:b w:val="1"/>
                <w:bCs w:val="1"/>
                <w:color w:val="auto"/>
              </w:rPr>
              <w:t>4.0%</w:t>
            </w:r>
          </w:p>
        </w:tc>
        <w:tc>
          <w:tcPr>
            <w:tcW w:w="1420" w:type="dxa"/>
            <w:vAlign w:val="bottom"/>
          </w:tcPr>
          <w:p>
            <w:pPr>
              <w:jc w:val="right"/>
              <w:ind w:right="503"/>
              <w:spacing w:after="0"/>
              <w:rPr>
                <w:sz w:val="20"/>
                <w:szCs w:val="20"/>
                <w:color w:val="auto"/>
              </w:rPr>
            </w:pPr>
            <w:r>
              <w:rPr>
                <w:rFonts w:ascii="Arial" w:cs="Arial" w:eastAsia="Arial" w:hAnsi="Arial"/>
                <w:sz w:val="16"/>
                <w:szCs w:val="16"/>
                <w:color w:val="auto"/>
              </w:rPr>
              <w:t>4.0%</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4.0%</w:t>
            </w:r>
          </w:p>
        </w:tc>
      </w:tr>
    </w:tbl>
    <w:p>
      <w:pPr>
        <w:spacing w:after="0" w:line="200" w:lineRule="exact"/>
        <w:rPr>
          <w:sz w:val="20"/>
          <w:szCs w:val="20"/>
          <w:color w:val="auto"/>
        </w:rPr>
      </w:pPr>
    </w:p>
    <w:p>
      <w:pPr>
        <w:sectPr>
          <w:pgSz w:w="11900" w:h="16838" w:orient="portrait"/>
          <w:cols w:equalWidth="0" w:num="1">
            <w:col w:w="11420"/>
          </w:cols>
          <w:pgMar w:left="240" w:top="724" w:right="239" w:bottom="0" w:gutter="0" w:footer="0" w:header="0"/>
          <w:type w:val="continuous"/>
        </w:sect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724" w:right="239" w:bottom="0" w:gutter="0" w:footer="0" w:header="0"/>
          <w:type w:val="continuous"/>
        </w:sectPr>
      </w:pPr>
    </w:p>
    <w:bookmarkStart w:id="89" w:name="page90"/>
    <w:bookmarkEnd w:id="89"/>
    <w:p>
      <w:pPr>
        <w:ind w:right="120"/>
        <w:spacing w:after="0" w:line="260" w:lineRule="auto"/>
        <w:rPr>
          <w:sz w:val="20"/>
          <w:szCs w:val="20"/>
          <w:color w:val="auto"/>
        </w:rPr>
      </w:pPr>
      <w:r>
        <w:rPr>
          <w:rFonts w:ascii="Arial" w:cs="Arial" w:eastAsia="Arial" w:hAnsi="Arial"/>
          <w:sz w:val="18"/>
          <w:szCs w:val="18"/>
          <w:color w:val="auto"/>
        </w:rPr>
        <w:t>Accumulated other comprehensive income (AOCI) includes the following components of unrecognized net periodic cost for the defined benefit plans: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2012</w:t>
            </w:r>
          </w:p>
        </w:tc>
      </w:tr>
      <w:tr>
        <w:trPr>
          <w:trHeight w:val="257"/>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actuarial (gain)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(840,273)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(193,469)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19,266</w:t>
            </w:r>
          </w:p>
        </w:tc>
        <w:tc>
          <w:tcPr>
            <w:tcW w:w="34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33,725</w:t>
            </w:r>
          </w:p>
        </w:tc>
      </w:tr>
      <w:tr>
        <w:trPr>
          <w:trHeight w:val="274"/>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prior service cost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1,362</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15,931</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136</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191</w:t>
            </w: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6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(838,911)</w:t>
            </w:r>
          </w:p>
        </w:tc>
        <w:tc>
          <w:tcPr>
            <w:tcW w:w="3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(177,538)</w:t>
            </w:r>
          </w:p>
        </w:tc>
        <w:tc>
          <w:tcPr>
            <w:tcW w:w="320" w:type="dxa"/>
            <w:vAlign w:val="bottom"/>
          </w:tcPr>
          <w:p>
            <w:pPr>
              <w:spacing w:after="0"/>
              <w:rPr>
                <w:sz w:val="22"/>
                <w:szCs w:val="22"/>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19,402</w:t>
            </w:r>
          </w:p>
        </w:tc>
        <w:tc>
          <w:tcPr>
            <w:tcW w:w="34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33,916</w:t>
            </w:r>
          </w:p>
        </w:tc>
      </w:tr>
      <w:tr>
        <w:trPr>
          <w:trHeight w:val="274"/>
        </w:trPr>
        <w:tc>
          <w:tcPr>
            <w:tcW w:w="6520" w:type="dxa"/>
            <w:vAlign w:val="bottom"/>
          </w:tcPr>
          <w:p>
            <w:pPr>
              <w:ind w:left="40"/>
              <w:spacing w:after="0"/>
              <w:rPr>
                <w:sz w:val="20"/>
                <w:szCs w:val="20"/>
                <w:color w:val="auto"/>
              </w:rPr>
            </w:pPr>
            <w:r>
              <w:rPr>
                <w:rFonts w:ascii="Arial" w:cs="Arial" w:eastAsia="Arial" w:hAnsi="Arial"/>
                <w:sz w:val="16"/>
                <w:szCs w:val="16"/>
                <w:color w:val="auto"/>
              </w:rPr>
              <w:t>Deferred tax liability (asset)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335,564</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71,015</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(7,761)</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(13,566)</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(503,347)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(106,523)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11,641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20,350</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2014, the Company expects to recognize the following amortization components of net periodic cost for the defined benefit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color w:val="auto"/>
              </w:rPr>
              <w:t>2014</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Pension Plans</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SERP</w:t>
            </w:r>
          </w:p>
        </w:tc>
      </w:tr>
      <w:tr>
        <w:trPr>
          <w:trHeight w:val="252"/>
        </w:trPr>
        <w:tc>
          <w:tcPr>
            <w:tcW w:w="9020" w:type="dxa"/>
            <w:vAlign w:val="bottom"/>
          </w:tcPr>
          <w:p>
            <w:pPr>
              <w:ind w:left="40"/>
              <w:spacing w:after="0"/>
              <w:rPr>
                <w:sz w:val="20"/>
                <w:szCs w:val="20"/>
                <w:color w:val="auto"/>
              </w:rPr>
            </w:pPr>
            <w:r>
              <w:rPr>
                <w:rFonts w:ascii="Arial" w:cs="Arial" w:eastAsia="Arial" w:hAnsi="Arial"/>
                <w:sz w:val="16"/>
                <w:szCs w:val="16"/>
                <w:color w:val="auto"/>
              </w:rPr>
              <w:t>Actuarial (gain) loss recognition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(28,154)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1,313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Prior service cost recognition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3"/>
              <w:spacing w:after="0"/>
              <w:rPr>
                <w:sz w:val="20"/>
                <w:szCs w:val="20"/>
                <w:color w:val="auto"/>
              </w:rPr>
            </w:pPr>
            <w:r>
              <w:rPr>
                <w:rFonts w:ascii="Arial" w:cs="Arial" w:eastAsia="Arial" w:hAnsi="Arial"/>
                <w:sz w:val="16"/>
                <w:szCs w:val="16"/>
                <w:color w:val="auto"/>
              </w:rPr>
              <w:t>329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47</w:t>
            </w:r>
          </w:p>
        </w:tc>
      </w:tr>
    </w:tbl>
    <w:p>
      <w:pPr>
        <w:spacing w:after="0" w:line="139" w:lineRule="exact"/>
        <w:rPr>
          <w:sz w:val="20"/>
          <w:szCs w:val="20"/>
          <w:color w:val="auto"/>
        </w:rPr>
      </w:pPr>
    </w:p>
    <w:p>
      <w:pPr>
        <w:ind w:right="340"/>
        <w:spacing w:after="0" w:line="241"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relatively small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stocks and high-quality fixed-income securities that are held by a third-party trustee. The assets of the Company’s pension plans were allocated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2012</w:t>
            </w:r>
          </w:p>
        </w:tc>
      </w:tr>
      <w:tr>
        <w:trPr>
          <w:trHeight w:val="257"/>
        </w:trPr>
        <w:tc>
          <w:tcPr>
            <w:tcW w:w="936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58%</w:t>
            </w:r>
          </w:p>
        </w:tc>
        <w:tc>
          <w:tcPr>
            <w:tcW w:w="8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12%</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4"/>
        </w:trPr>
        <w:tc>
          <w:tcPr>
            <w:tcW w:w="936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30%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December 31, 2013, the managers can invest no more than 24% of the assets in international stocks, at the time the investment is made, and no less than 10% of the assets could be invested in fixed-income securities. None of the assets is managed internally by the Company.</w:t>
      </w:r>
    </w:p>
    <w:p>
      <w:pPr>
        <w:spacing w:after="0" w:line="108" w:lineRule="exact"/>
        <w:rPr>
          <w:sz w:val="20"/>
          <w:szCs w:val="20"/>
          <w:color w:val="auto"/>
        </w:rPr>
      </w:pPr>
    </w:p>
    <w:p>
      <w:pPr>
        <w:ind w:right="720"/>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08"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December 31, 2013. Types of concentrations that were evaluated include, but are not limited to, investment concentrations in a single entity, type of industry, foreign country and individual fund. At December 31, 2013 and 2012, the pension plan held common stock in one investment that exceeded 10% of total plan assets. This investment was valued at $382.1 million and $223.1 million at December 31, 2013 and 2012, respectively, or approximately 16% and 11%, respectively, of total plan assets. Assets also included $208.4 million and $ 179.9 million of Berkshire Hathaway Class A and Class B common stock at December 31, 2013 and 2012, respectively. At December 31, 2013 and 2012, the pension plan held investments in one foreign country that exceeded 10% of total plan assets. These investments were valued at $398.9 million and $240.4 million at December 31, 2013 and 2012, respectively, or approximately 17% and 12%, respectively, of total plan assets.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24"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The Company’s pension plan assets measured at fair value on a recurring basis were as follows:</w:t>
      </w:r>
    </w:p>
    <w:p>
      <w:pPr>
        <w:spacing w:after="0" w:line="187"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33020</wp:posOffset>
            </wp:positionV>
            <wp:extent cx="2529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63"/>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equivalents and other short-term investments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196,757</w:t>
            </w:r>
          </w:p>
        </w:tc>
        <w:tc>
          <w:tcPr>
            <w:tcW w:w="3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auto"/>
              </w:rPr>
              <w:t>84,706</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281,463</w:t>
            </w:r>
          </w:p>
        </w:tc>
      </w:tr>
      <w:tr>
        <w:trPr>
          <w:trHeight w:val="270"/>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Equity securities</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440" w:type="dxa"/>
            <w:vAlign w:val="bottom"/>
          </w:tcPr>
          <w:p>
            <w:pPr>
              <w:ind w:left="280"/>
              <w:spacing w:after="0"/>
              <w:rPr>
                <w:sz w:val="20"/>
                <w:szCs w:val="20"/>
                <w:color w:val="auto"/>
              </w:rPr>
            </w:pPr>
            <w:r>
              <w:rPr>
                <w:rFonts w:ascii="Arial" w:cs="Arial" w:eastAsia="Arial" w:hAnsi="Arial"/>
                <w:sz w:val="14"/>
                <w:szCs w:val="14"/>
                <w:b w:val="1"/>
                <w:bCs w:val="1"/>
                <w:color w:val="auto"/>
              </w:rPr>
              <w:t>U.S. equities</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1,383,738</w:t>
            </w:r>
          </w:p>
        </w:tc>
        <w:tc>
          <w:tcPr>
            <w:tcW w:w="340" w:type="dxa"/>
            <w:vAlign w:val="bottom"/>
          </w:tcPr>
          <w:p>
            <w:pPr>
              <w:spacing w:after="0"/>
              <w:rPr>
                <w:sz w:val="23"/>
                <w:szCs w:val="23"/>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1,383,738</w:t>
            </w:r>
          </w:p>
        </w:tc>
      </w:tr>
      <w:tr>
        <w:trPr>
          <w:trHeight w:val="270"/>
        </w:trPr>
        <w:tc>
          <w:tcPr>
            <w:tcW w:w="7440" w:type="dxa"/>
            <w:vAlign w:val="bottom"/>
          </w:tcPr>
          <w:p>
            <w:pPr>
              <w:ind w:left="280"/>
              <w:spacing w:after="0"/>
              <w:rPr>
                <w:sz w:val="20"/>
                <w:szCs w:val="20"/>
                <w:color w:val="auto"/>
              </w:rPr>
            </w:pPr>
            <w:r>
              <w:rPr>
                <w:rFonts w:ascii="Arial" w:cs="Arial" w:eastAsia="Arial" w:hAnsi="Arial"/>
                <w:sz w:val="14"/>
                <w:szCs w:val="14"/>
                <w:b w:val="1"/>
                <w:bCs w:val="1"/>
                <w:color w:val="auto"/>
              </w:rPr>
              <w:t>International equities</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699,649</w:t>
            </w:r>
          </w:p>
        </w:tc>
        <w:tc>
          <w:tcPr>
            <w:tcW w:w="340" w:type="dxa"/>
            <w:vAlign w:val="bottom"/>
          </w:tcPr>
          <w:p>
            <w:pPr>
              <w:spacing w:after="0"/>
              <w:rPr>
                <w:sz w:val="23"/>
                <w:szCs w:val="23"/>
                <w:color w:val="auto"/>
              </w:rPr>
            </w:pP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699,649</w:t>
            </w:r>
          </w:p>
        </w:tc>
      </w:tr>
      <w:tr>
        <w:trPr>
          <w:trHeight w:val="270"/>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Fixed-income securities</w:t>
            </w: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1"/>
        </w:trPr>
        <w:tc>
          <w:tcPr>
            <w:tcW w:w="7440" w:type="dxa"/>
            <w:vAlign w:val="bottom"/>
          </w:tcPr>
          <w:p>
            <w:pPr>
              <w:ind w:left="280"/>
              <w:spacing w:after="0"/>
              <w:rPr>
                <w:sz w:val="20"/>
                <w:szCs w:val="20"/>
                <w:color w:val="auto"/>
              </w:rPr>
            </w:pPr>
            <w:r>
              <w:rPr>
                <w:rFonts w:ascii="Arial" w:cs="Arial" w:eastAsia="Arial" w:hAnsi="Arial"/>
                <w:sz w:val="14"/>
                <w:szCs w:val="14"/>
                <w:b w:val="1"/>
                <w:bCs w:val="1"/>
                <w:color w:val="auto"/>
              </w:rPr>
              <w:t>Corporate debt securities</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5,147</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5,147</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Total Investments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2,280,144</w:t>
            </w: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89,853</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2,369,997</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Receivables</w:t>
            </w: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1,852</w:t>
            </w:r>
          </w:p>
        </w:tc>
      </w:tr>
      <w:tr>
        <w:trPr>
          <w:trHeight w:val="238"/>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2,371,849</w:t>
            </w: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8520"/>
        <w:spacing w:after="0"/>
        <w:rPr>
          <w:sz w:val="20"/>
          <w:szCs w:val="20"/>
          <w:color w:val="auto"/>
        </w:rPr>
      </w:pPr>
      <w:r>
        <w:rPr>
          <w:rFonts w:ascii="Arial" w:cs="Arial" w:eastAsia="Arial" w:hAnsi="Arial"/>
          <w:sz w:val="16"/>
          <w:szCs w:val="16"/>
          <w:color w:val="auto"/>
        </w:rPr>
        <w:t>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Level 1</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Total</w:t>
            </w:r>
          </w:p>
        </w:tc>
      </w:tr>
      <w:tr>
        <w:trPr>
          <w:trHeight w:val="260"/>
        </w:trPr>
        <w:tc>
          <w:tcPr>
            <w:tcW w:w="7440" w:type="dxa"/>
            <w:vAlign w:val="bottom"/>
          </w:tcPr>
          <w:p>
            <w:pPr>
              <w:ind w:left="40"/>
              <w:spacing w:after="0"/>
              <w:rPr>
                <w:sz w:val="20"/>
                <w:szCs w:val="20"/>
                <w:color w:val="auto"/>
              </w:rPr>
            </w:pPr>
            <w:r>
              <w:rPr>
                <w:rFonts w:ascii="Arial" w:cs="Arial" w:eastAsia="Arial" w:hAnsi="Arial"/>
                <w:sz w:val="14"/>
                <w:szCs w:val="14"/>
                <w:color w:val="auto"/>
              </w:rPr>
              <w:t>Cash equivalents and other short-term investments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195,389</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62,922</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258,311</w:t>
            </w:r>
          </w:p>
        </w:tc>
      </w:tr>
      <w:tr>
        <w:trPr>
          <w:trHeight w:val="270"/>
        </w:trPr>
        <w:tc>
          <w:tcPr>
            <w:tcW w:w="7440" w:type="dxa"/>
            <w:vAlign w:val="bottom"/>
          </w:tcPr>
          <w:p>
            <w:pPr>
              <w:ind w:left="40"/>
              <w:spacing w:after="0"/>
              <w:rPr>
                <w:sz w:val="20"/>
                <w:szCs w:val="20"/>
                <w:color w:val="auto"/>
              </w:rPr>
            </w:pPr>
            <w:r>
              <w:rPr>
                <w:rFonts w:ascii="Arial" w:cs="Arial" w:eastAsia="Arial" w:hAnsi="Arial"/>
                <w:sz w:val="14"/>
                <w:szCs w:val="14"/>
                <w:color w:val="auto"/>
              </w:rPr>
              <w:t>Equity securities</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6"/>
        </w:trPr>
        <w:tc>
          <w:tcPr>
            <w:tcW w:w="7440" w:type="dxa"/>
            <w:vAlign w:val="bottom"/>
          </w:tcPr>
          <w:p>
            <w:pPr>
              <w:ind w:left="280"/>
              <w:spacing w:after="0"/>
              <w:rPr>
                <w:sz w:val="20"/>
                <w:szCs w:val="20"/>
                <w:color w:val="auto"/>
              </w:rPr>
            </w:pPr>
            <w:r>
              <w:rPr>
                <w:rFonts w:ascii="Arial" w:cs="Arial" w:eastAsia="Arial" w:hAnsi="Arial"/>
                <w:sz w:val="14"/>
                <w:szCs w:val="14"/>
                <w:color w:val="auto"/>
              </w:rPr>
              <w:t>U.S. equities</w:t>
            </w:r>
          </w:p>
        </w:tc>
        <w:tc>
          <w:tcPr>
            <w:tcW w:w="26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1,315,378</w:t>
            </w:r>
          </w:p>
        </w:tc>
        <w:tc>
          <w:tcPr>
            <w:tcW w:w="360" w:type="dxa"/>
            <w:vAlign w:val="bottom"/>
          </w:tcPr>
          <w:p>
            <w:pPr>
              <w:spacing w:after="0"/>
              <w:rPr>
                <w:sz w:val="24"/>
                <w:szCs w:val="24"/>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1,315,378</w:t>
            </w:r>
          </w:p>
        </w:tc>
      </w:tr>
      <w:tr>
        <w:trPr>
          <w:trHeight w:val="270"/>
        </w:trPr>
        <w:tc>
          <w:tcPr>
            <w:tcW w:w="7440" w:type="dxa"/>
            <w:vAlign w:val="bottom"/>
          </w:tcPr>
          <w:p>
            <w:pPr>
              <w:ind w:left="280"/>
              <w:spacing w:after="0"/>
              <w:rPr>
                <w:sz w:val="20"/>
                <w:szCs w:val="20"/>
                <w:color w:val="auto"/>
              </w:rPr>
            </w:pPr>
            <w:r>
              <w:rPr>
                <w:rFonts w:ascii="Arial" w:cs="Arial" w:eastAsia="Arial" w:hAnsi="Arial"/>
                <w:sz w:val="14"/>
                <w:szCs w:val="14"/>
                <w:color w:val="auto"/>
              </w:rPr>
              <w:t>International equities</w:t>
            </w:r>
          </w:p>
        </w:tc>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482,431</w:t>
            </w:r>
          </w:p>
        </w:tc>
        <w:tc>
          <w:tcPr>
            <w:tcW w:w="360" w:type="dxa"/>
            <w:vAlign w:val="bottom"/>
          </w:tcPr>
          <w:p>
            <w:pPr>
              <w:spacing w:after="0"/>
              <w:rPr>
                <w:sz w:val="23"/>
                <w:szCs w:val="23"/>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482,431</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Fixed-income securities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440" w:type="dxa"/>
            <w:vAlign w:val="bottom"/>
          </w:tcPr>
          <w:p>
            <w:pPr>
              <w:ind w:left="280"/>
              <w:spacing w:after="0"/>
              <w:rPr>
                <w:sz w:val="20"/>
                <w:szCs w:val="20"/>
                <w:color w:val="auto"/>
              </w:rPr>
            </w:pPr>
            <w:r>
              <w:rPr>
                <w:rFonts w:ascii="Arial" w:cs="Arial" w:eastAsia="Arial" w:hAnsi="Arial"/>
                <w:sz w:val="14"/>
                <w:szCs w:val="14"/>
                <w:color w:val="auto"/>
              </w:rPr>
              <w:t>Corporate debt securities</w:t>
            </w:r>
          </w:p>
        </w:tc>
        <w:tc>
          <w:tcPr>
            <w:tcW w:w="26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4"/>
                <w:szCs w:val="24"/>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6,054</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6,054</w:t>
            </w:r>
          </w:p>
        </w:tc>
      </w:tr>
      <w:tr>
        <w:trPr>
          <w:trHeight w:val="266"/>
        </w:trPr>
        <w:tc>
          <w:tcPr>
            <w:tcW w:w="7440" w:type="dxa"/>
            <w:vAlign w:val="bottom"/>
          </w:tcPr>
          <w:p>
            <w:pPr>
              <w:ind w:left="280"/>
              <w:spacing w:after="0"/>
              <w:rPr>
                <w:sz w:val="20"/>
                <w:szCs w:val="20"/>
                <w:color w:val="auto"/>
              </w:rPr>
            </w:pPr>
            <w:r>
              <w:rPr>
                <w:rFonts w:ascii="Arial" w:cs="Arial" w:eastAsia="Arial" w:hAnsi="Arial"/>
                <w:sz w:val="14"/>
                <w:szCs w:val="14"/>
                <w:color w:val="auto"/>
              </w:rPr>
              <w:t>Other fixed income</w:t>
            </w: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2,501</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313</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2,814</w:t>
            </w:r>
          </w:p>
        </w:tc>
      </w:tr>
      <w:tr>
        <w:trPr>
          <w:trHeight w:val="269"/>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Total Investments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1,995,699</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69,289</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2,064,988</w:t>
            </w:r>
          </w:p>
        </w:tc>
      </w:tr>
      <w:tr>
        <w:trPr>
          <w:trHeight w:val="261"/>
        </w:trPr>
        <w:tc>
          <w:tcPr>
            <w:tcW w:w="7440" w:type="dxa"/>
            <w:vAlign w:val="bottom"/>
          </w:tcPr>
          <w:p>
            <w:pPr>
              <w:ind w:left="40"/>
              <w:spacing w:after="0"/>
              <w:rPr>
                <w:sz w:val="20"/>
                <w:szCs w:val="20"/>
                <w:color w:val="auto"/>
              </w:rPr>
            </w:pPr>
            <w:r>
              <w:rPr>
                <w:rFonts w:ascii="Arial" w:cs="Arial" w:eastAsia="Arial" w:hAnsi="Arial"/>
                <w:sz w:val="14"/>
                <w:szCs w:val="14"/>
                <w:color w:val="auto"/>
              </w:rPr>
              <w:t>Receivables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6,157</w:t>
            </w:r>
          </w:p>
        </w:tc>
      </w:tr>
      <w:tr>
        <w:trPr>
          <w:trHeight w:val="241"/>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2,071,145</w:t>
            </w:r>
          </w:p>
        </w:tc>
      </w:tr>
      <w:tr>
        <w:trPr>
          <w:trHeight w:val="20"/>
        </w:trPr>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140"/>
        <w:spacing w:after="0"/>
        <w:rPr>
          <w:sz w:val="20"/>
          <w:szCs w:val="20"/>
          <w:color w:val="auto"/>
        </w:rPr>
      </w:pPr>
      <w:r>
        <w:rPr>
          <w:rFonts w:ascii="Arial" w:cs="Arial" w:eastAsia="Arial" w:hAnsi="Arial"/>
          <w:sz w:val="18"/>
          <w:szCs w:val="18"/>
          <w:i w:val="1"/>
          <w:iCs w:val="1"/>
          <w:color w:val="auto"/>
        </w:rPr>
        <w:t xml:space="preserve">Cash equivalents and other short-term investments. </w:t>
      </w:r>
      <w:r>
        <w:rPr>
          <w:rFonts w:ascii="Arial" w:cs="Arial" w:eastAsia="Arial" w:hAnsi="Arial"/>
          <w:sz w:val="18"/>
          <w:szCs w:val="18"/>
          <w:color w:val="auto"/>
        </w:rPr>
        <w:t>These investments are primarily held in U.S. Treasury securities and registered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108" w:lineRule="exact"/>
        <w:rPr>
          <w:sz w:val="20"/>
          <w:szCs w:val="20"/>
          <w:color w:val="auto"/>
        </w:rPr>
      </w:pPr>
    </w:p>
    <w:p>
      <w:pPr>
        <w:ind w:right="140"/>
        <w:spacing w:after="0"/>
        <w:rPr>
          <w:sz w:val="20"/>
          <w:szCs w:val="20"/>
          <w:color w:val="auto"/>
        </w:rPr>
      </w:pPr>
      <w:r>
        <w:rPr>
          <w:rFonts w:ascii="Arial" w:cs="Arial" w:eastAsia="Arial" w:hAnsi="Arial"/>
          <w:sz w:val="18"/>
          <w:szCs w:val="18"/>
          <w:i w:val="1"/>
          <w:iCs w:val="1"/>
          <w:color w:val="auto"/>
        </w:rPr>
        <w:t xml:space="preserve">U.S. equities. </w:t>
      </w:r>
      <w:r>
        <w:rPr>
          <w:rFonts w:ascii="Arial" w:cs="Arial" w:eastAsia="Arial" w:hAnsi="Arial"/>
          <w:sz w:val="18"/>
          <w:szCs w:val="18"/>
          <w:color w:val="auto"/>
        </w:rPr>
        <w:t>These investments are held in common and preferred stock of U.S. corporations and American Depositary Receipts (ADRs)</w:t>
      </w:r>
      <w:r>
        <w:rPr>
          <w:rFonts w:ascii="Arial" w:cs="Arial" w:eastAsia="Arial" w:hAnsi="Arial"/>
          <w:sz w:val="18"/>
          <w:szCs w:val="18"/>
          <w:i w:val="1"/>
          <w:iCs w:val="1"/>
          <w:color w:val="auto"/>
        </w:rPr>
        <w:t xml:space="preserve"> </w:t>
      </w:r>
      <w:r>
        <w:rPr>
          <w:rFonts w:ascii="Arial" w:cs="Arial" w:eastAsia="Arial" w:hAnsi="Arial"/>
          <w:sz w:val="18"/>
          <w:szCs w:val="18"/>
          <w:color w:val="auto"/>
        </w:rPr>
        <w:t>traded on U.S. exchanges. Common and preferred shares and ADRs are traded actively on exchanges, and price quotes for these shares are readily available. These investments are classified as Level 1 in the valuation hierarchy.</w:t>
      </w:r>
    </w:p>
    <w:p>
      <w:pPr>
        <w:spacing w:after="0" w:line="108" w:lineRule="exact"/>
        <w:rPr>
          <w:sz w:val="20"/>
          <w:szCs w:val="20"/>
          <w:color w:val="auto"/>
        </w:rPr>
      </w:pPr>
    </w:p>
    <w:p>
      <w:pPr>
        <w:ind w:right="180"/>
        <w:spacing w:after="0"/>
        <w:rPr>
          <w:sz w:val="20"/>
          <w:szCs w:val="20"/>
          <w:color w:val="auto"/>
        </w:rPr>
      </w:pPr>
      <w:r>
        <w:rPr>
          <w:rFonts w:ascii="Arial" w:cs="Arial" w:eastAsia="Arial" w:hAnsi="Arial"/>
          <w:sz w:val="18"/>
          <w:szCs w:val="18"/>
          <w:i w:val="1"/>
          <w:iCs w:val="1"/>
          <w:color w:val="auto"/>
        </w:rPr>
        <w:t xml:space="preserve">International equities. </w:t>
      </w:r>
      <w:r>
        <w:rPr>
          <w:rFonts w:ascii="Arial" w:cs="Arial" w:eastAsia="Arial" w:hAnsi="Arial"/>
          <w:sz w:val="18"/>
          <w:szCs w:val="18"/>
          <w:color w:val="auto"/>
        </w:rPr>
        <w:t>These investments are held in common and preferred stock issued by non-U.S. corporations. Common and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traded actively on exchanges, and price quotes for these shares are readily available. These investments are classified as Level 1 in the valuation hierarchy.</w:t>
      </w:r>
    </w:p>
    <w:p>
      <w:pPr>
        <w:spacing w:after="0" w:line="108" w:lineRule="exact"/>
        <w:rPr>
          <w:sz w:val="20"/>
          <w:szCs w:val="20"/>
          <w:color w:val="auto"/>
        </w:rPr>
      </w:pPr>
    </w:p>
    <w:p>
      <w:pPr>
        <w:jc w:val="both"/>
        <w:ind w:right="640"/>
        <w:spacing w:after="0"/>
        <w:rPr>
          <w:sz w:val="20"/>
          <w:szCs w:val="20"/>
          <w:color w:val="auto"/>
        </w:rPr>
      </w:pPr>
      <w:r>
        <w:rPr>
          <w:rFonts w:ascii="Arial" w:cs="Arial" w:eastAsia="Arial" w:hAnsi="Arial"/>
          <w:sz w:val="18"/>
          <w:szCs w:val="18"/>
          <w:i w:val="1"/>
          <w:iCs w:val="1"/>
          <w:color w:val="auto"/>
        </w:rPr>
        <w:t xml:space="preserve">Corporate debt securities. </w:t>
      </w:r>
      <w:r>
        <w:rPr>
          <w:rFonts w:ascii="Arial" w:cs="Arial" w:eastAsia="Arial" w:hAnsi="Arial"/>
          <w:sz w:val="18"/>
          <w:szCs w:val="18"/>
          <w:color w:val="auto"/>
        </w:rPr>
        <w:t>These investments consist of fixed-income securities issued by U.S. corporations and are valued using a bid</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process, with bid data provided by independent pricing sources. These investments are classified as Level 2 in the valuation hierarchy.</w:t>
      </w:r>
    </w:p>
    <w:p>
      <w:pPr>
        <w:spacing w:after="0" w:line="108" w:lineRule="exact"/>
        <w:rPr>
          <w:sz w:val="20"/>
          <w:szCs w:val="20"/>
          <w:color w:val="auto"/>
        </w:rPr>
      </w:pPr>
    </w:p>
    <w:p>
      <w:pPr>
        <w:ind w:right="240"/>
        <w:spacing w:after="0"/>
        <w:rPr>
          <w:sz w:val="20"/>
          <w:szCs w:val="20"/>
          <w:color w:val="auto"/>
        </w:rPr>
      </w:pPr>
      <w:r>
        <w:rPr>
          <w:rFonts w:ascii="Arial" w:cs="Arial" w:eastAsia="Arial" w:hAnsi="Arial"/>
          <w:sz w:val="18"/>
          <w:szCs w:val="18"/>
          <w:i w:val="1"/>
          <w:iCs w:val="1"/>
          <w:color w:val="auto"/>
        </w:rPr>
        <w:t xml:space="preserve">Other fixed income. </w:t>
      </w:r>
      <w:r>
        <w:rPr>
          <w:rFonts w:ascii="Arial" w:cs="Arial" w:eastAsia="Arial" w:hAnsi="Arial"/>
          <w:sz w:val="18"/>
          <w:szCs w:val="18"/>
          <w:color w:val="auto"/>
        </w:rPr>
        <w:t>These investments consist of fixed-income securities issued by the U.S. Treasury and in private placements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valued using a quoted market price or bid evaluation process, with bid data provided by independent pricing sources. These investments are classified as Level 1 or Level 2 in the valuation hierarchy.</w:t>
      </w:r>
    </w:p>
    <w:p>
      <w:pPr>
        <w:spacing w:after="0" w:line="10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following table sets forth obligation, asset and funding information for the Company’s other postretirement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Postretirement Plans</w:t>
            </w:r>
          </w:p>
        </w:tc>
      </w:tr>
      <w:tr>
        <w:trPr>
          <w:trHeight w:val="250"/>
        </w:trPr>
        <w:tc>
          <w:tcPr>
            <w:tcW w:w="9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2012</w:t>
            </w:r>
          </w:p>
        </w:tc>
      </w:tr>
      <w:tr>
        <w:trPr>
          <w:trHeight w:val="263"/>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Change in Benefit Obligation</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4"/>
                <w:szCs w:val="14"/>
                <w:color w:val="auto"/>
              </w:rPr>
              <w:t>Benefit obligation at beginning of year</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63,868</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72,412</w:t>
            </w:r>
          </w:p>
        </w:tc>
      </w:tr>
      <w:tr>
        <w:trPr>
          <w:trHeight w:val="270"/>
        </w:trPr>
        <w:tc>
          <w:tcPr>
            <w:tcW w:w="9260" w:type="dxa"/>
            <w:vAlign w:val="bottom"/>
          </w:tcPr>
          <w:p>
            <w:pPr>
              <w:ind w:left="40"/>
              <w:spacing w:after="0"/>
              <w:rPr>
                <w:sz w:val="20"/>
                <w:szCs w:val="20"/>
                <w:color w:val="auto"/>
              </w:rPr>
            </w:pPr>
            <w:r>
              <w:rPr>
                <w:rFonts w:ascii="Arial" w:cs="Arial" w:eastAsia="Arial" w:hAnsi="Arial"/>
                <w:sz w:val="14"/>
                <w:szCs w:val="14"/>
                <w:color w:val="auto"/>
              </w:rPr>
              <w:t>Service cost</w:t>
            </w:r>
          </w:p>
        </w:tc>
        <w:tc>
          <w:tcPr>
            <w:tcW w:w="24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2,488</w:t>
            </w:r>
          </w:p>
        </w:tc>
        <w:tc>
          <w:tcPr>
            <w:tcW w:w="3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3,113</w:t>
            </w:r>
          </w:p>
        </w:tc>
      </w:tr>
      <w:tr>
        <w:trPr>
          <w:trHeight w:val="270"/>
        </w:trPr>
        <w:tc>
          <w:tcPr>
            <w:tcW w:w="9260" w:type="dxa"/>
            <w:vAlign w:val="bottom"/>
          </w:tcPr>
          <w:p>
            <w:pPr>
              <w:ind w:left="40"/>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1,848</w:t>
            </w:r>
          </w:p>
        </w:tc>
        <w:tc>
          <w:tcPr>
            <w:tcW w:w="3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2,735</w:t>
            </w:r>
          </w:p>
        </w:tc>
      </w:tr>
      <w:tr>
        <w:trPr>
          <w:trHeight w:val="270"/>
        </w:trPr>
        <w:tc>
          <w:tcPr>
            <w:tcW w:w="9260" w:type="dxa"/>
            <w:vAlign w:val="bottom"/>
          </w:tcPr>
          <w:p>
            <w:pPr>
              <w:ind w:left="40"/>
              <w:spacing w:after="0"/>
              <w:rPr>
                <w:sz w:val="20"/>
                <w:szCs w:val="20"/>
                <w:color w:val="auto"/>
              </w:rPr>
            </w:pPr>
            <w:r>
              <w:rPr>
                <w:rFonts w:ascii="Arial" w:cs="Arial" w:eastAsia="Arial" w:hAnsi="Arial"/>
                <w:sz w:val="14"/>
                <w:szCs w:val="14"/>
                <w:color w:val="auto"/>
              </w:rPr>
              <w:t>Actuarial gain</w:t>
            </w:r>
          </w:p>
        </w:tc>
        <w:tc>
          <w:tcPr>
            <w:tcW w:w="2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(3,298)</w:t>
            </w: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(11,493)</w:t>
            </w:r>
          </w:p>
        </w:tc>
      </w:tr>
      <w:tr>
        <w:trPr>
          <w:trHeight w:val="270"/>
        </w:trPr>
        <w:tc>
          <w:tcPr>
            <w:tcW w:w="9260" w:type="dxa"/>
            <w:vAlign w:val="bottom"/>
          </w:tcPr>
          <w:p>
            <w:pPr>
              <w:ind w:left="40"/>
              <w:spacing w:after="0"/>
              <w:rPr>
                <w:sz w:val="20"/>
                <w:szCs w:val="20"/>
                <w:color w:val="auto"/>
              </w:rPr>
            </w:pPr>
            <w:r>
              <w:rPr>
                <w:rFonts w:ascii="Arial" w:cs="Arial" w:eastAsia="Arial" w:hAnsi="Arial"/>
                <w:sz w:val="14"/>
                <w:szCs w:val="14"/>
                <w:color w:val="auto"/>
              </w:rPr>
              <w:t>Curtailment</w:t>
            </w:r>
          </w:p>
        </w:tc>
        <w:tc>
          <w:tcPr>
            <w:tcW w:w="2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(21,221)</w:t>
            </w:r>
          </w:p>
        </w:tc>
        <w:tc>
          <w:tcPr>
            <w:tcW w:w="3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438</w:t>
            </w:r>
          </w:p>
        </w:tc>
      </w:tr>
      <w:tr>
        <w:trPr>
          <w:trHeight w:val="271"/>
        </w:trPr>
        <w:tc>
          <w:tcPr>
            <w:tcW w:w="9260" w:type="dxa"/>
            <w:vAlign w:val="bottom"/>
          </w:tcPr>
          <w:p>
            <w:pPr>
              <w:ind w:left="40"/>
              <w:spacing w:after="0"/>
              <w:rPr>
                <w:sz w:val="20"/>
                <w:szCs w:val="20"/>
                <w:color w:val="auto"/>
              </w:rPr>
            </w:pPr>
            <w:r>
              <w:rPr>
                <w:rFonts w:ascii="Arial" w:cs="Arial" w:eastAsia="Arial" w:hAnsi="Arial"/>
                <w:sz w:val="14"/>
                <w:szCs w:val="14"/>
                <w:color w:val="auto"/>
              </w:rPr>
              <w:t>Benefits paid, net of Medicare subsidy</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(3,671)</w:t>
            </w:r>
          </w:p>
        </w:tc>
        <w:tc>
          <w:tcPr>
            <w:tcW w:w="3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(3,337)</w:t>
            </w:r>
          </w:p>
        </w:tc>
      </w:tr>
      <w:tr>
        <w:trPr>
          <w:trHeight w:val="263"/>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Benefit Obligation at End of Year</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40,014</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63,868</w:t>
            </w:r>
          </w:p>
        </w:tc>
      </w:tr>
      <w:tr>
        <w:trPr>
          <w:trHeight w:val="264"/>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Change in Plan Assets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4"/>
                <w:szCs w:val="14"/>
                <w:color w:val="auto"/>
              </w:rPr>
              <w:t>Fair value of assets at beginning of year</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70"/>
        </w:trPr>
        <w:tc>
          <w:tcPr>
            <w:tcW w:w="9260" w:type="dxa"/>
            <w:vAlign w:val="bottom"/>
          </w:tcPr>
          <w:p>
            <w:pPr>
              <w:ind w:left="40"/>
              <w:spacing w:after="0"/>
              <w:rPr>
                <w:sz w:val="20"/>
                <w:szCs w:val="20"/>
                <w:color w:val="auto"/>
              </w:rPr>
            </w:pPr>
            <w:r>
              <w:rPr>
                <w:rFonts w:ascii="Arial" w:cs="Arial" w:eastAsia="Arial" w:hAnsi="Arial"/>
                <w:sz w:val="14"/>
                <w:szCs w:val="14"/>
                <w:color w:val="auto"/>
              </w:rPr>
              <w:t>Employer contributions</w:t>
            </w:r>
          </w:p>
        </w:tc>
        <w:tc>
          <w:tcPr>
            <w:tcW w:w="24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3,671</w:t>
            </w:r>
          </w:p>
        </w:tc>
        <w:tc>
          <w:tcPr>
            <w:tcW w:w="3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3,337</w:t>
            </w:r>
          </w:p>
        </w:tc>
      </w:tr>
      <w:tr>
        <w:trPr>
          <w:trHeight w:val="271"/>
        </w:trPr>
        <w:tc>
          <w:tcPr>
            <w:tcW w:w="9260" w:type="dxa"/>
            <w:vAlign w:val="bottom"/>
          </w:tcPr>
          <w:p>
            <w:pPr>
              <w:ind w:left="40"/>
              <w:spacing w:after="0"/>
              <w:rPr>
                <w:sz w:val="20"/>
                <w:szCs w:val="20"/>
                <w:color w:val="auto"/>
              </w:rPr>
            </w:pPr>
            <w:r>
              <w:rPr>
                <w:rFonts w:ascii="Arial" w:cs="Arial" w:eastAsia="Arial" w:hAnsi="Arial"/>
                <w:sz w:val="14"/>
                <w:szCs w:val="14"/>
                <w:color w:val="auto"/>
              </w:rPr>
              <w:t>Benefits paid, net of Medicare subsidy</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(3,671)</w:t>
            </w:r>
          </w:p>
        </w:tc>
        <w:tc>
          <w:tcPr>
            <w:tcW w:w="3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(3,337)</w:t>
            </w:r>
          </w:p>
        </w:tc>
      </w:tr>
      <w:tr>
        <w:trPr>
          <w:trHeight w:val="264"/>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Fair Value of Assets at End of Year</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r>
      <w:tr>
        <w:trPr>
          <w:trHeight w:val="265"/>
        </w:trPr>
        <w:tc>
          <w:tcPr>
            <w:tcW w:w="9260" w:type="dxa"/>
            <w:vAlign w:val="bottom"/>
          </w:tcPr>
          <w:p>
            <w:pPr>
              <w:ind w:left="40"/>
              <w:spacing w:after="0"/>
              <w:rPr>
                <w:sz w:val="20"/>
                <w:szCs w:val="20"/>
                <w:color w:val="auto"/>
              </w:rPr>
            </w:pPr>
            <w:r>
              <w:rPr>
                <w:rFonts w:ascii="Arial" w:cs="Arial" w:eastAsia="Arial" w:hAnsi="Arial"/>
                <w:sz w:val="14"/>
                <w:szCs w:val="14"/>
                <w:b w:val="1"/>
                <w:bCs w:val="1"/>
                <w:color w:val="auto"/>
              </w:rPr>
              <w:t>Funded Status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(40,014)</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(63,868)</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24" w:right="239" w:bottom="0" w:gutter="0" w:footer="0" w:header="0"/>
        </w:sectPr>
      </w:pPr>
    </w:p>
    <w:bookmarkStart w:id="91" w:name="page92"/>
    <w:bookmarkEnd w:id="91"/>
    <w:p>
      <w:pPr>
        <w:jc w:val="center"/>
        <w:ind w:right="-20"/>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9019"/>
          </w:cols>
          <w:pgMar w:left="1440" w:top="468" w:right="1440"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The amounts recognized in the Company’s Consolidated Balance Sheets for its other postretirement plans are as follows:</w:t>
      </w:r>
    </w:p>
    <w:p>
      <w:pPr>
        <w:sectPr>
          <w:pgSz w:w="11900" w:h="16838" w:orient="portrait"/>
          <w:cols w:equalWidth="0" w:num="1">
            <w:col w:w="11420"/>
          </w:cols>
          <w:pgMar w:left="240" w:top="886" w:right="239" w:bottom="4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liability</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Recognized Liability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27305</wp:posOffset>
            </wp:positionV>
            <wp:extent cx="13722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27305</wp:posOffset>
            </wp:positionV>
            <wp:extent cx="13722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27305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p>
      <w:pPr>
        <w:ind w:left="440" w:hanging="434"/>
        <w:spacing w:after="0"/>
        <w:tabs>
          <w:tab w:leader="none" w:pos="440"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(3,795)  </w:t>
      </w:r>
      <w:r>
        <w:rPr>
          <w:rFonts w:ascii="Arial" w:cs="Arial" w:eastAsia="Arial" w:hAnsi="Arial"/>
          <w:sz w:val="16"/>
          <w:szCs w:val="16"/>
          <w:color w:val="auto"/>
        </w:rPr>
        <w:t>$</w:t>
      </w:r>
      <w:r>
        <w:rPr>
          <w:rFonts w:ascii="Arial" w:cs="Arial" w:eastAsia="Arial" w:hAnsi="Arial"/>
          <w:sz w:val="15"/>
          <w:szCs w:val="15"/>
          <w:color w:val="auto"/>
        </w:rPr>
        <w:t>(3,919)</w:t>
      </w:r>
    </w:p>
    <w:p>
      <w:pPr>
        <w:spacing w:after="0" w:line="86"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(36,219)</w:t>
      </w:r>
      <w:r>
        <w:rPr>
          <w:rFonts w:ascii="Arial" w:cs="Arial" w:eastAsia="Arial" w:hAnsi="Arial"/>
          <w:sz w:val="16"/>
          <w:szCs w:val="16"/>
          <w:color w:val="auto"/>
        </w:rPr>
        <w:t>(59,949)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33020</wp:posOffset>
            </wp:positionV>
            <wp:extent cx="13722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spacing w:after="0"/>
        <w:tabs>
          <w:tab w:leader="none" w:pos="320" w:val="left"/>
          <w:tab w:leader="none" w:pos="1120" w:val="left"/>
          <w:tab w:leader="none" w:pos="1460" w:val="left"/>
        </w:tabs>
        <w:rPr>
          <w:sz w:val="20"/>
          <w:szCs w:val="20"/>
          <w:color w:val="auto"/>
        </w:rPr>
      </w:pPr>
      <w:r>
        <w:rPr>
          <w:rFonts w:ascii="Arial" w:cs="Arial" w:eastAsia="Arial" w:hAnsi="Arial"/>
          <w:sz w:val="16"/>
          <w:szCs w:val="16"/>
          <w:b w:val="1"/>
          <w:bCs w:val="1"/>
          <w:color w:val="auto"/>
        </w:rPr>
        <w:t>$</w:t>
        <w:tab/>
        <w:t>(40,014)</w:t>
      </w:r>
      <w:r>
        <w:rPr>
          <w:sz w:val="20"/>
          <w:szCs w:val="20"/>
          <w:color w:val="auto"/>
        </w:rPr>
        <w:tab/>
      </w:r>
      <w:r>
        <w:rPr>
          <w:rFonts w:ascii="Arial" w:cs="Arial" w:eastAsia="Arial" w:hAnsi="Arial"/>
          <w:sz w:val="16"/>
          <w:szCs w:val="16"/>
          <w:color w:val="auto"/>
        </w:rPr>
        <w:t>$</w:t>
        <w:tab/>
        <w:t>(63,868)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33020</wp:posOffset>
            </wp:positionV>
            <wp:extent cx="1372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50165</wp:posOffset>
            </wp:positionV>
            <wp:extent cx="1372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560" w:space="720"/>
            <w:col w:w="2140"/>
          </w:cols>
          <w:pgMar w:left="240" w:top="886" w:right="239" w:bottom="484" w:gutter="0" w:footer="0" w:header="0"/>
          <w:type w:val="continuous"/>
        </w:sectPr>
      </w:pPr>
    </w:p>
    <w:p>
      <w:pPr>
        <w:spacing w:after="0" w:line="5"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In 2012, the Company offered a Voluntary Retirement Incentive Program to certain employees of The Washington Post newspaper and recorded early retirement expense of $0.4 million, which is included in discontinued operations.</w:t>
      </w:r>
    </w:p>
    <w:p>
      <w:pPr>
        <w:spacing w:after="0" w:line="92"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discount rates utilized for determining the benefit obligation at December 31, 2013 and 2012, for the postretirement plans were 3.80% and 3.30%, respectively. The assumed health care cost trend rate used in measuring the postretirement benefit obligation at December 31, 2013, was 7.75% for pre-age 65, decreasing to 5.0% in the year 2025 and thereafter. The assumed health care cost trend rate used in measuring the postretirement benefit obligation at December 31, 2013, was 23.4% for the post-age 65 Medicare Advantage Prescription Drug (MA-PD) plan, decreasing to 5.0% in the year 2023 and thereafter, and was 6.75% for the post-age 65 non MA-PD plan, decreasing to 5.0% in the year 2021 and thereafter.</w:t>
      </w:r>
    </w:p>
    <w:p>
      <w:pPr>
        <w:spacing w:after="0" w:line="11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change of one percentage point in the assumed health care cost trend rates would have the following effects: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0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880" w:type="dxa"/>
            <w:vAlign w:val="bottom"/>
          </w:tcPr>
          <w:p>
            <w:pPr>
              <w:jc w:val="right"/>
              <w:ind w:right="343"/>
              <w:spacing w:after="0"/>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7"/>
                <w:szCs w:val="17"/>
                <w:color w:val="auto"/>
              </w:rPr>
            </w:pPr>
          </w:p>
        </w:tc>
        <w:tc>
          <w:tcPr>
            <w:tcW w:w="880" w:type="dxa"/>
            <w:vAlign w:val="bottom"/>
          </w:tcPr>
          <w:p>
            <w:pPr>
              <w:jc w:val="right"/>
              <w:ind w:right="323"/>
              <w:spacing w:after="0"/>
              <w:rPr>
                <w:sz w:val="20"/>
                <w:szCs w:val="20"/>
                <w:color w:val="auto"/>
              </w:rPr>
            </w:pPr>
            <w:r>
              <w:rPr>
                <w:rFonts w:ascii="Arial" w:cs="Arial" w:eastAsia="Arial" w:hAnsi="Arial"/>
                <w:sz w:val="14"/>
                <w:szCs w:val="14"/>
                <w:b w:val="1"/>
                <w:bCs w:val="1"/>
                <w:color w:val="auto"/>
              </w:rPr>
              <w:t>1%</w:t>
            </w:r>
          </w:p>
        </w:tc>
      </w:tr>
      <w:tr>
        <w:trPr>
          <w:trHeight w:val="271"/>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6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Increase</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Decrease</w:t>
            </w:r>
          </w:p>
        </w:tc>
      </w:tr>
      <w:tr>
        <w:trPr>
          <w:trHeight w:val="249"/>
        </w:trPr>
        <w:tc>
          <w:tcPr>
            <w:tcW w:w="5800" w:type="dxa"/>
            <w:vAlign w:val="bottom"/>
          </w:tcPr>
          <w:p>
            <w:pPr>
              <w:ind w:left="40"/>
              <w:spacing w:after="0"/>
              <w:rPr>
                <w:sz w:val="20"/>
                <w:szCs w:val="20"/>
                <w:color w:val="auto"/>
              </w:rPr>
            </w:pPr>
            <w:r>
              <w:rPr>
                <w:rFonts w:ascii="Arial" w:cs="Arial" w:eastAsia="Arial" w:hAnsi="Arial"/>
                <w:sz w:val="16"/>
                <w:szCs w:val="16"/>
                <w:color w:val="auto"/>
              </w:rPr>
              <w:t>Benefit obligation at end of year</w:t>
            </w:r>
          </w:p>
        </w:tc>
        <w:tc>
          <w:tcPr>
            <w:tcW w:w="3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2,322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(2,123)</w:t>
            </w:r>
          </w:p>
        </w:tc>
      </w:tr>
      <w:tr>
        <w:trPr>
          <w:trHeight w:val="270"/>
        </w:trPr>
        <w:tc>
          <w:tcPr>
            <w:tcW w:w="5800" w:type="dxa"/>
            <w:vAlign w:val="bottom"/>
          </w:tcPr>
          <w:p>
            <w:pPr>
              <w:ind w:left="40"/>
              <w:spacing w:after="0"/>
              <w:rPr>
                <w:sz w:val="20"/>
                <w:szCs w:val="20"/>
                <w:color w:val="auto"/>
              </w:rPr>
            </w:pPr>
            <w:r>
              <w:rPr>
                <w:rFonts w:ascii="Arial" w:cs="Arial" w:eastAsia="Arial" w:hAnsi="Arial"/>
                <w:sz w:val="16"/>
                <w:szCs w:val="16"/>
                <w:color w:val="auto"/>
              </w:rPr>
              <w:t>Service cost plus interest cost</w:t>
            </w:r>
          </w:p>
        </w:tc>
        <w:tc>
          <w:tcPr>
            <w:tcW w:w="36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(252)</w:t>
            </w:r>
          </w:p>
        </w:tc>
      </w:tr>
    </w:tbl>
    <w:p>
      <w:pPr>
        <w:spacing w:after="0" w:line="141"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The Company made contributions to its postretirement benefit plans of $ 3.7 million and $3.3 million for the years ended December 31, 2013 and 2012, respectively. As the plans are unfunded, the Company makes contributions to its postretirement plans based on actual benefit payments.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future estimated benefit payments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20" w:type="dxa"/>
            <w:vAlign w:val="bottom"/>
          </w:tcPr>
          <w:p>
            <w:pPr>
              <w:jc w:val="right"/>
              <w:ind w:right="101"/>
              <w:spacing w:after="0"/>
              <w:rPr>
                <w:sz w:val="20"/>
                <w:szCs w:val="20"/>
                <w:color w:val="auto"/>
              </w:rPr>
            </w:pPr>
            <w:r>
              <w:rPr>
                <w:rFonts w:ascii="Arial" w:cs="Arial" w:eastAsia="Arial" w:hAnsi="Arial"/>
                <w:sz w:val="14"/>
                <w:szCs w:val="14"/>
                <w:b w:val="1"/>
                <w:bCs w:val="1"/>
                <w:color w:val="auto"/>
              </w:rPr>
              <w:t>Postretirement</w:t>
            </w:r>
          </w:p>
        </w:tc>
      </w:tr>
      <w:tr>
        <w:trPr>
          <w:trHeight w:val="203"/>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Plans</w:t>
            </w:r>
          </w:p>
        </w:tc>
      </w:tr>
      <w:tr>
        <w:trPr>
          <w:trHeight w:val="222"/>
        </w:trPr>
        <w:tc>
          <w:tcPr>
            <w:tcW w:w="5520" w:type="dxa"/>
            <w:vAlign w:val="bottom"/>
          </w:tcPr>
          <w:p>
            <w:pPr>
              <w:ind w:left="40"/>
              <w:spacing w:after="0"/>
              <w:rPr>
                <w:sz w:val="20"/>
                <w:szCs w:val="20"/>
                <w:color w:val="auto"/>
              </w:rPr>
            </w:pPr>
            <w:r>
              <w:rPr>
                <w:rFonts w:ascii="Arial" w:cs="Arial" w:eastAsia="Arial" w:hAnsi="Arial"/>
                <w:sz w:val="16"/>
                <w:szCs w:val="16"/>
                <w:color w:val="auto"/>
              </w:rPr>
              <w:t>2014</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3,795</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2015</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3,819</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2016</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3,866</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2017</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3,846</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2018</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3,784</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2019-2023</w:t>
            </w:r>
          </w:p>
        </w:tc>
        <w:tc>
          <w:tcPr>
            <w:tcW w:w="46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18,195</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total (benefit) cost arising from the Company’s other postretirement plans consists of the following components:</w:t>
      </w:r>
    </w:p>
    <w:p>
      <w:pPr>
        <w:spacing w:after="0" w:line="219"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27305</wp:posOffset>
            </wp:positionV>
            <wp:extent cx="2101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9"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27305</wp:posOffset>
            </wp:positionV>
            <wp:extent cx="21012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2013</w:t>
            </w: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2011</w:t>
            </w:r>
          </w:p>
        </w:tc>
      </w:tr>
    </w:tbl>
    <w:p>
      <w:pPr>
        <w:spacing w:after="0" w:line="34" w:lineRule="exact"/>
        <w:rPr>
          <w:sz w:val="20"/>
          <w:szCs w:val="20"/>
          <w:color w:val="auto"/>
        </w:rPr>
      </w:pPr>
    </w:p>
    <w:p>
      <w:pPr>
        <w:sectPr>
          <w:pgSz w:w="11900" w:h="16838" w:orient="portrait"/>
          <w:cols w:equalWidth="0" w:num="1">
            <w:col w:w="11420"/>
          </w:cols>
          <w:pgMar w:left="240" w:top="886" w:right="239" w:bottom="484" w:gutter="0" w:footer="0" w:header="0"/>
          <w:type w:val="continuous"/>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gain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Periodic Benefit</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Settlement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Benefit for the Year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(Benefit) Cost and Other Comprehensive Income (Before Tax Effect)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2,488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3,113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2,872</w:t>
            </w:r>
          </w:p>
        </w:tc>
      </w:tr>
      <w:tr>
        <w:trPr>
          <w:trHeight w:val="270"/>
        </w:trPr>
        <w:tc>
          <w:tcPr>
            <w:tcW w:w="2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1,848</w:t>
            </w:r>
          </w:p>
        </w:tc>
        <w:tc>
          <w:tcPr>
            <w:tcW w:w="30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2,735</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3,063</w:t>
            </w:r>
          </w:p>
        </w:tc>
      </w:tr>
      <w:tr>
        <w:trPr>
          <w:trHeight w:val="270"/>
        </w:trPr>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(4,247)</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(5,608)</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(5,650)</w:t>
            </w:r>
          </w:p>
        </w:tc>
      </w:tr>
      <w:tr>
        <w:trPr>
          <w:trHeight w:val="274"/>
        </w:trPr>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(2,141)</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w:t>
            </w:r>
          </w:p>
        </w:tc>
        <w:tc>
          <w:tcPr>
            <w:tcW w:w="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w:t>
            </w:r>
          </w:p>
        </w:tc>
      </w:tr>
      <w:tr>
        <w:trPr>
          <w:trHeight w:val="260"/>
        </w:trPr>
        <w:tc>
          <w:tcPr>
            <w:tcW w:w="24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(2,052)</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(1,238)</w:t>
            </w: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(1,636)</w:t>
            </w:r>
          </w:p>
        </w:tc>
      </w:tr>
      <w:tr>
        <w:trPr>
          <w:trHeight w:val="270"/>
        </w:trPr>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(41,623)</w:t>
            </w:r>
          </w:p>
        </w:tc>
        <w:tc>
          <w:tcPr>
            <w:tcW w:w="30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438</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4"/>
        </w:trPr>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(11,927)</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(55,602)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r>
      <w:tr>
        <w:trPr>
          <w:trHeight w:val="530"/>
        </w:trPr>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(3,298)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(11,493)</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70"/>
        </w:trPr>
        <w:tc>
          <w:tcPr>
            <w:tcW w:w="2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4,247</w:t>
            </w:r>
          </w:p>
        </w:tc>
        <w:tc>
          <w:tcPr>
            <w:tcW w:w="30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5,608</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5,650</w:t>
            </w:r>
          </w:p>
        </w:tc>
      </w:tr>
      <w:tr>
        <w:trPr>
          <w:trHeight w:val="270"/>
        </w:trPr>
        <w:tc>
          <w:tcPr>
            <w:tcW w:w="2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2,141</w:t>
            </w:r>
          </w:p>
        </w:tc>
        <w:tc>
          <w:tcPr>
            <w:tcW w:w="30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1,478</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1,921</w:t>
            </w:r>
          </w:p>
        </w:tc>
      </w:tr>
      <w:tr>
        <w:trPr>
          <w:trHeight w:val="274"/>
        </w:trPr>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32,329</w:t>
            </w: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35,419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(4,407)</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7,516</w:t>
            </w:r>
          </w:p>
        </w:tc>
      </w:tr>
      <w:tr>
        <w:trPr>
          <w:trHeight w:val="264"/>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(5,207)</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5,880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886" w:right="239" w:bottom="484" w:gutter="0" w:footer="0" w:header="0"/>
          <w:type w:val="continuous"/>
        </w:sect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886" w:right="239" w:bottom="484" w:gutter="0" w:footer="0" w:header="0"/>
          <w:type w:val="continuous"/>
        </w:sectPr>
      </w:pPr>
    </w:p>
    <w:bookmarkStart w:id="93" w:name="page94"/>
    <w:bookmarkEnd w:id="93"/>
    <w:p>
      <w:pPr>
        <w:ind w:right="220"/>
        <w:spacing w:after="0"/>
        <w:rPr>
          <w:sz w:val="20"/>
          <w:szCs w:val="20"/>
          <w:color w:val="auto"/>
        </w:rPr>
      </w:pPr>
      <w:r>
        <w:rPr>
          <w:rFonts w:ascii="Arial" w:cs="Arial" w:eastAsia="Arial" w:hAnsi="Arial"/>
          <w:sz w:val="18"/>
          <w:szCs w:val="18"/>
          <w:color w:val="auto"/>
        </w:rPr>
        <w:t>The net periodic benefit, as reported above, includes a benefit of $2.9 million included in discontinued operations in each year for 2013, 2012 and 2011. The curtailment and settlement are included in the gain on sale of Publishing Subsidiaries, which is also reported in discontinued operations.</w:t>
      </w:r>
    </w:p>
    <w:p>
      <w:pPr>
        <w:spacing w:after="0" w:line="108"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The costs for the Company’s postretirement plans are actuarially determined. The discount rates utilized to determine periodic cost for the years ended December 31, 2013, 2012 and 2011, were 3.30%, 3.90% and 4.60%, respectively. AOCI included the following components of unrecognized net periodic benefit for the postretirement plans: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2012</w:t>
            </w:r>
          </w:p>
        </w:tc>
      </w:tr>
      <w:tr>
        <w:trPr>
          <w:trHeight w:val="257"/>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actuarial gain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(13,928)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(25,525)</w:t>
            </w:r>
          </w:p>
        </w:tc>
      </w:tr>
      <w:tr>
        <w:trPr>
          <w:trHeight w:val="274"/>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prior service credit</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(2,306)</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(26,128)</w:t>
            </w:r>
          </w:p>
        </w:tc>
      </w:tr>
      <w:tr>
        <w:trPr>
          <w:trHeight w:val="26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40" w:type="dxa"/>
            <w:vAlign w:val="bottom"/>
          </w:tcPr>
          <w:p>
            <w:pPr>
              <w:spacing w:after="0"/>
              <w:rPr>
                <w:sz w:val="22"/>
                <w:szCs w:val="22"/>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(16,234)</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(51,653)</w:t>
            </w:r>
          </w:p>
        </w:tc>
      </w:tr>
      <w:tr>
        <w:trPr>
          <w:trHeight w:val="274"/>
        </w:trPr>
        <w:tc>
          <w:tcPr>
            <w:tcW w:w="926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6,494</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20,661</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(9,740)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(30,992)</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2014, the Company expects to recognize the following amortization components of net periodic cost for the other postretirement plans: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2014</w:t>
            </w:r>
          </w:p>
        </w:tc>
      </w:tr>
      <w:tr>
        <w:trPr>
          <w:trHeight w:val="225"/>
        </w:trPr>
        <w:tc>
          <w:tcPr>
            <w:tcW w:w="6380" w:type="dxa"/>
            <w:vAlign w:val="bottom"/>
          </w:tcPr>
          <w:p>
            <w:pPr>
              <w:ind w:left="40"/>
              <w:spacing w:after="0"/>
              <w:rPr>
                <w:sz w:val="20"/>
                <w:szCs w:val="20"/>
                <w:color w:val="auto"/>
              </w:rPr>
            </w:pPr>
            <w:r>
              <w:rPr>
                <w:rFonts w:ascii="Arial" w:cs="Arial" w:eastAsia="Arial" w:hAnsi="Arial"/>
                <w:sz w:val="16"/>
                <w:szCs w:val="16"/>
                <w:color w:val="auto"/>
              </w:rPr>
              <w:t>Actuarial gain recognition</w:t>
            </w:r>
          </w:p>
        </w:tc>
        <w:tc>
          <w:tcPr>
            <w:tcW w:w="43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(2,076)</w:t>
            </w:r>
          </w:p>
        </w:tc>
      </w:tr>
      <w:tr>
        <w:trPr>
          <w:trHeight w:val="243"/>
        </w:trPr>
        <w:tc>
          <w:tcPr>
            <w:tcW w:w="6380" w:type="dxa"/>
            <w:vAlign w:val="bottom"/>
          </w:tcPr>
          <w:p>
            <w:pPr>
              <w:ind w:left="40"/>
              <w:spacing w:after="0"/>
              <w:rPr>
                <w:sz w:val="20"/>
                <w:szCs w:val="20"/>
                <w:color w:val="auto"/>
              </w:rPr>
            </w:pPr>
            <w:r>
              <w:rPr>
                <w:rFonts w:ascii="Arial" w:cs="Arial" w:eastAsia="Arial" w:hAnsi="Arial"/>
                <w:sz w:val="16"/>
                <w:szCs w:val="16"/>
                <w:color w:val="auto"/>
              </w:rPr>
              <w:t>Prior service credit recognition</w:t>
            </w:r>
          </w:p>
        </w:tc>
        <w:tc>
          <w:tcPr>
            <w:tcW w:w="434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(783)</w:t>
            </w:r>
          </w:p>
        </w:tc>
      </w:tr>
    </w:tbl>
    <w:p>
      <w:pPr>
        <w:spacing w:after="0" w:line="13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The Company contributed to a number of multiemployer defined benefit pension plans under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collective-bargaining agreements that covered certain union-represented employees.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In March 2013, the Company recorded a $0.4 million charge as The Herald unilaterally withdrew from the Western Conference Teamsters</w:t>
      </w:r>
    </w:p>
    <w:p>
      <w:pPr>
        <w:spacing w:after="0" w:line="223" w:lineRule="auto"/>
        <w:rPr>
          <w:sz w:val="20"/>
          <w:szCs w:val="20"/>
          <w:color w:val="auto"/>
        </w:rPr>
      </w:pPr>
      <w:r>
        <w:rPr>
          <w:rFonts w:ascii="Arial" w:cs="Arial" w:eastAsia="Arial" w:hAnsi="Arial"/>
          <w:sz w:val="18"/>
          <w:szCs w:val="18"/>
          <w:color w:val="auto"/>
        </w:rPr>
        <w:t>Pension Trust Fund as a result of the sale of its business. In 2012, The Herald notified the GCIU Employer’s Trust Fund of its unilateral</w:t>
      </w:r>
    </w:p>
    <w:p>
      <w:pPr>
        <w:spacing w:after="0" w:line="220" w:lineRule="auto"/>
        <w:rPr>
          <w:sz w:val="20"/>
          <w:szCs w:val="20"/>
          <w:color w:val="auto"/>
        </w:rPr>
      </w:pPr>
      <w:r>
        <w:rPr>
          <w:rFonts w:ascii="Arial" w:cs="Arial" w:eastAsia="Arial" w:hAnsi="Arial"/>
          <w:sz w:val="18"/>
          <w:szCs w:val="18"/>
          <w:color w:val="auto"/>
        </w:rPr>
        <w:t>withdrawal from the Plan effective November 30, 2012, and recorded a $0.9 million charge based on an estimate of the withdrawal liability. In</w:t>
      </w:r>
    </w:p>
    <w:p>
      <w:pPr>
        <w:spacing w:after="0" w:line="219" w:lineRule="auto"/>
        <w:rPr>
          <w:sz w:val="20"/>
          <w:szCs w:val="20"/>
          <w:color w:val="auto"/>
        </w:rPr>
      </w:pPr>
      <w:r>
        <w:rPr>
          <w:rFonts w:ascii="Arial" w:cs="Arial" w:eastAsia="Arial" w:hAnsi="Arial"/>
          <w:sz w:val="18"/>
          <w:szCs w:val="18"/>
          <w:color w:val="auto"/>
        </w:rPr>
        <w:t>2011, The Herald notified the union and the CWA/ITU Negotiated Pension Plan of its unilateral withdrawal from the Plan effective</w:t>
      </w:r>
    </w:p>
    <w:p>
      <w:pPr>
        <w:spacing w:after="0" w:line="219" w:lineRule="auto"/>
        <w:rPr>
          <w:sz w:val="20"/>
          <w:szCs w:val="20"/>
          <w:color w:val="auto"/>
        </w:rPr>
      </w:pPr>
      <w:r>
        <w:rPr>
          <w:rFonts w:ascii="Arial" w:cs="Arial" w:eastAsia="Arial" w:hAnsi="Arial"/>
          <w:sz w:val="18"/>
          <w:szCs w:val="18"/>
          <w:color w:val="auto"/>
        </w:rPr>
        <w:t>December 18, 2011. In connection with this action, The Herald recorded a $2.4 million charge in 2011 based on an estimate of the withdrawal</w:t>
      </w:r>
    </w:p>
    <w:p>
      <w:pPr>
        <w:spacing w:after="0" w:line="219" w:lineRule="auto"/>
        <w:rPr>
          <w:sz w:val="20"/>
          <w:szCs w:val="20"/>
          <w:color w:val="auto"/>
        </w:rPr>
      </w:pPr>
      <w:r>
        <w:rPr>
          <w:rFonts w:ascii="Arial" w:cs="Arial" w:eastAsia="Arial" w:hAnsi="Arial"/>
          <w:sz w:val="18"/>
          <w:szCs w:val="18"/>
          <w:color w:val="auto"/>
        </w:rPr>
        <w:t>liability. Payment of the actual withdrawal liability will relieve the Company of further liability to the Plans, absent certain circumstances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prescribed by law.</w:t>
      </w:r>
    </w:p>
    <w:p>
      <w:pPr>
        <w:spacing w:after="0" w:line="12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Company’s total contributions to all multiemployer pension plans amounted to $0.1 million in 2013, $0.2 million in 2012 and $0.4 million in 2011.</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The Company recorded expense associated with retirement benefits provided under incentive savings plans (primarily 401(k)</w:t>
      </w:r>
      <w:r>
        <w:rPr>
          <w:rFonts w:ascii="Arial" w:cs="Arial" w:eastAsia="Arial" w:hAnsi="Arial"/>
          <w:sz w:val="18"/>
          <w:szCs w:val="18"/>
          <w:b w:val="1"/>
          <w:bCs w:val="1"/>
          <w:color w:val="auto"/>
        </w:rPr>
        <w:t xml:space="preserve"> </w:t>
      </w:r>
      <w:r>
        <w:rPr>
          <w:rFonts w:ascii="Arial" w:cs="Arial" w:eastAsia="Arial" w:hAnsi="Arial"/>
          <w:sz w:val="18"/>
          <w:szCs w:val="18"/>
          <w:color w:val="auto"/>
        </w:rPr>
        <w:t>plans) of approximately $9.0 million in 2013, $12.7 million in 2012 and $14.6 million in 2011.</w:t>
      </w:r>
    </w:p>
    <w:p>
      <w:pPr>
        <w:spacing w:after="0" w:line="87"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OTHER NON-OPERATING (EXPENSE) INCOME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2011</w:t>
            </w: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color w:val="auto"/>
              </w:rPr>
              <w:t>Foreign currency (losses) gains, net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(13,382)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3,132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(3,263)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Impairment write-down on a marketable equity security</w:t>
            </w:r>
          </w:p>
        </w:tc>
        <w:tc>
          <w:tcPr>
            <w:tcW w:w="26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(10,438)</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(17,998)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(53,793)</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(Losses) gains on sales or write-downs of cost method investments, net</w:t>
            </w:r>
          </w:p>
        </w:tc>
        <w:tc>
          <w:tcPr>
            <w:tcW w:w="26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(1,761)</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6,639</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419</w:t>
            </w: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1,830</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2,771</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1,437</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(Expense)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(23,751)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(5,456)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(55,200)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24" w:right="239" w:bottom="1440" w:gutter="0" w:footer="0" w:header="0"/>
        </w:sectPr>
      </w:pPr>
    </w:p>
    <w:bookmarkStart w:id="94" w:name="page95"/>
    <w:bookmarkEnd w:id="94"/>
    <w:p>
      <w:pPr>
        <w:spacing w:after="0" w:line="67"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5"/>
          </w:tcPr>
          <w:p>
            <w:pPr>
              <w:jc w:val="center"/>
              <w:ind w:right="41"/>
              <w:spacing w:after="0"/>
              <w:rPr>
                <w:sz w:val="20"/>
                <w:szCs w:val="20"/>
                <w:color w:val="auto"/>
              </w:rPr>
            </w:pPr>
            <w:r>
              <w:rPr>
                <w:rFonts w:ascii="Arial" w:cs="Arial" w:eastAsia="Arial" w:hAnsi="Arial"/>
                <w:sz w:val="14"/>
                <w:szCs w:val="14"/>
                <w:b w:val="1"/>
                <w:bCs w:val="1"/>
                <w:color w:val="auto"/>
              </w:rPr>
              <w:t>Year Ended December 31, 2013</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right="142"/>
              <w:spacing w:after="0"/>
              <w:rPr>
                <w:sz w:val="20"/>
                <w:szCs w:val="20"/>
                <w:color w:val="auto"/>
              </w:rPr>
            </w:pPr>
            <w:r>
              <w:rPr>
                <w:rFonts w:ascii="Arial" w:cs="Arial" w:eastAsia="Arial" w:hAnsi="Arial"/>
                <w:sz w:val="14"/>
                <w:szCs w:val="14"/>
                <w:b w:val="1"/>
                <w:bCs w:val="1"/>
                <w:color w:val="auto"/>
              </w:rPr>
              <w:t>Before-Tax</w:t>
            </w:r>
          </w:p>
        </w:tc>
        <w:tc>
          <w:tcPr>
            <w:tcW w:w="280" w:type="dxa"/>
            <w:vAlign w:val="bottom"/>
          </w:tcPr>
          <w:p>
            <w:pPr>
              <w:spacing w:after="0"/>
              <w:rPr>
                <w:sz w:val="22"/>
                <w:szCs w:val="22"/>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b w:val="1"/>
                <w:bCs w:val="1"/>
                <w:color w:val="auto"/>
              </w:rPr>
              <w:t>Income</w:t>
            </w:r>
          </w:p>
        </w:tc>
        <w:tc>
          <w:tcPr>
            <w:tcW w:w="260" w:type="dxa"/>
            <w:vAlign w:val="bottom"/>
          </w:tcPr>
          <w:p>
            <w:pPr>
              <w:spacing w:after="0"/>
              <w:rPr>
                <w:sz w:val="22"/>
                <w:szCs w:val="22"/>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268"/>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0"/>
              </w:rPr>
              <w:t>Tax</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2"/>
        </w:trPr>
        <w:tc>
          <w:tcPr>
            <w:tcW w:w="77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78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(1,059)</w:t>
            </w:r>
          </w:p>
        </w:tc>
        <w:tc>
          <w:tcPr>
            <w:tcW w:w="280" w:type="dxa"/>
            <w:vAlign w:val="bottom"/>
          </w:tcPr>
          <w:p>
            <w:pPr>
              <w:spacing w:after="0"/>
              <w:rPr>
                <w:sz w:val="24"/>
                <w:szCs w:val="24"/>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(1,059)</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6"/>
                <w:szCs w:val="16"/>
                <w:color w:val="auto"/>
              </w:rPr>
              <w:t>Unrealized gains on available-for-sale securities: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tcPr>
          <w:p>
            <w:pPr>
              <w:ind w:left="180"/>
              <w:spacing w:after="0"/>
              <w:rPr>
                <w:sz w:val="20"/>
                <w:szCs w:val="20"/>
                <w:color w:val="auto"/>
              </w:rPr>
            </w:pPr>
            <w:r>
              <w:rPr>
                <w:rFonts w:ascii="Arial" w:cs="Arial" w:eastAsia="Arial" w:hAnsi="Arial"/>
                <w:sz w:val="16"/>
                <w:szCs w:val="16"/>
                <w:color w:val="auto"/>
              </w:rPr>
              <w:t>Unrealized gains for the year</w:t>
            </w:r>
          </w:p>
        </w:tc>
        <w:tc>
          <w:tcPr>
            <w:tcW w:w="160" w:type="dxa"/>
            <w:vAlign w:val="bottom"/>
          </w:tcPr>
          <w:p>
            <w:pPr>
              <w:spacing w:after="0"/>
              <w:rPr>
                <w:sz w:val="24"/>
                <w:szCs w:val="24"/>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95,629</w:t>
            </w:r>
          </w:p>
        </w:tc>
        <w:tc>
          <w:tcPr>
            <w:tcW w:w="28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(38,251)</w:t>
            </w:r>
          </w:p>
        </w:tc>
        <w:tc>
          <w:tcPr>
            <w:tcW w:w="2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57,378</w:t>
            </w:r>
          </w:p>
        </w:tc>
        <w:tc>
          <w:tcPr>
            <w:tcW w:w="0" w:type="dxa"/>
            <w:vAlign w:val="bottom"/>
          </w:tcPr>
          <w:p>
            <w:pPr>
              <w:spacing w:after="0"/>
              <w:rPr>
                <w:sz w:val="1"/>
                <w:szCs w:val="1"/>
                <w:color w:val="auto"/>
              </w:rPr>
            </w:pPr>
          </w:p>
        </w:tc>
      </w:tr>
      <w:tr>
        <w:trPr>
          <w:trHeight w:val="206"/>
        </w:trPr>
        <w:tc>
          <w:tcPr>
            <w:tcW w:w="7780" w:type="dxa"/>
            <w:vAlign w:val="bottom"/>
          </w:tcPr>
          <w:p>
            <w:pPr>
              <w:ind w:left="180"/>
              <w:spacing w:after="0"/>
              <w:rPr>
                <w:sz w:val="20"/>
                <w:szCs w:val="20"/>
                <w:color w:val="auto"/>
              </w:rPr>
            </w:pPr>
            <w:r>
              <w:rPr>
                <w:rFonts w:ascii="Arial" w:cs="Arial" w:eastAsia="Arial" w:hAnsi="Arial"/>
                <w:sz w:val="16"/>
                <w:szCs w:val="16"/>
                <w:color w:val="auto"/>
              </w:rPr>
              <w:t>Reclassification adjustment for write-down on available-for-sale securities, net of gain, included in net</w:t>
            </w:r>
          </w:p>
        </w:tc>
        <w:tc>
          <w:tcPr>
            <w:tcW w:w="160" w:type="dxa"/>
            <w:vAlign w:val="bottom"/>
          </w:tcPr>
          <w:p>
            <w:pPr>
              <w:spacing w:after="0"/>
              <w:rPr>
                <w:sz w:val="17"/>
                <w:szCs w:val="17"/>
                <w:color w:val="auto"/>
              </w:rPr>
            </w:pPr>
          </w:p>
        </w:tc>
        <w:tc>
          <w:tcPr>
            <w:tcW w:w="1040" w:type="dxa"/>
            <w:vAlign w:val="bottom"/>
            <w:vMerge w:val="restart"/>
          </w:tcPr>
          <w:p>
            <w:pPr>
              <w:jc w:val="right"/>
              <w:ind w:right="82"/>
              <w:spacing w:after="0"/>
              <w:rPr>
                <w:sz w:val="20"/>
                <w:szCs w:val="20"/>
                <w:color w:val="auto"/>
              </w:rPr>
            </w:pPr>
            <w:r>
              <w:rPr>
                <w:rFonts w:ascii="Arial" w:cs="Arial" w:eastAsia="Arial" w:hAnsi="Arial"/>
                <w:sz w:val="16"/>
                <w:szCs w:val="16"/>
                <w:b w:val="1"/>
                <w:bCs w:val="1"/>
                <w:color w:val="auto"/>
              </w:rPr>
              <w:t>9,554</w:t>
            </w:r>
          </w:p>
        </w:tc>
        <w:tc>
          <w:tcPr>
            <w:tcW w:w="280" w:type="dxa"/>
            <w:vAlign w:val="bottom"/>
          </w:tcPr>
          <w:p>
            <w:pPr>
              <w:spacing w:after="0"/>
              <w:rPr>
                <w:sz w:val="17"/>
                <w:szCs w:val="17"/>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(3,822)</w:t>
            </w:r>
          </w:p>
        </w:tc>
        <w:tc>
          <w:tcPr>
            <w:tcW w:w="260" w:type="dxa"/>
            <w:vAlign w:val="bottom"/>
          </w:tcPr>
          <w:p>
            <w:pPr>
              <w:spacing w:after="0"/>
              <w:rPr>
                <w:sz w:val="17"/>
                <w:szCs w:val="17"/>
                <w:color w:val="auto"/>
              </w:rPr>
            </w:pPr>
          </w:p>
        </w:tc>
        <w:tc>
          <w:tcPr>
            <w:tcW w:w="9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5,732</w:t>
            </w:r>
          </w:p>
        </w:tc>
        <w:tc>
          <w:tcPr>
            <w:tcW w:w="0" w:type="dxa"/>
            <w:vAlign w:val="bottom"/>
          </w:tcPr>
          <w:p>
            <w:pPr>
              <w:spacing w:after="0"/>
              <w:rPr>
                <w:sz w:val="1"/>
                <w:szCs w:val="1"/>
                <w:color w:val="auto"/>
              </w:rPr>
            </w:pPr>
          </w:p>
        </w:tc>
      </w:tr>
      <w:tr>
        <w:trPr>
          <w:trHeight w:val="230"/>
        </w:trPr>
        <w:tc>
          <w:tcPr>
            <w:tcW w:w="7780" w:type="dxa"/>
            <w:vAlign w:val="bottom"/>
          </w:tcPr>
          <w:p>
            <w:pPr>
              <w:ind w:left="340"/>
              <w:spacing w:after="0"/>
              <w:rPr>
                <w:sz w:val="20"/>
                <w:szCs w:val="20"/>
                <w:color w:val="auto"/>
              </w:rPr>
            </w:pPr>
            <w:r>
              <w:rPr>
                <w:rFonts w:ascii="Arial" w:cs="Arial" w:eastAsia="Arial" w:hAnsi="Arial"/>
                <w:sz w:val="16"/>
                <w:szCs w:val="16"/>
                <w:color w:val="auto"/>
              </w:rPr>
              <w:t>income</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7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105,183</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(42,073)</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63,110</w:t>
            </w: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tcPr>
          <w:p>
            <w:pPr>
              <w:ind w:left="180"/>
              <w:spacing w:after="0"/>
              <w:rPr>
                <w:sz w:val="20"/>
                <w:szCs w:val="20"/>
                <w:color w:val="auto"/>
              </w:rPr>
            </w:pPr>
            <w:r>
              <w:rPr>
                <w:rFonts w:ascii="Arial" w:cs="Arial" w:eastAsia="Arial" w:hAnsi="Arial"/>
                <w:sz w:val="16"/>
                <w:szCs w:val="16"/>
                <w:color w:val="auto"/>
              </w:rPr>
              <w:t>Actuarial gain</w:t>
            </w:r>
          </w:p>
        </w:tc>
        <w:tc>
          <w:tcPr>
            <w:tcW w:w="160" w:type="dxa"/>
            <w:vAlign w:val="bottom"/>
          </w:tcPr>
          <w:p>
            <w:pPr>
              <w:spacing w:after="0"/>
              <w:rPr>
                <w:sz w:val="24"/>
                <w:szCs w:val="24"/>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762,806</w:t>
            </w:r>
          </w:p>
        </w:tc>
        <w:tc>
          <w:tcPr>
            <w:tcW w:w="280" w:type="dxa"/>
            <w:vAlign w:val="bottom"/>
          </w:tcPr>
          <w:p>
            <w:pPr>
              <w:spacing w:after="0"/>
              <w:rPr>
                <w:sz w:val="24"/>
                <w:szCs w:val="24"/>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(305,123)</w:t>
            </w:r>
          </w:p>
        </w:tc>
        <w:tc>
          <w:tcPr>
            <w:tcW w:w="260" w:type="dxa"/>
            <w:vAlign w:val="bottom"/>
          </w:tcPr>
          <w:p>
            <w:pPr>
              <w:spacing w:after="0"/>
              <w:rPr>
                <w:sz w:val="24"/>
                <w:szCs w:val="24"/>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457,683</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net actuarial loss included in net income</w:t>
            </w:r>
          </w:p>
        </w:tc>
        <w:tc>
          <w:tcPr>
            <w:tcW w:w="160" w:type="dxa"/>
            <w:vAlign w:val="bottom"/>
          </w:tcPr>
          <w:p>
            <w:pPr>
              <w:spacing w:after="0"/>
              <w:rPr>
                <w:sz w:val="23"/>
                <w:szCs w:val="23"/>
                <w:color w:val="auto"/>
              </w:rPr>
            </w:pPr>
          </w:p>
        </w:tc>
        <w:tc>
          <w:tcPr>
            <w:tcW w:w="1040" w:type="dxa"/>
            <w:vAlign w:val="bottom"/>
          </w:tcPr>
          <w:p>
            <w:pPr>
              <w:jc w:val="right"/>
              <w:ind w:right="82"/>
              <w:spacing w:after="0"/>
              <w:rPr>
                <w:sz w:val="20"/>
                <w:szCs w:val="20"/>
                <w:color w:val="auto"/>
              </w:rPr>
            </w:pPr>
            <w:r>
              <w:rPr>
                <w:rFonts w:ascii="Arial" w:cs="Arial" w:eastAsia="Arial" w:hAnsi="Arial"/>
                <w:sz w:val="16"/>
                <w:szCs w:val="16"/>
                <w:b w:val="1"/>
                <w:bCs w:val="1"/>
                <w:color w:val="auto"/>
              </w:rPr>
              <w:t>3,096</w:t>
            </w:r>
          </w:p>
        </w:tc>
        <w:tc>
          <w:tcPr>
            <w:tcW w:w="28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(1,238)</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1,858</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included in net income</w:t>
            </w:r>
          </w:p>
        </w:tc>
        <w:tc>
          <w:tcPr>
            <w:tcW w:w="160" w:type="dxa"/>
            <w:vAlign w:val="bottom"/>
          </w:tcPr>
          <w:p>
            <w:pPr>
              <w:spacing w:after="0"/>
              <w:rPr>
                <w:sz w:val="23"/>
                <w:szCs w:val="23"/>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(1,383)</w:t>
            </w:r>
          </w:p>
        </w:tc>
        <w:tc>
          <w:tcPr>
            <w:tcW w:w="2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553</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(830)</w:t>
            </w:r>
          </w:p>
        </w:tc>
        <w:tc>
          <w:tcPr>
            <w:tcW w:w="0" w:type="dxa"/>
            <w:vAlign w:val="bottom"/>
          </w:tcPr>
          <w:p>
            <w:pPr>
              <w:spacing w:after="0"/>
              <w:rPr>
                <w:sz w:val="1"/>
                <w:szCs w:val="1"/>
                <w:color w:val="auto"/>
              </w:rPr>
            </w:pPr>
          </w:p>
        </w:tc>
      </w:tr>
      <w:tr>
        <w:trPr>
          <w:trHeight w:val="274"/>
        </w:trPr>
        <w:tc>
          <w:tcPr>
            <w:tcW w:w="7780" w:type="dxa"/>
            <w:vAlign w:val="bottom"/>
          </w:tcPr>
          <w:p>
            <w:pPr>
              <w:ind w:left="180"/>
              <w:spacing w:after="0"/>
              <w:rPr>
                <w:sz w:val="20"/>
                <w:szCs w:val="20"/>
                <w:color w:val="auto"/>
              </w:rPr>
            </w:pPr>
            <w:r>
              <w:rPr>
                <w:rFonts w:ascii="Arial" w:cs="Arial" w:eastAsia="Arial" w:hAnsi="Arial"/>
                <w:sz w:val="16"/>
                <w:szCs w:val="16"/>
                <w:color w:val="auto"/>
              </w:rPr>
              <w:t>Curtailments and settlements</w:t>
            </w: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(124,051)</w:t>
            </w: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49,617</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(74,434)</w:t>
            </w:r>
          </w:p>
        </w:tc>
        <w:tc>
          <w:tcPr>
            <w:tcW w:w="0" w:type="dxa"/>
            <w:vAlign w:val="bottom"/>
          </w:tcPr>
          <w:p>
            <w:pPr>
              <w:spacing w:after="0"/>
              <w:rPr>
                <w:sz w:val="1"/>
                <w:szCs w:val="1"/>
                <w:color w:val="auto"/>
              </w:rPr>
            </w:pPr>
          </w:p>
        </w:tc>
      </w:tr>
      <w:tr>
        <w:trPr>
          <w:trHeight w:val="261"/>
        </w:trPr>
        <w:tc>
          <w:tcPr>
            <w:tcW w:w="7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640,468</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(256,191)</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384,277</w:t>
            </w: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7780" w:type="dxa"/>
            <w:vAlign w:val="bottom"/>
          </w:tcPr>
          <w:p>
            <w:pPr>
              <w:ind w:left="180"/>
              <w:spacing w:after="0"/>
              <w:rPr>
                <w:sz w:val="20"/>
                <w:szCs w:val="20"/>
                <w:color w:val="auto"/>
              </w:rPr>
            </w:pPr>
            <w:r>
              <w:rPr>
                <w:rFonts w:ascii="Arial" w:cs="Arial" w:eastAsia="Arial" w:hAnsi="Arial"/>
                <w:sz w:val="16"/>
                <w:szCs w:val="16"/>
                <w:color w:val="auto"/>
              </w:rPr>
              <w:t>Gain for the year</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520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(208)</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312</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745,112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(298,472)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446,640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7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5"/>
          </w:tcPr>
          <w:p>
            <w:pPr>
              <w:jc w:val="center"/>
              <w:ind w:right="61"/>
              <w:spacing w:after="0"/>
              <w:rPr>
                <w:sz w:val="20"/>
                <w:szCs w:val="20"/>
                <w:color w:val="auto"/>
              </w:rPr>
            </w:pPr>
            <w:r>
              <w:rPr>
                <w:rFonts w:ascii="Arial" w:cs="Arial" w:eastAsia="Arial" w:hAnsi="Arial"/>
                <w:sz w:val="14"/>
                <w:szCs w:val="14"/>
                <w:color w:val="auto"/>
              </w:rPr>
              <w:t>Year Ended December 31, 2012</w:t>
            </w:r>
          </w:p>
        </w:tc>
        <w:tc>
          <w:tcPr>
            <w:tcW w:w="0" w:type="dxa"/>
            <w:vAlign w:val="bottom"/>
          </w:tcPr>
          <w:p>
            <w:pPr>
              <w:spacing w:after="0"/>
              <w:rPr>
                <w:sz w:val="1"/>
                <w:szCs w:val="1"/>
                <w:color w:val="auto"/>
              </w:rPr>
            </w:pPr>
          </w:p>
        </w:tc>
      </w:tr>
      <w:tr>
        <w:trPr>
          <w:trHeight w:val="260"/>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right="142"/>
              <w:spacing w:after="0"/>
              <w:rPr>
                <w:sz w:val="20"/>
                <w:szCs w:val="20"/>
                <w:color w:val="auto"/>
              </w:rPr>
            </w:pPr>
            <w:r>
              <w:rPr>
                <w:rFonts w:ascii="Arial" w:cs="Arial" w:eastAsia="Arial" w:hAnsi="Arial"/>
                <w:sz w:val="14"/>
                <w:szCs w:val="14"/>
                <w:color w:val="auto"/>
              </w:rPr>
              <w:t>Before-Tax</w:t>
            </w:r>
          </w:p>
        </w:tc>
        <w:tc>
          <w:tcPr>
            <w:tcW w:w="280" w:type="dxa"/>
            <w:vAlign w:val="bottom"/>
          </w:tcPr>
          <w:p>
            <w:pPr>
              <w:spacing w:after="0"/>
              <w:rPr>
                <w:sz w:val="22"/>
                <w:szCs w:val="22"/>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22"/>
                <w:szCs w:val="22"/>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8"/>
                <w:szCs w:val="18"/>
                <w:color w:val="auto"/>
              </w:rPr>
            </w:pPr>
          </w:p>
        </w:tc>
        <w:tc>
          <w:tcPr>
            <w:tcW w:w="1040" w:type="dxa"/>
            <w:vAlign w:val="bottom"/>
          </w:tcPr>
          <w:p>
            <w:pPr>
              <w:jc w:val="center"/>
              <w:ind w:right="142"/>
              <w:spacing w:after="0"/>
              <w:rPr>
                <w:sz w:val="20"/>
                <w:szCs w:val="20"/>
                <w:color w:val="auto"/>
              </w:rPr>
            </w:pPr>
            <w:r>
              <w:rPr>
                <w:rFonts w:ascii="Arial" w:cs="Arial" w:eastAsia="Arial" w:hAnsi="Arial"/>
                <w:sz w:val="14"/>
                <w:szCs w:val="14"/>
                <w:color w:val="auto"/>
              </w:rPr>
              <w:t>Amount</w:t>
            </w:r>
          </w:p>
        </w:tc>
        <w:tc>
          <w:tcPr>
            <w:tcW w:w="280" w:type="dxa"/>
            <w:vAlign w:val="bottom"/>
          </w:tcPr>
          <w:p>
            <w:pPr>
              <w:spacing w:after="0"/>
              <w:rPr>
                <w:sz w:val="18"/>
                <w:szCs w:val="18"/>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8"/>
                <w:szCs w:val="18"/>
                <w:color w:val="auto"/>
              </w:rPr>
            </w:pPr>
          </w:p>
        </w:tc>
        <w:tc>
          <w:tcPr>
            <w:tcW w:w="940" w:type="dxa"/>
            <w:vAlign w:val="bottom"/>
          </w:tcPr>
          <w:p>
            <w:pPr>
              <w:jc w:val="center"/>
              <w:ind w:right="121"/>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58"/>
        </w:trPr>
        <w:tc>
          <w:tcPr>
            <w:tcW w:w="77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905" w:orient="portrait"/>
          <w:cols w:equalWidth="0" w:num="1">
            <w:col w:w="11420"/>
          </w:cols>
          <w:pgMar w:left="240" w:top="722" w:right="239" w:bottom="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right="3080"/>
        <w:spacing w:after="0" w:line="397"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year</w:t>
      </w:r>
    </w:p>
    <w:p>
      <w:pPr>
        <w:spacing w:after="0" w:line="59" w:lineRule="exact"/>
        <w:rPr>
          <w:sz w:val="20"/>
          <w:szCs w:val="20"/>
          <w:color w:val="auto"/>
        </w:rPr>
      </w:pPr>
    </w:p>
    <w:p>
      <w:pPr>
        <w:ind w:left="340" w:hanging="161"/>
        <w:spacing w:after="0" w:line="291" w:lineRule="auto"/>
        <w:rPr>
          <w:sz w:val="20"/>
          <w:szCs w:val="20"/>
          <w:color w:val="auto"/>
        </w:rPr>
      </w:pPr>
      <w:r>
        <w:rPr>
          <w:rFonts w:ascii="Arial" w:cs="Arial" w:eastAsia="Arial" w:hAnsi="Arial"/>
          <w:sz w:val="16"/>
          <w:szCs w:val="16"/>
          <w:color w:val="auto"/>
        </w:rPr>
        <w:t>Reclassification adjustment for write-down on available-for-sale securities, net of gain, included in net income</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gain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actuarial loss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adjustments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for the year</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5,622</w:t>
            </w:r>
          </w:p>
        </w:tc>
        <w:tc>
          <w:tcPr>
            <w:tcW w:w="36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5,622</w:t>
            </w:r>
          </w:p>
        </w:tc>
      </w:tr>
      <w:tr>
        <w:trPr>
          <w:trHeight w:val="279"/>
        </w:trPr>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(888)</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r>
      <w:tr>
        <w:trPr>
          <w:trHeight w:val="264"/>
        </w:trPr>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4,734</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4,734</w:t>
            </w:r>
          </w:p>
        </w:tc>
      </w:tr>
      <w:tr>
        <w:trPr>
          <w:trHeight w:val="525"/>
        </w:trPr>
        <w:tc>
          <w:tcPr>
            <w:tcW w:w="30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33,098</w:t>
            </w: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(13,239)</w:t>
            </w:r>
          </w:p>
        </w:tc>
        <w:tc>
          <w:tcPr>
            <w:tcW w:w="3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19,859</w:t>
            </w:r>
          </w:p>
        </w:tc>
      </w:tr>
      <w:tr>
        <w:trPr>
          <w:trHeight w:val="441"/>
        </w:trPr>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17,226</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(6,890)</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10,336</w:t>
            </w:r>
          </w:p>
        </w:tc>
      </w:tr>
      <w:tr>
        <w:trPr>
          <w:trHeight w:val="264"/>
        </w:trPr>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50,324</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(20,129)</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30,195</w:t>
            </w:r>
          </w:p>
        </w:tc>
      </w:tr>
      <w:tr>
        <w:trPr>
          <w:trHeight w:val="525"/>
        </w:trPr>
        <w:tc>
          <w:tcPr>
            <w:tcW w:w="30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82,470</w:t>
            </w: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(32,987)</w:t>
            </w:r>
          </w:p>
        </w:tc>
        <w:tc>
          <w:tcPr>
            <w:tcW w:w="38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49,483</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9,368</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(3,746)</w:t>
            </w:r>
          </w:p>
        </w:tc>
        <w:tc>
          <w:tcPr>
            <w:tcW w:w="38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5,622</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(1,859)</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744</w:t>
            </w:r>
          </w:p>
        </w:tc>
        <w:tc>
          <w:tcPr>
            <w:tcW w:w="3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(1,115)</w:t>
            </w:r>
          </w:p>
        </w:tc>
      </w:tr>
      <w:tr>
        <w:trPr>
          <w:trHeight w:val="279"/>
        </w:trPr>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(745)</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299</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r>
      <w:tr>
        <w:trPr>
          <w:trHeight w:val="264"/>
        </w:trPr>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89,234</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(35,690)</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53,544</w:t>
            </w:r>
          </w:p>
        </w:tc>
      </w:tr>
      <w:tr>
        <w:trPr>
          <w:trHeight w:val="534"/>
        </w:trPr>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(1,581)</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633</w:t>
            </w: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w:t>
            </w:r>
          </w:p>
        </w:tc>
      </w:tr>
      <w:tr>
        <w:trPr>
          <w:trHeight w:val="264"/>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142,711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(55,186)</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87,525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905" w:orient="portrait"/>
          <w:cols w:equalWidth="0" w:num="2">
            <w:col w:w="7420" w:space="360"/>
            <w:col w:w="3640"/>
          </w:cols>
          <w:pgMar w:left="240" w:top="722" w:right="239" w:bottom="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4"/>
          </w:tcPr>
          <w:p>
            <w:pPr>
              <w:jc w:val="center"/>
              <w:ind w:right="44"/>
              <w:spacing w:after="0"/>
              <w:rPr>
                <w:sz w:val="20"/>
                <w:szCs w:val="20"/>
                <w:color w:val="auto"/>
              </w:rPr>
            </w:pPr>
            <w:r>
              <w:rPr>
                <w:rFonts w:ascii="Arial" w:cs="Arial" w:eastAsia="Arial" w:hAnsi="Arial"/>
                <w:sz w:val="14"/>
                <w:szCs w:val="14"/>
                <w:color w:val="auto"/>
              </w:rPr>
              <w:t>Year Ended December 31, 2011</w:t>
            </w:r>
          </w:p>
        </w:tc>
        <w:tc>
          <w:tcPr>
            <w:tcW w:w="0" w:type="dxa"/>
            <w:vAlign w:val="bottom"/>
          </w:tcPr>
          <w:p>
            <w:pPr>
              <w:spacing w:after="0"/>
              <w:rPr>
                <w:sz w:val="1"/>
                <w:szCs w:val="1"/>
                <w:color w:val="auto"/>
              </w:rPr>
            </w:pPr>
          </w:p>
        </w:tc>
      </w:tr>
      <w:tr>
        <w:trPr>
          <w:trHeight w:val="260"/>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345"/>
              <w:spacing w:after="0"/>
              <w:rPr>
                <w:sz w:val="20"/>
                <w:szCs w:val="20"/>
                <w:color w:val="auto"/>
              </w:rPr>
            </w:pPr>
            <w:r>
              <w:rPr>
                <w:rFonts w:ascii="Arial" w:cs="Arial" w:eastAsia="Arial" w:hAnsi="Arial"/>
                <w:sz w:val="14"/>
                <w:szCs w:val="14"/>
                <w:color w:val="auto"/>
              </w:rPr>
              <w:t>Before-Tax</w:t>
            </w:r>
          </w:p>
        </w:tc>
        <w:tc>
          <w:tcPr>
            <w:tcW w:w="1100" w:type="dxa"/>
            <w:vAlign w:val="bottom"/>
          </w:tcPr>
          <w:p>
            <w:pPr>
              <w:jc w:val="center"/>
              <w:ind w:right="44"/>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22"/>
                <w:szCs w:val="22"/>
                <w:color w:val="auto"/>
              </w:rPr>
            </w:pPr>
          </w:p>
        </w:tc>
        <w:tc>
          <w:tcPr>
            <w:tcW w:w="940" w:type="dxa"/>
            <w:vAlign w:val="bottom"/>
          </w:tcPr>
          <w:p>
            <w:pPr>
              <w:jc w:val="right"/>
              <w:ind w:right="204"/>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8"/>
                <w:szCs w:val="18"/>
                <w:color w:val="auto"/>
              </w:rPr>
            </w:pPr>
          </w:p>
        </w:tc>
        <w:tc>
          <w:tcPr>
            <w:tcW w:w="1180" w:type="dxa"/>
            <w:vAlign w:val="bottom"/>
          </w:tcPr>
          <w:p>
            <w:pPr>
              <w:jc w:val="right"/>
              <w:ind w:right="445"/>
              <w:spacing w:after="0"/>
              <w:rPr>
                <w:sz w:val="20"/>
                <w:szCs w:val="20"/>
                <w:color w:val="auto"/>
              </w:rPr>
            </w:pPr>
            <w:r>
              <w:rPr>
                <w:rFonts w:ascii="Arial" w:cs="Arial" w:eastAsia="Arial" w:hAnsi="Arial"/>
                <w:sz w:val="14"/>
                <w:szCs w:val="14"/>
                <w:color w:val="auto"/>
              </w:rPr>
              <w:t>Amount</w:t>
            </w:r>
          </w:p>
        </w:tc>
        <w:tc>
          <w:tcPr>
            <w:tcW w:w="1100" w:type="dxa"/>
            <w:vAlign w:val="bottom"/>
          </w:tcPr>
          <w:p>
            <w:pPr>
              <w:jc w:val="center"/>
              <w:ind w:right="44"/>
              <w:spacing w:after="0"/>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8"/>
                <w:szCs w:val="18"/>
                <w:color w:val="auto"/>
              </w:rPr>
            </w:pPr>
          </w:p>
        </w:tc>
        <w:tc>
          <w:tcPr>
            <w:tcW w:w="940" w:type="dxa"/>
            <w:vAlign w:val="bottom"/>
          </w:tcPr>
          <w:p>
            <w:pPr>
              <w:jc w:val="right"/>
              <w:ind w:right="244"/>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58"/>
        </w:trPr>
        <w:tc>
          <w:tcPr>
            <w:tcW w:w="77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color w:val="auto"/>
              </w:rPr>
              <w:t>Foreign currency translation adjustments:</w:t>
            </w: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5"/>
                <w:szCs w:val="15"/>
                <w:color w:val="auto"/>
              </w:rPr>
              <w:t>Translation adjustments arising during the year</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65"/>
              <w:spacing w:after="0"/>
              <w:rPr>
                <w:sz w:val="20"/>
                <w:szCs w:val="20"/>
                <w:color w:val="auto"/>
              </w:rPr>
            </w:pPr>
            <w:r>
              <w:rPr>
                <w:rFonts w:ascii="Arial" w:cs="Arial" w:eastAsia="Arial" w:hAnsi="Arial"/>
                <w:sz w:val="15"/>
                <w:szCs w:val="15"/>
                <w:color w:val="auto"/>
              </w:rPr>
              <w:t>(21,375)</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5,107</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(16,268)</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5"/>
                <w:szCs w:val="15"/>
                <w:color w:val="auto"/>
              </w:rPr>
              <w:t>Unrealized gains on available-for-sale securities:</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5"/>
                <w:szCs w:val="15"/>
                <w:color w:val="auto"/>
              </w:rPr>
              <w:t>Unrealized losses for the year</w:t>
            </w:r>
          </w:p>
        </w:tc>
        <w:tc>
          <w:tcPr>
            <w:tcW w:w="160" w:type="dxa"/>
            <w:vAlign w:val="bottom"/>
          </w:tcPr>
          <w:p>
            <w:pPr>
              <w:spacing w:after="0"/>
              <w:rPr>
                <w:sz w:val="23"/>
                <w:szCs w:val="23"/>
                <w:color w:val="auto"/>
              </w:rPr>
            </w:pPr>
          </w:p>
        </w:tc>
        <w:tc>
          <w:tcPr>
            <w:tcW w:w="1180" w:type="dxa"/>
            <w:vAlign w:val="bottom"/>
          </w:tcPr>
          <w:p>
            <w:pPr>
              <w:jc w:val="right"/>
              <w:ind w:right="165"/>
              <w:spacing w:after="0"/>
              <w:rPr>
                <w:sz w:val="20"/>
                <w:szCs w:val="20"/>
                <w:color w:val="auto"/>
              </w:rPr>
            </w:pPr>
            <w:r>
              <w:rPr>
                <w:rFonts w:ascii="Arial" w:cs="Arial" w:eastAsia="Arial" w:hAnsi="Arial"/>
                <w:sz w:val="15"/>
                <w:szCs w:val="15"/>
                <w:color w:val="auto"/>
              </w:rPr>
              <w:t>(37,708)</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15,084</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(22,624)</w:t>
            </w:r>
          </w:p>
        </w:tc>
        <w:tc>
          <w:tcPr>
            <w:tcW w:w="0" w:type="dxa"/>
            <w:vAlign w:val="bottom"/>
          </w:tcPr>
          <w:p>
            <w:pPr>
              <w:spacing w:after="0"/>
              <w:rPr>
                <w:sz w:val="1"/>
                <w:szCs w:val="1"/>
                <w:color w:val="auto"/>
              </w:rPr>
            </w:pPr>
          </w:p>
        </w:tc>
      </w:tr>
      <w:tr>
        <w:trPr>
          <w:trHeight w:val="273"/>
        </w:trPr>
        <w:tc>
          <w:tcPr>
            <w:tcW w:w="7780" w:type="dxa"/>
            <w:vAlign w:val="bottom"/>
          </w:tcPr>
          <w:p>
            <w:pPr>
              <w:ind w:left="180"/>
              <w:spacing w:after="0"/>
              <w:rPr>
                <w:sz w:val="20"/>
                <w:szCs w:val="20"/>
                <w:color w:val="auto"/>
              </w:rPr>
            </w:pPr>
            <w:r>
              <w:rPr>
                <w:rFonts w:ascii="Arial" w:cs="Arial" w:eastAsia="Arial" w:hAnsi="Arial"/>
                <w:sz w:val="15"/>
                <w:szCs w:val="15"/>
                <w:color w:val="auto"/>
              </w:rPr>
              <w:t>Reclassification adjustment for write-down on available-for-sale securities, net of gain, included in net income</w:t>
            </w: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53,793</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(21,518)</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32,275</w:t>
            </w:r>
          </w:p>
        </w:tc>
        <w:tc>
          <w:tcPr>
            <w:tcW w:w="0" w:type="dxa"/>
            <w:vAlign w:val="bottom"/>
          </w:tcPr>
          <w:p>
            <w:pPr>
              <w:spacing w:after="0"/>
              <w:rPr>
                <w:sz w:val="1"/>
                <w:szCs w:val="1"/>
                <w:color w:val="auto"/>
              </w:rPr>
            </w:pPr>
          </w:p>
        </w:tc>
      </w:tr>
      <w:tr>
        <w:trPr>
          <w:trHeight w:val="261"/>
        </w:trPr>
        <w:tc>
          <w:tcPr>
            <w:tcW w:w="7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16,085</w:t>
            </w: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(6,434)</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9,651</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5"/>
                <w:szCs w:val="15"/>
                <w:color w:val="auto"/>
              </w:rPr>
              <w:t>Pension and other postretirement plans:</w:t>
            </w: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5"/>
                <w:szCs w:val="15"/>
                <w:color w:val="auto"/>
              </w:rPr>
              <w:t>Actuarial loss</w:t>
            </w:r>
          </w:p>
        </w:tc>
        <w:tc>
          <w:tcPr>
            <w:tcW w:w="160" w:type="dxa"/>
            <w:vAlign w:val="bottom"/>
          </w:tcPr>
          <w:p>
            <w:pPr>
              <w:spacing w:after="0"/>
              <w:rPr>
                <w:sz w:val="23"/>
                <w:szCs w:val="23"/>
                <w:color w:val="auto"/>
              </w:rPr>
            </w:pPr>
          </w:p>
        </w:tc>
        <w:tc>
          <w:tcPr>
            <w:tcW w:w="1180" w:type="dxa"/>
            <w:vAlign w:val="bottom"/>
          </w:tcPr>
          <w:p>
            <w:pPr>
              <w:jc w:val="right"/>
              <w:ind w:right="165"/>
              <w:spacing w:after="0"/>
              <w:rPr>
                <w:sz w:val="20"/>
                <w:szCs w:val="20"/>
                <w:color w:val="auto"/>
              </w:rPr>
            </w:pPr>
            <w:r>
              <w:rPr>
                <w:rFonts w:ascii="Arial" w:cs="Arial" w:eastAsia="Arial" w:hAnsi="Arial"/>
                <w:sz w:val="15"/>
                <w:szCs w:val="15"/>
                <w:color w:val="auto"/>
              </w:rPr>
              <w:t>(16,048)</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6,420</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(9,628)</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5"/>
                <w:szCs w:val="15"/>
                <w:color w:val="auto"/>
              </w:rPr>
              <w:t>Amortization of net actuarial gain included in net income</w:t>
            </w:r>
          </w:p>
        </w:tc>
        <w:tc>
          <w:tcPr>
            <w:tcW w:w="160" w:type="dxa"/>
            <w:vAlign w:val="bottom"/>
          </w:tcPr>
          <w:p>
            <w:pPr>
              <w:spacing w:after="0"/>
              <w:rPr>
                <w:sz w:val="23"/>
                <w:szCs w:val="23"/>
                <w:color w:val="auto"/>
              </w:rPr>
            </w:pPr>
          </w:p>
        </w:tc>
        <w:tc>
          <w:tcPr>
            <w:tcW w:w="1180" w:type="dxa"/>
            <w:vAlign w:val="bottom"/>
          </w:tcPr>
          <w:p>
            <w:pPr>
              <w:jc w:val="right"/>
              <w:ind w:right="165"/>
              <w:spacing w:after="0"/>
              <w:rPr>
                <w:sz w:val="20"/>
                <w:szCs w:val="20"/>
                <w:color w:val="auto"/>
              </w:rPr>
            </w:pPr>
            <w:r>
              <w:rPr>
                <w:rFonts w:ascii="Arial" w:cs="Arial" w:eastAsia="Arial" w:hAnsi="Arial"/>
                <w:sz w:val="15"/>
                <w:szCs w:val="15"/>
                <w:color w:val="auto"/>
              </w:rPr>
              <w:t>(510)</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204</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(306)</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5"/>
                <w:szCs w:val="15"/>
                <w:color w:val="auto"/>
              </w:rPr>
              <w:t>Amortization of net prior service credit included in net income</w:t>
            </w:r>
          </w:p>
        </w:tc>
        <w:tc>
          <w:tcPr>
            <w:tcW w:w="160" w:type="dxa"/>
            <w:vAlign w:val="bottom"/>
          </w:tcPr>
          <w:p>
            <w:pPr>
              <w:spacing w:after="0"/>
              <w:rPr>
                <w:sz w:val="23"/>
                <w:szCs w:val="23"/>
                <w:color w:val="auto"/>
              </w:rPr>
            </w:pPr>
          </w:p>
        </w:tc>
        <w:tc>
          <w:tcPr>
            <w:tcW w:w="1180" w:type="dxa"/>
            <w:vAlign w:val="bottom"/>
          </w:tcPr>
          <w:p>
            <w:pPr>
              <w:jc w:val="right"/>
              <w:ind w:right="165"/>
              <w:spacing w:after="0"/>
              <w:rPr>
                <w:sz w:val="20"/>
                <w:szCs w:val="20"/>
                <w:color w:val="auto"/>
              </w:rPr>
            </w:pPr>
            <w:r>
              <w:rPr>
                <w:rFonts w:ascii="Arial" w:cs="Arial" w:eastAsia="Arial" w:hAnsi="Arial"/>
                <w:sz w:val="15"/>
                <w:szCs w:val="15"/>
                <w:color w:val="auto"/>
              </w:rPr>
              <w:t>(3,925)</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1,570</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(2,355)</w:t>
            </w:r>
          </w:p>
        </w:tc>
        <w:tc>
          <w:tcPr>
            <w:tcW w:w="0" w:type="dxa"/>
            <w:vAlign w:val="bottom"/>
          </w:tcPr>
          <w:p>
            <w:pPr>
              <w:spacing w:after="0"/>
              <w:rPr>
                <w:sz w:val="1"/>
                <w:szCs w:val="1"/>
                <w:color w:val="auto"/>
              </w:rPr>
            </w:pPr>
          </w:p>
        </w:tc>
      </w:tr>
      <w:tr>
        <w:trPr>
          <w:trHeight w:val="273"/>
        </w:trPr>
        <w:tc>
          <w:tcPr>
            <w:tcW w:w="7780" w:type="dxa"/>
            <w:vAlign w:val="bottom"/>
          </w:tcPr>
          <w:p>
            <w:pPr>
              <w:ind w:left="180"/>
              <w:spacing w:after="0"/>
              <w:rPr>
                <w:sz w:val="20"/>
                <w:szCs w:val="20"/>
                <w:color w:val="auto"/>
              </w:rPr>
            </w:pPr>
            <w:r>
              <w:rPr>
                <w:rFonts w:ascii="Arial" w:cs="Arial" w:eastAsia="Arial" w:hAnsi="Arial"/>
                <w:sz w:val="15"/>
                <w:szCs w:val="15"/>
                <w:color w:val="auto"/>
              </w:rPr>
              <w:t>Foreign affiliate pension adjustments</w:t>
            </w: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rPr>
              <w:t>2,088</w:t>
            </w:r>
          </w:p>
        </w:tc>
        <w:tc>
          <w:tcPr>
            <w:tcW w:w="11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2,088</w:t>
            </w:r>
          </w:p>
        </w:tc>
        <w:tc>
          <w:tcPr>
            <w:tcW w:w="0" w:type="dxa"/>
            <w:vAlign w:val="bottom"/>
          </w:tcPr>
          <w:p>
            <w:pPr>
              <w:spacing w:after="0"/>
              <w:rPr>
                <w:sz w:val="1"/>
                <w:szCs w:val="1"/>
                <w:color w:val="auto"/>
              </w:rPr>
            </w:pPr>
          </w:p>
        </w:tc>
      </w:tr>
      <w:tr>
        <w:trPr>
          <w:trHeight w:val="261"/>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65"/>
              <w:spacing w:after="0"/>
              <w:rPr>
                <w:sz w:val="20"/>
                <w:szCs w:val="20"/>
                <w:color w:val="auto"/>
              </w:rPr>
            </w:pPr>
            <w:r>
              <w:rPr>
                <w:rFonts w:ascii="Arial" w:cs="Arial" w:eastAsia="Arial" w:hAnsi="Arial"/>
                <w:sz w:val="15"/>
                <w:szCs w:val="15"/>
                <w:color w:val="auto"/>
              </w:rPr>
              <w:t>(18,395)</w:t>
            </w:r>
          </w:p>
        </w:tc>
        <w:tc>
          <w:tcPr>
            <w:tcW w:w="1100" w:type="dxa"/>
            <w:vAlign w:val="bottom"/>
          </w:tcPr>
          <w:p>
            <w:pPr>
              <w:jc w:val="right"/>
              <w:ind w:right="84"/>
              <w:spacing w:after="0"/>
              <w:rPr>
                <w:sz w:val="20"/>
                <w:szCs w:val="20"/>
                <w:color w:val="auto"/>
              </w:rPr>
            </w:pPr>
            <w:r>
              <w:rPr>
                <w:rFonts w:ascii="Arial" w:cs="Arial" w:eastAsia="Arial" w:hAnsi="Arial"/>
                <w:sz w:val="15"/>
                <w:szCs w:val="15"/>
                <w:color w:val="auto"/>
              </w:rPr>
              <w:t>8,194</w:t>
            </w: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(10,201)</w:t>
            </w:r>
          </w:p>
        </w:tc>
        <w:tc>
          <w:tcPr>
            <w:tcW w:w="0" w:type="dxa"/>
            <w:vAlign w:val="bottom"/>
          </w:tcPr>
          <w:p>
            <w:pPr>
              <w:spacing w:after="0"/>
              <w:rPr>
                <w:sz w:val="1"/>
                <w:szCs w:val="1"/>
                <w:color w:val="auto"/>
              </w:rPr>
            </w:pPr>
          </w:p>
        </w:tc>
      </w:tr>
    </w:tbl>
    <w:p>
      <w:pPr>
        <w:sectPr>
          <w:pgSz w:w="11900" w:h="16905" w:orient="portrait"/>
          <w:cols w:equalWidth="0" w:num="1">
            <w:col w:w="11420"/>
          </w:cols>
          <w:pgMar w:left="240" w:top="722" w:right="239" w:bottom="0" w:gutter="0" w:footer="0" w:header="0"/>
          <w:type w:val="continuous"/>
        </w:sectPr>
      </w:pPr>
    </w:p>
    <w:bookmarkStart w:id="95" w:name="page96"/>
    <w:bookmarkEnd w:id="9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5088890</wp:posOffset>
            </wp:positionH>
            <wp:positionV relativeFrom="page">
              <wp:posOffset>88900</wp:posOffset>
            </wp:positionV>
            <wp:extent cx="2315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1521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6"/>
        </w:trPr>
        <w:tc>
          <w:tcPr>
            <w:tcW w:w="7740" w:type="dxa"/>
            <w:vAlign w:val="bottom"/>
          </w:tcPr>
          <w:p>
            <w:pPr>
              <w:spacing w:after="0"/>
              <w:rPr>
                <w:sz w:val="20"/>
                <w:szCs w:val="20"/>
                <w:color w:val="auto"/>
              </w:rPr>
            </w:pPr>
            <w:r>
              <w:rPr>
                <w:rFonts w:ascii="Arial" w:cs="Arial" w:eastAsia="Arial" w:hAnsi="Arial"/>
                <w:sz w:val="15"/>
                <w:szCs w:val="15"/>
                <w:color w:val="auto"/>
              </w:rPr>
              <w:t>Cash flow hedge:</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73"/>
        </w:trPr>
        <w:tc>
          <w:tcPr>
            <w:tcW w:w="7740" w:type="dxa"/>
            <w:vAlign w:val="bottom"/>
          </w:tcPr>
          <w:p>
            <w:pPr>
              <w:ind w:left="140"/>
              <w:spacing w:after="0"/>
              <w:rPr>
                <w:sz w:val="20"/>
                <w:szCs w:val="20"/>
                <w:color w:val="auto"/>
              </w:rPr>
            </w:pPr>
            <w:r>
              <w:rPr>
                <w:rFonts w:ascii="Arial" w:cs="Arial" w:eastAsia="Arial" w:hAnsi="Arial"/>
                <w:sz w:val="15"/>
                <w:szCs w:val="15"/>
                <w:color w:val="auto"/>
              </w:rPr>
              <w:t>Gain for the year</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14</w:t>
            </w: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8</w:t>
            </w:r>
          </w:p>
        </w:tc>
      </w:tr>
      <w:tr>
        <w:trPr>
          <w:trHeight w:val="267"/>
        </w:trPr>
        <w:tc>
          <w:tcPr>
            <w:tcW w:w="7740" w:type="dxa"/>
            <w:vAlign w:val="bottom"/>
          </w:tcPr>
          <w:p>
            <w:pPr>
              <w:spacing w:after="0"/>
              <w:rPr>
                <w:sz w:val="20"/>
                <w:szCs w:val="20"/>
                <w:color w:val="auto"/>
              </w:rPr>
            </w:pPr>
            <w:r>
              <w:rPr>
                <w:rFonts w:ascii="Arial" w:cs="Arial" w:eastAsia="Arial" w:hAnsi="Arial"/>
                <w:sz w:val="15"/>
                <w:szCs w:val="15"/>
                <w:b w:val="1"/>
                <w:bCs w:val="1"/>
                <w:color w:val="auto"/>
              </w:rPr>
              <w:t>Other Comprehensive Loss</w:t>
            </w: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(23,671)</w:t>
            </w:r>
          </w:p>
        </w:tc>
        <w:tc>
          <w:tcPr>
            <w:tcW w:w="4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6,861</w:t>
            </w:r>
          </w:p>
        </w:tc>
        <w:tc>
          <w:tcPr>
            <w:tcW w:w="3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(16,810)</w:t>
            </w:r>
          </w:p>
        </w:tc>
      </w:tr>
      <w:tr>
        <w:trPr>
          <w:trHeight w:val="20"/>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80" w:top="211"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5"/>
              <w:spacing w:after="0"/>
              <w:rPr>
                <w:sz w:val="20"/>
                <w:szCs w:val="20"/>
                <w:color w:val="auto"/>
              </w:rPr>
            </w:pPr>
            <w:r>
              <w:rPr>
                <w:rFonts w:ascii="Arial" w:cs="Arial" w:eastAsia="Arial" w:hAnsi="Arial"/>
                <w:sz w:val="14"/>
                <w:szCs w:val="14"/>
                <w:b w:val="1"/>
                <w:bCs w:val="1"/>
                <w:color w:val="auto"/>
              </w:rPr>
              <w:t>Cumulative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85"/>
              <w:spacing w:after="0"/>
              <w:rPr>
                <w:sz w:val="20"/>
                <w:szCs w:val="20"/>
                <w:color w:val="auto"/>
              </w:rPr>
            </w:pPr>
            <w:r>
              <w:rPr>
                <w:rFonts w:ascii="Arial" w:cs="Arial" w:eastAsia="Arial" w:hAnsi="Arial"/>
                <w:sz w:val="14"/>
                <w:szCs w:val="14"/>
                <w:b w:val="1"/>
                <w:bCs w:val="1"/>
                <w:color w:val="auto"/>
              </w:rPr>
              <w:t>Unrealized Gain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5"/>
              <w:spacing w:after="0"/>
              <w:rPr>
                <w:sz w:val="20"/>
                <w:szCs w:val="20"/>
                <w:color w:val="auto"/>
              </w:rPr>
            </w:pPr>
            <w:r>
              <w:rPr>
                <w:rFonts w:ascii="Arial" w:cs="Arial" w:eastAsia="Arial" w:hAnsi="Arial"/>
                <w:sz w:val="14"/>
                <w:szCs w:val="14"/>
                <w:b w:val="1"/>
                <w:bCs w:val="1"/>
                <w:color w:val="auto"/>
              </w:rPr>
              <w:t>Foreign</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85"/>
              <w:spacing w:after="0"/>
              <w:rPr>
                <w:sz w:val="20"/>
                <w:szCs w:val="20"/>
                <w:color w:val="auto"/>
              </w:rPr>
            </w:pPr>
            <w:r>
              <w:rPr>
                <w:rFonts w:ascii="Arial" w:cs="Arial" w:eastAsia="Arial" w:hAnsi="Arial"/>
                <w:sz w:val="14"/>
                <w:szCs w:val="14"/>
                <w:b w:val="1"/>
                <w:bCs w:val="1"/>
                <w:color w:val="auto"/>
              </w:rPr>
              <w:t>on Pensions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5"/>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5"/>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4"/>
                <w:szCs w:val="14"/>
                <w:color w:val="auto"/>
              </w:rPr>
            </w:pPr>
          </w:p>
        </w:tc>
        <w:tc>
          <w:tcPr>
            <w:tcW w:w="1340" w:type="dxa"/>
            <w:vAlign w:val="bottom"/>
          </w:tcPr>
          <w:p>
            <w:pPr>
              <w:jc w:val="center"/>
              <w:ind w:right="85"/>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1340" w:type="dxa"/>
            <w:vAlign w:val="bottom"/>
          </w:tcPr>
          <w:p>
            <w:pPr>
              <w:jc w:val="center"/>
              <w:ind w:right="65"/>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ind w:right="65"/>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5"/>
              <w:spacing w:after="0"/>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4"/>
                <w:szCs w:val="14"/>
                <w:color w:val="auto"/>
              </w:rPr>
            </w:pPr>
          </w:p>
        </w:tc>
        <w:tc>
          <w:tcPr>
            <w:tcW w:w="1340" w:type="dxa"/>
            <w:vAlign w:val="bottom"/>
          </w:tcPr>
          <w:p>
            <w:pPr>
              <w:jc w:val="center"/>
              <w:ind w:right="85"/>
              <w:spacing w:after="0"/>
              <w:rPr>
                <w:sz w:val="20"/>
                <w:szCs w:val="20"/>
                <w:color w:val="auto"/>
              </w:rPr>
            </w:pPr>
            <w:r>
              <w:rPr>
                <w:rFonts w:ascii="Arial" w:cs="Arial" w:eastAsia="Arial" w:hAnsi="Arial"/>
                <w:sz w:val="14"/>
                <w:szCs w:val="14"/>
                <w:b w:val="1"/>
                <w:bCs w:val="1"/>
                <w:color w:val="auto"/>
              </w:rPr>
              <w:t>on Available-for-</w:t>
            </w:r>
          </w:p>
        </w:tc>
        <w:tc>
          <w:tcPr>
            <w:tcW w:w="240" w:type="dxa"/>
            <w:vAlign w:val="bottom"/>
          </w:tcPr>
          <w:p>
            <w:pPr>
              <w:spacing w:after="0"/>
              <w:rPr>
                <w:sz w:val="14"/>
                <w:szCs w:val="14"/>
                <w:color w:val="auto"/>
              </w:rPr>
            </w:pPr>
          </w:p>
        </w:tc>
        <w:tc>
          <w:tcPr>
            <w:tcW w:w="1340" w:type="dxa"/>
            <w:vAlign w:val="bottom"/>
          </w:tcPr>
          <w:p>
            <w:pPr>
              <w:jc w:val="center"/>
              <w:ind w:right="85"/>
              <w:spacing w:after="0"/>
              <w:rPr>
                <w:sz w:val="20"/>
                <w:szCs w:val="20"/>
                <w:color w:val="auto"/>
              </w:rPr>
            </w:pPr>
            <w:r>
              <w:rPr>
                <w:rFonts w:ascii="Arial" w:cs="Arial" w:eastAsia="Arial" w:hAnsi="Arial"/>
                <w:sz w:val="14"/>
                <w:szCs w:val="14"/>
                <w:b w:val="1"/>
                <w:bCs w:val="1"/>
                <w:color w:val="auto"/>
              </w:rPr>
              <w:t>Postretirement</w:t>
            </w:r>
          </w:p>
        </w:tc>
        <w:tc>
          <w:tcPr>
            <w:tcW w:w="1040" w:type="dxa"/>
            <w:vAlign w:val="bottom"/>
            <w:gridSpan w:val="2"/>
          </w:tcPr>
          <w:p>
            <w:pPr>
              <w:jc w:val="right"/>
              <w:ind w:right="64"/>
              <w:spacing w:after="0"/>
              <w:rPr>
                <w:sz w:val="20"/>
                <w:szCs w:val="20"/>
                <w:color w:val="auto"/>
              </w:rPr>
            </w:pPr>
            <w:r>
              <w:rPr>
                <w:rFonts w:ascii="Arial" w:cs="Arial" w:eastAsia="Arial" w:hAnsi="Arial"/>
                <w:sz w:val="14"/>
                <w:szCs w:val="14"/>
                <w:b w:val="1"/>
                <w:bCs w:val="1"/>
                <w:color w:val="auto"/>
              </w:rPr>
              <w:t>Cash Flow</w:t>
            </w:r>
          </w:p>
        </w:tc>
        <w:tc>
          <w:tcPr>
            <w:tcW w:w="220" w:type="dxa"/>
            <w:vAlign w:val="bottom"/>
          </w:tcPr>
          <w:p>
            <w:pPr>
              <w:spacing w:after="0"/>
              <w:rPr>
                <w:sz w:val="14"/>
                <w:szCs w:val="14"/>
                <w:color w:val="auto"/>
              </w:rPr>
            </w:pPr>
          </w:p>
        </w:tc>
        <w:tc>
          <w:tcPr>
            <w:tcW w:w="1320" w:type="dxa"/>
            <w:vAlign w:val="bottom"/>
          </w:tcPr>
          <w:p>
            <w:pPr>
              <w:jc w:val="center"/>
              <w:ind w:right="85"/>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03"/>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Adjustment</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Sale Securities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Plans</w:t>
            </w: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Hedge</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59"/>
        </w:trPr>
        <w:tc>
          <w:tcPr>
            <w:tcW w:w="4360" w:type="dxa"/>
            <w:vAlign w:val="bottom"/>
          </w:tcPr>
          <w:p>
            <w:pPr>
              <w:ind w:left="40"/>
              <w:spacing w:after="0"/>
              <w:rPr>
                <w:sz w:val="20"/>
                <w:szCs w:val="20"/>
                <w:color w:val="auto"/>
              </w:rPr>
            </w:pPr>
            <w:r>
              <w:rPr>
                <w:rFonts w:ascii="Arial" w:cs="Arial" w:eastAsia="Arial" w:hAnsi="Arial"/>
                <w:sz w:val="15"/>
                <w:szCs w:val="15"/>
                <w:color w:val="auto"/>
              </w:rPr>
              <w:t>As of December 31, 2011</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21,338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45"/>
              <w:spacing w:after="0"/>
              <w:rPr>
                <w:sz w:val="20"/>
                <w:szCs w:val="20"/>
                <w:color w:val="auto"/>
              </w:rPr>
            </w:pPr>
            <w:r>
              <w:rPr>
                <w:rFonts w:ascii="Arial" w:cs="Arial" w:eastAsia="Arial" w:hAnsi="Arial"/>
                <w:sz w:val="15"/>
                <w:szCs w:val="15"/>
                <w:color w:val="auto"/>
              </w:rPr>
              <w:t>80,358</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45"/>
              <w:spacing w:after="0"/>
              <w:rPr>
                <w:sz w:val="20"/>
                <w:szCs w:val="20"/>
                <w:color w:val="auto"/>
              </w:rPr>
            </w:pPr>
            <w:r>
              <w:rPr>
                <w:rFonts w:ascii="Arial" w:cs="Arial" w:eastAsia="Arial" w:hAnsi="Arial"/>
                <w:sz w:val="15"/>
                <w:szCs w:val="15"/>
                <w:color w:val="auto"/>
              </w:rPr>
              <w:t>63,625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64"/>
              <w:spacing w:after="0"/>
              <w:rPr>
                <w:sz w:val="20"/>
                <w:szCs w:val="20"/>
                <w:color w:val="auto"/>
              </w:rPr>
            </w:pPr>
            <w:r>
              <w:rPr>
                <w:rFonts w:ascii="Arial" w:cs="Arial" w:eastAsia="Arial" w:hAnsi="Arial"/>
                <w:sz w:val="15"/>
                <w:szCs w:val="15"/>
                <w:color w:val="auto"/>
              </w:rPr>
              <w:t>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ind w:right="25"/>
              <w:spacing w:after="0"/>
              <w:rPr>
                <w:sz w:val="20"/>
                <w:szCs w:val="20"/>
                <w:color w:val="auto"/>
              </w:rPr>
            </w:pPr>
            <w:r>
              <w:rPr>
                <w:rFonts w:ascii="Arial" w:cs="Arial" w:eastAsia="Arial" w:hAnsi="Arial"/>
                <w:sz w:val="15"/>
                <w:szCs w:val="15"/>
                <w:color w:val="auto"/>
              </w:rPr>
              <w:t>165,329</w:t>
            </w: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rPr>
                <w:sz w:val="20"/>
                <w:szCs w:val="20"/>
                <w:color w:val="auto"/>
              </w:rPr>
            </w:pPr>
            <w:r>
              <w:rPr>
                <w:rFonts w:ascii="Arial" w:cs="Arial" w:eastAsia="Arial" w:hAnsi="Arial"/>
                <w:sz w:val="15"/>
                <w:szCs w:val="15"/>
                <w:color w:val="auto"/>
              </w:rPr>
              <w:t>Other comprehensive income (loss) before reclassifications</w:t>
            </w:r>
          </w:p>
        </w:tc>
        <w:tc>
          <w:tcPr>
            <w:tcW w:w="180" w:type="dxa"/>
            <w:vAlign w:val="bottom"/>
          </w:tcPr>
          <w:p>
            <w:pPr>
              <w:spacing w:after="0"/>
              <w:rPr>
                <w:sz w:val="23"/>
                <w:szCs w:val="23"/>
                <w:color w:val="auto"/>
              </w:rPr>
            </w:pP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5,622</w:t>
            </w:r>
          </w:p>
        </w:tc>
        <w:tc>
          <w:tcPr>
            <w:tcW w:w="220" w:type="dxa"/>
            <w:vAlign w:val="bottom"/>
          </w:tcPr>
          <w:p>
            <w:pPr>
              <w:spacing w:after="0"/>
              <w:rPr>
                <w:sz w:val="23"/>
                <w:szCs w:val="23"/>
                <w:color w:val="auto"/>
              </w:rPr>
            </w:pPr>
          </w:p>
        </w:tc>
        <w:tc>
          <w:tcPr>
            <w:tcW w:w="1340" w:type="dxa"/>
            <w:vAlign w:val="bottom"/>
          </w:tcPr>
          <w:p>
            <w:pPr>
              <w:jc w:val="right"/>
              <w:ind w:right="45"/>
              <w:spacing w:after="0"/>
              <w:rPr>
                <w:sz w:val="20"/>
                <w:szCs w:val="20"/>
                <w:color w:val="auto"/>
              </w:rPr>
            </w:pPr>
            <w:r>
              <w:rPr>
                <w:rFonts w:ascii="Arial" w:cs="Arial" w:eastAsia="Arial" w:hAnsi="Arial"/>
                <w:sz w:val="15"/>
                <w:szCs w:val="15"/>
                <w:color w:val="auto"/>
              </w:rPr>
              <w:t>19,859</w:t>
            </w:r>
          </w:p>
        </w:tc>
        <w:tc>
          <w:tcPr>
            <w:tcW w:w="240" w:type="dxa"/>
            <w:vAlign w:val="bottom"/>
          </w:tcPr>
          <w:p>
            <w:pPr>
              <w:spacing w:after="0"/>
              <w:rPr>
                <w:sz w:val="23"/>
                <w:szCs w:val="23"/>
                <w:color w:val="auto"/>
              </w:rPr>
            </w:pPr>
          </w:p>
        </w:tc>
        <w:tc>
          <w:tcPr>
            <w:tcW w:w="1340" w:type="dxa"/>
            <w:vAlign w:val="bottom"/>
          </w:tcPr>
          <w:p>
            <w:pPr>
              <w:jc w:val="right"/>
              <w:ind w:right="45"/>
              <w:spacing w:after="0"/>
              <w:rPr>
                <w:sz w:val="20"/>
                <w:szCs w:val="20"/>
                <w:color w:val="auto"/>
              </w:rPr>
            </w:pPr>
            <w:r>
              <w:rPr>
                <w:rFonts w:ascii="Arial" w:cs="Arial" w:eastAsia="Arial" w:hAnsi="Arial"/>
                <w:sz w:val="15"/>
                <w:szCs w:val="15"/>
                <w:color w:val="auto"/>
              </w:rPr>
              <w:t>49,037</w:t>
            </w:r>
          </w:p>
        </w:tc>
        <w:tc>
          <w:tcPr>
            <w:tcW w:w="260" w:type="dxa"/>
            <w:vAlign w:val="bottom"/>
          </w:tcPr>
          <w:p>
            <w:pPr>
              <w:spacing w:after="0"/>
              <w:rPr>
                <w:sz w:val="23"/>
                <w:szCs w:val="23"/>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(1,132)</w:t>
            </w:r>
          </w:p>
        </w:tc>
        <w:tc>
          <w:tcPr>
            <w:tcW w:w="220" w:type="dxa"/>
            <w:vAlign w:val="bottom"/>
          </w:tcPr>
          <w:p>
            <w:pPr>
              <w:spacing w:after="0"/>
              <w:rPr>
                <w:sz w:val="23"/>
                <w:szCs w:val="23"/>
                <w:color w:val="auto"/>
              </w:rPr>
            </w:pPr>
          </w:p>
        </w:tc>
        <w:tc>
          <w:tcPr>
            <w:tcW w:w="1320" w:type="dxa"/>
            <w:vAlign w:val="bottom"/>
          </w:tcPr>
          <w:p>
            <w:pPr>
              <w:jc w:val="right"/>
              <w:ind w:right="25"/>
              <w:spacing w:after="0"/>
              <w:rPr>
                <w:sz w:val="20"/>
                <w:szCs w:val="20"/>
                <w:color w:val="auto"/>
              </w:rPr>
            </w:pPr>
            <w:r>
              <w:rPr>
                <w:rFonts w:ascii="Arial" w:cs="Arial" w:eastAsia="Arial" w:hAnsi="Arial"/>
                <w:sz w:val="15"/>
                <w:szCs w:val="15"/>
                <w:color w:val="auto"/>
              </w:rPr>
              <w:t>73,386</w:t>
            </w:r>
          </w:p>
        </w:tc>
        <w:tc>
          <w:tcPr>
            <w:tcW w:w="0" w:type="dxa"/>
            <w:vAlign w:val="bottom"/>
          </w:tcPr>
          <w:p>
            <w:pPr>
              <w:spacing w:after="0"/>
              <w:rPr>
                <w:sz w:val="1"/>
                <w:szCs w:val="1"/>
                <w:color w:val="auto"/>
              </w:rPr>
            </w:pPr>
          </w:p>
        </w:tc>
      </w:tr>
      <w:tr>
        <w:trPr>
          <w:trHeight w:val="172"/>
        </w:trPr>
        <w:tc>
          <w:tcPr>
            <w:tcW w:w="4360" w:type="dxa"/>
            <w:vAlign w:val="bottom"/>
          </w:tcPr>
          <w:p>
            <w:pPr>
              <w:ind w:left="180"/>
              <w:spacing w:after="0"/>
              <w:rPr>
                <w:sz w:val="20"/>
                <w:szCs w:val="20"/>
                <w:color w:val="auto"/>
              </w:rPr>
            </w:pPr>
            <w:r>
              <w:rPr>
                <w:rFonts w:ascii="Arial" w:cs="Arial" w:eastAsia="Arial" w:hAnsi="Arial"/>
                <w:sz w:val="15"/>
                <w:szCs w:val="15"/>
                <w:color w:val="auto"/>
              </w:rPr>
              <w:t>Net amount reclassified from accumulated other</w:t>
            </w:r>
          </w:p>
        </w:tc>
        <w:tc>
          <w:tcPr>
            <w:tcW w:w="180" w:type="dxa"/>
            <w:vAlign w:val="bottom"/>
          </w:tcPr>
          <w:p>
            <w:pPr>
              <w:spacing w:after="0"/>
              <w:rPr>
                <w:sz w:val="14"/>
                <w:szCs w:val="14"/>
                <w:color w:val="auto"/>
              </w:rPr>
            </w:pPr>
          </w:p>
        </w:tc>
        <w:tc>
          <w:tcPr>
            <w:tcW w:w="1160" w:type="dxa"/>
            <w:vAlign w:val="bottom"/>
            <w:vMerge w:val="restart"/>
          </w:tcPr>
          <w:p>
            <w:pPr>
              <w:jc w:val="right"/>
              <w:ind w:right="45"/>
              <w:spacing w:after="0"/>
              <w:rPr>
                <w:sz w:val="20"/>
                <w:szCs w:val="20"/>
                <w:color w:val="auto"/>
              </w:rPr>
            </w:pPr>
            <w:r>
              <w:rPr>
                <w:rFonts w:ascii="Arial" w:cs="Arial" w:eastAsia="Arial" w:hAnsi="Arial"/>
                <w:sz w:val="15"/>
                <w:szCs w:val="15"/>
                <w:color w:val="auto"/>
              </w:rPr>
              <w:t>(888)</w:t>
            </w:r>
          </w:p>
        </w:tc>
        <w:tc>
          <w:tcPr>
            <w:tcW w:w="220" w:type="dxa"/>
            <w:vAlign w:val="bottom"/>
          </w:tcPr>
          <w:p>
            <w:pPr>
              <w:spacing w:after="0"/>
              <w:rPr>
                <w:sz w:val="14"/>
                <w:szCs w:val="14"/>
                <w:color w:val="auto"/>
              </w:rPr>
            </w:pPr>
          </w:p>
        </w:tc>
        <w:tc>
          <w:tcPr>
            <w:tcW w:w="1340" w:type="dxa"/>
            <w:vAlign w:val="bottom"/>
            <w:vMerge w:val="restart"/>
          </w:tcPr>
          <w:p>
            <w:pPr>
              <w:jc w:val="right"/>
              <w:ind w:right="45"/>
              <w:spacing w:after="0"/>
              <w:rPr>
                <w:sz w:val="20"/>
                <w:szCs w:val="20"/>
                <w:color w:val="auto"/>
              </w:rPr>
            </w:pPr>
            <w:r>
              <w:rPr>
                <w:rFonts w:ascii="Arial" w:cs="Arial" w:eastAsia="Arial" w:hAnsi="Arial"/>
                <w:sz w:val="15"/>
                <w:szCs w:val="15"/>
                <w:color w:val="auto"/>
              </w:rPr>
              <w:t>10,336</w:t>
            </w:r>
          </w:p>
        </w:tc>
        <w:tc>
          <w:tcPr>
            <w:tcW w:w="240" w:type="dxa"/>
            <w:vAlign w:val="bottom"/>
          </w:tcPr>
          <w:p>
            <w:pPr>
              <w:spacing w:after="0"/>
              <w:rPr>
                <w:sz w:val="14"/>
                <w:szCs w:val="14"/>
                <w:color w:val="auto"/>
              </w:rPr>
            </w:pPr>
          </w:p>
        </w:tc>
        <w:tc>
          <w:tcPr>
            <w:tcW w:w="1340" w:type="dxa"/>
            <w:vAlign w:val="bottom"/>
            <w:vMerge w:val="restart"/>
          </w:tcPr>
          <w:p>
            <w:pPr>
              <w:jc w:val="right"/>
              <w:ind w:right="45"/>
              <w:spacing w:after="0"/>
              <w:rPr>
                <w:sz w:val="20"/>
                <w:szCs w:val="20"/>
                <w:color w:val="auto"/>
              </w:rPr>
            </w:pPr>
            <w:r>
              <w:rPr>
                <w:rFonts w:ascii="Arial" w:cs="Arial" w:eastAsia="Arial" w:hAnsi="Arial"/>
                <w:sz w:val="15"/>
                <w:szCs w:val="15"/>
                <w:color w:val="auto"/>
              </w:rPr>
              <w:t>4,507</w:t>
            </w:r>
          </w:p>
        </w:tc>
        <w:tc>
          <w:tcPr>
            <w:tcW w:w="260" w:type="dxa"/>
            <w:vAlign w:val="bottom"/>
          </w:tcPr>
          <w:p>
            <w:pPr>
              <w:spacing w:after="0"/>
              <w:rPr>
                <w:sz w:val="14"/>
                <w:szCs w:val="14"/>
                <w:color w:val="auto"/>
              </w:rPr>
            </w:pPr>
          </w:p>
        </w:tc>
        <w:tc>
          <w:tcPr>
            <w:tcW w:w="780" w:type="dxa"/>
            <w:vAlign w:val="bottom"/>
            <w:vMerge w:val="restart"/>
          </w:tcPr>
          <w:p>
            <w:pPr>
              <w:jc w:val="right"/>
              <w:ind w:right="64"/>
              <w:spacing w:after="0"/>
              <w:rPr>
                <w:sz w:val="20"/>
                <w:szCs w:val="20"/>
                <w:color w:val="auto"/>
              </w:rPr>
            </w:pPr>
            <w:r>
              <w:rPr>
                <w:rFonts w:ascii="Arial" w:cs="Arial" w:eastAsia="Arial" w:hAnsi="Arial"/>
                <w:sz w:val="15"/>
                <w:szCs w:val="15"/>
                <w:color w:val="auto"/>
              </w:rPr>
              <w:t>184</w:t>
            </w:r>
          </w:p>
        </w:tc>
        <w:tc>
          <w:tcPr>
            <w:tcW w:w="220" w:type="dxa"/>
            <w:vAlign w:val="bottom"/>
          </w:tcPr>
          <w:p>
            <w:pPr>
              <w:spacing w:after="0"/>
              <w:rPr>
                <w:sz w:val="14"/>
                <w:szCs w:val="14"/>
                <w:color w:val="auto"/>
              </w:rPr>
            </w:pPr>
          </w:p>
        </w:tc>
        <w:tc>
          <w:tcPr>
            <w:tcW w:w="1320" w:type="dxa"/>
            <w:vAlign w:val="bottom"/>
            <w:vMerge w:val="restart"/>
          </w:tcPr>
          <w:p>
            <w:pPr>
              <w:jc w:val="right"/>
              <w:ind w:right="25"/>
              <w:spacing w:after="0"/>
              <w:rPr>
                <w:sz w:val="20"/>
                <w:szCs w:val="20"/>
                <w:color w:val="auto"/>
              </w:rPr>
            </w:pPr>
            <w:r>
              <w:rPr>
                <w:rFonts w:ascii="Arial" w:cs="Arial" w:eastAsia="Arial" w:hAnsi="Arial"/>
                <w:sz w:val="15"/>
                <w:szCs w:val="15"/>
                <w:color w:val="auto"/>
              </w:rPr>
              <w:t>14,139</w:t>
            </w:r>
          </w:p>
        </w:tc>
        <w:tc>
          <w:tcPr>
            <w:tcW w:w="0" w:type="dxa"/>
            <w:vAlign w:val="bottom"/>
          </w:tcPr>
          <w:p>
            <w:pPr>
              <w:spacing w:after="0"/>
              <w:rPr>
                <w:sz w:val="1"/>
                <w:szCs w:val="1"/>
                <w:color w:val="auto"/>
              </w:rPr>
            </w:pPr>
          </w:p>
        </w:tc>
      </w:tr>
      <w:tr>
        <w:trPr>
          <w:trHeight w:val="209"/>
        </w:trPr>
        <w:tc>
          <w:tcPr>
            <w:tcW w:w="4360" w:type="dxa"/>
            <w:vAlign w:val="bottom"/>
          </w:tcPr>
          <w:p>
            <w:pPr>
              <w:ind w:left="340"/>
              <w:spacing w:after="0"/>
              <w:rPr>
                <w:sz w:val="20"/>
                <w:szCs w:val="20"/>
                <w:color w:val="auto"/>
              </w:rPr>
            </w:pPr>
            <w:r>
              <w:rPr>
                <w:rFonts w:ascii="Arial" w:cs="Arial" w:eastAsia="Arial" w:hAnsi="Arial"/>
                <w:sz w:val="15"/>
                <w:szCs w:val="15"/>
                <w:color w:val="auto"/>
              </w:rPr>
              <w:t>comprehensive income</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360" w:type="dxa"/>
            <w:vAlign w:val="bottom"/>
          </w:tcPr>
          <w:p>
            <w:pPr>
              <w:ind w:left="180"/>
              <w:spacing w:after="0"/>
              <w:rPr>
                <w:sz w:val="20"/>
                <w:szCs w:val="20"/>
                <w:color w:val="auto"/>
              </w:rPr>
            </w:pPr>
            <w:r>
              <w:rPr>
                <w:rFonts w:ascii="Arial" w:cs="Arial" w:eastAsia="Arial" w:hAnsi="Arial"/>
                <w:sz w:val="15"/>
                <w:szCs w:val="15"/>
                <w:color w:val="auto"/>
              </w:rPr>
              <w:t>Net other comprehensive income (loss)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rPr>
              <w:t>4,734</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30,195</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53,544</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(948)</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87,525</w:t>
            </w:r>
          </w:p>
        </w:tc>
        <w:tc>
          <w:tcPr>
            <w:tcW w:w="0" w:type="dxa"/>
            <w:vAlign w:val="bottom"/>
          </w:tcPr>
          <w:p>
            <w:pPr>
              <w:spacing w:after="0"/>
              <w:rPr>
                <w:sz w:val="1"/>
                <w:szCs w:val="1"/>
                <w:color w:val="auto"/>
              </w:rPr>
            </w:pPr>
          </w:p>
        </w:tc>
      </w:tr>
      <w:tr>
        <w:trPr>
          <w:trHeight w:val="261"/>
        </w:trPr>
        <w:tc>
          <w:tcPr>
            <w:tcW w:w="4360" w:type="dxa"/>
            <w:vAlign w:val="bottom"/>
          </w:tcPr>
          <w:p>
            <w:pPr>
              <w:ind w:left="40"/>
              <w:spacing w:after="0"/>
              <w:rPr>
                <w:sz w:val="20"/>
                <w:szCs w:val="20"/>
                <w:color w:val="auto"/>
              </w:rPr>
            </w:pPr>
            <w:r>
              <w:rPr>
                <w:rFonts w:ascii="Arial" w:cs="Arial" w:eastAsia="Arial" w:hAnsi="Arial"/>
                <w:sz w:val="15"/>
                <w:szCs w:val="15"/>
                <w:color w:val="auto"/>
              </w:rPr>
              <w:t>As of December 31, 2012</w:t>
            </w:r>
          </w:p>
        </w:tc>
        <w:tc>
          <w:tcPr>
            <w:tcW w:w="180" w:type="dxa"/>
            <w:vAlign w:val="bottom"/>
          </w:tcPr>
          <w:p>
            <w:pPr>
              <w:spacing w:after="0"/>
              <w:rPr>
                <w:sz w:val="22"/>
                <w:szCs w:val="22"/>
                <w:color w:val="auto"/>
              </w:rPr>
            </w:pP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26,072</w:t>
            </w:r>
          </w:p>
        </w:tc>
        <w:tc>
          <w:tcPr>
            <w:tcW w:w="220" w:type="dxa"/>
            <w:vAlign w:val="bottom"/>
          </w:tcPr>
          <w:p>
            <w:pPr>
              <w:spacing w:after="0"/>
              <w:rPr>
                <w:sz w:val="22"/>
                <w:szCs w:val="22"/>
                <w:color w:val="auto"/>
              </w:rPr>
            </w:pPr>
          </w:p>
        </w:tc>
        <w:tc>
          <w:tcPr>
            <w:tcW w:w="1340" w:type="dxa"/>
            <w:vAlign w:val="bottom"/>
          </w:tcPr>
          <w:p>
            <w:pPr>
              <w:jc w:val="right"/>
              <w:ind w:right="45"/>
              <w:spacing w:after="0"/>
              <w:rPr>
                <w:sz w:val="20"/>
                <w:szCs w:val="20"/>
                <w:color w:val="auto"/>
              </w:rPr>
            </w:pPr>
            <w:r>
              <w:rPr>
                <w:rFonts w:ascii="Arial" w:cs="Arial" w:eastAsia="Arial" w:hAnsi="Arial"/>
                <w:sz w:val="15"/>
                <w:szCs w:val="15"/>
                <w:color w:val="auto"/>
              </w:rPr>
              <w:t>110,553</w:t>
            </w:r>
          </w:p>
        </w:tc>
        <w:tc>
          <w:tcPr>
            <w:tcW w:w="240" w:type="dxa"/>
            <w:vAlign w:val="bottom"/>
          </w:tcPr>
          <w:p>
            <w:pPr>
              <w:spacing w:after="0"/>
              <w:rPr>
                <w:sz w:val="22"/>
                <w:szCs w:val="22"/>
                <w:color w:val="auto"/>
              </w:rPr>
            </w:pPr>
          </w:p>
        </w:tc>
        <w:tc>
          <w:tcPr>
            <w:tcW w:w="1340" w:type="dxa"/>
            <w:vAlign w:val="bottom"/>
          </w:tcPr>
          <w:p>
            <w:pPr>
              <w:jc w:val="right"/>
              <w:ind w:right="45"/>
              <w:spacing w:after="0"/>
              <w:rPr>
                <w:sz w:val="20"/>
                <w:szCs w:val="20"/>
                <w:color w:val="auto"/>
              </w:rPr>
            </w:pPr>
            <w:r>
              <w:rPr>
                <w:rFonts w:ascii="Arial" w:cs="Arial" w:eastAsia="Arial" w:hAnsi="Arial"/>
                <w:sz w:val="15"/>
                <w:szCs w:val="15"/>
                <w:color w:val="auto"/>
              </w:rPr>
              <w:t>117,169</w:t>
            </w:r>
          </w:p>
        </w:tc>
        <w:tc>
          <w:tcPr>
            <w:tcW w:w="260" w:type="dxa"/>
            <w:vAlign w:val="bottom"/>
          </w:tcPr>
          <w:p>
            <w:pPr>
              <w:spacing w:after="0"/>
              <w:rPr>
                <w:sz w:val="22"/>
                <w:szCs w:val="22"/>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color w:val="auto"/>
              </w:rPr>
              <w:t>(940)</w:t>
            </w:r>
          </w:p>
        </w:tc>
        <w:tc>
          <w:tcPr>
            <w:tcW w:w="220" w:type="dxa"/>
            <w:vAlign w:val="bottom"/>
          </w:tcPr>
          <w:p>
            <w:pPr>
              <w:spacing w:after="0"/>
              <w:rPr>
                <w:sz w:val="22"/>
                <w:szCs w:val="22"/>
                <w:color w:val="auto"/>
              </w:rPr>
            </w:pPr>
          </w:p>
        </w:tc>
        <w:tc>
          <w:tcPr>
            <w:tcW w:w="1320" w:type="dxa"/>
            <w:vAlign w:val="bottom"/>
          </w:tcPr>
          <w:p>
            <w:pPr>
              <w:jc w:val="right"/>
              <w:ind w:right="25"/>
              <w:spacing w:after="0"/>
              <w:rPr>
                <w:sz w:val="20"/>
                <w:szCs w:val="20"/>
                <w:color w:val="auto"/>
              </w:rPr>
            </w:pPr>
            <w:r>
              <w:rPr>
                <w:rFonts w:ascii="Arial" w:cs="Arial" w:eastAsia="Arial" w:hAnsi="Arial"/>
                <w:sz w:val="15"/>
                <w:szCs w:val="15"/>
                <w:color w:val="auto"/>
              </w:rPr>
              <w:t>252,854</w:t>
            </w:r>
          </w:p>
        </w:tc>
        <w:tc>
          <w:tcPr>
            <w:tcW w:w="0" w:type="dxa"/>
            <w:vAlign w:val="bottom"/>
          </w:tcPr>
          <w:p>
            <w:pPr>
              <w:spacing w:after="0"/>
              <w:rPr>
                <w:sz w:val="1"/>
                <w:szCs w:val="1"/>
                <w:color w:val="auto"/>
              </w:rPr>
            </w:pPr>
          </w:p>
        </w:tc>
      </w:tr>
      <w:tr>
        <w:trPr>
          <w:trHeight w:val="172"/>
        </w:trPr>
        <w:tc>
          <w:tcPr>
            <w:tcW w:w="4360" w:type="dxa"/>
            <w:vAlign w:val="bottom"/>
          </w:tcPr>
          <w:p>
            <w:pPr>
              <w:ind w:left="180"/>
              <w:spacing w:after="0"/>
              <w:rPr>
                <w:sz w:val="20"/>
                <w:szCs w:val="20"/>
                <w:color w:val="auto"/>
              </w:rPr>
            </w:pPr>
            <w:r>
              <w:rPr>
                <w:rFonts w:ascii="Arial" w:cs="Arial" w:eastAsia="Arial" w:hAnsi="Arial"/>
                <w:sz w:val="15"/>
                <w:szCs w:val="15"/>
                <w:b w:val="1"/>
                <w:bCs w:val="1"/>
                <w:color w:val="auto"/>
              </w:rPr>
              <w:t>Other comprehensive income (loss) before</w:t>
            </w:r>
          </w:p>
        </w:tc>
        <w:tc>
          <w:tcPr>
            <w:tcW w:w="180" w:type="dxa"/>
            <w:vAlign w:val="bottom"/>
          </w:tcPr>
          <w:p>
            <w:pPr>
              <w:spacing w:after="0"/>
              <w:rPr>
                <w:sz w:val="14"/>
                <w:szCs w:val="14"/>
                <w:color w:val="auto"/>
              </w:rPr>
            </w:pPr>
          </w:p>
        </w:tc>
        <w:tc>
          <w:tcPr>
            <w:tcW w:w="1160" w:type="dxa"/>
            <w:vAlign w:val="bottom"/>
            <w:vMerge w:val="restart"/>
          </w:tcPr>
          <w:p>
            <w:pPr>
              <w:jc w:val="right"/>
              <w:ind w:right="45"/>
              <w:spacing w:after="0"/>
              <w:rPr>
                <w:sz w:val="20"/>
                <w:szCs w:val="20"/>
                <w:color w:val="auto"/>
              </w:rPr>
            </w:pPr>
            <w:r>
              <w:rPr>
                <w:rFonts w:ascii="Arial" w:cs="Arial" w:eastAsia="Arial" w:hAnsi="Arial"/>
                <w:sz w:val="15"/>
                <w:szCs w:val="15"/>
                <w:b w:val="1"/>
                <w:bCs w:val="1"/>
                <w:color w:val="auto"/>
              </w:rPr>
              <w:t>(1,059)</w:t>
            </w:r>
          </w:p>
        </w:tc>
        <w:tc>
          <w:tcPr>
            <w:tcW w:w="220" w:type="dxa"/>
            <w:vAlign w:val="bottom"/>
          </w:tcPr>
          <w:p>
            <w:pPr>
              <w:spacing w:after="0"/>
              <w:rPr>
                <w:sz w:val="14"/>
                <w:szCs w:val="14"/>
                <w:color w:val="auto"/>
              </w:rPr>
            </w:pPr>
          </w:p>
        </w:tc>
        <w:tc>
          <w:tcPr>
            <w:tcW w:w="1340" w:type="dxa"/>
            <w:vAlign w:val="bottom"/>
            <w:vMerge w:val="restart"/>
          </w:tcPr>
          <w:p>
            <w:pPr>
              <w:jc w:val="right"/>
              <w:ind w:right="45"/>
              <w:spacing w:after="0"/>
              <w:rPr>
                <w:sz w:val="20"/>
                <w:szCs w:val="20"/>
                <w:color w:val="auto"/>
              </w:rPr>
            </w:pPr>
            <w:r>
              <w:rPr>
                <w:rFonts w:ascii="Arial" w:cs="Arial" w:eastAsia="Arial" w:hAnsi="Arial"/>
                <w:sz w:val="15"/>
                <w:szCs w:val="15"/>
                <w:b w:val="1"/>
                <w:bCs w:val="1"/>
                <w:color w:val="auto"/>
              </w:rPr>
              <w:t>57,378</w:t>
            </w:r>
          </w:p>
        </w:tc>
        <w:tc>
          <w:tcPr>
            <w:tcW w:w="240" w:type="dxa"/>
            <w:vAlign w:val="bottom"/>
          </w:tcPr>
          <w:p>
            <w:pPr>
              <w:spacing w:after="0"/>
              <w:rPr>
                <w:sz w:val="14"/>
                <w:szCs w:val="14"/>
                <w:color w:val="auto"/>
              </w:rPr>
            </w:pPr>
          </w:p>
        </w:tc>
        <w:tc>
          <w:tcPr>
            <w:tcW w:w="1340" w:type="dxa"/>
            <w:vAlign w:val="bottom"/>
            <w:vMerge w:val="restart"/>
          </w:tcPr>
          <w:p>
            <w:pPr>
              <w:jc w:val="right"/>
              <w:ind w:right="45"/>
              <w:spacing w:after="0"/>
              <w:rPr>
                <w:sz w:val="20"/>
                <w:szCs w:val="20"/>
                <w:color w:val="auto"/>
              </w:rPr>
            </w:pPr>
            <w:r>
              <w:rPr>
                <w:rFonts w:ascii="Arial" w:cs="Arial" w:eastAsia="Arial" w:hAnsi="Arial"/>
                <w:sz w:val="15"/>
                <w:szCs w:val="15"/>
                <w:b w:val="1"/>
                <w:bCs w:val="1"/>
                <w:color w:val="auto"/>
              </w:rPr>
              <w:t>383,249</w:t>
            </w:r>
          </w:p>
        </w:tc>
        <w:tc>
          <w:tcPr>
            <w:tcW w:w="260" w:type="dxa"/>
            <w:vAlign w:val="bottom"/>
          </w:tcPr>
          <w:p>
            <w:pPr>
              <w:spacing w:after="0"/>
              <w:rPr>
                <w:sz w:val="14"/>
                <w:szCs w:val="14"/>
                <w:color w:val="auto"/>
              </w:rPr>
            </w:pPr>
          </w:p>
        </w:tc>
        <w:tc>
          <w:tcPr>
            <w:tcW w:w="78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(178)</w:t>
            </w:r>
          </w:p>
        </w:tc>
        <w:tc>
          <w:tcPr>
            <w:tcW w:w="220" w:type="dxa"/>
            <w:vAlign w:val="bottom"/>
          </w:tcPr>
          <w:p>
            <w:pPr>
              <w:spacing w:after="0"/>
              <w:rPr>
                <w:sz w:val="14"/>
                <w:szCs w:val="14"/>
                <w:color w:val="auto"/>
              </w:rPr>
            </w:pPr>
          </w:p>
        </w:tc>
        <w:tc>
          <w:tcPr>
            <w:tcW w:w="1320" w:type="dxa"/>
            <w:vAlign w:val="bottom"/>
            <w:vMerge w:val="restart"/>
          </w:tcPr>
          <w:p>
            <w:pPr>
              <w:jc w:val="right"/>
              <w:ind w:right="25"/>
              <w:spacing w:after="0"/>
              <w:rPr>
                <w:sz w:val="20"/>
                <w:szCs w:val="20"/>
                <w:color w:val="auto"/>
              </w:rPr>
            </w:pPr>
            <w:r>
              <w:rPr>
                <w:rFonts w:ascii="Arial" w:cs="Arial" w:eastAsia="Arial" w:hAnsi="Arial"/>
                <w:sz w:val="15"/>
                <w:szCs w:val="15"/>
                <w:b w:val="1"/>
                <w:bCs w:val="1"/>
                <w:color w:val="auto"/>
              </w:rPr>
              <w:t>439,390</w:t>
            </w:r>
          </w:p>
        </w:tc>
        <w:tc>
          <w:tcPr>
            <w:tcW w:w="0" w:type="dxa"/>
            <w:vAlign w:val="bottom"/>
          </w:tcPr>
          <w:p>
            <w:pPr>
              <w:spacing w:after="0"/>
              <w:rPr>
                <w:sz w:val="1"/>
                <w:szCs w:val="1"/>
                <w:color w:val="auto"/>
              </w:rPr>
            </w:pPr>
          </w:p>
        </w:tc>
      </w:tr>
      <w:tr>
        <w:trPr>
          <w:trHeight w:val="214"/>
        </w:trPr>
        <w:tc>
          <w:tcPr>
            <w:tcW w:w="4360" w:type="dxa"/>
            <w:vAlign w:val="bottom"/>
          </w:tcPr>
          <w:p>
            <w:pPr>
              <w:ind w:left="340"/>
              <w:spacing w:after="0"/>
              <w:rPr>
                <w:sz w:val="20"/>
                <w:szCs w:val="20"/>
                <w:color w:val="auto"/>
              </w:rPr>
            </w:pPr>
            <w:r>
              <w:rPr>
                <w:rFonts w:ascii="Arial" w:cs="Arial" w:eastAsia="Arial" w:hAnsi="Arial"/>
                <w:sz w:val="15"/>
                <w:szCs w:val="15"/>
                <w:b w:val="1"/>
                <w:bCs w:val="1"/>
                <w:color w:val="auto"/>
              </w:rPr>
              <w:t>reclassifications</w:t>
            </w: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360" w:type="dxa"/>
            <w:vAlign w:val="bottom"/>
          </w:tcPr>
          <w:p>
            <w:pPr>
              <w:ind w:left="180"/>
              <w:spacing w:after="0" w:line="164" w:lineRule="exact"/>
              <w:rPr>
                <w:sz w:val="20"/>
                <w:szCs w:val="20"/>
                <w:color w:val="auto"/>
              </w:rPr>
            </w:pPr>
            <w:r>
              <w:rPr>
                <w:rFonts w:ascii="Arial" w:cs="Arial" w:eastAsia="Arial" w:hAnsi="Arial"/>
                <w:sz w:val="15"/>
                <w:szCs w:val="15"/>
                <w:b w:val="1"/>
                <w:bCs w:val="1"/>
                <w:color w:val="auto"/>
              </w:rPr>
              <w:t>Net amount reclassified from accumulated other</w:t>
            </w:r>
          </w:p>
        </w:tc>
        <w:tc>
          <w:tcPr>
            <w:tcW w:w="180" w:type="dxa"/>
            <w:vAlign w:val="bottom"/>
          </w:tcPr>
          <w:p>
            <w:pPr>
              <w:spacing w:after="0"/>
              <w:rPr>
                <w:sz w:val="14"/>
                <w:szCs w:val="14"/>
                <w:color w:val="auto"/>
              </w:rPr>
            </w:pPr>
          </w:p>
        </w:tc>
        <w:tc>
          <w:tcPr>
            <w:tcW w:w="1160" w:type="dxa"/>
            <w:vAlign w:val="bottom"/>
            <w:vMerge w:val="restart"/>
          </w:tcPr>
          <w:p>
            <w:pPr>
              <w:jc w:val="right"/>
              <w:ind w:right="85"/>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4"/>
                <w:szCs w:val="14"/>
                <w:color w:val="auto"/>
              </w:rPr>
            </w:pPr>
          </w:p>
        </w:tc>
        <w:tc>
          <w:tcPr>
            <w:tcW w:w="1340" w:type="dxa"/>
            <w:vAlign w:val="bottom"/>
            <w:vMerge w:val="restart"/>
          </w:tcPr>
          <w:p>
            <w:pPr>
              <w:jc w:val="right"/>
              <w:ind w:right="45"/>
              <w:spacing w:after="0"/>
              <w:rPr>
                <w:sz w:val="20"/>
                <w:szCs w:val="20"/>
                <w:color w:val="auto"/>
              </w:rPr>
            </w:pPr>
            <w:r>
              <w:rPr>
                <w:rFonts w:ascii="Arial" w:cs="Arial" w:eastAsia="Arial" w:hAnsi="Arial"/>
                <w:sz w:val="15"/>
                <w:szCs w:val="15"/>
                <w:b w:val="1"/>
                <w:bCs w:val="1"/>
                <w:color w:val="auto"/>
              </w:rPr>
              <w:t>5,732</w:t>
            </w:r>
          </w:p>
        </w:tc>
        <w:tc>
          <w:tcPr>
            <w:tcW w:w="240" w:type="dxa"/>
            <w:vAlign w:val="bottom"/>
          </w:tcPr>
          <w:p>
            <w:pPr>
              <w:spacing w:after="0"/>
              <w:rPr>
                <w:sz w:val="14"/>
                <w:szCs w:val="14"/>
                <w:color w:val="auto"/>
              </w:rPr>
            </w:pPr>
          </w:p>
        </w:tc>
        <w:tc>
          <w:tcPr>
            <w:tcW w:w="1340" w:type="dxa"/>
            <w:vAlign w:val="bottom"/>
            <w:vMerge w:val="restart"/>
          </w:tcPr>
          <w:p>
            <w:pPr>
              <w:jc w:val="right"/>
              <w:ind w:right="45"/>
              <w:spacing w:after="0"/>
              <w:rPr>
                <w:sz w:val="20"/>
                <w:szCs w:val="20"/>
                <w:color w:val="auto"/>
              </w:rPr>
            </w:pPr>
            <w:r>
              <w:rPr>
                <w:rFonts w:ascii="Arial" w:cs="Arial" w:eastAsia="Arial" w:hAnsi="Arial"/>
                <w:sz w:val="15"/>
                <w:szCs w:val="15"/>
                <w:b w:val="1"/>
                <w:bCs w:val="1"/>
                <w:color w:val="auto"/>
              </w:rPr>
              <w:t>1,028</w:t>
            </w:r>
          </w:p>
        </w:tc>
        <w:tc>
          <w:tcPr>
            <w:tcW w:w="260" w:type="dxa"/>
            <w:vAlign w:val="bottom"/>
          </w:tcPr>
          <w:p>
            <w:pPr>
              <w:spacing w:after="0"/>
              <w:rPr>
                <w:sz w:val="14"/>
                <w:szCs w:val="14"/>
                <w:color w:val="auto"/>
              </w:rPr>
            </w:pPr>
          </w:p>
        </w:tc>
        <w:tc>
          <w:tcPr>
            <w:tcW w:w="78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490</w:t>
            </w:r>
          </w:p>
        </w:tc>
        <w:tc>
          <w:tcPr>
            <w:tcW w:w="220" w:type="dxa"/>
            <w:vAlign w:val="bottom"/>
          </w:tcPr>
          <w:p>
            <w:pPr>
              <w:spacing w:after="0"/>
              <w:rPr>
                <w:sz w:val="14"/>
                <w:szCs w:val="14"/>
                <w:color w:val="auto"/>
              </w:rPr>
            </w:pPr>
          </w:p>
        </w:tc>
        <w:tc>
          <w:tcPr>
            <w:tcW w:w="1320" w:type="dxa"/>
            <w:vAlign w:val="bottom"/>
            <w:vMerge w:val="restart"/>
          </w:tcPr>
          <w:p>
            <w:pPr>
              <w:jc w:val="right"/>
              <w:ind w:right="25"/>
              <w:spacing w:after="0"/>
              <w:rPr>
                <w:sz w:val="20"/>
                <w:szCs w:val="20"/>
                <w:color w:val="auto"/>
              </w:rPr>
            </w:pPr>
            <w:r>
              <w:rPr>
                <w:rFonts w:ascii="Arial" w:cs="Arial" w:eastAsia="Arial" w:hAnsi="Arial"/>
                <w:sz w:val="15"/>
                <w:szCs w:val="15"/>
                <w:b w:val="1"/>
                <w:bCs w:val="1"/>
                <w:color w:val="auto"/>
              </w:rPr>
              <w:t>7,250</w:t>
            </w:r>
          </w:p>
        </w:tc>
        <w:tc>
          <w:tcPr>
            <w:tcW w:w="0" w:type="dxa"/>
            <w:vAlign w:val="bottom"/>
          </w:tcPr>
          <w:p>
            <w:pPr>
              <w:spacing w:after="0"/>
              <w:rPr>
                <w:sz w:val="1"/>
                <w:szCs w:val="1"/>
                <w:color w:val="auto"/>
              </w:rPr>
            </w:pPr>
          </w:p>
        </w:tc>
      </w:tr>
      <w:tr>
        <w:trPr>
          <w:trHeight w:val="212"/>
        </w:trPr>
        <w:tc>
          <w:tcPr>
            <w:tcW w:w="4360" w:type="dxa"/>
            <w:vAlign w:val="bottom"/>
          </w:tcPr>
          <w:p>
            <w:pPr>
              <w:ind w:left="340"/>
              <w:spacing w:after="0"/>
              <w:rPr>
                <w:sz w:val="20"/>
                <w:szCs w:val="20"/>
                <w:color w:val="auto"/>
              </w:rPr>
            </w:pPr>
            <w:r>
              <w:rPr>
                <w:rFonts w:ascii="Arial" w:cs="Arial" w:eastAsia="Arial" w:hAnsi="Arial"/>
                <w:sz w:val="15"/>
                <w:szCs w:val="15"/>
                <w:b w:val="1"/>
                <w:bCs w:val="1"/>
                <w:color w:val="auto"/>
              </w:rPr>
              <w:t>comprehensive income</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360" w:type="dxa"/>
            <w:vAlign w:val="bottom"/>
          </w:tcPr>
          <w:p>
            <w:pPr>
              <w:ind w:left="180"/>
              <w:spacing w:after="0"/>
              <w:rPr>
                <w:sz w:val="20"/>
                <w:szCs w:val="20"/>
                <w:color w:val="auto"/>
              </w:rPr>
            </w:pPr>
            <w:r>
              <w:rPr>
                <w:rFonts w:ascii="Arial" w:cs="Arial" w:eastAsia="Arial" w:hAnsi="Arial"/>
                <w:sz w:val="15"/>
                <w:szCs w:val="15"/>
                <w:b w:val="1"/>
                <w:bCs w:val="1"/>
                <w:color w:val="auto"/>
              </w:rPr>
              <w:t>Net other comprehensive income (loss)</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(1,059)</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63,110</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384,277</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312</w:t>
            </w: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446,640</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5"/>
                <w:szCs w:val="15"/>
                <w:b w:val="1"/>
                <w:bCs w:val="1"/>
                <w:color w:val="auto"/>
              </w:rPr>
              <w:t>As of December 31, 2013</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1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25,013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173,663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501,446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(628)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rPr>
              <w:t>699,494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jc w:val="right"/>
              <w:ind w:right="524"/>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7"/>
                <w:szCs w:val="17"/>
                <w:color w:val="auto"/>
              </w:rPr>
            </w:pPr>
          </w:p>
        </w:tc>
        <w:tc>
          <w:tcPr>
            <w:tcW w:w="31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color w:val="auto"/>
              </w:rPr>
              <w:t>2012</w:t>
            </w: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Statement of Operations</w:t>
            </w:r>
          </w:p>
        </w:tc>
        <w:tc>
          <w:tcPr>
            <w:tcW w:w="0" w:type="dxa"/>
            <w:vAlign w:val="bottom"/>
          </w:tcPr>
          <w:p>
            <w:pPr>
              <w:spacing w:after="0"/>
              <w:rPr>
                <w:sz w:val="1"/>
                <w:szCs w:val="1"/>
                <w:color w:val="auto"/>
              </w:rPr>
            </w:pPr>
          </w:p>
        </w:tc>
      </w:tr>
      <w:tr>
        <w:trPr>
          <w:trHeight w:val="259"/>
        </w:trPr>
        <w:tc>
          <w:tcPr>
            <w:tcW w:w="5160" w:type="dxa"/>
            <w:vAlign w:val="bottom"/>
          </w:tcPr>
          <w:p>
            <w:pPr>
              <w:ind w:left="40"/>
              <w:spacing w:after="0"/>
              <w:rPr>
                <w:sz w:val="20"/>
                <w:szCs w:val="20"/>
                <w:color w:val="auto"/>
              </w:rPr>
            </w:pPr>
            <w:r>
              <w:rPr>
                <w:rFonts w:ascii="Arial" w:cs="Arial" w:eastAsia="Arial" w:hAnsi="Arial"/>
                <w:sz w:val="15"/>
                <w:szCs w:val="15"/>
                <w:color w:val="auto"/>
              </w:rPr>
              <w:t>Foreign Currency Translation Adjustments:</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5160" w:type="dxa"/>
            <w:vAlign w:val="bottom"/>
            <w:vMerge w:val="restart"/>
          </w:tcPr>
          <w:p>
            <w:pPr>
              <w:ind w:left="180"/>
              <w:spacing w:after="0"/>
              <w:rPr>
                <w:sz w:val="20"/>
                <w:szCs w:val="20"/>
                <w:color w:val="auto"/>
              </w:rPr>
            </w:pPr>
            <w:r>
              <w:rPr>
                <w:rFonts w:ascii="Arial" w:cs="Arial" w:eastAsia="Arial" w:hAnsi="Arial"/>
                <w:sz w:val="15"/>
                <w:szCs w:val="15"/>
                <w:color w:val="auto"/>
              </w:rPr>
              <w:t>Adjustment for sales of businesses with foreign operations</w:t>
            </w:r>
          </w:p>
        </w:tc>
        <w:tc>
          <w:tcPr>
            <w:tcW w:w="20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7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ind w:right="24"/>
              <w:spacing w:after="0"/>
              <w:rPr>
                <w:sz w:val="20"/>
                <w:szCs w:val="20"/>
                <w:color w:val="auto"/>
              </w:rPr>
            </w:pPr>
            <w:r>
              <w:rPr>
                <w:rFonts w:ascii="Arial" w:cs="Arial" w:eastAsia="Arial" w:hAnsi="Arial"/>
                <w:sz w:val="15"/>
                <w:szCs w:val="15"/>
                <w:color w:val="auto"/>
              </w:rPr>
              <w:t>(888)</w:t>
            </w:r>
          </w:p>
        </w:tc>
        <w:tc>
          <w:tcPr>
            <w:tcW w:w="26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Income (loss) from discontinued operations,</w:t>
            </w:r>
          </w:p>
        </w:tc>
        <w:tc>
          <w:tcPr>
            <w:tcW w:w="0" w:type="dxa"/>
            <w:vAlign w:val="bottom"/>
          </w:tcPr>
          <w:p>
            <w:pPr>
              <w:spacing w:after="0"/>
              <w:rPr>
                <w:sz w:val="1"/>
                <w:szCs w:val="1"/>
                <w:color w:val="auto"/>
              </w:rPr>
            </w:pPr>
          </w:p>
        </w:tc>
      </w:tr>
      <w:tr>
        <w:trPr>
          <w:trHeight w:val="214"/>
        </w:trPr>
        <w:tc>
          <w:tcPr>
            <w:tcW w:w="51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net of tax</w:t>
            </w:r>
          </w:p>
        </w:tc>
        <w:tc>
          <w:tcPr>
            <w:tcW w:w="0" w:type="dxa"/>
            <w:vAlign w:val="bottom"/>
          </w:tcPr>
          <w:p>
            <w:pPr>
              <w:spacing w:after="0"/>
              <w:rPr>
                <w:sz w:val="1"/>
                <w:szCs w:val="1"/>
                <w:color w:val="auto"/>
              </w:rPr>
            </w:pPr>
          </w:p>
        </w:tc>
      </w:tr>
      <w:tr>
        <w:trPr>
          <w:trHeight w:val="262"/>
        </w:trPr>
        <w:tc>
          <w:tcPr>
            <w:tcW w:w="5160" w:type="dxa"/>
            <w:vAlign w:val="bottom"/>
          </w:tcPr>
          <w:p>
            <w:pPr>
              <w:ind w:left="40"/>
              <w:spacing w:after="0"/>
              <w:rPr>
                <w:sz w:val="20"/>
                <w:szCs w:val="20"/>
                <w:color w:val="auto"/>
              </w:rPr>
            </w:pPr>
            <w:r>
              <w:rPr>
                <w:rFonts w:ascii="Arial" w:cs="Arial" w:eastAsia="Arial" w:hAnsi="Arial"/>
                <w:sz w:val="15"/>
                <w:szCs w:val="15"/>
                <w:color w:val="auto"/>
              </w:rPr>
              <w:t>Unrealized Gains on Available-for-sale Securities:</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160" w:type="dxa"/>
            <w:vAlign w:val="bottom"/>
          </w:tcPr>
          <w:p>
            <w:pPr>
              <w:ind w:left="180"/>
              <w:spacing w:after="0"/>
              <w:rPr>
                <w:sz w:val="20"/>
                <w:szCs w:val="20"/>
                <w:color w:val="auto"/>
              </w:rPr>
            </w:pPr>
            <w:r>
              <w:rPr>
                <w:rFonts w:ascii="Arial" w:cs="Arial" w:eastAsia="Arial" w:hAnsi="Arial"/>
                <w:sz w:val="15"/>
                <w:szCs w:val="15"/>
                <w:color w:val="auto"/>
              </w:rPr>
              <w:t>Write-downs on available-for-sale securities, net of gains</w:t>
            </w:r>
          </w:p>
        </w:tc>
        <w:tc>
          <w:tcPr>
            <w:tcW w:w="200" w:type="dxa"/>
            <w:vAlign w:val="bottom"/>
          </w:tcPr>
          <w:p>
            <w:pPr>
              <w:spacing w:after="0"/>
              <w:rPr>
                <w:sz w:val="24"/>
                <w:szCs w:val="24"/>
                <w:color w:val="auto"/>
              </w:rPr>
            </w:pPr>
          </w:p>
        </w:tc>
        <w:tc>
          <w:tcPr>
            <w:tcW w:w="780" w:type="dxa"/>
            <w:vAlign w:val="bottom"/>
          </w:tcPr>
          <w:p>
            <w:pPr>
              <w:jc w:val="right"/>
              <w:ind w:right="84"/>
              <w:spacing w:after="0"/>
              <w:rPr>
                <w:sz w:val="20"/>
                <w:szCs w:val="20"/>
                <w:color w:val="auto"/>
              </w:rPr>
            </w:pPr>
            <w:r>
              <w:rPr>
                <w:rFonts w:ascii="Arial" w:cs="Arial" w:eastAsia="Arial" w:hAnsi="Arial"/>
                <w:sz w:val="15"/>
                <w:szCs w:val="15"/>
                <w:b w:val="1"/>
                <w:bCs w:val="1"/>
                <w:color w:val="auto"/>
              </w:rPr>
              <w:t>9,554</w:t>
            </w:r>
          </w:p>
        </w:tc>
        <w:tc>
          <w:tcPr>
            <w:tcW w:w="260" w:type="dxa"/>
            <w:vAlign w:val="bottom"/>
          </w:tcPr>
          <w:p>
            <w:pPr>
              <w:spacing w:after="0"/>
              <w:rPr>
                <w:sz w:val="24"/>
                <w:szCs w:val="24"/>
                <w:color w:val="auto"/>
              </w:rPr>
            </w:pPr>
          </w:p>
        </w:tc>
        <w:tc>
          <w:tcPr>
            <w:tcW w:w="760" w:type="dxa"/>
            <w:vAlign w:val="bottom"/>
          </w:tcPr>
          <w:p>
            <w:pPr>
              <w:jc w:val="right"/>
              <w:ind w:right="84"/>
              <w:spacing w:after="0"/>
              <w:rPr>
                <w:sz w:val="20"/>
                <w:szCs w:val="20"/>
                <w:color w:val="auto"/>
              </w:rPr>
            </w:pPr>
            <w:r>
              <w:rPr>
                <w:rFonts w:ascii="Arial" w:cs="Arial" w:eastAsia="Arial" w:hAnsi="Arial"/>
                <w:sz w:val="15"/>
                <w:szCs w:val="15"/>
                <w:color w:val="auto"/>
              </w:rPr>
              <w:t>17,226</w:t>
            </w:r>
          </w:p>
        </w:tc>
        <w:tc>
          <w:tcPr>
            <w:tcW w:w="260" w:type="dxa"/>
            <w:vAlign w:val="bottom"/>
          </w:tcPr>
          <w:p>
            <w:pPr>
              <w:spacing w:after="0"/>
              <w:rPr>
                <w:sz w:val="24"/>
                <w:szCs w:val="24"/>
                <w:color w:val="auto"/>
              </w:rPr>
            </w:pP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53,793</w:t>
            </w:r>
          </w:p>
        </w:tc>
        <w:tc>
          <w:tcPr>
            <w:tcW w:w="120" w:type="dxa"/>
            <w:vAlign w:val="bottom"/>
          </w:tcPr>
          <w:p>
            <w:pPr>
              <w:spacing w:after="0"/>
              <w:rPr>
                <w:sz w:val="24"/>
                <w:szCs w:val="24"/>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Other expense, net</w:t>
            </w:r>
          </w:p>
        </w:tc>
        <w:tc>
          <w:tcPr>
            <w:tcW w:w="0" w:type="dxa"/>
            <w:vAlign w:val="bottom"/>
          </w:tcPr>
          <w:p>
            <w:pPr>
              <w:spacing w:after="0"/>
              <w:rPr>
                <w:sz w:val="1"/>
                <w:szCs w:val="1"/>
                <w:color w:val="auto"/>
              </w:rPr>
            </w:pPr>
          </w:p>
        </w:tc>
      </w:tr>
      <w:tr>
        <w:trPr>
          <w:trHeight w:val="268"/>
        </w:trPr>
        <w:tc>
          <w:tcPr>
            <w:tcW w:w="5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(3,822)</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(6,890)</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(21,518)</w:t>
            </w:r>
          </w:p>
        </w:tc>
        <w:tc>
          <w:tcPr>
            <w:tcW w:w="120" w:type="dxa"/>
            <w:vAlign w:val="bottom"/>
          </w:tcPr>
          <w:p>
            <w:pPr>
              <w:spacing w:after="0"/>
              <w:rPr>
                <w:sz w:val="23"/>
                <w:szCs w:val="23"/>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5,732</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10,336</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32,275</w:t>
            </w:r>
          </w:p>
        </w:tc>
        <w:tc>
          <w:tcPr>
            <w:tcW w:w="12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Net of Tax</w:t>
            </w:r>
          </w:p>
        </w:tc>
        <w:tc>
          <w:tcPr>
            <w:tcW w:w="0" w:type="dxa"/>
            <w:vAlign w:val="bottom"/>
          </w:tcPr>
          <w:p>
            <w:pPr>
              <w:spacing w:after="0"/>
              <w:rPr>
                <w:sz w:val="1"/>
                <w:szCs w:val="1"/>
                <w:color w:val="auto"/>
              </w:rPr>
            </w:pPr>
          </w:p>
        </w:tc>
      </w:tr>
      <w:tr>
        <w:trPr>
          <w:trHeight w:val="258"/>
        </w:trPr>
        <w:tc>
          <w:tcPr>
            <w:tcW w:w="5160" w:type="dxa"/>
            <w:vAlign w:val="bottom"/>
          </w:tcPr>
          <w:p>
            <w:pPr>
              <w:ind w:left="40"/>
              <w:spacing w:after="0"/>
              <w:rPr>
                <w:sz w:val="20"/>
                <w:szCs w:val="20"/>
                <w:color w:val="auto"/>
              </w:rPr>
            </w:pPr>
            <w:r>
              <w:rPr>
                <w:rFonts w:ascii="Arial" w:cs="Arial" w:eastAsia="Arial" w:hAnsi="Arial"/>
                <w:sz w:val="15"/>
                <w:szCs w:val="15"/>
                <w:color w:val="auto"/>
              </w:rPr>
              <w:t>Pension and Other Postretirement Plans:</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60" w:type="dxa"/>
            <w:vAlign w:val="bottom"/>
            <w:vMerge w:val="restart"/>
          </w:tcPr>
          <w:p>
            <w:pPr>
              <w:ind w:left="180"/>
              <w:spacing w:after="0"/>
              <w:rPr>
                <w:sz w:val="20"/>
                <w:szCs w:val="20"/>
                <w:color w:val="auto"/>
              </w:rPr>
            </w:pPr>
            <w:r>
              <w:rPr>
                <w:rFonts w:ascii="Arial" w:cs="Arial" w:eastAsia="Arial" w:hAnsi="Arial"/>
                <w:sz w:val="15"/>
                <w:szCs w:val="15"/>
                <w:color w:val="auto"/>
              </w:rPr>
              <w:t>Amortization of net actuarial loss (gain)</w:t>
            </w:r>
          </w:p>
        </w:tc>
        <w:tc>
          <w:tcPr>
            <w:tcW w:w="200" w:type="dxa"/>
            <w:vAlign w:val="bottom"/>
          </w:tcPr>
          <w:p>
            <w:pPr>
              <w:spacing w:after="0"/>
              <w:rPr>
                <w:sz w:val="18"/>
                <w:szCs w:val="18"/>
                <w:color w:val="auto"/>
              </w:rPr>
            </w:pPr>
          </w:p>
        </w:tc>
        <w:tc>
          <w:tcPr>
            <w:tcW w:w="7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3,096</w:t>
            </w:r>
          </w:p>
        </w:tc>
        <w:tc>
          <w:tcPr>
            <w:tcW w:w="260" w:type="dxa"/>
            <w:vAlign w:val="bottom"/>
          </w:tcPr>
          <w:p>
            <w:pPr>
              <w:spacing w:after="0"/>
              <w:rPr>
                <w:sz w:val="18"/>
                <w:szCs w:val="18"/>
                <w:color w:val="auto"/>
              </w:rPr>
            </w:pPr>
          </w:p>
        </w:tc>
        <w:tc>
          <w:tcPr>
            <w:tcW w:w="760" w:type="dxa"/>
            <w:vAlign w:val="bottom"/>
            <w:vMerge w:val="restart"/>
          </w:tcPr>
          <w:p>
            <w:pPr>
              <w:jc w:val="right"/>
              <w:ind w:right="84"/>
              <w:spacing w:after="0"/>
              <w:rPr>
                <w:sz w:val="20"/>
                <w:szCs w:val="20"/>
                <w:color w:val="auto"/>
              </w:rPr>
            </w:pPr>
            <w:r>
              <w:rPr>
                <w:rFonts w:ascii="Arial" w:cs="Arial" w:eastAsia="Arial" w:hAnsi="Arial"/>
                <w:sz w:val="15"/>
                <w:szCs w:val="15"/>
                <w:color w:val="auto"/>
              </w:rPr>
              <w:t>9,368</w:t>
            </w:r>
          </w:p>
        </w:tc>
        <w:tc>
          <w:tcPr>
            <w:tcW w:w="26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(510)</w:t>
            </w:r>
          </w:p>
        </w:tc>
        <w:tc>
          <w:tcPr>
            <w:tcW w:w="3300" w:type="dxa"/>
            <w:vAlign w:val="bottom"/>
            <w:gridSpan w:val="2"/>
          </w:tcPr>
          <w:p>
            <w:pPr>
              <w:ind w:left="14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62"/>
        </w:trPr>
        <w:tc>
          <w:tcPr>
            <w:tcW w:w="51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160" w:type="dxa"/>
            <w:vAlign w:val="bottom"/>
            <w:vMerge w:val="restart"/>
          </w:tcPr>
          <w:p>
            <w:pPr>
              <w:ind w:left="180"/>
              <w:spacing w:after="0"/>
              <w:rPr>
                <w:sz w:val="20"/>
                <w:szCs w:val="20"/>
                <w:color w:val="auto"/>
              </w:rPr>
            </w:pPr>
            <w:r>
              <w:rPr>
                <w:rFonts w:ascii="Arial" w:cs="Arial" w:eastAsia="Arial" w:hAnsi="Arial"/>
                <w:sz w:val="15"/>
                <w:szCs w:val="15"/>
                <w:color w:val="auto"/>
              </w:rPr>
              <w:t>Amortization of net prior service credit</w:t>
            </w:r>
          </w:p>
        </w:tc>
        <w:tc>
          <w:tcPr>
            <w:tcW w:w="200" w:type="dxa"/>
            <w:vAlign w:val="bottom"/>
          </w:tcPr>
          <w:p>
            <w:pPr>
              <w:spacing w:after="0"/>
              <w:rPr>
                <w:sz w:val="18"/>
                <w:szCs w:val="18"/>
                <w:color w:val="auto"/>
              </w:rPr>
            </w:pPr>
          </w:p>
        </w:tc>
        <w:tc>
          <w:tcPr>
            <w:tcW w:w="78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(1,383)</w:t>
            </w:r>
          </w:p>
        </w:tc>
        <w:tc>
          <w:tcPr>
            <w:tcW w:w="260" w:type="dxa"/>
            <w:vAlign w:val="bottom"/>
          </w:tcPr>
          <w:p>
            <w:pPr>
              <w:spacing w:after="0"/>
              <w:rPr>
                <w:sz w:val="18"/>
                <w:szCs w:val="18"/>
                <w:color w:val="auto"/>
              </w:rPr>
            </w:pPr>
          </w:p>
        </w:tc>
        <w:tc>
          <w:tcPr>
            <w:tcW w:w="760" w:type="dxa"/>
            <w:vAlign w:val="bottom"/>
            <w:vMerge w:val="restart"/>
          </w:tcPr>
          <w:p>
            <w:pPr>
              <w:jc w:val="right"/>
              <w:ind w:right="24"/>
              <w:spacing w:after="0"/>
              <w:rPr>
                <w:sz w:val="20"/>
                <w:szCs w:val="20"/>
                <w:color w:val="auto"/>
              </w:rPr>
            </w:pPr>
            <w:r>
              <w:rPr>
                <w:rFonts w:ascii="Arial" w:cs="Arial" w:eastAsia="Arial" w:hAnsi="Arial"/>
                <w:sz w:val="15"/>
                <w:szCs w:val="15"/>
                <w:color w:val="auto"/>
              </w:rPr>
              <w:t>(1,859)</w:t>
            </w:r>
          </w:p>
        </w:tc>
        <w:tc>
          <w:tcPr>
            <w:tcW w:w="26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(3,925)</w:t>
            </w:r>
          </w:p>
        </w:tc>
        <w:tc>
          <w:tcPr>
            <w:tcW w:w="3300" w:type="dxa"/>
            <w:vAlign w:val="bottom"/>
            <w:gridSpan w:val="2"/>
          </w:tcPr>
          <w:p>
            <w:pPr>
              <w:ind w:left="14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60"/>
        </w:trPr>
        <w:tc>
          <w:tcPr>
            <w:tcW w:w="516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5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84"/>
              <w:spacing w:after="0"/>
              <w:rPr>
                <w:sz w:val="20"/>
                <w:szCs w:val="20"/>
                <w:color w:val="auto"/>
              </w:rPr>
            </w:pPr>
            <w:r>
              <w:rPr>
                <w:rFonts w:ascii="Arial" w:cs="Arial" w:eastAsia="Arial" w:hAnsi="Arial"/>
                <w:sz w:val="15"/>
                <w:szCs w:val="15"/>
                <w:b w:val="1"/>
                <w:bCs w:val="1"/>
                <w:color w:val="auto"/>
              </w:rPr>
              <w:t>1,713</w:t>
            </w:r>
          </w:p>
        </w:tc>
        <w:tc>
          <w:tcPr>
            <w:tcW w:w="260" w:type="dxa"/>
            <w:vAlign w:val="bottom"/>
          </w:tcPr>
          <w:p>
            <w:pPr>
              <w:spacing w:after="0"/>
              <w:rPr>
                <w:sz w:val="23"/>
                <w:szCs w:val="23"/>
                <w:color w:val="auto"/>
              </w:rPr>
            </w:pPr>
          </w:p>
        </w:tc>
        <w:tc>
          <w:tcPr>
            <w:tcW w:w="760" w:type="dxa"/>
            <w:vAlign w:val="bottom"/>
          </w:tcPr>
          <w:p>
            <w:pPr>
              <w:jc w:val="right"/>
              <w:ind w:right="84"/>
              <w:spacing w:after="0"/>
              <w:rPr>
                <w:sz w:val="20"/>
                <w:szCs w:val="20"/>
                <w:color w:val="auto"/>
              </w:rPr>
            </w:pPr>
            <w:r>
              <w:rPr>
                <w:rFonts w:ascii="Arial" w:cs="Arial" w:eastAsia="Arial" w:hAnsi="Arial"/>
                <w:sz w:val="15"/>
                <w:szCs w:val="15"/>
                <w:color w:val="auto"/>
              </w:rPr>
              <w:t>7,509</w:t>
            </w:r>
          </w:p>
        </w:tc>
        <w:tc>
          <w:tcPr>
            <w:tcW w:w="2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(4,435)</w:t>
            </w:r>
          </w:p>
        </w:tc>
        <w:tc>
          <w:tcPr>
            <w:tcW w:w="120" w:type="dxa"/>
            <w:vAlign w:val="bottom"/>
          </w:tcPr>
          <w:p>
            <w:pPr>
              <w:spacing w:after="0"/>
              <w:rPr>
                <w:sz w:val="23"/>
                <w:szCs w:val="23"/>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Before tax</w:t>
            </w:r>
          </w:p>
        </w:tc>
        <w:tc>
          <w:tcPr>
            <w:tcW w:w="0" w:type="dxa"/>
            <w:vAlign w:val="bottom"/>
          </w:tcPr>
          <w:p>
            <w:pPr>
              <w:spacing w:after="0"/>
              <w:rPr>
                <w:sz w:val="1"/>
                <w:szCs w:val="1"/>
                <w:color w:val="auto"/>
              </w:rPr>
            </w:pPr>
          </w:p>
        </w:tc>
      </w:tr>
      <w:tr>
        <w:trPr>
          <w:trHeight w:val="268"/>
        </w:trPr>
        <w:tc>
          <w:tcPr>
            <w:tcW w:w="5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(685)</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(3,002)</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1,774</w:t>
            </w:r>
          </w:p>
        </w:tc>
        <w:tc>
          <w:tcPr>
            <w:tcW w:w="120" w:type="dxa"/>
            <w:vAlign w:val="bottom"/>
          </w:tcPr>
          <w:p>
            <w:pPr>
              <w:spacing w:after="0"/>
              <w:rPr>
                <w:sz w:val="23"/>
                <w:szCs w:val="23"/>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Income Taxes</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1,028</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4,507</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(2,661)</w:t>
            </w:r>
          </w:p>
        </w:tc>
        <w:tc>
          <w:tcPr>
            <w:tcW w:w="12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Net of Tax</w:t>
            </w:r>
          </w:p>
        </w:tc>
        <w:tc>
          <w:tcPr>
            <w:tcW w:w="0" w:type="dxa"/>
            <w:vAlign w:val="bottom"/>
          </w:tcPr>
          <w:p>
            <w:pPr>
              <w:spacing w:after="0"/>
              <w:rPr>
                <w:sz w:val="1"/>
                <w:szCs w:val="1"/>
                <w:color w:val="auto"/>
              </w:rPr>
            </w:pPr>
          </w:p>
        </w:tc>
      </w:tr>
      <w:tr>
        <w:trPr>
          <w:trHeight w:val="258"/>
        </w:trPr>
        <w:tc>
          <w:tcPr>
            <w:tcW w:w="5160" w:type="dxa"/>
            <w:vAlign w:val="bottom"/>
          </w:tcPr>
          <w:p>
            <w:pPr>
              <w:ind w:left="40"/>
              <w:spacing w:after="0"/>
              <w:rPr>
                <w:sz w:val="20"/>
                <w:szCs w:val="20"/>
                <w:color w:val="auto"/>
              </w:rPr>
            </w:pPr>
            <w:r>
              <w:rPr>
                <w:rFonts w:ascii="Arial" w:cs="Arial" w:eastAsia="Arial" w:hAnsi="Arial"/>
                <w:sz w:val="15"/>
                <w:szCs w:val="15"/>
                <w:color w:val="auto"/>
              </w:rPr>
              <w:t>Cash Flow Hedge</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84"/>
              <w:spacing w:after="0"/>
              <w:rPr>
                <w:sz w:val="20"/>
                <w:szCs w:val="20"/>
                <w:color w:val="auto"/>
              </w:rPr>
            </w:pPr>
            <w:r>
              <w:rPr>
                <w:rFonts w:ascii="Arial" w:cs="Arial" w:eastAsia="Arial" w:hAnsi="Arial"/>
                <w:sz w:val="15"/>
                <w:szCs w:val="15"/>
                <w:b w:val="1"/>
                <w:bCs w:val="1"/>
                <w:color w:val="auto"/>
              </w:rPr>
              <w:t>816</w:t>
            </w:r>
          </w:p>
        </w:tc>
        <w:tc>
          <w:tcPr>
            <w:tcW w:w="260" w:type="dxa"/>
            <w:vAlign w:val="bottom"/>
          </w:tcPr>
          <w:p>
            <w:pPr>
              <w:spacing w:after="0"/>
              <w:rPr>
                <w:sz w:val="24"/>
                <w:szCs w:val="24"/>
                <w:color w:val="auto"/>
              </w:rPr>
            </w:pPr>
          </w:p>
        </w:tc>
        <w:tc>
          <w:tcPr>
            <w:tcW w:w="760" w:type="dxa"/>
            <w:vAlign w:val="bottom"/>
          </w:tcPr>
          <w:p>
            <w:pPr>
              <w:jc w:val="right"/>
              <w:ind w:right="84"/>
              <w:spacing w:after="0"/>
              <w:rPr>
                <w:sz w:val="20"/>
                <w:szCs w:val="20"/>
                <w:color w:val="auto"/>
              </w:rPr>
            </w:pPr>
            <w:r>
              <w:rPr>
                <w:rFonts w:ascii="Arial" w:cs="Arial" w:eastAsia="Arial" w:hAnsi="Arial"/>
                <w:sz w:val="15"/>
                <w:szCs w:val="15"/>
                <w:color w:val="auto"/>
              </w:rPr>
              <w:t>306</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(40)</w:t>
            </w:r>
          </w:p>
        </w:tc>
        <w:tc>
          <w:tcPr>
            <w:tcW w:w="120" w:type="dxa"/>
            <w:vAlign w:val="bottom"/>
          </w:tcPr>
          <w:p>
            <w:pPr>
              <w:spacing w:after="0"/>
              <w:rPr>
                <w:sz w:val="24"/>
                <w:szCs w:val="24"/>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Interest expense</w:t>
            </w:r>
          </w:p>
        </w:tc>
        <w:tc>
          <w:tcPr>
            <w:tcW w:w="0" w:type="dxa"/>
            <w:vAlign w:val="bottom"/>
          </w:tcPr>
          <w:p>
            <w:pPr>
              <w:spacing w:after="0"/>
              <w:rPr>
                <w:sz w:val="1"/>
                <w:szCs w:val="1"/>
                <w:color w:val="auto"/>
              </w:rPr>
            </w:pPr>
          </w:p>
        </w:tc>
      </w:tr>
      <w:tr>
        <w:trPr>
          <w:trHeight w:val="268"/>
        </w:trPr>
        <w:tc>
          <w:tcPr>
            <w:tcW w:w="5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(326)</w:t>
            </w:r>
          </w:p>
        </w:tc>
        <w:tc>
          <w:tcPr>
            <w:tcW w:w="2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(122)</w:t>
            </w:r>
          </w:p>
        </w:tc>
        <w:tc>
          <w:tcPr>
            <w:tcW w:w="2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w:t>
            </w:r>
          </w:p>
        </w:tc>
        <w:tc>
          <w:tcPr>
            <w:tcW w:w="120" w:type="dxa"/>
            <w:vAlign w:val="bottom"/>
          </w:tcPr>
          <w:p>
            <w:pPr>
              <w:spacing w:after="0"/>
              <w:rPr>
                <w:sz w:val="23"/>
                <w:szCs w:val="23"/>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490</w:t>
            </w: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184</w:t>
            </w: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12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Net of Tax</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5"/>
                <w:szCs w:val="15"/>
                <w:color w:val="auto"/>
              </w:rPr>
              <w:t>Total reclassification for the year</w:t>
            </w: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7,250</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14,139</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29,590</w:t>
            </w:r>
          </w:p>
        </w:tc>
        <w:tc>
          <w:tcPr>
            <w:tcW w:w="120" w:type="dxa"/>
            <w:vAlign w:val="bottom"/>
          </w:tcPr>
          <w:p>
            <w:pPr>
              <w:spacing w:after="0"/>
              <w:rPr>
                <w:sz w:val="22"/>
                <w:szCs w:val="22"/>
                <w:color w:val="auto"/>
              </w:rPr>
            </w:pPr>
          </w:p>
        </w:tc>
        <w:tc>
          <w:tcPr>
            <w:tcW w:w="3180" w:type="dxa"/>
            <w:vAlign w:val="bottom"/>
          </w:tcPr>
          <w:p>
            <w:pPr>
              <w:ind w:left="20"/>
              <w:spacing w:after="0"/>
              <w:rPr>
                <w:sz w:val="20"/>
                <w:szCs w:val="20"/>
                <w:color w:val="auto"/>
              </w:rPr>
            </w:pPr>
            <w:r>
              <w:rPr>
                <w:rFonts w:ascii="Arial" w:cs="Arial" w:eastAsia="Arial" w:hAnsi="Arial"/>
                <w:sz w:val="15"/>
                <w:szCs w:val="15"/>
                <w:color w:val="auto"/>
              </w:rPr>
              <w:t>Net of Tax</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These accumulated other comprehensive income components are included in the computation of net periodic pension and postretirement plan cost (see Note 14).</w:t>
      </w:r>
    </w:p>
    <w:p>
      <w:pPr>
        <w:spacing w:after="0" w:line="115"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OTHER COMMITMENTS</w:t>
      </w:r>
    </w:p>
    <w:p>
      <w:pPr>
        <w:spacing w:after="0" w:line="146"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2013, future minimum rental payments under noncancelable operating leases approximate the following:</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240" w:type="dxa"/>
            <w:vAlign w:val="bottom"/>
          </w:tcPr>
          <w:p>
            <w:pPr>
              <w:spacing w:after="0"/>
              <w:rPr>
                <w:sz w:val="20"/>
                <w:szCs w:val="20"/>
                <w:color w:val="auto"/>
              </w:rPr>
            </w:pPr>
            <w:r>
              <w:rPr>
                <w:rFonts w:ascii="Arial" w:cs="Arial" w:eastAsia="Arial" w:hAnsi="Arial"/>
                <w:sz w:val="16"/>
                <w:szCs w:val="16"/>
                <w:color w:val="auto"/>
              </w:rPr>
              <w:t>2014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119,129</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2015</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106,041</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2016</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99,167</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2017</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88,119</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2018</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73,520</w:t>
            </w:r>
          </w:p>
        </w:tc>
      </w:tr>
      <w:tr>
        <w:trPr>
          <w:trHeight w:val="252"/>
        </w:trPr>
        <w:tc>
          <w:tcPr>
            <w:tcW w:w="10240" w:type="dxa"/>
            <w:vAlign w:val="bottom"/>
          </w:tcPr>
          <w:p>
            <w:pPr>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411,466</w:t>
            </w:r>
          </w:p>
        </w:tc>
      </w:tr>
      <w:tr>
        <w:trPr>
          <w:trHeight w:val="237"/>
        </w:trPr>
        <w:tc>
          <w:tcPr>
            <w:tcW w:w="102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897,442</w:t>
            </w:r>
          </w:p>
        </w:tc>
      </w:tr>
      <w:tr>
        <w:trPr>
          <w:trHeight w:val="20"/>
        </w:trPr>
        <w:tc>
          <w:tcPr>
            <w:tcW w:w="10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Minimum payments have not been reduced by minimum sublease rentals of $29.9 million due in the future under noncancelable subleases.</w:t>
      </w:r>
    </w:p>
    <w:p>
      <w:pPr>
        <w:spacing w:after="0" w:line="14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Rent expense under operating leases, including a portion reported in discontinued operations, was approximately $118.5 million, $127.2 million and $ 127.8 million in 2013, 2012 and 2011, respectively. Sublease income was approximately $5.4 million, $4.4 million and $2.7 million in 2013, 2012 and 2011, respectively.</w:t>
      </w:r>
    </w:p>
    <w:p>
      <w:pPr>
        <w:sectPr>
          <w:pgSz w:w="11900" w:h="16838" w:orient="portrait"/>
          <w:cols w:equalWidth="0" w:num="1">
            <w:col w:w="11420"/>
          </w:cols>
          <w:pgMar w:left="240" w:top="724" w:right="239" w:bottom="16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724" w:right="239" w:bottom="160" w:gutter="0" w:footer="0" w:header="0"/>
          <w:type w:val="continuous"/>
        </w:sectPr>
      </w:pPr>
    </w:p>
    <w:bookmarkStart w:id="97" w:name="page98"/>
    <w:bookmarkEnd w:id="97"/>
    <w:p>
      <w:pPr>
        <w:ind w:right="40"/>
        <w:spacing w:after="0"/>
        <w:rPr>
          <w:sz w:val="20"/>
          <w:szCs w:val="20"/>
          <w:color w:val="auto"/>
        </w:rPr>
      </w:pPr>
      <w:r>
        <w:rPr>
          <w:rFonts w:ascii="Arial" w:cs="Arial" w:eastAsia="Arial" w:hAnsi="Arial"/>
          <w:sz w:val="18"/>
          <w:szCs w:val="18"/>
          <w:color w:val="auto"/>
        </w:rPr>
        <w:t>The Company’s broadcast subsidiaries are parties to certain agreements that commit them to purchase programming to be produced in future years. At December 31, 2013, such commitments amounted to approximately $34.5 million. If such programs are not produced, the Company’s commitment would expire without obligation.</w:t>
      </w:r>
    </w:p>
    <w:p>
      <w:pPr>
        <w:spacing w:after="0" w:line="106" w:lineRule="exact"/>
        <w:rPr>
          <w:sz w:val="20"/>
          <w:szCs w:val="20"/>
          <w:color w:val="auto"/>
        </w:rPr>
      </w:pPr>
    </w:p>
    <w:p>
      <w:pPr>
        <w:ind w:left="500" w:hanging="492"/>
        <w:spacing w:after="0"/>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4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b w:val="1"/>
          <w:bCs w:val="1"/>
          <w:color w:val="auto"/>
        </w:rPr>
        <w:t>Litigation and Legal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invasion of privacy; trademark, copyright and patent infringement; U.S. False Claims Act (False Claims Act) violations; violations of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12"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On February 6, 2008, a purported class-action lawsuit was filed in the U.S. District Court for the Central District of California by purchasers of BAR/BRI bar review courses, from July 2006 onward, alleging antitrust claims against Kaplan and West Publishing Corporation, BAR/BRI’s former owner. On April 10, 2008, the court granted defendants’ motion to dismiss, a decision that was reversed by the Ninth Circuit Court of Appeals on November 7, 2011. The Ninth Circuit also referred the matter to a mediator for the purpose of exploring a settlement. In the fourth quarter of 2012, the parties reached a comprehensive agreement to settle the matter. The settlement was approved by the District Court in September 2013, and is expected to be administered in 2014.</w:t>
      </w:r>
    </w:p>
    <w:p>
      <w:pPr>
        <w:spacing w:after="0" w:line="11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On or about January 17, 2008, an Assistant U.S. Attorney in the Civil Division of the U.S. Attorney’s Office for the Eastern District of Pennsylvania contacted KHE’s Broomall campus and made inquiries about the Surgical Technology program, including the program’s eligibility for Title IV U.S. Federal financial aid, the program’s student loan defaults, licensing and accreditation. Kaplan responded to the information requests and fully cooperated with the inquiry. The ED also conducted a program review at the Broomall campus, and Kaplan likewise cooperated with the program review. On July 22, 2011, the U.S. Attorney’s Office for the Eastern District of Pennsylvania announced that it had entered into a comprehensive settlement agreement with Kaplan that resolved the U.S. Attorney’s inquiry, provided for the conclusion of the ED’s program review and also settled a previously sealed False Claims Act complaint that had been filed by a former employee of the CHI-Broomall campus. The total amount of all required payments by Broomall under the agreements was $1.6 million. Pursuant to the comprehensive settlement agreement, the U.S. Attorney inquiry has been closed, the False Claims Act complaint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David Goodstein</w:t>
      </w:r>
      <w:r>
        <w:rPr>
          <w:rFonts w:ascii="Arial" w:cs="Arial" w:eastAsia="Arial" w:hAnsi="Arial"/>
          <w:sz w:val="18"/>
          <w:szCs w:val="18"/>
          <w:color w:val="auto"/>
        </w:rPr>
        <w:t xml:space="preserve"> v. </w:t>
      </w:r>
      <w:r>
        <w:rPr>
          <w:rFonts w:ascii="Arial" w:cs="Arial" w:eastAsia="Arial" w:hAnsi="Arial"/>
          <w:sz w:val="18"/>
          <w:szCs w:val="18"/>
          <w:i w:val="1"/>
          <w:iCs w:val="1"/>
          <w:color w:val="auto"/>
        </w:rPr>
        <w:t>Kaplan, Inc.</w:t>
      </w:r>
      <w:r>
        <w:rPr>
          <w:rFonts w:ascii="Arial" w:cs="Arial" w:eastAsia="Arial" w:hAnsi="Arial"/>
          <w:sz w:val="18"/>
          <w:szCs w:val="18"/>
          <w:color w:val="auto"/>
        </w:rPr>
        <w:t xml:space="preserve"> et al.) was dismissed with prejudice and the ED will issue a final program review determination. At this time, Kaplan cannot predict the contents of the pending final program review determination or the ultimate impact the proceedings may have on the Broomall campus or the KHE business generally.</w:t>
      </w:r>
    </w:p>
    <w:p>
      <w:pPr>
        <w:spacing w:after="0" w:line="113"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 xml:space="preserve">During 2013, certain Kaplan subsidiaries were subject to two other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two cases are captioned: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Carlos Urquilla-Diaz</w:t>
      </w:r>
      <w:r>
        <w:rPr>
          <w:rFonts w:ascii="Arial" w:cs="Arial" w:eastAsia="Arial" w:hAnsi="Arial"/>
          <w:sz w:val="18"/>
          <w:szCs w:val="18"/>
          <w:color w:val="auto"/>
        </w:rPr>
        <w:t xml:space="preserve"> et al</w:t>
      </w:r>
      <w:r>
        <w:rPr>
          <w:rFonts w:ascii="Arial" w:cs="Arial" w:eastAsia="Arial" w:hAnsi="Arial"/>
          <w:sz w:val="18"/>
          <w:szCs w:val="18"/>
          <w:i w:val="1"/>
          <w:iCs w:val="1"/>
          <w:color w:val="auto"/>
        </w:rPr>
        <w:t>.</w:t>
      </w:r>
      <w:r>
        <w:rPr>
          <w:rFonts w:ascii="Arial" w:cs="Arial" w:eastAsia="Arial" w:hAnsi="Arial"/>
          <w:sz w:val="18"/>
          <w:szCs w:val="18"/>
          <w:color w:val="auto"/>
        </w:rPr>
        <w:t xml:space="preserve"> v</w:t>
      </w:r>
      <w:r>
        <w:rPr>
          <w:rFonts w:ascii="Arial" w:cs="Arial" w:eastAsia="Arial" w:hAnsi="Arial"/>
          <w:sz w:val="18"/>
          <w:szCs w:val="18"/>
          <w:i w:val="1"/>
          <w:iCs w:val="1"/>
          <w:color w:val="auto"/>
        </w:rPr>
        <w:t>. Kaplan University</w:t>
      </w:r>
      <w:r>
        <w:rPr>
          <w:rFonts w:ascii="Arial" w:cs="Arial" w:eastAsia="Arial" w:hAnsi="Arial"/>
          <w:sz w:val="18"/>
          <w:szCs w:val="18"/>
          <w:color w:val="auto"/>
        </w:rPr>
        <w:t xml:space="preserve"> et al. (unsealed March 25, 2008) and </w:t>
      </w:r>
      <w:r>
        <w:rPr>
          <w:rFonts w:ascii="Arial" w:cs="Arial" w:eastAsia="Arial" w:hAnsi="Arial"/>
          <w:sz w:val="18"/>
          <w:szCs w:val="18"/>
          <w:i w:val="1"/>
          <w:iCs w:val="1"/>
          <w:color w:val="auto"/>
        </w:rPr>
        <w:t xml:space="preserve">United States of America </w:t>
      </w:r>
      <w:r>
        <w:rPr>
          <w:rFonts w:ascii="Arial" w:cs="Arial" w:eastAsia="Arial" w:hAnsi="Arial"/>
          <w:sz w:val="18"/>
          <w:szCs w:val="18"/>
          <w:color w:val="auto"/>
        </w:rPr>
        <w:t>ex rel.</w:t>
      </w:r>
      <w:r>
        <w:rPr>
          <w:rFonts w:ascii="Arial" w:cs="Arial" w:eastAsia="Arial" w:hAnsi="Arial"/>
          <w:sz w:val="18"/>
          <w:szCs w:val="18"/>
          <w:i w:val="1"/>
          <w:iCs w:val="1"/>
          <w:color w:val="auto"/>
        </w:rPr>
        <w:t xml:space="preserve"> Charles Jajdelski </w:t>
      </w:r>
      <w:r>
        <w:rPr>
          <w:rFonts w:ascii="Arial" w:cs="Arial" w:eastAsia="Arial" w:hAnsi="Arial"/>
          <w:sz w:val="18"/>
          <w:szCs w:val="18"/>
          <w:color w:val="auto"/>
        </w:rPr>
        <w:t>v</w:t>
      </w:r>
      <w:r>
        <w:rPr>
          <w:rFonts w:ascii="Arial" w:cs="Arial" w:eastAsia="Arial" w:hAnsi="Arial"/>
          <w:sz w:val="18"/>
          <w:szCs w:val="18"/>
          <w:i w:val="1"/>
          <w:iCs w:val="1"/>
          <w:color w:val="auto"/>
        </w:rPr>
        <w:t>. Kaplan Higher Education Corp</w:t>
      </w:r>
      <w:r>
        <w:rPr>
          <w:rFonts w:ascii="Arial" w:cs="Arial" w:eastAsia="Arial" w:hAnsi="Arial"/>
          <w:sz w:val="18"/>
          <w:szCs w:val="18"/>
          <w:color w:val="auto"/>
        </w:rPr>
        <w:t>. et al. (unsealed January 6, 2009).</w:t>
      </w:r>
    </w:p>
    <w:p>
      <w:pPr>
        <w:spacing w:after="0" w:line="111"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As of December 2013, the Diaz and Gillespie rulings were on appeal to the U.S. Court of Appeals for the Eleventh Judicial Court, where the Company will seek affirmation of the judgments in its favor.</w:t>
      </w:r>
    </w:p>
    <w:p>
      <w:pPr>
        <w:spacing w:after="0" w:line="108"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On July 7, 2011, the U.S. District Court for the District of Nevada dismissed the Jajdelski complaint in its entirety and entered a final judgment in favor of Kaplan. On February 13, 2013, the U.S. Circuit Court for the Ninth Judicial Circuit affirmed the dismissal in part and reversed the dismissal on one allegation under the False Claims Act relating to eligibility for Title IV funding based on claims of false attendance. As of December 2013, this case had been remanded to the District Court, where discovery is expected to take place in 2014 as to the remaining allegation in the complaint.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724" w:right="239" w:bottom="1440" w:gutter="0" w:footer="0" w:header="0"/>
        </w:sectPr>
      </w:pPr>
    </w:p>
    <w:bookmarkStart w:id="98" w:name="page99"/>
    <w:bookmarkEnd w:id="98"/>
    <w:p>
      <w:pPr>
        <w:ind w:right="60"/>
        <w:spacing w:after="0" w:line="231" w:lineRule="auto"/>
        <w:rPr>
          <w:sz w:val="20"/>
          <w:szCs w:val="20"/>
          <w:color w:val="auto"/>
        </w:rPr>
      </w:pPr>
      <w:r>
        <w:rPr>
          <w:rFonts w:ascii="Arial" w:cs="Arial" w:eastAsia="Arial" w:hAnsi="Arial"/>
          <w:sz w:val="18"/>
          <w:szCs w:val="18"/>
          <w:color w:val="auto"/>
        </w:rPr>
        <w:t>On October 21, 2010, Kaplan Higher Education Corporation received a subpoena from the office of the Florida Attorney General. The subpoena sought information pertaining to the online and on-campus schools operated by KHE in and outside of Florida. KHE has cooperated with the Florida Attorney General and provided the information requested in the subpoena. Although KHE may receive further requests for information from the Florida Attorney General, there has been no such further correspondence to date. The Company cannot predict the outcome of this inquiry.</w:t>
      </w:r>
    </w:p>
    <w:p>
      <w:pPr>
        <w:spacing w:after="0" w:line="111"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On December 21, 2010, the U.S. Equal Employment Opportunity Commission (EEOC) filed suit against Kaplan Higher Education Corporation in the U.S. District Court for the Northern District of Ohio alleging racial bias by Kaplan in requesting credit scores of job applicants seeking financial positions. In March 2011, the court granted in part the Company’s motion to dismiss the complaint. On January 28, 2013, the court entered summary judgment in favor of Kaplan Higher Education Corporation and against the EEOC, terminating the case in its entirety. The EEOC appealed the judgment to the U.S. Court of Appeals for the Sixth Judicial Circuit, and briefing on that appeal was completed in November 2013.</w:t>
      </w:r>
    </w:p>
    <w:p>
      <w:pPr>
        <w:spacing w:after="0" w:line="112"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On February 7, 2011, Kaplan Higher Education Corporation received a Civil Investigative Demand from the Office of the Attorney General of the State of Illinois. The demand primarily sought information pertaining to Kaplan University’s online students who are residents of Illinois. KHE has cooperated with the Illinois Attorney General and provided the requested information. Although KHE may receive further requests for information from the Illinois Attorney General, there has been no such further correspondence to date. The Company cannot predict the outcome of this inquiry.</w:t>
      </w:r>
    </w:p>
    <w:p>
      <w:pPr>
        <w:spacing w:after="0" w:line="1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On April 30, 2011, Kaplan Higher Education Corporation received a Civil Investigative Demand from the Office of the Attorney General of the State of Massachusetts. The demand primarily sought information pertaining to KHE Campuses’ students who are residents of Massachusetts. KHE has cooperated with the Massachusetts Attorney General and provided the requested information, as well as additional information requested in 2012 and 2013. The Company cannot predict the outcome of this inquiry.</w:t>
      </w:r>
    </w:p>
    <w:p>
      <w:pPr>
        <w:spacing w:after="0" w:line="11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On July 20, 2011, Kaplan Higher Education Corporation received a subpoena from the Office of the Attorney General of the State of Delaware. The demand primarily sought information pertaining to Kaplan University’s online students and KHE Campuses’ students who are residents of Delaware. KHE has cooperated with the Delaware Attorney General and provided the information requested in the subpoena. Although KHE may receive further requests for information from the Delaware Attorney General, there has been no such further correspondence to date. The Company cannot predict the outcome of this inquiry.</w:t>
      </w:r>
    </w:p>
    <w:p>
      <w:pPr>
        <w:spacing w:after="0" w:line="109"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b w:val="1"/>
          <w:bCs w:val="1"/>
          <w:color w:val="auto"/>
        </w:rPr>
        <w:t xml:space="preserve">Student Financial Aid. </w:t>
      </w:r>
      <w:r>
        <w:rPr>
          <w:rFonts w:ascii="Arial" w:cs="Arial" w:eastAsia="Arial" w:hAnsi="Arial"/>
          <w:sz w:val="18"/>
          <w:szCs w:val="18"/>
          <w:color w:val="auto"/>
        </w:rPr>
        <w:t>The Company’s education division derives the majority of its revenues from U.S. Federal financial aid received by its</w:t>
      </w:r>
      <w:r>
        <w:rPr>
          <w:rFonts w:ascii="Arial" w:cs="Arial" w:eastAsia="Arial" w:hAnsi="Arial"/>
          <w:sz w:val="18"/>
          <w:szCs w:val="18"/>
          <w:b w:val="1"/>
          <w:bCs w:val="1"/>
          <w:color w:val="auto"/>
        </w:rPr>
        <w:t xml:space="preserve"> </w:t>
      </w:r>
      <w:r>
        <w:rPr>
          <w:rFonts w:ascii="Arial" w:cs="Arial" w:eastAsia="Arial" w:hAnsi="Arial"/>
          <w:sz w:val="18"/>
          <w:szCs w:val="18"/>
          <w:color w:val="auto"/>
        </w:rPr>
        <w:t>students under Title IV programs administered by the ED pursuant to the Higher Education Act, as amended. To maintain eligibility to participate in Title IV programs, a school must comply with extensive statutory and regulatory requirements relating to its financial aid management, educational programs, financial strength, administrative capability, compensation practices, facilities, recruiting practices and various other matters. In addition, the school must be licensed or otherwise legally authorized to offer postsecondary educational programs by the appropriate governmental body in the state or states in which it is physically located or is otherwise subject to state authorization requirements, be accredited by an accrediting agency recognized by the ED and be certified to participate in the Title IV programs by the ED. Schools are required periodically to apply for renewal of their authorization, accreditation or certification with the applicable state governmental bodies, accrediting agencies and the ED. In accordance with ED regulations, some KHE schools operate individually while others are combined into groups of two or more schools for the purpose of determining compliance with certain Title IV requirements, and each school or school group is assigned its own identification number, known as an OPEID number. As a result, as of the end of 2013, the schools in KHE have a total of 25 OPEID numbers. Failure to comply with the requirements of the Higher Education Act or related regulations could result in the restriction or loss of the ability to participate in Title IV programs and subject the Company to financial penalties and refunds. No assurance can be given that the Kaplan schools, or individual programs within schools, will maintain their Title IV eligibility, accreditation and state authorization in the future or that the ED might not successfully assert that one or more of such schools have previously failed to comply with Title IV requirements.</w:t>
      </w:r>
    </w:p>
    <w:p>
      <w:pPr>
        <w:spacing w:after="0" w:line="112"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Financial aid and assistance programs are subject to political and governmental budgetary considerations. There is no assurance that such funding will be maintained at current levels. Extensive and complex regulations in the U.S. govern all of the government financial assistance programs in which students participate.</w:t>
      </w:r>
    </w:p>
    <w:p>
      <w:pPr>
        <w:spacing w:after="0" w:line="10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For the years ended December 31, 2013, 2012 and 2011, approximately $819 million, $882 million and $ 1,110 million, respectively, of the Company’s education division revenue was derived from financial aid received by students under Title IV programs. Management believes that the Company’s education division schools that participate in Title IV programs are in material compliance with standards set forth in the Higher Education Act and related regulations.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724" w:right="299" w:bottom="1440" w:gutter="0" w:footer="0" w:header="0"/>
        </w:sectPr>
      </w:pPr>
    </w:p>
    <w:bookmarkStart w:id="99" w:name="page100"/>
    <w:bookmarkEnd w:id="99"/>
    <w:p>
      <w:pPr>
        <w:ind w:right="640"/>
        <w:spacing w:after="0" w:line="263" w:lineRule="auto"/>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The ED has undertaken program reviews at various KHE locations. Currently, there are three pending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reviews, including the ED's final report on the program review at KHE’s Broomall, PA, location.</w:t>
      </w:r>
    </w:p>
    <w:p>
      <w:pPr>
        <w:spacing w:after="0" w:line="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May 2012, the ED issued a preliminary report containing several findings that required Kaplan University to conduct additional file reviews and submit additional data. In January 2013, Kaplan submitted a response to the ED’s data request. In December 2013, the ED issued its Final Program Review Report determining that Kaplan University was required to repay a nominal sum.</w:t>
      </w:r>
    </w:p>
    <w:p>
      <w:pPr>
        <w:spacing w:after="0" w:line="10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90"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color w:val="auto"/>
        </w:rPr>
        <w:t xml:space="preserve">The 90/10 Rule. </w:t>
      </w:r>
      <w:r>
        <w:rPr>
          <w:rFonts w:ascii="Arial" w:cs="Arial" w:eastAsia="Arial" w:hAnsi="Arial"/>
          <w:sz w:val="18"/>
          <w:szCs w:val="18"/>
          <w:color w:val="auto"/>
        </w:rPr>
        <w:t>Under regulations referred to as the 90/10 rule, a KHE school would lose its eligibility to participate in Title IV programs for a</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at least two fiscal years if the institution derives more than 90% of its receipts from Title IV programs, as calculated on a cash basis in accordance with the Higher Education Act and applicable ED regulations, in each of two consecutive fiscal years. An institution with Title IV receipts exceeding 90% for a single fiscal year would be placed on provisional certification and may be subject to other enforcement measures. The 90/10 rule calculations are performed for each OPEID unit. The largest OPEID reporting unit in KHE in terms of revenue is Kaplan University, which accounted for approximately 69% of the Title IV funds received by the division in 2013. In 2013, Kaplan University derived less than 81% of its receipts from the Title IV programs, and other OPEID units derived between 69% and 89% of their receipts from Title IV programs. In 2012, Kaplan University derived less than 80% of its receipts from Title IV programs, and other OPEID units derived between 71% and 88% of their receipts from Title IV programs.</w:t>
      </w:r>
    </w:p>
    <w:p>
      <w:pPr>
        <w:spacing w:after="0" w:line="11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 majority of KHE students are enrolled in certificate and associate’s degree programs. Revenue from certificate and associate’s degree programs is composed of a higher percentage of Title IV funds than is the case for revenue from KHE’s bachelor’s and other degree programs. KHE is taking various measures to reduce the percentage of its receipts attributable to Title IV funds, including modifying student payment options; emphasizing direct-pay and employer-paid education programs; encouraging students to carefully evaluate the amount of their Title IV borrowing; eliminating some programs; cash-matching; and developing and offering additional non-Title IV-eligible certificate preparation, professional development and continuing education programs, some of which programs were acquired by certain KHE campuses in 2013 from other Kaplan businesses. Kaplan has taken steps to ensure that revenue from programs acquired by a KHE campus is eligible to be counted in that campus’ 90/10 calculation. However, there can be no guarantee that the ED will not challenge the inclusion of revenue from any recently acquired program in KHE’s 90/10 calculations or will not issue an interpretation of the 90/10 rule that would exclude such revenue from the calculation. Absent the adoption of the changes mentioned above, and if current trends continue, management estimates that in 2014, three of the KHE Campuses’ OPEID units, representing approximately 1.7% of KHE’s 2013 revenues, could have a 90/10 ratio over 90%. As noted above, Kaplan is taking steps to address compliance with the 90/10 rule; however, there can be no guarantee that these measures will be adequate to prevent the 90/10 ratio at some of the schools from exceeding 90% in the future.</w:t>
      </w:r>
    </w:p>
    <w:p>
      <w:pPr>
        <w:spacing w:after="0" w:line="107"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44"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organizational structure is based on a number of factors that management uses to evaluate, view and</w:t>
      </w:r>
      <w:r>
        <w:rPr>
          <w:rFonts w:ascii="Arial" w:cs="Arial" w:eastAsia="Arial" w:hAnsi="Arial"/>
          <w:sz w:val="18"/>
          <w:szCs w:val="18"/>
          <w:b w:val="1"/>
          <w:bCs w:val="1"/>
          <w:color w:val="auto"/>
        </w:rPr>
        <w:t xml:space="preserve"> </w:t>
      </w:r>
      <w:r>
        <w:rPr>
          <w:rFonts w:ascii="Arial" w:cs="Arial" w:eastAsia="Arial" w:hAnsi="Arial"/>
          <w:sz w:val="18"/>
          <w:szCs w:val="18"/>
          <w:color w:val="auto"/>
        </w:rPr>
        <w:t>run its business operations, which include, but are not limited to, customers, the nature of products and services and use of resources. The business segments disclosed in the Consolidated Financial Statements are based on this organizational structure and information reviewed by the Company’s management to evaluate the business segment results. The Company has six reportable segments: KHE, KTP, Kaplan International, cable, television broadcasting and other businesses.</w:t>
      </w:r>
    </w:p>
    <w:p>
      <w:pPr>
        <w:spacing w:after="0" w:line="10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Company evaluates segment performance based on operating income before amortization of intangible assets and impairment of goodwill and other long-lived assets. The accounting policies at the segments are the same as described in Note 2. In computing income from operations by segment, the effects of equity in earnings (losses) of affiliates, interest income, interest expense, other non-operating income and expense items and income taxes are not included. Intersegment sales are not material.</w:t>
      </w:r>
    </w:p>
    <w:p>
      <w:pPr>
        <w:spacing w:after="0" w:line="11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The Prepaid Pension cost is not included in identifiable assets by segment. Investments in marketable equity securities are discussed in Note 4.</w:t>
      </w:r>
    </w:p>
    <w:p>
      <w:pPr>
        <w:spacing w:after="0" w:line="9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Education products and services are provided by Kaplan, Inc. KHE includes Kaplan’s postsecondary education businesses, made</w:t>
      </w:r>
      <w:r>
        <w:rPr>
          <w:rFonts w:ascii="Arial" w:cs="Arial" w:eastAsia="Arial" w:hAnsi="Arial"/>
          <w:sz w:val="18"/>
          <w:szCs w:val="18"/>
          <w:b w:val="1"/>
          <w:bCs w:val="1"/>
          <w:color w:val="auto"/>
        </w:rPr>
        <w:t xml:space="preserve"> </w:t>
      </w:r>
      <w:r>
        <w:rPr>
          <w:rFonts w:ascii="Arial" w:cs="Arial" w:eastAsia="Arial" w:hAnsi="Arial"/>
          <w:sz w:val="18"/>
          <w:szCs w:val="18"/>
          <w:color w:val="auto"/>
        </w:rPr>
        <w:t>up of fixed-facility colleges, as well as online postsecondary and career programs. KHE also includes the domestic professional training businesses. KTP includes Kaplan’s standardized test preparation programs. Kaplan International includes professional training and postsecondary education businesses outside the United States, as well as English-language programs.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722" w:right="259" w:bottom="1440" w:gutter="0" w:footer="0" w:header="0"/>
        </w:sectPr>
      </w:pPr>
    </w:p>
    <w:bookmarkStart w:id="100" w:name="page101"/>
    <w:bookmarkEnd w:id="100"/>
    <w:p>
      <w:pPr>
        <w:ind w:right="140"/>
        <w:spacing w:after="0" w:line="260" w:lineRule="auto"/>
        <w:rPr>
          <w:sz w:val="20"/>
          <w:szCs w:val="20"/>
          <w:color w:val="auto"/>
        </w:rPr>
      </w:pPr>
      <w:r>
        <w:rPr>
          <w:rFonts w:ascii="Arial" w:cs="Arial" w:eastAsia="Arial" w:hAnsi="Arial"/>
          <w:sz w:val="18"/>
          <w:szCs w:val="18"/>
          <w:color w:val="auto"/>
        </w:rPr>
        <w:t>Kaplan’s Colloquy business moved from Kaplan International to Kaplan Corporate effective January 1, 2013. Segment operating results of the education division have been restated to reflect this change.</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Kaplan sold Kidum in August 2012, EduNeering in April 2012, KLT in February 2012, KCS in October 2011 and KVE in July 2011; therefore, the education division’s operating results exclude these businesses.</w:t>
      </w:r>
    </w:p>
    <w:p>
      <w:pPr>
        <w:spacing w:after="0" w:line="9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response to student demand levels, Kaplan has formulated and implemented restructuring plans at its various businesses that have resulted in significant costs in the past three years, with the objective of establishing lower cost levels in future periods. Across all Kaplan businesses, restructuring costs of $36.4 million, $45.2 million and $28.9 million were recorded in 2013, 2012 and 2011, respectively,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2011</w:t>
            </w:r>
          </w:p>
        </w:tc>
      </w:tr>
      <w:tr>
        <w:trPr>
          <w:trHeight w:val="257"/>
        </w:trPr>
        <w:tc>
          <w:tcPr>
            <w:tcW w:w="7780" w:type="dxa"/>
            <w:vAlign w:val="bottom"/>
          </w:tcPr>
          <w:p>
            <w:pPr>
              <w:ind w:left="40"/>
              <w:spacing w:after="0"/>
              <w:rPr>
                <w:sz w:val="20"/>
                <w:szCs w:val="20"/>
                <w:color w:val="auto"/>
              </w:rPr>
            </w:pPr>
            <w:r>
              <w:rPr>
                <w:rFonts w:ascii="Arial" w:cs="Arial" w:eastAsia="Arial" w:hAnsi="Arial"/>
                <w:sz w:val="16"/>
                <w:szCs w:val="16"/>
                <w:color w:val="auto"/>
              </w:rPr>
              <w:t>Accelerated depreciation</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16,856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17,230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3,965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Lease obligation losses</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9,351</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9,794</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7,570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Severance</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6,289</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14,349</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17,205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Accelerated amortization of intangible assets</w:t>
            </w:r>
          </w:p>
        </w:tc>
        <w:tc>
          <w:tcPr>
            <w:tcW w:w="26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2,595</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4"/>
        </w:trPr>
        <w:tc>
          <w:tcPr>
            <w:tcW w:w="778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3,862</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1,274</w:t>
            </w: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205</w:t>
            </w: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36,358</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45,242</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28,945</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KHE incurred restructuring costs of $19.5 million, $ 23.4 million and $13.2 million in 2013, 2012 and 2011, respectively, primarily from accelerated depreciation and severance and lease obligations. In 2013 and 2012, these costs were incurred in connection with a plan announced in September 2012 for KHE to close or consolidate operations at 13 ground campuses, along with plans to consolidate facilities and reduce workforce at its online programs. The 2011 costs were primarily severance costs from workforce reduction programs.</w:t>
      </w:r>
    </w:p>
    <w:p>
      <w:pPr>
        <w:spacing w:after="0" w:line="111"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Kaplan International incurred restructuring costs of $5.8 million, $16.4 million and $1.0 million in 2013, 2012 and 2011, respectively. These restructuring costs were largely in Australia, where Kaplan is consolidating and restructuring its businesses, and included lease obligations, accelerated depreciation and severance charges.</w:t>
      </w:r>
    </w:p>
    <w:p>
      <w:pPr>
        <w:spacing w:after="0" w:line="10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2010, KTP began implementing a plan to reorganize its business consistent with the migration of students to Kaplan’s online and hybrid test preparation offerings, reducing the number of leased test preparation centers. In 2011, implementation of the plan was completed and $12.5 million in lease and severance obligations and accelerated depreciation was recorded.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Total accrued restructuring costs at Kaplan were $17.6 million at the end of each of 2013 and 2012.</w:t>
      </w:r>
    </w:p>
    <w:p>
      <w:pPr>
        <w:spacing w:after="0" w:line="144"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In the second quarter of 2012, Kaplan International results benefited from a favorable $3.9 million out of period expense adjustment related to certain items in 2011 and 2010. With respect to this out of period expense adjustment, the Company has concluded that it was not material to the Company’s financial position or results of operations for 2013, 2012 and 2011 and the related interim periods, based on its consideration of quantitative and qualitative factors.</w:t>
      </w:r>
    </w:p>
    <w:p>
      <w:pPr>
        <w:spacing w:after="0" w:line="1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color w:val="auto"/>
        </w:rPr>
        <w:t xml:space="preserve">Cable. </w:t>
      </w:r>
      <w:r>
        <w:rPr>
          <w:rFonts w:ascii="Arial" w:cs="Arial" w:eastAsia="Arial" w:hAnsi="Arial"/>
          <w:sz w:val="18"/>
          <w:szCs w:val="18"/>
          <w:color w:val="auto"/>
        </w:rPr>
        <w:t>Cable operations consist of cable systems offering video, Internet, phone and other services to subscribers in midwestern, western and</w:t>
      </w:r>
      <w:r>
        <w:rPr>
          <w:rFonts w:ascii="Arial" w:cs="Arial" w:eastAsia="Arial" w:hAnsi="Arial"/>
          <w:sz w:val="18"/>
          <w:szCs w:val="18"/>
          <w:b w:val="1"/>
          <w:bCs w:val="1"/>
          <w:color w:val="auto"/>
        </w:rPr>
        <w:t xml:space="preserve"> </w:t>
      </w:r>
      <w:r>
        <w:rPr>
          <w:rFonts w:ascii="Arial" w:cs="Arial" w:eastAsia="Arial" w:hAnsi="Arial"/>
          <w:sz w:val="18"/>
          <w:szCs w:val="18"/>
          <w:color w:val="auto"/>
        </w:rPr>
        <w:t>southern states. The principal source of revenue is monthly subscription fees charged for services.</w:t>
      </w:r>
    </w:p>
    <w:p>
      <w:pPr>
        <w:spacing w:after="0" w:line="87"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Television broadcasting operations are conducted through six VHF television stations serving the Detroit, Houston,</w:t>
      </w:r>
      <w:r>
        <w:rPr>
          <w:rFonts w:ascii="Arial" w:cs="Arial" w:eastAsia="Arial" w:hAnsi="Arial"/>
          <w:sz w:val="18"/>
          <w:szCs w:val="18"/>
          <w:b w:val="1"/>
          <w:bCs w:val="1"/>
          <w:color w:val="auto"/>
        </w:rPr>
        <w:t xml:space="preserve"> </w:t>
      </w:r>
      <w:r>
        <w:rPr>
          <w:rFonts w:ascii="Arial" w:cs="Arial" w:eastAsia="Arial" w:hAnsi="Arial"/>
          <w:sz w:val="18"/>
          <w:szCs w:val="18"/>
          <w:color w:val="auto"/>
        </w:rPr>
        <w:t>Miami, San Antonio, Orlando and Jacksonville television markets. All stations are network-affiliated (except for WJXT in Jacksonville), with revenues derived primarily from sales of advertising time.</w:t>
      </w:r>
    </w:p>
    <w:p>
      <w:pPr>
        <w:spacing w:after="0" w:line="106"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results of Social Code, a marketing solutions provider helping companies with marketing on</w:t>
      </w:r>
      <w:r>
        <w:rPr>
          <w:rFonts w:ascii="Arial" w:cs="Arial" w:eastAsia="Arial" w:hAnsi="Arial"/>
          <w:sz w:val="18"/>
          <w:szCs w:val="18"/>
          <w:b w:val="1"/>
          <w:bCs w:val="1"/>
          <w:color w:val="auto"/>
        </w:rPr>
        <w:t xml:space="preserve"> </w:t>
      </w:r>
      <w:r>
        <w:rPr>
          <w:rFonts w:ascii="Arial" w:cs="Arial" w:eastAsia="Arial" w:hAnsi="Arial"/>
          <w:sz w:val="18"/>
          <w:szCs w:val="18"/>
          <w:color w:val="auto"/>
        </w:rPr>
        <w:t>social-media platforms; Celtic Healthcare, a provider of home health and hospice services in the northeastern and mid-Atlantic regions, acquired by the Company in November 2012; Forney, a global supplier of products and systems that control and monitor combustion processes in electric utility and industrial applications, acquired by the Company in August 2013; and Trove, a digital team focused on emerging technologies and new product development. Also included are The Slate Group and FP Group, previously included as part of the Company’s newspaper publishing division, which publish online and print magazines and websites.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and a net pension credit.</w:t>
      </w:r>
    </w:p>
    <w:p>
      <w:pPr>
        <w:spacing w:after="0" w:line="144"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color w:val="auto"/>
        </w:rPr>
        <w:t xml:space="preserve">Geographical Information. </w:t>
      </w:r>
      <w:r>
        <w:rPr>
          <w:rFonts w:ascii="Arial" w:cs="Arial" w:eastAsia="Arial" w:hAnsi="Arial"/>
          <w:sz w:val="18"/>
          <w:szCs w:val="18"/>
          <w:color w:val="auto"/>
        </w:rPr>
        <w:t>The Company’s non-U.S. revenues in 2013, 2012 and 2011 totaled approximately $672 million, $644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$594 million, respectively, primarily from Kaplan’s operations outside the U.S. The Company’s long-lived assets in non-U.S. countries (excluding goodwill and other intangible assets), totaled approximately $66 million and $58 million at December 31, 2013 and 2012, respectively.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24" w:right="239" w:bottom="1440" w:gutter="0" w:footer="0" w:header="0"/>
        </w:sectPr>
      </w:pPr>
    </w:p>
    <w:bookmarkStart w:id="101" w:name="page102"/>
    <w:bookmarkEnd w:id="101"/>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Operating Revenues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2,177,508</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2,196,496</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2,404,459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Cable</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807,309</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787,117</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760,221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374,605</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399,691</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319,206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128,803</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72,837</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42,891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Corporate office</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7780" w:type="dxa"/>
            <w:vAlign w:val="bottom"/>
          </w:tcPr>
          <w:p>
            <w:pPr>
              <w:ind w:left="280"/>
              <w:spacing w:after="0"/>
              <w:rPr>
                <w:sz w:val="20"/>
                <w:szCs w:val="20"/>
                <w:color w:val="auto"/>
              </w:rPr>
            </w:pPr>
            <w:r>
              <w:rPr>
                <w:rFonts w:ascii="Arial" w:cs="Arial" w:eastAsia="Arial" w:hAnsi="Arial"/>
                <w:sz w:val="14"/>
                <w:szCs w:val="14"/>
                <w:color w:val="auto"/>
              </w:rPr>
              <w:t>Intersegment elimination</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(361)</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(571)</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3,487,864</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3,455,570</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3,525,997</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51,301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(105,368)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96,286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Cable</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169,735</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154,581</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156,844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171,276</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191,642</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117,089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(23,468)</w:t>
            </w:r>
          </w:p>
        </w:tc>
        <w:tc>
          <w:tcPr>
            <w:tcW w:w="32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(33,010)</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(16,771)</w:t>
            </w:r>
          </w:p>
        </w:tc>
        <w:tc>
          <w:tcPr>
            <w:tcW w:w="0" w:type="dxa"/>
            <w:vAlign w:val="bottom"/>
          </w:tcPr>
          <w:p>
            <w:pPr>
              <w:spacing w:after="0"/>
              <w:rPr>
                <w:sz w:val="1"/>
                <w:szCs w:val="1"/>
                <w:color w:val="auto"/>
              </w:rPr>
            </w:pPr>
          </w:p>
        </w:tc>
      </w:tr>
      <w:tr>
        <w:trPr>
          <w:trHeight w:val="271"/>
        </w:trPr>
        <w:tc>
          <w:tcPr>
            <w:tcW w:w="7780" w:type="dxa"/>
            <w:vAlign w:val="bottom"/>
          </w:tcPr>
          <w:p>
            <w:pPr>
              <w:ind w:left="280"/>
              <w:spacing w:after="0"/>
              <w:rPr>
                <w:sz w:val="20"/>
                <w:szCs w:val="20"/>
                <w:color w:val="auto"/>
              </w:rPr>
            </w:pPr>
            <w:r>
              <w:rPr>
                <w:rFonts w:ascii="Arial" w:cs="Arial" w:eastAsia="Arial" w:hAnsi="Arial"/>
                <w:sz w:val="14"/>
                <w:szCs w:val="14"/>
                <w:color w:val="auto"/>
              </w:rPr>
              <w:t>Corporate office</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(23,279)</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(28,665)</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(19,330)</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345,565</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179,180</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334,118</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Equity in Earnings of Affiliates, Net</w:t>
            </w:r>
          </w:p>
        </w:tc>
        <w:tc>
          <w:tcPr>
            <w:tcW w:w="24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13,215</w:t>
            </w:r>
          </w:p>
        </w:tc>
        <w:tc>
          <w:tcPr>
            <w:tcW w:w="3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14,086</w:t>
            </w:r>
          </w:p>
        </w:tc>
        <w:tc>
          <w:tcPr>
            <w:tcW w:w="3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5,949</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Interest Expense, Net</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(33,803)</w:t>
            </w:r>
          </w:p>
        </w:tc>
        <w:tc>
          <w:tcPr>
            <w:tcW w:w="32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(32,551)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(29,079)</w:t>
            </w:r>
          </w:p>
        </w:tc>
        <w:tc>
          <w:tcPr>
            <w:tcW w:w="0" w:type="dxa"/>
            <w:vAlign w:val="bottom"/>
          </w:tcPr>
          <w:p>
            <w:pPr>
              <w:spacing w:after="0"/>
              <w:rPr>
                <w:sz w:val="1"/>
                <w:szCs w:val="1"/>
                <w:color w:val="auto"/>
              </w:rPr>
            </w:pPr>
          </w:p>
        </w:tc>
      </w:tr>
      <w:tr>
        <w:trPr>
          <w:trHeight w:val="271"/>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Other Expense, Net</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(23,751)</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(5,456)</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(55,200)</w:t>
            </w:r>
          </w:p>
        </w:tc>
        <w:tc>
          <w:tcPr>
            <w:tcW w:w="0" w:type="dxa"/>
            <w:vAlign w:val="bottom"/>
          </w:tcPr>
          <w:p>
            <w:pPr>
              <w:spacing w:after="0"/>
              <w:rPr>
                <w:sz w:val="1"/>
                <w:szCs w:val="1"/>
                <w:color w:val="auto"/>
              </w:rPr>
            </w:pPr>
          </w:p>
        </w:tc>
      </w:tr>
      <w:tr>
        <w:trPr>
          <w:trHeight w:val="265"/>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Income from Continuing Operations before Income Taxes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301,226</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155,259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255,788</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Depreciation of Property, Plant and Equipment</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89,764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101,183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83,735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Cable</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128,184</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129,107</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126,302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12,467</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13,018</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12,448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2,177</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770</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271"/>
        </w:trPr>
        <w:tc>
          <w:tcPr>
            <w:tcW w:w="7780" w:type="dxa"/>
            <w:vAlign w:val="bottom"/>
          </w:tcPr>
          <w:p>
            <w:pPr>
              <w:ind w:left="280"/>
              <w:spacing w:after="0"/>
              <w:rPr>
                <w:sz w:val="20"/>
                <w:szCs w:val="20"/>
                <w:color w:val="auto"/>
              </w:rPr>
            </w:pPr>
            <w:r>
              <w:rPr>
                <w:rFonts w:ascii="Arial" w:cs="Arial" w:eastAsia="Arial" w:hAnsi="Arial"/>
                <w:sz w:val="14"/>
                <w:szCs w:val="14"/>
                <w:color w:val="auto"/>
              </w:rPr>
              <w:t>Corporate office</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626</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233,218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244,078</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223,403</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Amortization of Intangible Assets and Impairment of Goodwill and</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4"/>
                <w:szCs w:val="14"/>
                <w:b w:val="1"/>
                <w:bCs w:val="1"/>
                <w:color w:val="auto"/>
              </w:rPr>
              <w:t>Other Long-Lived Assets</w:t>
            </w: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13,212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129,312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19,417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Cable</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220</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211</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3,416</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3,016</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2,517</w:t>
            </w:r>
          </w:p>
        </w:tc>
        <w:tc>
          <w:tcPr>
            <w:tcW w:w="0" w:type="dxa"/>
            <w:vAlign w:val="bottom"/>
          </w:tcPr>
          <w:p>
            <w:pPr>
              <w:spacing w:after="0"/>
              <w:rPr>
                <w:sz w:val="1"/>
                <w:szCs w:val="1"/>
                <w:color w:val="auto"/>
              </w:rPr>
            </w:pPr>
          </w:p>
        </w:tc>
      </w:tr>
      <w:tr>
        <w:trPr>
          <w:trHeight w:val="271"/>
        </w:trPr>
        <w:tc>
          <w:tcPr>
            <w:tcW w:w="7780" w:type="dxa"/>
            <w:vAlign w:val="bottom"/>
          </w:tcPr>
          <w:p>
            <w:pPr>
              <w:ind w:left="280"/>
              <w:spacing w:after="0"/>
              <w:rPr>
                <w:sz w:val="20"/>
                <w:szCs w:val="20"/>
                <w:color w:val="auto"/>
              </w:rPr>
            </w:pPr>
            <w:r>
              <w:rPr>
                <w:rFonts w:ascii="Arial" w:cs="Arial" w:eastAsia="Arial" w:hAnsi="Arial"/>
                <w:sz w:val="14"/>
                <w:szCs w:val="14"/>
                <w:color w:val="auto"/>
              </w:rPr>
              <w:t>Corporate office</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16,848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132,539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22,201</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Net Pension (Credit) Expense</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16,538</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11,584</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6,345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Cable</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3,708</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2,540</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1,924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3,381</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4,970</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1,669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610</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169</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71"/>
        </w:trPr>
        <w:tc>
          <w:tcPr>
            <w:tcW w:w="7780" w:type="dxa"/>
            <w:vAlign w:val="bottom"/>
          </w:tcPr>
          <w:p>
            <w:pPr>
              <w:ind w:left="280"/>
              <w:spacing w:after="0"/>
              <w:rPr>
                <w:sz w:val="20"/>
                <w:szCs w:val="20"/>
                <w:color w:val="auto"/>
              </w:rPr>
            </w:pPr>
            <w:r>
              <w:rPr>
                <w:rFonts w:ascii="Arial" w:cs="Arial" w:eastAsia="Arial" w:hAnsi="Arial"/>
                <w:sz w:val="14"/>
                <w:szCs w:val="14"/>
                <w:color w:val="auto"/>
              </w:rPr>
              <w:t>Corporate office</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(41,836)</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(27,871)</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(33,289)</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(17,599)</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(8,608)</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(23,219)</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Capital Expenditures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45,550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51,241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51,871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Cable</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160,246</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150,525</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143,225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Television broadcasting</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12,702</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6,401</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6,415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Other businesses</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1,451</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271"/>
        </w:trPr>
        <w:tc>
          <w:tcPr>
            <w:tcW w:w="7780" w:type="dxa"/>
            <w:vAlign w:val="bottom"/>
          </w:tcPr>
          <w:p>
            <w:pPr>
              <w:ind w:left="280"/>
              <w:spacing w:after="0"/>
              <w:rPr>
                <w:sz w:val="20"/>
                <w:szCs w:val="20"/>
                <w:color w:val="auto"/>
              </w:rPr>
            </w:pPr>
            <w:r>
              <w:rPr>
                <w:rFonts w:ascii="Arial" w:cs="Arial" w:eastAsia="Arial" w:hAnsi="Arial"/>
                <w:sz w:val="14"/>
                <w:szCs w:val="14"/>
                <w:color w:val="auto"/>
              </w:rPr>
              <w:t>Corporate office</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309</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220,812</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209,618</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202,524</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09"/>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Identifiable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9020" w:type="dxa"/>
            <w:vAlign w:val="bottom"/>
          </w:tcPr>
          <w:p>
            <w:pPr>
              <w:ind w:left="280"/>
              <w:spacing w:after="0"/>
              <w:rPr>
                <w:sz w:val="20"/>
                <w:szCs w:val="20"/>
                <w:color w:val="auto"/>
              </w:rPr>
            </w:pPr>
            <w:r>
              <w:rPr>
                <w:rFonts w:ascii="Arial" w:cs="Arial" w:eastAsia="Arial" w:hAnsi="Arial"/>
                <w:sz w:val="14"/>
                <w:szCs w:val="14"/>
                <w:color w:val="auto"/>
              </w:rPr>
              <w:t>Education</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1,921,037</w:t>
            </w: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1,988,015</w:t>
            </w:r>
          </w:p>
        </w:tc>
        <w:tc>
          <w:tcPr>
            <w:tcW w:w="0" w:type="dxa"/>
            <w:vAlign w:val="bottom"/>
          </w:tcPr>
          <w:p>
            <w:pPr>
              <w:spacing w:after="0"/>
              <w:rPr>
                <w:sz w:val="1"/>
                <w:szCs w:val="1"/>
                <w:color w:val="auto"/>
              </w:rPr>
            </w:pPr>
          </w:p>
        </w:tc>
      </w:tr>
      <w:tr>
        <w:trPr>
          <w:trHeight w:val="60"/>
        </w:trPr>
        <w:tc>
          <w:tcPr>
            <w:tcW w:w="90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280"/>
              <w:spacing w:after="0"/>
              <w:rPr>
                <w:sz w:val="20"/>
                <w:szCs w:val="20"/>
                <w:color w:val="auto"/>
              </w:rPr>
            </w:pPr>
            <w:r>
              <w:rPr>
                <w:rFonts w:ascii="Arial" w:cs="Arial" w:eastAsia="Arial" w:hAnsi="Arial"/>
                <w:sz w:val="14"/>
                <w:szCs w:val="14"/>
                <w:color w:val="auto"/>
              </w:rPr>
              <w:t>Cable</w:t>
            </w:r>
          </w:p>
        </w:tc>
        <w:tc>
          <w:tcPr>
            <w:tcW w:w="26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1,215,320</w:t>
            </w:r>
          </w:p>
        </w:tc>
        <w:tc>
          <w:tcPr>
            <w:tcW w:w="34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1,187,603</w:t>
            </w:r>
          </w:p>
        </w:tc>
        <w:tc>
          <w:tcPr>
            <w:tcW w:w="0" w:type="dxa"/>
            <w:vAlign w:val="bottom"/>
          </w:tcPr>
          <w:p>
            <w:pPr>
              <w:spacing w:after="0"/>
              <w:rPr>
                <w:sz w:val="1"/>
                <w:szCs w:val="1"/>
                <w:color w:val="auto"/>
              </w:rPr>
            </w:pPr>
          </w:p>
        </w:tc>
      </w:tr>
    </w:tbl>
    <w:p>
      <w:pPr>
        <w:sectPr>
          <w:pgSz w:w="11900" w:h="16895" w:orient="portrait"/>
          <w:cols w:equalWidth="0" w:num="1">
            <w:col w:w="11420"/>
          </w:cols>
          <w:pgMar w:left="240" w:top="738" w:right="239" w:bottom="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980" w:type="dxa"/>
            <w:vAlign w:val="bottom"/>
          </w:tcPr>
          <w:p>
            <w:pPr>
              <w:ind w:left="240"/>
              <w:spacing w:after="0"/>
              <w:rPr>
                <w:sz w:val="20"/>
                <w:szCs w:val="20"/>
                <w:color w:val="auto"/>
              </w:rPr>
            </w:pPr>
            <w:r>
              <w:rPr>
                <w:rFonts w:ascii="Arial" w:cs="Arial" w:eastAsia="Arial" w:hAnsi="Arial"/>
                <w:sz w:val="14"/>
                <w:szCs w:val="14"/>
                <w:color w:val="auto"/>
              </w:rPr>
              <w:t>Television broadcasting</w:t>
            </w:r>
          </w:p>
        </w:tc>
        <w:tc>
          <w:tcPr>
            <w:tcW w:w="260" w:type="dxa"/>
            <w:vAlign w:val="bottom"/>
          </w:tcPr>
          <w:p>
            <w:pPr>
              <w:spacing w:after="0"/>
              <w:rPr>
                <w:sz w:val="16"/>
                <w:szCs w:val="16"/>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383,251</w:t>
            </w:r>
          </w:p>
        </w:tc>
        <w:tc>
          <w:tcPr>
            <w:tcW w:w="340" w:type="dxa"/>
            <w:vAlign w:val="bottom"/>
          </w:tcPr>
          <w:p>
            <w:pPr>
              <w:spacing w:after="0"/>
              <w:rPr>
                <w:sz w:val="16"/>
                <w:szCs w:val="16"/>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374,075</w:t>
            </w:r>
          </w:p>
        </w:tc>
        <w:tc>
          <w:tcPr>
            <w:tcW w:w="0" w:type="dxa"/>
            <w:vAlign w:val="bottom"/>
          </w:tcPr>
          <w:p>
            <w:pPr>
              <w:spacing w:after="0"/>
              <w:rPr>
                <w:sz w:val="1"/>
                <w:szCs w:val="1"/>
                <w:color w:val="auto"/>
              </w:rPr>
            </w:pPr>
          </w:p>
        </w:tc>
      </w:tr>
      <w:tr>
        <w:trPr>
          <w:trHeight w:val="60"/>
        </w:trPr>
        <w:tc>
          <w:tcPr>
            <w:tcW w:w="8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980" w:type="dxa"/>
            <w:vAlign w:val="bottom"/>
          </w:tcPr>
          <w:p>
            <w:pPr>
              <w:ind w:left="240"/>
              <w:spacing w:after="0"/>
              <w:rPr>
                <w:sz w:val="20"/>
                <w:szCs w:val="20"/>
                <w:color w:val="auto"/>
              </w:rPr>
            </w:pPr>
            <w:r>
              <w:rPr>
                <w:rFonts w:ascii="Arial" w:cs="Arial" w:eastAsia="Arial" w:hAnsi="Arial"/>
                <w:sz w:val="14"/>
                <w:szCs w:val="14"/>
                <w:color w:val="auto"/>
              </w:rPr>
              <w:t>Other businesses</w:t>
            </w:r>
          </w:p>
        </w:tc>
        <w:tc>
          <w:tcPr>
            <w:tcW w:w="260" w:type="dxa"/>
            <w:vAlign w:val="bottom"/>
          </w:tcPr>
          <w:p>
            <w:pPr>
              <w:spacing w:after="0"/>
              <w:rPr>
                <w:sz w:val="18"/>
                <w:szCs w:val="18"/>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171,539</w:t>
            </w:r>
          </w:p>
        </w:tc>
        <w:tc>
          <w:tcPr>
            <w:tcW w:w="340" w:type="dxa"/>
            <w:vAlign w:val="bottom"/>
          </w:tcPr>
          <w:p>
            <w:pPr>
              <w:spacing w:after="0"/>
              <w:rPr>
                <w:sz w:val="18"/>
                <w:szCs w:val="18"/>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88,393</w:t>
            </w:r>
          </w:p>
        </w:tc>
        <w:tc>
          <w:tcPr>
            <w:tcW w:w="0" w:type="dxa"/>
            <w:vAlign w:val="bottom"/>
          </w:tcPr>
          <w:p>
            <w:pPr>
              <w:spacing w:after="0"/>
              <w:rPr>
                <w:sz w:val="1"/>
                <w:szCs w:val="1"/>
                <w:color w:val="auto"/>
              </w:rPr>
            </w:pPr>
          </w:p>
        </w:tc>
      </w:tr>
      <w:tr>
        <w:trPr>
          <w:trHeight w:val="60"/>
        </w:trPr>
        <w:tc>
          <w:tcPr>
            <w:tcW w:w="8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8980" w:type="dxa"/>
            <w:vAlign w:val="bottom"/>
          </w:tcPr>
          <w:p>
            <w:pPr>
              <w:ind w:left="240"/>
              <w:spacing w:after="0"/>
              <w:rPr>
                <w:sz w:val="20"/>
                <w:szCs w:val="20"/>
                <w:color w:val="auto"/>
              </w:rPr>
            </w:pPr>
            <w:r>
              <w:rPr>
                <w:rFonts w:ascii="Arial" w:cs="Arial" w:eastAsia="Arial" w:hAnsi="Arial"/>
                <w:sz w:val="14"/>
                <w:szCs w:val="14"/>
                <w:color w:val="auto"/>
              </w:rPr>
              <w:t>Corporate office</w:t>
            </w:r>
          </w:p>
        </w:tc>
        <w:tc>
          <w:tcPr>
            <w:tcW w:w="260" w:type="dxa"/>
            <w:vAlign w:val="bottom"/>
          </w:tcPr>
          <w:p>
            <w:pPr>
              <w:spacing w:after="0"/>
              <w:rPr>
                <w:sz w:val="18"/>
                <w:szCs w:val="18"/>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371,484</w:t>
            </w:r>
          </w:p>
        </w:tc>
        <w:tc>
          <w:tcPr>
            <w:tcW w:w="340" w:type="dxa"/>
            <w:vAlign w:val="bottom"/>
          </w:tcPr>
          <w:p>
            <w:pPr>
              <w:spacing w:after="0"/>
              <w:rPr>
                <w:sz w:val="18"/>
                <w:szCs w:val="18"/>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466,538</w:t>
            </w:r>
          </w:p>
        </w:tc>
        <w:tc>
          <w:tcPr>
            <w:tcW w:w="0" w:type="dxa"/>
            <w:vAlign w:val="bottom"/>
          </w:tcPr>
          <w:p>
            <w:pPr>
              <w:spacing w:after="0"/>
              <w:rPr>
                <w:sz w:val="1"/>
                <w:szCs w:val="1"/>
                <w:color w:val="auto"/>
              </w:rPr>
            </w:pPr>
          </w:p>
        </w:tc>
      </w:tr>
      <w:tr>
        <w:trPr>
          <w:trHeight w:val="61"/>
        </w:trPr>
        <w:tc>
          <w:tcPr>
            <w:tcW w:w="89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8980" w:type="dxa"/>
            <w:vAlign w:val="bottom"/>
          </w:tcPr>
          <w:p>
            <w:pPr>
              <w:spacing w:after="0"/>
              <w:rPr>
                <w:sz w:val="22"/>
                <w:szCs w:val="22"/>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4,062,631</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4,104,624</w:t>
            </w:r>
          </w:p>
        </w:tc>
        <w:tc>
          <w:tcPr>
            <w:tcW w:w="0" w:type="dxa"/>
            <w:vAlign w:val="bottom"/>
          </w:tcPr>
          <w:p>
            <w:pPr>
              <w:spacing w:after="0"/>
              <w:rPr>
                <w:sz w:val="1"/>
                <w:szCs w:val="1"/>
                <w:color w:val="auto"/>
              </w:rPr>
            </w:pPr>
          </w:p>
        </w:tc>
      </w:tr>
      <w:tr>
        <w:trPr>
          <w:trHeight w:val="196"/>
        </w:trPr>
        <w:tc>
          <w:tcPr>
            <w:tcW w:w="8980" w:type="dxa"/>
            <w:vAlign w:val="bottom"/>
          </w:tcPr>
          <w:p>
            <w:pPr>
              <w:spacing w:after="0"/>
              <w:rPr>
                <w:sz w:val="20"/>
                <w:szCs w:val="20"/>
                <w:color w:val="auto"/>
              </w:rPr>
            </w:pPr>
            <w:r>
              <w:rPr>
                <w:rFonts w:ascii="Arial" w:cs="Arial" w:eastAsia="Arial" w:hAnsi="Arial"/>
                <w:sz w:val="14"/>
                <w:szCs w:val="14"/>
                <w:b w:val="1"/>
                <w:bCs w:val="1"/>
                <w:color w:val="auto"/>
              </w:rPr>
              <w:t>Investments in Marketable Equity Securities</w:t>
            </w:r>
          </w:p>
        </w:tc>
        <w:tc>
          <w:tcPr>
            <w:tcW w:w="260" w:type="dxa"/>
            <w:vAlign w:val="bottom"/>
          </w:tcPr>
          <w:p>
            <w:pPr>
              <w:spacing w:after="0"/>
              <w:rPr>
                <w:sz w:val="17"/>
                <w:szCs w:val="17"/>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487,156</w:t>
            </w:r>
          </w:p>
        </w:tc>
        <w:tc>
          <w:tcPr>
            <w:tcW w:w="340" w:type="dxa"/>
            <w:vAlign w:val="bottom"/>
          </w:tcPr>
          <w:p>
            <w:pPr>
              <w:spacing w:after="0"/>
              <w:rPr>
                <w:sz w:val="17"/>
                <w:szCs w:val="17"/>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380,087</w:t>
            </w:r>
          </w:p>
        </w:tc>
        <w:tc>
          <w:tcPr>
            <w:tcW w:w="0" w:type="dxa"/>
            <w:vAlign w:val="bottom"/>
          </w:tcPr>
          <w:p>
            <w:pPr>
              <w:spacing w:after="0"/>
              <w:rPr>
                <w:sz w:val="1"/>
                <w:szCs w:val="1"/>
                <w:color w:val="auto"/>
              </w:rPr>
            </w:pPr>
          </w:p>
        </w:tc>
      </w:tr>
      <w:tr>
        <w:trPr>
          <w:trHeight w:val="68"/>
        </w:trPr>
        <w:tc>
          <w:tcPr>
            <w:tcW w:w="8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4"/>
                <w:szCs w:val="14"/>
                <w:b w:val="1"/>
                <w:bCs w:val="1"/>
                <w:color w:val="auto"/>
              </w:rPr>
              <w:t>Investments in Affiliates</w:t>
            </w:r>
          </w:p>
        </w:tc>
        <w:tc>
          <w:tcPr>
            <w:tcW w:w="260" w:type="dxa"/>
            <w:vAlign w:val="bottom"/>
          </w:tcPr>
          <w:p>
            <w:pPr>
              <w:spacing w:after="0"/>
              <w:rPr>
                <w:sz w:val="18"/>
                <w:szCs w:val="18"/>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15,754</w:t>
            </w:r>
          </w:p>
        </w:tc>
        <w:tc>
          <w:tcPr>
            <w:tcW w:w="340" w:type="dxa"/>
            <w:vAlign w:val="bottom"/>
          </w:tcPr>
          <w:p>
            <w:pPr>
              <w:spacing w:after="0"/>
              <w:rPr>
                <w:sz w:val="18"/>
                <w:szCs w:val="18"/>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15,535</w:t>
            </w:r>
          </w:p>
        </w:tc>
        <w:tc>
          <w:tcPr>
            <w:tcW w:w="0" w:type="dxa"/>
            <w:vAlign w:val="bottom"/>
          </w:tcPr>
          <w:p>
            <w:pPr>
              <w:spacing w:after="0"/>
              <w:rPr>
                <w:sz w:val="1"/>
                <w:szCs w:val="1"/>
                <w:color w:val="auto"/>
              </w:rPr>
            </w:pPr>
          </w:p>
        </w:tc>
      </w:tr>
      <w:tr>
        <w:trPr>
          <w:trHeight w:val="54"/>
        </w:trPr>
        <w:tc>
          <w:tcPr>
            <w:tcW w:w="8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4"/>
                <w:szCs w:val="14"/>
                <w:b w:val="1"/>
                <w:bCs w:val="1"/>
                <w:color w:val="auto"/>
              </w:rPr>
              <w:t>Prepaid Pension Cost</w:t>
            </w:r>
          </w:p>
        </w:tc>
        <w:tc>
          <w:tcPr>
            <w:tcW w:w="260" w:type="dxa"/>
            <w:vAlign w:val="bottom"/>
          </w:tcPr>
          <w:p>
            <w:pPr>
              <w:spacing w:after="0"/>
              <w:rPr>
                <w:sz w:val="18"/>
                <w:szCs w:val="18"/>
                <w:color w:val="auto"/>
              </w:rPr>
            </w:pP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1,245,505</w:t>
            </w:r>
          </w:p>
        </w:tc>
        <w:tc>
          <w:tcPr>
            <w:tcW w:w="340" w:type="dxa"/>
            <w:vAlign w:val="bottom"/>
          </w:tcPr>
          <w:p>
            <w:pPr>
              <w:spacing w:after="0"/>
              <w:rPr>
                <w:sz w:val="18"/>
                <w:szCs w:val="18"/>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604,823</w:t>
            </w:r>
          </w:p>
        </w:tc>
        <w:tc>
          <w:tcPr>
            <w:tcW w:w="0" w:type="dxa"/>
            <w:vAlign w:val="bottom"/>
          </w:tcPr>
          <w:p>
            <w:pPr>
              <w:spacing w:after="0"/>
              <w:rPr>
                <w:sz w:val="1"/>
                <w:szCs w:val="1"/>
                <w:color w:val="auto"/>
              </w:rPr>
            </w:pPr>
          </w:p>
        </w:tc>
      </w:tr>
      <w:tr>
        <w:trPr>
          <w:trHeight w:val="54"/>
        </w:trPr>
        <w:tc>
          <w:tcPr>
            <w:tcW w:w="89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898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5,811,046</w:t>
            </w: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5,105,069</w:t>
            </w:r>
          </w:p>
        </w:tc>
        <w:tc>
          <w:tcPr>
            <w:tcW w:w="0" w:type="dxa"/>
            <w:vAlign w:val="bottom"/>
          </w:tcPr>
          <w:p>
            <w:pPr>
              <w:spacing w:after="0"/>
              <w:rPr>
                <w:sz w:val="1"/>
                <w:szCs w:val="1"/>
                <w:color w:val="auto"/>
              </w:rPr>
            </w:pPr>
          </w:p>
        </w:tc>
      </w:tr>
      <w:tr>
        <w:trPr>
          <w:trHeight w:val="74"/>
        </w:trPr>
        <w:tc>
          <w:tcPr>
            <w:tcW w:w="898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80" w:top="396"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2011</w:t>
            </w: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Operating Revenues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Higher 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1,080,908</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1,149,407</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1,399,583</w:t>
            </w: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Test preparation</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293,201</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284,252</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303,093</w:t>
            </w: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Kaplan international</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797,362</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753,790</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690,226</w:t>
            </w: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Kaplan corporate and other</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7,990</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15,039</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18,940</w:t>
            </w:r>
          </w:p>
        </w:tc>
      </w:tr>
      <w:tr>
        <w:trPr>
          <w:trHeight w:val="271"/>
        </w:trPr>
        <w:tc>
          <w:tcPr>
            <w:tcW w:w="7780" w:type="dxa"/>
            <w:vAlign w:val="bottom"/>
          </w:tcPr>
          <w:p>
            <w:pPr>
              <w:ind w:left="280"/>
              <w:spacing w:after="0"/>
              <w:rPr>
                <w:sz w:val="20"/>
                <w:szCs w:val="20"/>
                <w:color w:val="auto"/>
              </w:rPr>
            </w:pPr>
            <w:r>
              <w:rPr>
                <w:rFonts w:ascii="Arial" w:cs="Arial" w:eastAsia="Arial" w:hAnsi="Arial"/>
                <w:sz w:val="14"/>
                <w:szCs w:val="14"/>
                <w:color w:val="auto"/>
              </w:rPr>
              <w:t>Intersegment elimination</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(1,953)</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(5,992)</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(7,383)</w:t>
            </w:r>
          </w:p>
        </w:tc>
      </w:tr>
      <w:tr>
        <w:trPr>
          <w:trHeight w:val="263"/>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2,177,508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2,196,496</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2,404,459</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Higher 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71,584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27,245</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148,915</w:t>
            </w: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Test preparation</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4,118</w:t>
            </w:r>
          </w:p>
        </w:tc>
        <w:tc>
          <w:tcPr>
            <w:tcW w:w="32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(10,799)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(28,498)</w:t>
            </w: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Kaplan international</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53,424</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49,612</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46,498</w:t>
            </w: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Kaplan corporate and other</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(78,160)</w:t>
            </w:r>
          </w:p>
        </w:tc>
        <w:tc>
          <w:tcPr>
            <w:tcW w:w="32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(172,472)</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(69,509)</w:t>
            </w:r>
          </w:p>
        </w:tc>
      </w:tr>
      <w:tr>
        <w:trPr>
          <w:trHeight w:val="271"/>
        </w:trPr>
        <w:tc>
          <w:tcPr>
            <w:tcW w:w="7780" w:type="dxa"/>
            <w:vAlign w:val="bottom"/>
          </w:tcPr>
          <w:p>
            <w:pPr>
              <w:ind w:left="280"/>
              <w:spacing w:after="0"/>
              <w:rPr>
                <w:sz w:val="20"/>
                <w:szCs w:val="20"/>
                <w:color w:val="auto"/>
              </w:rPr>
            </w:pPr>
            <w:r>
              <w:rPr>
                <w:rFonts w:ascii="Arial" w:cs="Arial" w:eastAsia="Arial" w:hAnsi="Arial"/>
                <w:sz w:val="14"/>
                <w:szCs w:val="14"/>
                <w:color w:val="auto"/>
              </w:rPr>
              <w:t>Intersegment elimination</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335</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1,046</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w:t>
            </w:r>
          </w:p>
        </w:tc>
      </w:tr>
      <w:tr>
        <w:trPr>
          <w:trHeight w:val="263"/>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51,301</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(105,368)</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96,286</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Depreciation of Property, Plant and Equipment</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Higher 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43,892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58,514</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48,379</w:t>
            </w: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Test preparation</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19,194</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19,718</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15,489</w:t>
            </w: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Kaplan international</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16,296</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21,149</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16,746</w:t>
            </w:r>
          </w:p>
        </w:tc>
      </w:tr>
      <w:tr>
        <w:trPr>
          <w:trHeight w:val="271"/>
        </w:trPr>
        <w:tc>
          <w:tcPr>
            <w:tcW w:w="7780" w:type="dxa"/>
            <w:vAlign w:val="bottom"/>
          </w:tcPr>
          <w:p>
            <w:pPr>
              <w:ind w:left="280"/>
              <w:spacing w:after="0"/>
              <w:rPr>
                <w:sz w:val="20"/>
                <w:szCs w:val="20"/>
                <w:color w:val="auto"/>
              </w:rPr>
            </w:pPr>
            <w:r>
              <w:rPr>
                <w:rFonts w:ascii="Arial" w:cs="Arial" w:eastAsia="Arial" w:hAnsi="Arial"/>
                <w:sz w:val="14"/>
                <w:szCs w:val="14"/>
                <w:color w:val="auto"/>
              </w:rPr>
              <w:t>Kaplan corporate and other</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10,382</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1,802</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3,121</w:t>
            </w:r>
          </w:p>
        </w:tc>
      </w:tr>
      <w:tr>
        <w:trPr>
          <w:trHeight w:val="264"/>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89,764</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101,183</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83,735</w:t>
            </w: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Amortization of Intangible Assets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9,962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17,719</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19,417</w:t>
            </w:r>
          </w:p>
        </w:tc>
      </w:tr>
      <w:tr>
        <w:trPr>
          <w:trHeight w:val="270"/>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Impairment of Goodwill and Other Long-Lived Assets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3,250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111,593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Pension Expense</w:t>
            </w: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Higher 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11,714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7,943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4,249</w:t>
            </w: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Test preparation</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2,674</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1,288</w:t>
            </w: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Kaplan international</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363</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189</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142</w:t>
            </w:r>
          </w:p>
        </w:tc>
      </w:tr>
      <w:tr>
        <w:trPr>
          <w:trHeight w:val="271"/>
        </w:trPr>
        <w:tc>
          <w:tcPr>
            <w:tcW w:w="7780" w:type="dxa"/>
            <w:vAlign w:val="bottom"/>
          </w:tcPr>
          <w:p>
            <w:pPr>
              <w:ind w:left="280"/>
              <w:spacing w:after="0"/>
              <w:rPr>
                <w:sz w:val="20"/>
                <w:szCs w:val="20"/>
                <w:color w:val="auto"/>
              </w:rPr>
            </w:pPr>
            <w:r>
              <w:rPr>
                <w:rFonts w:ascii="Arial" w:cs="Arial" w:eastAsia="Arial" w:hAnsi="Arial"/>
                <w:sz w:val="14"/>
                <w:szCs w:val="14"/>
                <w:color w:val="auto"/>
              </w:rPr>
              <w:t>Kaplan corporate and other</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1,787</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1,445</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666</w:t>
            </w:r>
          </w:p>
        </w:tc>
      </w:tr>
      <w:tr>
        <w:trPr>
          <w:trHeight w:val="263"/>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16,538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11,584</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6,345</w:t>
            </w: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Capital Expenditures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Higher education</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10,879</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26,406</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19,735</w:t>
            </w: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Test preparation</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7,008</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8,211</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17,266</w:t>
            </w:r>
          </w:p>
        </w:tc>
      </w:tr>
      <w:tr>
        <w:trPr>
          <w:trHeight w:val="270"/>
        </w:trPr>
        <w:tc>
          <w:tcPr>
            <w:tcW w:w="7780" w:type="dxa"/>
            <w:vAlign w:val="bottom"/>
          </w:tcPr>
          <w:p>
            <w:pPr>
              <w:ind w:left="280"/>
              <w:spacing w:after="0"/>
              <w:rPr>
                <w:sz w:val="20"/>
                <w:szCs w:val="20"/>
                <w:color w:val="auto"/>
              </w:rPr>
            </w:pPr>
            <w:r>
              <w:rPr>
                <w:rFonts w:ascii="Arial" w:cs="Arial" w:eastAsia="Arial" w:hAnsi="Arial"/>
                <w:sz w:val="14"/>
                <w:szCs w:val="14"/>
                <w:color w:val="auto"/>
              </w:rPr>
              <w:t>Kaplan international</w:t>
            </w:r>
          </w:p>
        </w:tc>
        <w:tc>
          <w:tcPr>
            <w:tcW w:w="240" w:type="dxa"/>
            <w:vAlign w:val="bottom"/>
          </w:tcPr>
          <w:p>
            <w:pPr>
              <w:spacing w:after="0"/>
              <w:rPr>
                <w:sz w:val="23"/>
                <w:szCs w:val="23"/>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27,601</w:t>
            </w:r>
          </w:p>
        </w:tc>
        <w:tc>
          <w:tcPr>
            <w:tcW w:w="32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16,864</w:t>
            </w:r>
          </w:p>
        </w:tc>
        <w:tc>
          <w:tcPr>
            <w:tcW w:w="36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16,304</w:t>
            </w:r>
          </w:p>
        </w:tc>
      </w:tr>
      <w:tr>
        <w:trPr>
          <w:trHeight w:val="271"/>
        </w:trPr>
        <w:tc>
          <w:tcPr>
            <w:tcW w:w="7780" w:type="dxa"/>
            <w:vAlign w:val="bottom"/>
          </w:tcPr>
          <w:p>
            <w:pPr>
              <w:ind w:left="280"/>
              <w:spacing w:after="0"/>
              <w:rPr>
                <w:sz w:val="20"/>
                <w:szCs w:val="20"/>
                <w:color w:val="auto"/>
              </w:rPr>
            </w:pPr>
            <w:r>
              <w:rPr>
                <w:rFonts w:ascii="Arial" w:cs="Arial" w:eastAsia="Arial" w:hAnsi="Arial"/>
                <w:sz w:val="14"/>
                <w:szCs w:val="14"/>
                <w:color w:val="auto"/>
              </w:rPr>
              <w:t>Kaplan corporate and other</w:t>
            </w:r>
          </w:p>
        </w:tc>
        <w:tc>
          <w:tcPr>
            <w:tcW w:w="2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62</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(1,434)</w:t>
            </w:r>
          </w:p>
        </w:tc>
      </w:tr>
      <w:tr>
        <w:trPr>
          <w:trHeight w:val="264"/>
        </w:trPr>
        <w:tc>
          <w:tcPr>
            <w:tcW w:w="778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45,550</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51,241</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51,871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r>
      <w:tr>
        <w:trPr>
          <w:trHeight w:val="263"/>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Identifiable Assets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4"/>
                <w:szCs w:val="14"/>
                <w:color w:val="auto"/>
              </w:rPr>
              <w:t>Higher education</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859,208</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949,260</w:t>
            </w:r>
          </w:p>
        </w:tc>
      </w:tr>
      <w:tr>
        <w:trPr>
          <w:trHeight w:val="270"/>
        </w:trPr>
        <w:tc>
          <w:tcPr>
            <w:tcW w:w="9020" w:type="dxa"/>
            <w:vAlign w:val="bottom"/>
          </w:tcPr>
          <w:p>
            <w:pPr>
              <w:ind w:left="280"/>
              <w:spacing w:after="0"/>
              <w:rPr>
                <w:sz w:val="20"/>
                <w:szCs w:val="20"/>
                <w:color w:val="auto"/>
              </w:rPr>
            </w:pPr>
            <w:r>
              <w:rPr>
                <w:rFonts w:ascii="Arial" w:cs="Arial" w:eastAsia="Arial" w:hAnsi="Arial"/>
                <w:sz w:val="14"/>
                <w:szCs w:val="14"/>
                <w:color w:val="auto"/>
              </w:rPr>
              <w:t>Test preparation</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173,435</w:t>
            </w:r>
          </w:p>
        </w:tc>
        <w:tc>
          <w:tcPr>
            <w:tcW w:w="3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197,672</w:t>
            </w:r>
          </w:p>
        </w:tc>
      </w:tr>
      <w:tr>
        <w:trPr>
          <w:trHeight w:val="270"/>
        </w:trPr>
        <w:tc>
          <w:tcPr>
            <w:tcW w:w="9020" w:type="dxa"/>
            <w:vAlign w:val="bottom"/>
          </w:tcPr>
          <w:p>
            <w:pPr>
              <w:ind w:left="280"/>
              <w:spacing w:after="0"/>
              <w:rPr>
                <w:sz w:val="20"/>
                <w:szCs w:val="20"/>
                <w:color w:val="auto"/>
              </w:rPr>
            </w:pPr>
            <w:r>
              <w:rPr>
                <w:rFonts w:ascii="Arial" w:cs="Arial" w:eastAsia="Arial" w:hAnsi="Arial"/>
                <w:sz w:val="14"/>
                <w:szCs w:val="14"/>
                <w:color w:val="auto"/>
              </w:rPr>
              <w:t>Kaplan international</w:t>
            </w:r>
          </w:p>
        </w:tc>
        <w:tc>
          <w:tcPr>
            <w:tcW w:w="260" w:type="dxa"/>
            <w:vAlign w:val="bottom"/>
          </w:tcPr>
          <w:p>
            <w:pPr>
              <w:spacing w:after="0"/>
              <w:rPr>
                <w:sz w:val="23"/>
                <w:szCs w:val="23"/>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rPr>
              <w:t>864,507</w:t>
            </w:r>
          </w:p>
        </w:tc>
        <w:tc>
          <w:tcPr>
            <w:tcW w:w="3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818,613</w:t>
            </w:r>
          </w:p>
        </w:tc>
      </w:tr>
      <w:tr>
        <w:trPr>
          <w:trHeight w:val="271"/>
        </w:trPr>
        <w:tc>
          <w:tcPr>
            <w:tcW w:w="9020" w:type="dxa"/>
            <w:vAlign w:val="bottom"/>
          </w:tcPr>
          <w:p>
            <w:pPr>
              <w:ind w:left="280"/>
              <w:spacing w:after="0"/>
              <w:rPr>
                <w:sz w:val="20"/>
                <w:szCs w:val="20"/>
                <w:color w:val="auto"/>
              </w:rPr>
            </w:pPr>
            <w:r>
              <w:rPr>
                <w:rFonts w:ascii="Arial" w:cs="Arial" w:eastAsia="Arial" w:hAnsi="Arial"/>
                <w:sz w:val="14"/>
                <w:szCs w:val="14"/>
                <w:color w:val="auto"/>
              </w:rPr>
              <w:t>Kaplan corporate and other</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23,887</w:t>
            </w:r>
          </w:p>
        </w:tc>
        <w:tc>
          <w:tcPr>
            <w:tcW w:w="3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22,470</w:t>
            </w:r>
          </w:p>
        </w:tc>
      </w:tr>
      <w:tr>
        <w:trPr>
          <w:trHeight w:val="264"/>
        </w:trPr>
        <w:tc>
          <w:tcPr>
            <w:tcW w:w="9020" w:type="dxa"/>
            <w:vAlign w:val="bottom"/>
          </w:tcPr>
          <w:p>
            <w:pPr>
              <w:spacing w:after="0"/>
              <w:rPr>
                <w:sz w:val="22"/>
                <w:szCs w:val="22"/>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1,921,037</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1,988,015</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1440"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738" w:right="239" w:bottom="1440" w:gutter="0" w:footer="0" w:header="0"/>
          <w:type w:val="continuous"/>
        </w:sectPr>
      </w:pPr>
    </w:p>
    <w:bookmarkStart w:id="104" w:name="page105"/>
    <w:bookmarkEnd w:id="104"/>
    <w:p>
      <w:pPr>
        <w:ind w:left="500" w:hanging="492"/>
        <w:spacing w:after="0"/>
        <w:tabs>
          <w:tab w:leader="none" w:pos="5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QUARTERLY OPERATING RESULTS AND COMPREHENSIVE INCOME (UNAUDITED)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2013,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19"/>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900" w:type="dxa"/>
            <w:vAlign w:val="bottom"/>
          </w:tcPr>
          <w:p>
            <w:pPr>
              <w:jc w:val="right"/>
              <w:ind w:right="219"/>
              <w:spacing w:after="0"/>
              <w:rPr>
                <w:sz w:val="20"/>
                <w:szCs w:val="20"/>
                <w:color w:val="auto"/>
              </w:rPr>
            </w:pPr>
            <w:r>
              <w:rPr>
                <w:rFonts w:ascii="Arial" w:cs="Arial" w:eastAsia="Arial" w:hAnsi="Arial"/>
                <w:sz w:val="14"/>
                <w:szCs w:val="14"/>
                <w:b w:val="1"/>
                <w:bCs w:val="1"/>
                <w:color w:val="auto"/>
              </w:rPr>
              <w:t>Second</w:t>
            </w:r>
          </w:p>
        </w:tc>
        <w:tc>
          <w:tcPr>
            <w:tcW w:w="200" w:type="dxa"/>
            <w:vAlign w:val="bottom"/>
          </w:tcPr>
          <w:p>
            <w:pPr>
              <w:spacing w:after="0"/>
              <w:rPr>
                <w:sz w:val="14"/>
                <w:szCs w:val="14"/>
                <w:color w:val="auto"/>
              </w:rPr>
            </w:pPr>
          </w:p>
        </w:tc>
        <w:tc>
          <w:tcPr>
            <w:tcW w:w="920" w:type="dxa"/>
            <w:vAlign w:val="bottom"/>
          </w:tcPr>
          <w:p>
            <w:pPr>
              <w:jc w:val="right"/>
              <w:ind w:right="279"/>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840" w:type="dxa"/>
            <w:vAlign w:val="bottom"/>
          </w:tcPr>
          <w:p>
            <w:pPr>
              <w:jc w:val="right"/>
              <w:ind w:right="199"/>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04"/>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Quarter</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9"/>
              </w:rPr>
              <w:t xml:space="preserve">Quarter </w:t>
            </w:r>
            <w:r>
              <w:rPr>
                <w:rFonts w:ascii="Arial" w:cs="Arial" w:eastAsia="Arial" w:hAnsi="Arial"/>
                <w:sz w:val="17"/>
                <w:szCs w:val="17"/>
                <w:b w:val="1"/>
                <w:bCs w:val="1"/>
                <w:color w:val="auto"/>
                <w:w w:val="99"/>
                <w:vertAlign w:val="superscript"/>
              </w:rPr>
              <w:t>(1)</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6"/>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9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527,815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548,230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546,452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555,011</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Subscriber</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186,790</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192,273</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190,302</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186,297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82,994</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96,670</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84,444</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102,208</w:t>
            </w:r>
          </w:p>
        </w:tc>
        <w:tc>
          <w:tcPr>
            <w:tcW w:w="0" w:type="dxa"/>
            <w:vAlign w:val="bottom"/>
          </w:tcPr>
          <w:p>
            <w:pPr>
              <w:spacing w:after="0"/>
              <w:rPr>
                <w:sz w:val="1"/>
                <w:szCs w:val="1"/>
                <w:color w:val="auto"/>
              </w:rPr>
            </w:pPr>
          </w:p>
        </w:tc>
      </w:tr>
      <w:tr>
        <w:trPr>
          <w:trHeight w:val="279"/>
        </w:trPr>
        <w:tc>
          <w:tcPr>
            <w:tcW w:w="6980" w:type="dxa"/>
            <w:vAlign w:val="bottom"/>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39,241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52,423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51,331</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45,383</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836,840</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889,596</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872,529</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888,899</w:t>
            </w:r>
          </w:p>
        </w:tc>
        <w:tc>
          <w:tcPr>
            <w:tcW w:w="0" w:type="dxa"/>
            <w:vAlign w:val="bottom"/>
          </w:tcPr>
          <w:p>
            <w:pPr>
              <w:spacing w:after="0"/>
              <w:rPr>
                <w:sz w:val="1"/>
                <w:szCs w:val="1"/>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381,965</w:t>
            </w:r>
          </w:p>
        </w:tc>
        <w:tc>
          <w:tcPr>
            <w:tcW w:w="24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400,515</w:t>
            </w:r>
          </w:p>
        </w:tc>
        <w:tc>
          <w:tcPr>
            <w:tcW w:w="200" w:type="dxa"/>
            <w:vAlign w:val="bottom"/>
          </w:tcPr>
          <w:p>
            <w:pPr>
              <w:spacing w:after="0"/>
              <w:rPr>
                <w:sz w:val="22"/>
                <w:szCs w:val="22"/>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400,939</w:t>
            </w:r>
          </w:p>
        </w:tc>
        <w:tc>
          <w:tcPr>
            <w:tcW w:w="26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381,492</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337,865</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323,182</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331,247</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335,028</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59,895</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57,816</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55,633</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59,874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3,717</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3,313</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2,837</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3,731</w:t>
            </w:r>
          </w:p>
        </w:tc>
        <w:tc>
          <w:tcPr>
            <w:tcW w:w="0" w:type="dxa"/>
            <w:vAlign w:val="bottom"/>
          </w:tcPr>
          <w:p>
            <w:pPr>
              <w:spacing w:after="0"/>
              <w:rPr>
                <w:sz w:val="1"/>
                <w:szCs w:val="1"/>
                <w:color w:val="auto"/>
              </w:rPr>
            </w:pPr>
          </w:p>
        </w:tc>
      </w:tr>
      <w:tr>
        <w:trPr>
          <w:trHeight w:val="279"/>
        </w:trPr>
        <w:tc>
          <w:tcPr>
            <w:tcW w:w="6980" w:type="dxa"/>
            <w:vAlign w:val="bottom"/>
          </w:tcPr>
          <w:p>
            <w:pPr>
              <w:ind w:left="280"/>
              <w:spacing w:after="0"/>
              <w:rPr>
                <w:sz w:val="20"/>
                <w:szCs w:val="20"/>
                <w:color w:val="auto"/>
              </w:rPr>
            </w:pPr>
            <w:r>
              <w:rPr>
                <w:rFonts w:ascii="Arial" w:cs="Arial" w:eastAsia="Arial" w:hAnsi="Arial"/>
                <w:sz w:val="16"/>
                <w:szCs w:val="16"/>
                <w:color w:val="auto"/>
              </w:rPr>
              <w:t>Impairment of intangibles and other long-lived assets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783,442</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784,826</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790,656</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783,375</w:t>
            </w:r>
          </w:p>
        </w:tc>
        <w:tc>
          <w:tcPr>
            <w:tcW w:w="0" w:type="dxa"/>
            <w:vAlign w:val="bottom"/>
          </w:tcPr>
          <w:p>
            <w:pPr>
              <w:spacing w:after="0"/>
              <w:rPr>
                <w:sz w:val="1"/>
                <w:szCs w:val="1"/>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53,398</w:t>
            </w:r>
          </w:p>
        </w:tc>
        <w:tc>
          <w:tcPr>
            <w:tcW w:w="24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104,770</w:t>
            </w:r>
          </w:p>
        </w:tc>
        <w:tc>
          <w:tcPr>
            <w:tcW w:w="200" w:type="dxa"/>
            <w:vAlign w:val="bottom"/>
          </w:tcPr>
          <w:p>
            <w:pPr>
              <w:spacing w:after="0"/>
              <w:rPr>
                <w:sz w:val="22"/>
                <w:szCs w:val="22"/>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81,873</w:t>
            </w:r>
          </w:p>
        </w:tc>
        <w:tc>
          <w:tcPr>
            <w:tcW w:w="26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105,524</w:t>
            </w:r>
          </w:p>
        </w:tc>
        <w:tc>
          <w:tcPr>
            <w:tcW w:w="0" w:type="dxa"/>
            <w:vAlign w:val="bottom"/>
          </w:tcPr>
          <w:p>
            <w:pPr>
              <w:spacing w:after="0"/>
              <w:rPr>
                <w:sz w:val="1"/>
                <w:szCs w:val="1"/>
                <w:color w:val="auto"/>
              </w:rPr>
            </w:pPr>
          </w:p>
        </w:tc>
      </w:tr>
      <w:tr>
        <w:trPr>
          <w:trHeight w:val="262"/>
        </w:trPr>
        <w:tc>
          <w:tcPr>
            <w:tcW w:w="698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18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3,418</w:t>
            </w:r>
          </w:p>
        </w:tc>
        <w:tc>
          <w:tcPr>
            <w:tcW w:w="24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3,868</w:t>
            </w:r>
          </w:p>
        </w:tc>
        <w:tc>
          <w:tcPr>
            <w:tcW w:w="200" w:type="dxa"/>
            <w:vAlign w:val="bottom"/>
          </w:tcPr>
          <w:p>
            <w:pPr>
              <w:spacing w:after="0"/>
              <w:rPr>
                <w:sz w:val="22"/>
                <w:szCs w:val="22"/>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5,892</w:t>
            </w:r>
          </w:p>
        </w:tc>
        <w:tc>
          <w:tcPr>
            <w:tcW w:w="26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510</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522</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642</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(8,960)</w:t>
            </w:r>
          </w:p>
        </w:tc>
        <w:tc>
          <w:tcPr>
            <w:tcW w:w="2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(9,048)</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(9,221)</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(8,838)</w:t>
            </w:r>
          </w:p>
        </w:tc>
        <w:tc>
          <w:tcPr>
            <w:tcW w:w="0" w:type="dxa"/>
            <w:vAlign w:val="bottom"/>
          </w:tcPr>
          <w:p>
            <w:pPr>
              <w:spacing w:after="0"/>
              <w:rPr>
                <w:sz w:val="1"/>
                <w:szCs w:val="1"/>
                <w:color w:val="auto"/>
              </w:rPr>
            </w:pPr>
          </w:p>
        </w:tc>
      </w:tr>
      <w:tr>
        <w:trPr>
          <w:trHeight w:val="279"/>
        </w:trPr>
        <w:tc>
          <w:tcPr>
            <w:tcW w:w="6980" w:type="dxa"/>
            <w:vAlign w:val="bottom"/>
          </w:tcPr>
          <w:p>
            <w:pPr>
              <w:ind w:left="280"/>
              <w:spacing w:after="0"/>
              <w:rPr>
                <w:sz w:val="20"/>
                <w:szCs w:val="20"/>
                <w:color w:val="auto"/>
              </w:rPr>
            </w:pPr>
            <w:r>
              <w:rPr>
                <w:rFonts w:ascii="Arial" w:cs="Arial" w:eastAsia="Arial" w:hAnsi="Arial"/>
                <w:sz w:val="16"/>
                <w:szCs w:val="16"/>
                <w:color w:val="auto"/>
              </w:rPr>
              <w:t>Other (expense) income, net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(4,083)</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(12,858)</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8,110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(14,920)</w:t>
            </w:r>
          </w:p>
        </w:tc>
        <w:tc>
          <w:tcPr>
            <w:tcW w:w="0" w:type="dxa"/>
            <w:vAlign w:val="bottom"/>
          </w:tcPr>
          <w:p>
            <w:pPr>
              <w:spacing w:after="0"/>
              <w:rPr>
                <w:sz w:val="1"/>
                <w:szCs w:val="1"/>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18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44,283</w:t>
            </w:r>
          </w:p>
        </w:tc>
        <w:tc>
          <w:tcPr>
            <w:tcW w:w="24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87,254</w:t>
            </w:r>
          </w:p>
        </w:tc>
        <w:tc>
          <w:tcPr>
            <w:tcW w:w="200" w:type="dxa"/>
            <w:vAlign w:val="bottom"/>
          </w:tcPr>
          <w:p>
            <w:pPr>
              <w:spacing w:after="0"/>
              <w:rPr>
                <w:sz w:val="22"/>
                <w:szCs w:val="22"/>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87,296</w:t>
            </w:r>
          </w:p>
        </w:tc>
        <w:tc>
          <w:tcPr>
            <w:tcW w:w="26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82,393</w:t>
            </w:r>
          </w:p>
        </w:tc>
        <w:tc>
          <w:tcPr>
            <w:tcW w:w="0" w:type="dxa"/>
            <w:vAlign w:val="bottom"/>
          </w:tcPr>
          <w:p>
            <w:pPr>
              <w:spacing w:after="0"/>
              <w:rPr>
                <w:sz w:val="1"/>
                <w:szCs w:val="1"/>
                <w:color w:val="auto"/>
              </w:rPr>
            </w:pPr>
          </w:p>
        </w:tc>
      </w:tr>
      <w:tr>
        <w:trPr>
          <w:trHeight w:val="27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17,800</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34,500</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31,000</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26,700</w:t>
            </w:r>
          </w:p>
        </w:tc>
        <w:tc>
          <w:tcPr>
            <w:tcW w:w="0" w:type="dxa"/>
            <w:vAlign w:val="bottom"/>
          </w:tcPr>
          <w:p>
            <w:pPr>
              <w:spacing w:after="0"/>
              <w:rPr>
                <w:sz w:val="1"/>
                <w:szCs w:val="1"/>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18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26,483</w:t>
            </w:r>
          </w:p>
        </w:tc>
        <w:tc>
          <w:tcPr>
            <w:tcW w:w="24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52,754</w:t>
            </w:r>
          </w:p>
        </w:tc>
        <w:tc>
          <w:tcPr>
            <w:tcW w:w="200" w:type="dxa"/>
            <w:vAlign w:val="bottom"/>
          </w:tcPr>
          <w:p>
            <w:pPr>
              <w:spacing w:after="0"/>
              <w:rPr>
                <w:sz w:val="22"/>
                <w:szCs w:val="22"/>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56,296</w:t>
            </w:r>
          </w:p>
        </w:tc>
        <w:tc>
          <w:tcPr>
            <w:tcW w:w="26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55,693</w:t>
            </w:r>
          </w:p>
        </w:tc>
        <w:tc>
          <w:tcPr>
            <w:tcW w:w="0" w:type="dxa"/>
            <w:vAlign w:val="bottom"/>
          </w:tcPr>
          <w:p>
            <w:pPr>
              <w:spacing w:after="0"/>
              <w:rPr>
                <w:sz w:val="1"/>
                <w:szCs w:val="1"/>
                <w:color w:val="auto"/>
              </w:rPr>
            </w:pPr>
          </w:p>
        </w:tc>
      </w:tr>
      <w:tr>
        <w:trPr>
          <w:trHeight w:val="27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(Loss) Income from Discontinued Operations, Net of Tax</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(21,224)</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(7,620)</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(25,872)</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100,835</w:t>
            </w:r>
          </w:p>
        </w:tc>
        <w:tc>
          <w:tcPr>
            <w:tcW w:w="0" w:type="dxa"/>
            <w:vAlign w:val="bottom"/>
          </w:tcPr>
          <w:p>
            <w:pPr>
              <w:spacing w:after="0"/>
              <w:rPr>
                <w:sz w:val="1"/>
                <w:szCs w:val="1"/>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5,259</w:t>
            </w:r>
          </w:p>
        </w:tc>
        <w:tc>
          <w:tcPr>
            <w:tcW w:w="24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45,134</w:t>
            </w:r>
          </w:p>
        </w:tc>
        <w:tc>
          <w:tcPr>
            <w:tcW w:w="200" w:type="dxa"/>
            <w:vAlign w:val="bottom"/>
          </w:tcPr>
          <w:p>
            <w:pPr>
              <w:spacing w:after="0"/>
              <w:rPr>
                <w:sz w:val="22"/>
                <w:szCs w:val="22"/>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30,424</w:t>
            </w:r>
          </w:p>
        </w:tc>
        <w:tc>
          <w:tcPr>
            <w:tcW w:w="26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156,528</w:t>
            </w:r>
          </w:p>
        </w:tc>
        <w:tc>
          <w:tcPr>
            <w:tcW w:w="0" w:type="dxa"/>
            <w:vAlign w:val="bottom"/>
          </w:tcPr>
          <w:p>
            <w:pPr>
              <w:spacing w:after="0"/>
              <w:rPr>
                <w:sz w:val="1"/>
                <w:szCs w:val="1"/>
                <w:color w:val="auto"/>
              </w:rPr>
            </w:pPr>
          </w:p>
        </w:tc>
      </w:tr>
      <w:tr>
        <w:trPr>
          <w:trHeight w:val="27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6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18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5,162</w:t>
            </w:r>
          </w:p>
        </w:tc>
        <w:tc>
          <w:tcPr>
            <w:tcW w:w="24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44,881</w:t>
            </w:r>
          </w:p>
        </w:tc>
        <w:tc>
          <w:tcPr>
            <w:tcW w:w="200" w:type="dxa"/>
            <w:vAlign w:val="bottom"/>
          </w:tcPr>
          <w:p>
            <w:pPr>
              <w:spacing w:after="0"/>
              <w:rPr>
                <w:sz w:val="22"/>
                <w:szCs w:val="22"/>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30,349</w:t>
            </w:r>
          </w:p>
        </w:tc>
        <w:tc>
          <w:tcPr>
            <w:tcW w:w="26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156,473</w:t>
            </w:r>
          </w:p>
        </w:tc>
        <w:tc>
          <w:tcPr>
            <w:tcW w:w="0" w:type="dxa"/>
            <w:vAlign w:val="bottom"/>
          </w:tcPr>
          <w:p>
            <w:pPr>
              <w:spacing w:after="0"/>
              <w:rPr>
                <w:sz w:val="1"/>
                <w:szCs w:val="1"/>
                <w:color w:val="auto"/>
              </w:rPr>
            </w:pPr>
          </w:p>
        </w:tc>
      </w:tr>
      <w:tr>
        <w:trPr>
          <w:trHeight w:val="27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1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(444)</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44,675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30,144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156,473</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6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980" w:type="dxa"/>
            <w:vAlign w:val="bottom"/>
          </w:tcPr>
          <w:p>
            <w:pPr>
              <w:ind w:left="40"/>
              <w:spacing w:after="0"/>
              <w:rPr>
                <w:sz w:val="20"/>
                <w:szCs w:val="20"/>
                <w:color w:val="auto"/>
              </w:rPr>
            </w:pPr>
            <w:r>
              <w:rPr>
                <w:rFonts w:ascii="Arial" w:cs="Arial" w:eastAsia="Arial" w:hAnsi="Arial"/>
                <w:sz w:val="16"/>
                <w:szCs w:val="16"/>
                <w:color w:val="auto"/>
              </w:rPr>
              <w:t>Income from 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25,942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52,295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56,016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55,638</w:t>
            </w:r>
          </w:p>
        </w:tc>
        <w:tc>
          <w:tcPr>
            <w:tcW w:w="0" w:type="dxa"/>
            <w:vAlign w:val="bottom"/>
          </w:tcPr>
          <w:p>
            <w:pPr>
              <w:spacing w:after="0"/>
              <w:rPr>
                <w:sz w:val="1"/>
                <w:szCs w:val="1"/>
                <w:color w:val="auto"/>
              </w:rPr>
            </w:pPr>
          </w:p>
        </w:tc>
      </w:tr>
      <w:tr>
        <w:trPr>
          <w:trHeight w:val="279"/>
        </w:trPr>
        <w:tc>
          <w:tcPr>
            <w:tcW w:w="6980" w:type="dxa"/>
            <w:vAlign w:val="bottom"/>
          </w:tcPr>
          <w:p>
            <w:pPr>
              <w:ind w:left="40"/>
              <w:spacing w:after="0"/>
              <w:rPr>
                <w:sz w:val="20"/>
                <w:szCs w:val="20"/>
                <w:color w:val="auto"/>
              </w:rPr>
            </w:pPr>
            <w:r>
              <w:rPr>
                <w:rFonts w:ascii="Arial" w:cs="Arial" w:eastAsia="Arial" w:hAnsi="Arial"/>
                <w:sz w:val="16"/>
                <w:szCs w:val="16"/>
                <w:color w:val="auto"/>
              </w:rPr>
              <w:t>(Loss) income from discontinued operations, net of tax</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(21,224)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(7,620)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(25,872)</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100,835</w:t>
            </w:r>
          </w:p>
        </w:tc>
        <w:tc>
          <w:tcPr>
            <w:tcW w:w="0" w:type="dxa"/>
            <w:vAlign w:val="bottom"/>
          </w:tcPr>
          <w:p>
            <w:pPr>
              <w:spacing w:after="0"/>
              <w:rPr>
                <w:sz w:val="1"/>
                <w:szCs w:val="1"/>
                <w:color w:val="auto"/>
              </w:rPr>
            </w:pPr>
          </w:p>
        </w:tc>
      </w:tr>
      <w:tr>
        <w:trPr>
          <w:trHeight w:val="268"/>
        </w:trPr>
        <w:tc>
          <w:tcPr>
            <w:tcW w:w="6980" w:type="dxa"/>
            <w:vAlign w:val="bottom"/>
          </w:tcPr>
          <w:p>
            <w:pPr>
              <w:ind w:left="4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44,675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30,144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156,473</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6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980" w:type="dxa"/>
            <w:vAlign w:val="bottom"/>
          </w:tcPr>
          <w:p>
            <w:pPr>
              <w:ind w:left="40"/>
              <w:spacing w:after="0"/>
              <w:rPr>
                <w:sz w:val="20"/>
                <w:szCs w:val="20"/>
                <w:color w:val="auto"/>
              </w:rPr>
            </w:pPr>
            <w:r>
              <w:rPr>
                <w:rFonts w:ascii="Arial" w:cs="Arial" w:eastAsia="Arial" w:hAnsi="Arial"/>
                <w:sz w:val="16"/>
                <w:szCs w:val="16"/>
                <w:color w:val="auto"/>
              </w:rPr>
              <w:t>Basic income per common share from 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7.05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7.55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79"/>
        </w:trPr>
        <w:tc>
          <w:tcPr>
            <w:tcW w:w="6980" w:type="dxa"/>
            <w:vAlign w:val="bottom"/>
          </w:tcPr>
          <w:p>
            <w:pPr>
              <w:ind w:left="40"/>
              <w:spacing w:after="0"/>
              <w:rPr>
                <w:sz w:val="20"/>
                <w:szCs w:val="20"/>
                <w:color w:val="auto"/>
              </w:rPr>
            </w:pPr>
            <w:r>
              <w:rPr>
                <w:rFonts w:ascii="Arial" w:cs="Arial" w:eastAsia="Arial" w:hAnsi="Arial"/>
                <w:sz w:val="16"/>
                <w:szCs w:val="16"/>
                <w:color w:val="auto"/>
              </w:rPr>
              <w:t>Basic (loss) income per common share from discontinued operations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69"/>
        </w:trPr>
        <w:tc>
          <w:tcPr>
            <w:tcW w:w="69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698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7.05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7.53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79"/>
        </w:trPr>
        <w:tc>
          <w:tcPr>
            <w:tcW w:w="6980" w:type="dxa"/>
            <w:vAlign w:val="bottom"/>
          </w:tcPr>
          <w:p>
            <w:pPr>
              <w:ind w:left="40"/>
              <w:spacing w:after="0"/>
              <w:rPr>
                <w:sz w:val="20"/>
                <w:szCs w:val="20"/>
                <w:color w:val="auto"/>
              </w:rPr>
            </w:pPr>
            <w:r>
              <w:rPr>
                <w:rFonts w:ascii="Arial" w:cs="Arial" w:eastAsia="Arial" w:hAnsi="Arial"/>
                <w:sz w:val="16"/>
                <w:szCs w:val="16"/>
                <w:color w:val="auto"/>
              </w:rPr>
              <w:t>Diluted (loss) income per common share from discontinued operations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269"/>
        </w:trPr>
        <w:tc>
          <w:tcPr>
            <w:tcW w:w="69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7,227</w:t>
            </w:r>
          </w:p>
        </w:tc>
        <w:tc>
          <w:tcPr>
            <w:tcW w:w="240" w:type="dxa"/>
            <w:vAlign w:val="bottom"/>
          </w:tcPr>
          <w:p>
            <w:pPr>
              <w:spacing w:after="0"/>
              <w:rPr>
                <w:sz w:val="20"/>
                <w:szCs w:val="20"/>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7,229</w:t>
            </w:r>
          </w:p>
        </w:tc>
        <w:tc>
          <w:tcPr>
            <w:tcW w:w="200" w:type="dxa"/>
            <w:vAlign w:val="bottom"/>
          </w:tcPr>
          <w:p>
            <w:pPr>
              <w:spacing w:after="0"/>
              <w:rPr>
                <w:sz w:val="20"/>
                <w:szCs w:val="20"/>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7,231</w:t>
            </w: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7,266</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7,266</w:t>
            </w:r>
          </w:p>
        </w:tc>
        <w:tc>
          <w:tcPr>
            <w:tcW w:w="2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7,283</w:t>
            </w:r>
          </w:p>
        </w:tc>
        <w:tc>
          <w:tcPr>
            <w:tcW w:w="2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7,337</w:t>
            </w:r>
          </w:p>
        </w:tc>
        <w:tc>
          <w:tcPr>
            <w:tcW w:w="2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7,347</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2013 Quarterly comprehensive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29,129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61,125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37,533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555,695</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right="40" w:firstLine="8"/>
        <w:spacing w:after="0" w:line="234" w:lineRule="auto"/>
        <w:tabs>
          <w:tab w:leader="none" w:pos="145" w:val="left"/>
        </w:tabs>
        <w:numPr>
          <w:ilvl w:val="0"/>
          <w:numId w:val="70"/>
        </w:numPr>
        <w:rPr>
          <w:rFonts w:ascii="Arial" w:cs="Arial" w:eastAsia="Arial" w:hAnsi="Arial"/>
          <w:sz w:val="9"/>
          <w:szCs w:val="9"/>
          <w:color w:val="auto"/>
        </w:rPr>
      </w:pPr>
      <w:r>
        <w:rPr>
          <w:rFonts w:ascii="Arial" w:cs="Arial" w:eastAsia="Arial" w:hAnsi="Arial"/>
          <w:sz w:val="13"/>
          <w:szCs w:val="13"/>
          <w:color w:val="auto"/>
        </w:rPr>
        <w:t>Other revenue and operating expenses of $29.9 million from the third quarter of 2013 have been revised to correctly present revenue on a net basis for certain third quarter contracts that were previously reported on a gross basis. The amounts did not impact net income, and the Company concluded that the amounts were not material to the Company’s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ectPr>
          <w:pgSz w:w="11900" w:h="16838" w:orient="portrait"/>
          <w:cols w:equalWidth="0" w:num="1">
            <w:col w:w="11420"/>
          </w:cols>
          <w:pgMar w:left="240" w:top="736" w:right="239" w:bottom="7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736" w:right="239" w:bottom="754"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2012,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060" w:type="dxa"/>
            <w:vAlign w:val="bottom"/>
          </w:tcPr>
          <w:p>
            <w:pPr>
              <w:jc w:val="right"/>
              <w:ind w:right="302"/>
              <w:spacing w:after="0"/>
              <w:rPr>
                <w:sz w:val="20"/>
                <w:szCs w:val="20"/>
                <w:color w:val="auto"/>
              </w:rPr>
            </w:pPr>
            <w:r>
              <w:rPr>
                <w:rFonts w:ascii="Arial" w:cs="Arial" w:eastAsia="Arial" w:hAnsi="Arial"/>
                <w:sz w:val="14"/>
                <w:szCs w:val="14"/>
                <w:b w:val="1"/>
                <w:bCs w:val="1"/>
                <w:color w:val="auto"/>
              </w:rPr>
              <w:t>First</w:t>
            </w:r>
          </w:p>
        </w:tc>
        <w:tc>
          <w:tcPr>
            <w:tcW w:w="1120" w:type="dxa"/>
            <w:vAlign w:val="bottom"/>
          </w:tcPr>
          <w:p>
            <w:pPr>
              <w:jc w:val="right"/>
              <w:ind w:right="182"/>
              <w:spacing w:after="0"/>
              <w:rPr>
                <w:sz w:val="20"/>
                <w:szCs w:val="20"/>
                <w:color w:val="auto"/>
              </w:rPr>
            </w:pPr>
            <w:r>
              <w:rPr>
                <w:rFonts w:ascii="Arial" w:cs="Arial" w:eastAsia="Arial" w:hAnsi="Arial"/>
                <w:sz w:val="14"/>
                <w:szCs w:val="14"/>
                <w:b w:val="1"/>
                <w:bCs w:val="1"/>
                <w:color w:val="auto"/>
              </w:rPr>
              <w:t>Second</w:t>
            </w:r>
          </w:p>
        </w:tc>
        <w:tc>
          <w:tcPr>
            <w:tcW w:w="1140" w:type="dxa"/>
            <w:vAlign w:val="bottom"/>
          </w:tcPr>
          <w:p>
            <w:pPr>
              <w:jc w:val="right"/>
              <w:ind w:right="262"/>
              <w:spacing w:after="0"/>
              <w:rPr>
                <w:sz w:val="20"/>
                <w:szCs w:val="20"/>
                <w:color w:val="auto"/>
              </w:rPr>
            </w:pPr>
            <w:r>
              <w:rPr>
                <w:rFonts w:ascii="Arial" w:cs="Arial" w:eastAsia="Arial" w:hAnsi="Arial"/>
                <w:sz w:val="14"/>
                <w:szCs w:val="14"/>
                <w:b w:val="1"/>
                <w:bCs w:val="1"/>
                <w:color w:val="auto"/>
              </w:rPr>
              <w:t>Third</w:t>
            </w:r>
          </w:p>
        </w:tc>
        <w:tc>
          <w:tcPr>
            <w:tcW w:w="1120" w:type="dxa"/>
            <w:vAlign w:val="bottom"/>
          </w:tcPr>
          <w:p>
            <w:pPr>
              <w:jc w:val="right"/>
              <w:ind w:right="202"/>
              <w:spacing w:after="0"/>
              <w:rPr>
                <w:sz w:val="20"/>
                <w:szCs w:val="20"/>
                <w:color w:val="auto"/>
              </w:rPr>
            </w:pPr>
            <w:r>
              <w:rPr>
                <w:rFonts w:ascii="Arial" w:cs="Arial" w:eastAsia="Arial" w:hAnsi="Arial"/>
                <w:sz w:val="14"/>
                <w:szCs w:val="14"/>
                <w:b w:val="1"/>
                <w:bCs w:val="1"/>
                <w:color w:val="auto"/>
              </w:rPr>
              <w:t>Fourth</w:t>
            </w:r>
          </w:p>
        </w:tc>
      </w:tr>
      <w:tr>
        <w:trPr>
          <w:trHeight w:val="203"/>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w:t>
            </w:r>
          </w:p>
        </w:tc>
        <w:tc>
          <w:tcPr>
            <w:tcW w:w="10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Quarter</w:t>
            </w: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Quarter</w:t>
            </w:r>
          </w:p>
        </w:tc>
        <w:tc>
          <w:tcPr>
            <w:tcW w:w="11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Quarter</w:t>
            </w:r>
          </w:p>
        </w:tc>
      </w:tr>
      <w:tr>
        <w:trPr>
          <w:trHeight w:val="25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2"/>
        </w:trPr>
        <w:tc>
          <w:tcPr>
            <w:tcW w:w="69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   546,685</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   551,774</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   551,696</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   546,341</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Subscriber</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178,022</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182,639</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185,326</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186,383</w:t>
            </w: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Advertising</w:t>
            </w:r>
          </w:p>
        </w:tc>
        <w:tc>
          <w:tcPr>
            <w:tcW w:w="1060" w:type="dxa"/>
            <w:vAlign w:val="bottom"/>
          </w:tcPr>
          <w:p>
            <w:pPr>
              <w:jc w:val="right"/>
              <w:ind w:right="62"/>
              <w:spacing w:after="0"/>
              <w:rPr>
                <w:sz w:val="20"/>
                <w:szCs w:val="20"/>
                <w:color w:val="auto"/>
              </w:rPr>
            </w:pPr>
            <w:r>
              <w:rPr>
                <w:rFonts w:ascii="Arial" w:cs="Arial" w:eastAsia="Arial" w:hAnsi="Arial"/>
                <w:sz w:val="16"/>
                <w:szCs w:val="16"/>
                <w:color w:val="auto"/>
              </w:rPr>
              <w:t>82,600</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94,649</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105,855</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117,696</w:t>
            </w:r>
          </w:p>
        </w:tc>
      </w:tr>
      <w:tr>
        <w:trPr>
          <w:trHeight w:val="279"/>
        </w:trPr>
        <w:tc>
          <w:tcPr>
            <w:tcW w:w="6980" w:type="dxa"/>
            <w:vAlign w:val="bottom"/>
          </w:tcPr>
          <w:p>
            <w:pPr>
              <w:ind w:left="28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20,305</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25,368</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34,760</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45,471</w:t>
            </w:r>
          </w:p>
        </w:tc>
      </w:tr>
      <w:tr>
        <w:trPr>
          <w:trHeight w:val="264"/>
        </w:trPr>
        <w:tc>
          <w:tcPr>
            <w:tcW w:w="6980" w:type="dxa"/>
            <w:vAlign w:val="bottom"/>
          </w:tcPr>
          <w:p>
            <w:pPr>
              <w:spacing w:after="0"/>
              <w:rPr>
                <w:sz w:val="22"/>
                <w:szCs w:val="22"/>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827,612</w:t>
            </w:r>
          </w:p>
        </w:tc>
        <w:tc>
          <w:tcPr>
            <w:tcW w:w="11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854,430</w:t>
            </w: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877,637</w:t>
            </w: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895,891</w:t>
            </w:r>
          </w:p>
        </w:tc>
      </w:tr>
      <w:tr>
        <w:trPr>
          <w:trHeight w:val="26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43" w:lineRule="exact"/>
        <w:rPr>
          <w:sz w:val="20"/>
          <w:szCs w:val="20"/>
          <w:color w:val="auto"/>
        </w:rPr>
      </w:pPr>
    </w:p>
    <w:p>
      <w:pPr>
        <w:sectPr>
          <w:pgSz w:w="11900" w:h="16838" w:orient="portrait"/>
          <w:cols w:equalWidth="0" w:num="1">
            <w:col w:w="11420"/>
          </w:cols>
          <w:pgMar w:left="240" w:top="738" w:right="239" w:bottom="1440" w:gutter="0" w:footer="0" w:header="0"/>
        </w:sectPr>
      </w:pPr>
    </w:p>
    <w:p>
      <w:pPr>
        <w:ind w:left="280"/>
        <w:spacing w:after="0"/>
        <w:rPr>
          <w:sz w:val="20"/>
          <w:szCs w:val="20"/>
          <w:color w:val="auto"/>
        </w:rPr>
      </w:pPr>
      <w:r>
        <w:rPr>
          <w:rFonts w:ascii="Arial" w:cs="Arial" w:eastAsia="Arial" w:hAnsi="Arial"/>
          <w:sz w:val="16"/>
          <w:szCs w:val="16"/>
          <w:color w:val="auto"/>
        </w:rPr>
        <w:t>Operating</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 of property, plant and equipment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Impairment of goodwill and other long-lived assets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(Loss) from Operations</w:t>
      </w:r>
    </w:p>
    <w:p>
      <w:pPr>
        <w:spacing w:after="0" w:line="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Equity in earnings of affiliates,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income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Interest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income (expense), net</w:t>
      </w:r>
    </w:p>
    <w:p>
      <w:pPr>
        <w:spacing w:after="0" w:line="98" w:lineRule="exact"/>
        <w:rPr>
          <w:sz w:val="20"/>
          <w:szCs w:val="20"/>
          <w:color w:val="auto"/>
        </w:rPr>
      </w:pPr>
    </w:p>
    <w:p>
      <w:pPr>
        <w:ind w:left="40" w:right="1880"/>
        <w:spacing w:after="0" w:line="361" w:lineRule="auto"/>
        <w:rPr>
          <w:sz w:val="20"/>
          <w:szCs w:val="20"/>
          <w:color w:val="auto"/>
        </w:rPr>
      </w:pPr>
      <w:r>
        <w:rPr>
          <w:rFonts w:ascii="Arial" w:cs="Arial" w:eastAsia="Arial" w:hAnsi="Arial"/>
          <w:sz w:val="16"/>
          <w:szCs w:val="16"/>
          <w:b w:val="1"/>
          <w:bCs w:val="1"/>
          <w:color w:val="auto"/>
        </w:rPr>
        <w:t>Income (Loss) from Continuing Operations Before Income Taxes Provision for Income Taxes</w:t>
      </w:r>
    </w:p>
    <w:p>
      <w:pPr>
        <w:ind w:left="40" w:right="3040"/>
        <w:spacing w:after="0" w:line="358" w:lineRule="auto"/>
        <w:rPr>
          <w:sz w:val="20"/>
          <w:szCs w:val="20"/>
          <w:color w:val="auto"/>
        </w:rPr>
      </w:pPr>
      <w:r>
        <w:rPr>
          <w:rFonts w:ascii="Arial" w:cs="Arial" w:eastAsia="Arial" w:hAnsi="Arial"/>
          <w:sz w:val="16"/>
          <w:szCs w:val="16"/>
          <w:b w:val="1"/>
          <w:bCs w:val="1"/>
          <w:color w:val="auto"/>
        </w:rPr>
        <w:t>Income (Loss) from Continuing Operations Income from Discontinued Operations, Net of Tax Net Income (Loss)</w:t>
      </w:r>
    </w:p>
    <w:p>
      <w:pPr>
        <w:ind w:left="40" w:right="2100"/>
        <w:spacing w:after="0" w:line="369" w:lineRule="auto"/>
        <w:rPr>
          <w:sz w:val="20"/>
          <w:szCs w:val="20"/>
          <w:color w:val="auto"/>
        </w:rPr>
      </w:pPr>
      <w:r>
        <w:rPr>
          <w:rFonts w:ascii="Arial" w:cs="Arial" w:eastAsia="Arial" w:hAnsi="Arial"/>
          <w:sz w:val="16"/>
          <w:szCs w:val="16"/>
          <w:b w:val="1"/>
          <w:bCs w:val="1"/>
          <w:color w:val="auto"/>
        </w:rPr>
        <w:t>Net (Income) Loss Attributable to Noncontrolling Interests Net Income (Loss) Attributable to Graham Holdings Company Redeemable Preferred Stock Dividends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from discontinued operations, net of tax</w:t>
      </w:r>
    </w:p>
    <w:p>
      <w:pPr>
        <w:spacing w:after="0" w:line="59" w:lineRule="exact"/>
        <w:rPr>
          <w:sz w:val="20"/>
          <w:szCs w:val="20"/>
          <w:color w:val="auto"/>
        </w:rPr>
      </w:pPr>
    </w:p>
    <w:p>
      <w:pPr>
        <w:ind w:left="280" w:right="2520" w:hanging="242"/>
        <w:spacing w:after="0" w:line="291" w:lineRule="auto"/>
        <w:rPr>
          <w:sz w:val="20"/>
          <w:szCs w:val="20"/>
          <w:color w:val="auto"/>
        </w:rPr>
      </w:pPr>
      <w:r>
        <w:rPr>
          <w:rFonts w:ascii="Arial" w:cs="Arial" w:eastAsia="Arial" w:hAnsi="Arial"/>
          <w:sz w:val="16"/>
          <w:szCs w:val="16"/>
          <w:color w:val="auto"/>
        </w:rPr>
        <w:t>Net income (loss) attributable to Graham Holdings Company common stockholders</w:t>
      </w:r>
    </w:p>
    <w:p>
      <w:pPr>
        <w:spacing w:after="0" w:line="173" w:lineRule="exact"/>
        <w:rPr>
          <w:sz w:val="20"/>
          <w:szCs w:val="20"/>
          <w:color w:val="auto"/>
        </w:rPr>
      </w:pPr>
    </w:p>
    <w:p>
      <w:pPr>
        <w:ind w:left="40"/>
        <w:spacing w:after="0" w:line="364" w:lineRule="auto"/>
        <w:rPr>
          <w:sz w:val="20"/>
          <w:szCs w:val="20"/>
          <w:color w:val="auto"/>
        </w:rPr>
      </w:pPr>
      <w:r>
        <w:rPr>
          <w:rFonts w:ascii="Arial" w:cs="Arial" w:eastAsia="Arial" w:hAnsi="Arial"/>
          <w:sz w:val="16"/>
          <w:szCs w:val="16"/>
          <w:b w:val="1"/>
          <w:bCs w:val="1"/>
          <w:color w:val="auto"/>
        </w:rPr>
        <w:t xml:space="preserve">Per Share Information Attributable to Graham Holdings Company Common Stockholders </w:t>
      </w:r>
      <w:r>
        <w:rPr>
          <w:rFonts w:ascii="Arial" w:cs="Arial" w:eastAsia="Arial" w:hAnsi="Arial"/>
          <w:sz w:val="16"/>
          <w:szCs w:val="16"/>
          <w:color w:val="auto"/>
        </w:rPr>
        <w:t>Basic income (loss) per common share from continuing operations Basic income per common share from discontinued operations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Basic net income (loss) per common share</w:t>
      </w:r>
    </w:p>
    <w:p>
      <w:pPr>
        <w:spacing w:after="0" w:line="248" w:lineRule="exact"/>
        <w:rPr>
          <w:sz w:val="20"/>
          <w:szCs w:val="20"/>
          <w:color w:val="auto"/>
        </w:rPr>
      </w:pPr>
    </w:p>
    <w:p>
      <w:pPr>
        <w:ind w:left="40" w:right="1980"/>
        <w:spacing w:after="0" w:line="369" w:lineRule="auto"/>
        <w:rPr>
          <w:sz w:val="20"/>
          <w:szCs w:val="20"/>
          <w:color w:val="auto"/>
        </w:rPr>
      </w:pPr>
      <w:r>
        <w:rPr>
          <w:rFonts w:ascii="Arial" w:cs="Arial" w:eastAsia="Arial" w:hAnsi="Arial"/>
          <w:sz w:val="16"/>
          <w:szCs w:val="16"/>
          <w:color w:val="auto"/>
        </w:rPr>
        <w:t>Diluted income (loss) per common share from continuing operations Diluted income per common share from discontinued operations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Diluted net income (loss) per common share</w:t>
      </w:r>
    </w:p>
    <w:p>
      <w:pPr>
        <w:spacing w:after="0" w:line="113" w:lineRule="exact"/>
        <w:rPr>
          <w:sz w:val="20"/>
          <w:szCs w:val="20"/>
          <w:color w:val="auto"/>
        </w:rPr>
      </w:pPr>
    </w:p>
    <w:p>
      <w:pPr>
        <w:ind w:left="40" w:right="2860"/>
        <w:spacing w:after="0" w:line="374" w:lineRule="auto"/>
        <w:rPr>
          <w:sz w:val="20"/>
          <w:szCs w:val="20"/>
          <w:color w:val="auto"/>
        </w:rPr>
      </w:pPr>
      <w:r>
        <w:rPr>
          <w:rFonts w:ascii="Arial" w:cs="Arial" w:eastAsia="Arial" w:hAnsi="Arial"/>
          <w:sz w:val="16"/>
          <w:szCs w:val="16"/>
          <w:color w:val="auto"/>
        </w:rPr>
        <w:t>Basic average number of common shares outstanding Diluted average number of common shares outstanding 2012 Quarterly comprehensive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2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382,106</w:t>
            </w:r>
          </w:p>
        </w:tc>
        <w:tc>
          <w:tcPr>
            <w:tcW w:w="2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387,167</w:t>
            </w:r>
          </w:p>
        </w:tc>
        <w:tc>
          <w:tcPr>
            <w:tcW w:w="2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407,364</w:t>
            </w:r>
          </w:p>
        </w:tc>
        <w:tc>
          <w:tcPr>
            <w:tcW w:w="3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389,620</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347,841</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335,054</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314,359</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336,262</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56,165</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56,594</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57,588</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73,731</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3,839</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4,407</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5,090</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7,610</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111,593</w:t>
            </w:r>
          </w:p>
        </w:tc>
      </w:tr>
      <w:tr>
        <w:trPr>
          <w:trHeight w:val="264"/>
        </w:trPr>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789,951</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783,222</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784,401</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918,816</w:t>
            </w:r>
          </w:p>
        </w:tc>
      </w:tr>
      <w:tr>
        <w:trPr>
          <w:trHeight w:val="255"/>
        </w:trPr>
        <w:tc>
          <w:tcPr>
            <w:tcW w:w="2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37,661</w:t>
            </w:r>
          </w:p>
        </w:tc>
        <w:tc>
          <w:tcPr>
            <w:tcW w:w="28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71,208</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93,236</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(22,925)</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3,888</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3,314</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4,099</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2,785</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1,069</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775</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648</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901</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(9,163)</w:t>
            </w:r>
          </w:p>
        </w:tc>
        <w:tc>
          <w:tcPr>
            <w:tcW w:w="28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(8,979)</w:t>
            </w: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(8,738)</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(9,064)</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8,588</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(635)</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4,163</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(17,572)</w:t>
            </w:r>
          </w:p>
        </w:tc>
      </w:tr>
      <w:tr>
        <w:trPr>
          <w:trHeight w:val="255"/>
        </w:trPr>
        <w:tc>
          <w:tcPr>
            <w:tcW w:w="2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42,043</w:t>
            </w:r>
          </w:p>
        </w:tc>
        <w:tc>
          <w:tcPr>
            <w:tcW w:w="28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65,683</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93,408</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(45,875)</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17,200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23,900</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37,000</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5,100</w:t>
            </w:r>
          </w:p>
        </w:tc>
      </w:tr>
      <w:tr>
        <w:trPr>
          <w:trHeight w:val="255"/>
        </w:trPr>
        <w:tc>
          <w:tcPr>
            <w:tcW w:w="2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24,843</w:t>
            </w:r>
          </w:p>
        </w:tc>
        <w:tc>
          <w:tcPr>
            <w:tcW w:w="28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41,783</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56,408</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(50,975)</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6,725</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10,264</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37,539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5,600</w:t>
            </w:r>
          </w:p>
        </w:tc>
      </w:tr>
      <w:tr>
        <w:trPr>
          <w:trHeight w:val="255"/>
        </w:trPr>
        <w:tc>
          <w:tcPr>
            <w:tcW w:w="2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31,568</w:t>
            </w:r>
          </w:p>
        </w:tc>
        <w:tc>
          <w:tcPr>
            <w:tcW w:w="28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52,047</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93,947</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(45,375)</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55"/>
        </w:trPr>
        <w:tc>
          <w:tcPr>
            <w:tcW w:w="2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31,498</w:t>
            </w:r>
          </w:p>
        </w:tc>
        <w:tc>
          <w:tcPr>
            <w:tcW w:w="28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52,036</w:t>
            </w:r>
          </w:p>
        </w:tc>
        <w:tc>
          <w:tcPr>
            <w:tcW w:w="280" w:type="dxa"/>
            <w:vAlign w:val="bottom"/>
          </w:tcPr>
          <w:p>
            <w:pPr>
              <w:spacing w:after="0"/>
              <w:rPr>
                <w:sz w:val="22"/>
                <w:szCs w:val="22"/>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94,018</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(45,439)</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(451)</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31,047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51,814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93,796</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(45,439)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4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24,322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41,550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56,257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(51,039)</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6,725</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10,264</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37,539</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5,600</w:t>
            </w:r>
          </w:p>
        </w:tc>
      </w:tr>
      <w:tr>
        <w:trPr>
          <w:trHeight w:val="399"/>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31,047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51,814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93,796</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(45,439)</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4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3.17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5.48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7.58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(7.35)</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0.90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1.36</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5.06</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0.78</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12.64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7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3.17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5.48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7.58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(7.35)</w:t>
            </w:r>
          </w:p>
        </w:tc>
      </w:tr>
      <w:tr>
        <w:trPr>
          <w:trHeight w:val="279"/>
        </w:trPr>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0.90</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1.36</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5.06</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0.78</w:t>
            </w:r>
          </w:p>
        </w:tc>
      </w:tr>
      <w:tr>
        <w:trPr>
          <w:trHeight w:val="264"/>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12.64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2"/>
        </w:trPr>
        <w:tc>
          <w:tcPr>
            <w:tcW w:w="2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7,514</w:t>
            </w:r>
          </w:p>
        </w:tc>
        <w:tc>
          <w:tcPr>
            <w:tcW w:w="28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7,431</w:t>
            </w:r>
          </w:p>
        </w:tc>
        <w:tc>
          <w:tcPr>
            <w:tcW w:w="28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7,272</w:t>
            </w:r>
          </w:p>
        </w:tc>
        <w:tc>
          <w:tcPr>
            <w:tcW w:w="30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7,223</w:t>
            </w:r>
          </w:p>
        </w:tc>
      </w:tr>
      <w:tr>
        <w:trPr>
          <w:trHeight w:val="270"/>
        </w:trPr>
        <w:tc>
          <w:tcPr>
            <w:tcW w:w="2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7,615</w:t>
            </w:r>
          </w:p>
        </w:tc>
        <w:tc>
          <w:tcPr>
            <w:tcW w:w="28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7,545</w:t>
            </w:r>
          </w:p>
        </w:tc>
        <w:tc>
          <w:tcPr>
            <w:tcW w:w="280" w:type="dxa"/>
            <w:vAlign w:val="bottom"/>
          </w:tcPr>
          <w:p>
            <w:pPr>
              <w:spacing w:after="0"/>
              <w:rPr>
                <w:sz w:val="23"/>
                <w:szCs w:val="23"/>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7,376</w:t>
            </w:r>
          </w:p>
        </w:tc>
        <w:tc>
          <w:tcPr>
            <w:tcW w:w="3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7,223</w:t>
            </w:r>
          </w:p>
        </w:tc>
      </w:tr>
      <w:tr>
        <w:trPr>
          <w:trHeight w:val="270"/>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59,907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47,085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95,760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16,857</w:t>
            </w:r>
          </w:p>
        </w:tc>
      </w:tr>
    </w:tbl>
    <w:p>
      <w:pPr>
        <w:spacing w:after="0" w:line="218" w:lineRule="exact"/>
        <w:rPr>
          <w:sz w:val="20"/>
          <w:szCs w:val="20"/>
          <w:color w:val="auto"/>
        </w:rPr>
      </w:pPr>
    </w:p>
    <w:p>
      <w:pPr>
        <w:sectPr>
          <w:pgSz w:w="11900" w:h="16838" w:orient="portrait"/>
          <w:cols w:equalWidth="0" w:num="2">
            <w:col w:w="6880" w:space="100"/>
            <w:col w:w="4440"/>
          </w:cols>
          <w:pgMar w:left="240" w:top="738" w:right="239" w:bottom="1440" w:gutter="0" w:footer="0" w:header="0"/>
          <w:type w:val="continuous"/>
        </w:sect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ectPr>
          <w:pgSz w:w="11900" w:h="16838" w:orient="portrait"/>
          <w:cols w:equalWidth="0" w:num="1">
            <w:col w:w="11420"/>
          </w:cols>
          <w:pgMar w:left="240" w:top="738" w:right="23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738" w:right="2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color w:val="auto"/>
        </w:rPr>
        <w:t>Quarterly impact from certain items in 2013 and 2012 (after-tax and diluted EPS amounts):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42"/>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Second</w:t>
            </w:r>
          </w:p>
        </w:tc>
        <w:tc>
          <w:tcPr>
            <w:tcW w:w="220" w:type="dxa"/>
            <w:vAlign w:val="bottom"/>
          </w:tcPr>
          <w:p>
            <w:pPr>
              <w:spacing w:after="0"/>
              <w:rPr>
                <w:sz w:val="14"/>
                <w:szCs w:val="14"/>
                <w:color w:val="auto"/>
              </w:rPr>
            </w:pPr>
          </w:p>
        </w:tc>
        <w:tc>
          <w:tcPr>
            <w:tcW w:w="780" w:type="dxa"/>
            <w:vAlign w:val="bottom"/>
          </w:tcPr>
          <w:p>
            <w:pPr>
              <w:jc w:val="right"/>
              <w:ind w:right="242"/>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760" w:type="dxa"/>
            <w:vAlign w:val="bottom"/>
          </w:tcPr>
          <w:p>
            <w:pPr>
              <w:jc w:val="right"/>
              <w:ind w:right="161"/>
              <w:spacing w:after="0"/>
              <w:rPr>
                <w:sz w:val="20"/>
                <w:szCs w:val="20"/>
                <w:color w:val="auto"/>
              </w:rPr>
            </w:pPr>
            <w:r>
              <w:rPr>
                <w:rFonts w:ascii="Arial" w:cs="Arial" w:eastAsia="Arial" w:hAnsi="Arial"/>
                <w:sz w:val="14"/>
                <w:szCs w:val="14"/>
                <w:b w:val="1"/>
                <w:bCs w:val="1"/>
                <w:color w:val="auto"/>
              </w:rPr>
              <w:t>Fourth</w:t>
            </w:r>
          </w:p>
        </w:tc>
      </w:tr>
      <w:tr>
        <w:trPr>
          <w:trHeight w:val="202"/>
        </w:trPr>
        <w:tc>
          <w:tcPr>
            <w:tcW w:w="7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Quarter</w:t>
            </w:r>
          </w:p>
        </w:tc>
      </w:tr>
      <w:tr>
        <w:trPr>
          <w:trHeight w:val="264"/>
        </w:trPr>
        <w:tc>
          <w:tcPr>
            <w:tcW w:w="7360" w:type="dxa"/>
            <w:vAlign w:val="bottom"/>
          </w:tcPr>
          <w:p>
            <w:pPr>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0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Charges of $25.3 million in connection with severance and restructuring at the education division</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9"/>
        </w:trPr>
        <w:tc>
          <w:tcPr>
            <w:tcW w:w="7360" w:type="dxa"/>
            <w:vAlign w:val="bottom"/>
          </w:tcPr>
          <w:p>
            <w:pPr>
              <w:ind w:left="220"/>
              <w:spacing w:after="0"/>
              <w:rPr>
                <w:sz w:val="20"/>
                <w:szCs w:val="20"/>
                <w:color w:val="auto"/>
              </w:rPr>
            </w:pPr>
            <w:r>
              <w:rPr>
                <w:rFonts w:ascii="Arial" w:cs="Arial" w:eastAsia="Arial" w:hAnsi="Arial"/>
                <w:sz w:val="16"/>
                <w:szCs w:val="16"/>
                <w:color w:val="auto"/>
              </w:rPr>
              <w:t>($6.1 million, $3.9 million, $3.1 million and $12.2 million in the first, second, third and fourth</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7360" w:type="dxa"/>
            <w:vAlign w:val="bottom"/>
          </w:tcPr>
          <w:p>
            <w:pPr>
              <w:ind w:left="220"/>
              <w:spacing w:after="0"/>
              <w:rPr>
                <w:sz w:val="20"/>
                <w:szCs w:val="20"/>
                <w:color w:val="auto"/>
              </w:rPr>
            </w:pPr>
            <w:r>
              <w:rPr>
                <w:rFonts w:ascii="Arial" w:cs="Arial" w:eastAsia="Arial" w:hAnsi="Arial"/>
                <w:sz w:val="16"/>
                <w:szCs w:val="16"/>
                <w:color w:val="auto"/>
              </w:rPr>
              <w:t>quarters, 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left="82"/>
              <w:spacing w:after="0"/>
              <w:rPr>
                <w:sz w:val="20"/>
                <w:szCs w:val="20"/>
                <w:color w:val="auto"/>
              </w:rPr>
            </w:pPr>
            <w:r>
              <w:rPr>
                <w:rFonts w:ascii="Arial" w:cs="Arial" w:eastAsia="Arial" w:hAnsi="Arial"/>
                <w:sz w:val="16"/>
                <w:szCs w:val="16"/>
                <w:color w:val="auto"/>
              </w:rPr>
              <w:t>(0.85)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260"/>
              <w:spacing w:after="0"/>
              <w:rPr>
                <w:sz w:val="20"/>
                <w:szCs w:val="20"/>
                <w:color w:val="auto"/>
              </w:rPr>
            </w:pPr>
            <w:r>
              <w:rPr>
                <w:rFonts w:ascii="Arial" w:cs="Arial" w:eastAsia="Arial" w:hAnsi="Arial"/>
                <w:sz w:val="16"/>
                <w:szCs w:val="16"/>
                <w:color w:val="auto"/>
              </w:rPr>
              <w:t>(0.54)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auto"/>
              </w:rPr>
              <w:t>(0.42)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7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Intangible and other long-lived assets impairment charge of $3.2 million at Kaplan</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(0.44)</w:t>
            </w:r>
          </w:p>
        </w:tc>
      </w:tr>
      <w:tr>
        <w:trPr>
          <w:trHeight w:val="27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Write-down of marketable equity security of $6.7 million</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(0.91)</w:t>
            </w: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Losses, net, of $8.6 million for non-operating unrealized foreign currency (losses) gains ($3.0</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89"/>
        </w:trPr>
        <w:tc>
          <w:tcPr>
            <w:tcW w:w="7360" w:type="dxa"/>
            <w:vAlign w:val="bottom"/>
          </w:tcPr>
          <w:p>
            <w:pPr>
              <w:ind w:left="220"/>
              <w:spacing w:after="0"/>
              <w:rPr>
                <w:sz w:val="20"/>
                <w:szCs w:val="20"/>
                <w:color w:val="auto"/>
              </w:rPr>
            </w:pPr>
            <w:r>
              <w:rPr>
                <w:rFonts w:ascii="Arial" w:cs="Arial" w:eastAsia="Arial" w:hAnsi="Arial"/>
                <w:sz w:val="16"/>
                <w:szCs w:val="16"/>
                <w:color w:val="auto"/>
              </w:rPr>
              <w:t>million loss, $8.1 million loss, $5.0 million gain and $2.6 million loss in the first, second, third and</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9"/>
        </w:trPr>
        <w:tc>
          <w:tcPr>
            <w:tcW w:w="7360" w:type="dxa"/>
            <w:vAlign w:val="bottom"/>
          </w:tcPr>
          <w:p>
            <w:pPr>
              <w:ind w:left="220"/>
              <w:spacing w:after="0"/>
              <w:rPr>
                <w:sz w:val="20"/>
                <w:szCs w:val="20"/>
                <w:color w:val="auto"/>
              </w:rPr>
            </w:pPr>
            <w:r>
              <w:rPr>
                <w:rFonts w:ascii="Arial" w:cs="Arial" w:eastAsia="Arial" w:hAnsi="Arial"/>
                <w:sz w:val="16"/>
                <w:szCs w:val="16"/>
                <w:color w:val="auto"/>
              </w:rPr>
              <w:t>fourth quarters, 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left="82"/>
              <w:spacing w:after="0"/>
              <w:rPr>
                <w:sz w:val="20"/>
                <w:szCs w:val="20"/>
                <w:color w:val="auto"/>
              </w:rPr>
            </w:pPr>
            <w:r>
              <w:rPr>
                <w:rFonts w:ascii="Arial" w:cs="Arial" w:eastAsia="Arial" w:hAnsi="Arial"/>
                <w:sz w:val="16"/>
                <w:szCs w:val="16"/>
                <w:color w:val="auto"/>
              </w:rPr>
              <w:t>(0.41)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280"/>
              <w:spacing w:after="0"/>
              <w:rPr>
                <w:sz w:val="20"/>
                <w:szCs w:val="20"/>
                <w:color w:val="auto"/>
              </w:rPr>
            </w:pPr>
            <w:r>
              <w:rPr>
                <w:rFonts w:ascii="Arial" w:cs="Arial" w:eastAsia="Arial" w:hAnsi="Arial"/>
                <w:sz w:val="16"/>
                <w:szCs w:val="16"/>
                <w:color w:val="auto"/>
              </w:rPr>
              <w:t>(1.11)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0.69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(0.35)</w:t>
            </w:r>
          </w:p>
        </w:tc>
      </w:tr>
      <w:tr>
        <w:trPr>
          <w:trHeight w:val="419"/>
        </w:trPr>
        <w:tc>
          <w:tcPr>
            <w:tcW w:w="7360" w:type="dxa"/>
            <w:vAlign w:val="bottom"/>
          </w:tcPr>
          <w:p>
            <w:pPr>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7"/>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Goodwill and other long-lived assets impairment charge of $81.9 million at Kaplan Test Preparation</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(11.33)</w:t>
            </w: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Charges of $32.9 million in connection with severance and restructuring at the education division</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360" w:type="dxa"/>
            <w:vAlign w:val="bottom"/>
          </w:tcPr>
          <w:p>
            <w:pPr>
              <w:ind w:left="220"/>
              <w:spacing w:after="0"/>
              <w:rPr>
                <w:sz w:val="20"/>
                <w:szCs w:val="20"/>
                <w:color w:val="auto"/>
              </w:rPr>
            </w:pPr>
            <w:r>
              <w:rPr>
                <w:rFonts w:ascii="Arial" w:cs="Arial" w:eastAsia="Arial" w:hAnsi="Arial"/>
                <w:sz w:val="16"/>
                <w:szCs w:val="16"/>
                <w:color w:val="auto"/>
              </w:rPr>
              <w:t>($3.1 million, $2.7 million and $27.1 million in the second, third and fourth quarters, respectively)</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280"/>
              <w:spacing w:after="0"/>
              <w:rPr>
                <w:sz w:val="20"/>
                <w:szCs w:val="20"/>
                <w:color w:val="auto"/>
              </w:rPr>
            </w:pPr>
            <w:r>
              <w:rPr>
                <w:rFonts w:ascii="Arial" w:cs="Arial" w:eastAsia="Arial" w:hAnsi="Arial"/>
                <w:sz w:val="16"/>
                <w:szCs w:val="16"/>
                <w:color w:val="auto"/>
              </w:rPr>
              <w:t>(0.41)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(0.37)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7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Write-down of a marketable equity security of $11.2 million</w:t>
            </w: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70"/>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Gain on sale of cost method investment of $3.7 million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left="102"/>
              <w:spacing w:after="0"/>
              <w:rPr>
                <w:sz w:val="20"/>
                <w:szCs w:val="20"/>
                <w:color w:val="auto"/>
              </w:rPr>
            </w:pPr>
            <w:r>
              <w:rPr>
                <w:rFonts w:ascii="Arial" w:cs="Arial" w:eastAsia="Arial" w:hAnsi="Arial"/>
                <w:sz w:val="16"/>
                <w:szCs w:val="16"/>
                <w:color w:val="auto"/>
              </w:rPr>
              <w:t>0.48</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Ÿ </w:t>
            </w:r>
            <w:r>
              <w:rPr>
                <w:rFonts w:ascii="Arial" w:cs="Arial" w:eastAsia="Arial" w:hAnsi="Arial"/>
                <w:sz w:val="16"/>
                <w:szCs w:val="16"/>
                <w:color w:val="auto"/>
              </w:rPr>
              <w:t>Gains, net, of $2.0 million for non-operating unrealized foreign currency gains (losses) ($1.7 million</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360" w:type="dxa"/>
            <w:vAlign w:val="bottom"/>
          </w:tcPr>
          <w:p>
            <w:pPr>
              <w:ind w:left="220"/>
              <w:spacing w:after="0"/>
              <w:rPr>
                <w:sz w:val="20"/>
                <w:szCs w:val="20"/>
                <w:color w:val="auto"/>
              </w:rPr>
            </w:pPr>
            <w:r>
              <w:rPr>
                <w:rFonts w:ascii="Arial" w:cs="Arial" w:eastAsia="Arial" w:hAnsi="Arial"/>
                <w:sz w:val="16"/>
                <w:szCs w:val="16"/>
                <w:color w:val="auto"/>
              </w:rPr>
              <w:t>gain, $1.6 million loss and $1.9 million gain in the first, second and third quarters, respectively)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left="102"/>
              <w:spacing w:after="0"/>
              <w:rPr>
                <w:sz w:val="20"/>
                <w:szCs w:val="20"/>
                <w:color w:val="auto"/>
              </w:rPr>
            </w:pPr>
            <w:r>
              <w:rPr>
                <w:rFonts w:ascii="Arial" w:cs="Arial" w:eastAsia="Arial" w:hAnsi="Arial"/>
                <w:sz w:val="16"/>
                <w:szCs w:val="16"/>
                <w:color w:val="auto"/>
              </w:rPr>
              <w:t>0.22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280"/>
              <w:spacing w:after="0"/>
              <w:rPr>
                <w:sz w:val="20"/>
                <w:szCs w:val="20"/>
                <w:color w:val="auto"/>
              </w:rPr>
            </w:pPr>
            <w:r>
              <w:rPr>
                <w:rFonts w:ascii="Arial" w:cs="Arial" w:eastAsia="Arial" w:hAnsi="Arial"/>
                <w:sz w:val="16"/>
                <w:szCs w:val="16"/>
                <w:color w:val="auto"/>
              </w:rPr>
              <w:t>(0.21)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0.26</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738" w:right="29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FIVE-YEAR SUMMARY OF SELECTED HISTORICAL FINANCIAL DATA</w:t>
      </w:r>
    </w:p>
    <w:p>
      <w:pPr>
        <w:spacing w:after="0" w:line="11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See Notes to Consolidated Financial Statements for the summary of significant accounting policies and additional information relative to the years 2011–2013 and refer to Note 3 for discussion of discontinued operations.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2010</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257"/>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Results of Operations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3,487,864</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3,455,570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3,525,997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3,935,725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3,563,349</w:t>
            </w: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Income from operations</w:t>
            </w:r>
          </w:p>
        </w:tc>
        <w:tc>
          <w:tcPr>
            <w:tcW w:w="24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345,565</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179,180</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334,118</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601,577</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453,010</w:t>
            </w: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191,226</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72,059</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151,388</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354,933</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263,819</w:t>
            </w:r>
          </w:p>
        </w:tc>
        <w:tc>
          <w:tcPr>
            <w:tcW w:w="0" w:type="dxa"/>
            <w:vAlign w:val="bottom"/>
          </w:tcPr>
          <w:p>
            <w:pPr>
              <w:spacing w:after="0"/>
              <w:rPr>
                <w:sz w:val="1"/>
                <w:szCs w:val="1"/>
                <w:color w:val="auto"/>
              </w:rPr>
            </w:pPr>
          </w:p>
        </w:tc>
      </w:tr>
      <w:tr>
        <w:trPr>
          <w:trHeight w:val="206"/>
        </w:trPr>
        <w:tc>
          <w:tcPr>
            <w:tcW w:w="522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w:t>
            </w:r>
          </w:p>
        </w:tc>
        <w:tc>
          <w:tcPr>
            <w:tcW w:w="240" w:type="dxa"/>
            <w:vAlign w:val="bottom"/>
          </w:tcPr>
          <w:p>
            <w:pPr>
              <w:spacing w:after="0"/>
              <w:rPr>
                <w:sz w:val="17"/>
                <w:szCs w:val="17"/>
                <w:color w:val="auto"/>
              </w:rPr>
            </w:pP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236,010</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220" w:type="dxa"/>
            <w:vAlign w:val="bottom"/>
          </w:tcPr>
          <w:p>
            <w:pPr>
              <w:ind w:left="520"/>
              <w:spacing w:after="0"/>
              <w:rPr>
                <w:sz w:val="20"/>
                <w:szCs w:val="20"/>
                <w:color w:val="auto"/>
              </w:rPr>
            </w:pPr>
            <w:r>
              <w:rPr>
                <w:rFonts w:ascii="Arial" w:cs="Arial" w:eastAsia="Arial" w:hAnsi="Arial"/>
                <w:sz w:val="16"/>
                <w:szCs w:val="16"/>
                <w:color w:val="auto"/>
              </w:rPr>
              <w:t>common stockholders</w:t>
            </w:r>
          </w:p>
        </w:tc>
        <w:tc>
          <w:tcPr>
            <w:tcW w:w="2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131,218</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116,233</w:t>
            </w:r>
          </w:p>
        </w:tc>
        <w:tc>
          <w:tcPr>
            <w:tcW w:w="300" w:type="dxa"/>
            <w:vAlign w:val="bottom"/>
          </w:tcPr>
          <w:p>
            <w:pPr>
              <w:spacing w:after="0"/>
              <w:rPr>
                <w:sz w:val="19"/>
                <w:szCs w:val="19"/>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277,192</w:t>
            </w:r>
          </w:p>
        </w:tc>
        <w:tc>
          <w:tcPr>
            <w:tcW w:w="30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91,846</w:t>
            </w:r>
          </w:p>
        </w:tc>
        <w:tc>
          <w:tcPr>
            <w:tcW w:w="0" w:type="dxa"/>
            <w:vAlign w:val="bottom"/>
          </w:tcPr>
          <w:p>
            <w:pPr>
              <w:spacing w:after="0"/>
              <w:rPr>
                <w:sz w:val="1"/>
                <w:szCs w:val="1"/>
                <w:color w:val="auto"/>
              </w:rPr>
            </w:pPr>
          </w:p>
        </w:tc>
      </w:tr>
      <w:tr>
        <w:trPr>
          <w:trHeight w:val="270"/>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Per Share Amounts</w:t>
            </w: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5220" w:type="dxa"/>
            <w:vAlign w:val="bottom"/>
          </w:tcPr>
          <w:p>
            <w:pPr>
              <w:ind w:left="280"/>
              <w:spacing w:after="0"/>
              <w:rPr>
                <w:sz w:val="20"/>
                <w:szCs w:val="20"/>
                <w:color w:val="auto"/>
              </w:rPr>
            </w:pPr>
            <w:r>
              <w:rPr>
                <w:rFonts w:ascii="Arial" w:cs="Arial" w:eastAsia="Arial" w:hAnsi="Arial"/>
                <w:sz w:val="16"/>
                <w:szCs w:val="16"/>
                <w:color w:val="auto"/>
              </w:rPr>
              <w:t>Basic earnings per common share attributable to Graham Holdings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20" w:type="dxa"/>
            <w:vAlign w:val="bottom"/>
          </w:tcPr>
          <w:p>
            <w:pPr>
              <w:ind w:left="360"/>
              <w:spacing w:after="0"/>
              <w:rPr>
                <w:sz w:val="20"/>
                <w:szCs w:val="20"/>
                <w:color w:val="auto"/>
              </w:rPr>
            </w:pPr>
            <w:r>
              <w:rPr>
                <w:rFonts w:ascii="Arial" w:cs="Arial" w:eastAsia="Arial" w:hAnsi="Arial"/>
                <w:sz w:val="16"/>
                <w:szCs w:val="16"/>
                <w:color w:val="auto"/>
              </w:rPr>
              <w:t>Company common stockholders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5220" w:type="dxa"/>
            <w:vAlign w:val="bottom"/>
          </w:tcPr>
          <w:p>
            <w:pPr>
              <w:ind w:left="70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25.83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9.22</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19.03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39.67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28.15</w:t>
            </w:r>
          </w:p>
        </w:tc>
        <w:tc>
          <w:tcPr>
            <w:tcW w:w="0" w:type="dxa"/>
            <w:vAlign w:val="bottom"/>
          </w:tcPr>
          <w:p>
            <w:pPr>
              <w:spacing w:after="0"/>
              <w:rPr>
                <w:sz w:val="1"/>
                <w:szCs w:val="1"/>
                <w:color w:val="auto"/>
              </w:rPr>
            </w:pPr>
          </w:p>
        </w:tc>
      </w:tr>
      <w:tr>
        <w:trPr>
          <w:trHeight w:val="270"/>
        </w:trPr>
        <w:tc>
          <w:tcPr>
            <w:tcW w:w="5220" w:type="dxa"/>
            <w:vAlign w:val="bottom"/>
          </w:tcPr>
          <w:p>
            <w:pPr>
              <w:ind w:left="70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32.10</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17.39</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14.70</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31.06</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06"/>
        </w:trPr>
        <w:tc>
          <w:tcPr>
            <w:tcW w:w="5220" w:type="dxa"/>
            <w:vAlign w:val="bottom"/>
          </w:tcPr>
          <w:p>
            <w:pPr>
              <w:ind w:left="280"/>
              <w:spacing w:after="0"/>
              <w:rPr>
                <w:sz w:val="20"/>
                <w:szCs w:val="20"/>
                <w:color w:val="auto"/>
              </w:rPr>
            </w:pPr>
            <w:r>
              <w:rPr>
                <w:rFonts w:ascii="Arial" w:cs="Arial" w:eastAsia="Arial" w:hAnsi="Arial"/>
                <w:sz w:val="16"/>
                <w:szCs w:val="16"/>
                <w:color w:val="auto"/>
              </w:rPr>
              <w:t>Diluted earnings per common share attributable to Graham Holdings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20" w:type="dxa"/>
            <w:vAlign w:val="bottom"/>
          </w:tcPr>
          <w:p>
            <w:pPr>
              <w:ind w:left="360"/>
              <w:spacing w:after="0"/>
              <w:rPr>
                <w:sz w:val="20"/>
                <w:szCs w:val="20"/>
                <w:color w:val="auto"/>
              </w:rPr>
            </w:pPr>
            <w:r>
              <w:rPr>
                <w:rFonts w:ascii="Arial" w:cs="Arial" w:eastAsia="Arial" w:hAnsi="Arial"/>
                <w:sz w:val="16"/>
                <w:szCs w:val="16"/>
                <w:color w:val="auto"/>
              </w:rPr>
              <w:t>Company common stockholders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5220" w:type="dxa"/>
            <w:vAlign w:val="bottom"/>
          </w:tcPr>
          <w:p>
            <w:pPr>
              <w:ind w:left="70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25.78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9.22</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19.03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39.65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28.15</w:t>
            </w:r>
          </w:p>
        </w:tc>
        <w:tc>
          <w:tcPr>
            <w:tcW w:w="0" w:type="dxa"/>
            <w:vAlign w:val="bottom"/>
          </w:tcPr>
          <w:p>
            <w:pPr>
              <w:spacing w:after="0"/>
              <w:rPr>
                <w:sz w:val="1"/>
                <w:szCs w:val="1"/>
                <w:color w:val="auto"/>
              </w:rPr>
            </w:pPr>
          </w:p>
        </w:tc>
      </w:tr>
      <w:tr>
        <w:trPr>
          <w:trHeight w:val="270"/>
        </w:trPr>
        <w:tc>
          <w:tcPr>
            <w:tcW w:w="5220" w:type="dxa"/>
            <w:vAlign w:val="bottom"/>
          </w:tcPr>
          <w:p>
            <w:pPr>
              <w:ind w:left="70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32.05</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17.39</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14.70</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31.04</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9.78</w:t>
            </w:r>
          </w:p>
        </w:tc>
        <w:tc>
          <w:tcPr>
            <w:tcW w:w="0" w:type="dxa"/>
            <w:vAlign w:val="bottom"/>
          </w:tcPr>
          <w:p>
            <w:pPr>
              <w:spacing w:after="0"/>
              <w:rPr>
                <w:sz w:val="1"/>
                <w:szCs w:val="1"/>
                <w:color w:val="auto"/>
              </w:rPr>
            </w:pPr>
          </w:p>
        </w:tc>
      </w:tr>
      <w:tr>
        <w:trPr>
          <w:trHeight w:val="262"/>
        </w:trPr>
        <w:tc>
          <w:tcPr>
            <w:tcW w:w="522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220" w:type="dxa"/>
            <w:vAlign w:val="bottom"/>
          </w:tcPr>
          <w:p>
            <w:pPr>
              <w:ind w:left="48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7,238</w:t>
            </w:r>
          </w:p>
        </w:tc>
        <w:tc>
          <w:tcPr>
            <w:tcW w:w="32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7,360</w:t>
            </w:r>
          </w:p>
        </w:tc>
        <w:tc>
          <w:tcPr>
            <w:tcW w:w="30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7,826</w:t>
            </w:r>
          </w:p>
        </w:tc>
        <w:tc>
          <w:tcPr>
            <w:tcW w:w="30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8,869</w:t>
            </w:r>
          </w:p>
        </w:tc>
        <w:tc>
          <w:tcPr>
            <w:tcW w:w="3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9,332</w:t>
            </w:r>
          </w:p>
        </w:tc>
        <w:tc>
          <w:tcPr>
            <w:tcW w:w="0" w:type="dxa"/>
            <w:vAlign w:val="bottom"/>
          </w:tcPr>
          <w:p>
            <w:pPr>
              <w:spacing w:after="0"/>
              <w:rPr>
                <w:sz w:val="1"/>
                <w:szCs w:val="1"/>
                <w:color w:val="auto"/>
              </w:rPr>
            </w:pPr>
          </w:p>
        </w:tc>
      </w:tr>
      <w:tr>
        <w:trPr>
          <w:trHeight w:val="270"/>
        </w:trPr>
        <w:tc>
          <w:tcPr>
            <w:tcW w:w="5220" w:type="dxa"/>
            <w:vAlign w:val="bottom"/>
          </w:tcPr>
          <w:p>
            <w:pPr>
              <w:ind w:left="48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7,333</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7,404</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7,905</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8,931</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9,392</w:t>
            </w: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Cash dividends per common share</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19.60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9.40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9.00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06"/>
        </w:trPr>
        <w:tc>
          <w:tcPr>
            <w:tcW w:w="5220" w:type="dxa"/>
            <w:vAlign w:val="bottom"/>
          </w:tcPr>
          <w:p>
            <w:pPr>
              <w:ind w:left="280"/>
              <w:spacing w:after="0"/>
              <w:rPr>
                <w:sz w:val="20"/>
                <w:szCs w:val="20"/>
                <w:color w:val="auto"/>
              </w:rPr>
            </w:pPr>
            <w:r>
              <w:rPr>
                <w:rFonts w:ascii="Arial" w:cs="Arial" w:eastAsia="Arial" w:hAnsi="Arial"/>
                <w:sz w:val="16"/>
                <w:szCs w:val="16"/>
                <w:color w:val="auto"/>
              </w:rPr>
              <w:t>Graham Holdings Company common stockholders’ equity per</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446.73</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220" w:type="dxa"/>
            <w:vAlign w:val="bottom"/>
          </w:tcPr>
          <w:p>
            <w:pPr>
              <w:ind w:left="360"/>
              <w:spacing w:after="0"/>
              <w:rPr>
                <w:sz w:val="20"/>
                <w:szCs w:val="20"/>
                <w:color w:val="auto"/>
              </w:rPr>
            </w:pPr>
            <w:r>
              <w:rPr>
                <w:rFonts w:ascii="Arial" w:cs="Arial" w:eastAsia="Arial" w:hAnsi="Arial"/>
                <w:sz w:val="16"/>
                <w:szCs w:val="16"/>
                <w:color w:val="auto"/>
              </w:rPr>
              <w:t>common share</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348.17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342.76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343.47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317.21</w:t>
            </w:r>
          </w:p>
        </w:tc>
        <w:tc>
          <w:tcPr>
            <w:tcW w:w="0" w:type="dxa"/>
            <w:vAlign w:val="bottom"/>
          </w:tcPr>
          <w:p>
            <w:pPr>
              <w:spacing w:after="0"/>
              <w:rPr>
                <w:sz w:val="1"/>
                <w:szCs w:val="1"/>
                <w:color w:val="auto"/>
              </w:rPr>
            </w:pPr>
          </w:p>
        </w:tc>
      </w:tr>
      <w:tr>
        <w:trPr>
          <w:trHeight w:val="270"/>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Financial Position</w:t>
            </w: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Working capital</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768,278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327,476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250,069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353,621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398,481</w:t>
            </w: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5,811,046</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5,105,069</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5,016,986</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5,158,367</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5,186,206</w:t>
            </w: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447,608</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453,384</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452,229</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396,650</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396,236</w:t>
            </w:r>
          </w:p>
        </w:tc>
        <w:tc>
          <w:tcPr>
            <w:tcW w:w="0" w:type="dxa"/>
            <w:vAlign w:val="bottom"/>
          </w:tcPr>
          <w:p>
            <w:pPr>
              <w:spacing w:after="0"/>
              <w:rPr>
                <w:sz w:val="1"/>
                <w:szCs w:val="1"/>
                <w:color w:val="auto"/>
              </w:rPr>
            </w:pPr>
          </w:p>
        </w:tc>
      </w:tr>
      <w:tr>
        <w:trPr>
          <w:trHeight w:val="270"/>
        </w:trPr>
        <w:tc>
          <w:tcPr>
            <w:tcW w:w="5220" w:type="dxa"/>
            <w:vAlign w:val="bottom"/>
          </w:tcPr>
          <w:p>
            <w:pPr>
              <w:ind w:left="280"/>
              <w:spacing w:after="0"/>
              <w:rPr>
                <w:sz w:val="20"/>
                <w:szCs w:val="20"/>
                <w:color w:val="auto"/>
              </w:rPr>
            </w:pPr>
            <w:r>
              <w:rPr>
                <w:rFonts w:ascii="Arial" w:cs="Arial" w:eastAsia="Arial" w:hAnsi="Arial"/>
                <w:sz w:val="16"/>
                <w:szCs w:val="16"/>
                <w:color w:val="auto"/>
              </w:rPr>
              <w:t>Graham Holdings Company common stockholders’ equity</w:t>
            </w:r>
          </w:p>
        </w:tc>
        <w:tc>
          <w:tcPr>
            <w:tcW w:w="240" w:type="dxa"/>
            <w:vAlign w:val="bottom"/>
          </w:tcPr>
          <w:p>
            <w:pPr>
              <w:spacing w:after="0"/>
              <w:rPr>
                <w:sz w:val="23"/>
                <w:szCs w:val="23"/>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3,300,067</w:t>
            </w:r>
          </w:p>
        </w:tc>
        <w:tc>
          <w:tcPr>
            <w:tcW w:w="3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2,586,028</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2,601,896</w:t>
            </w:r>
          </w:p>
        </w:tc>
        <w:tc>
          <w:tcPr>
            <w:tcW w:w="30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2,814,364</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2,939,550</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from certain items included in income from continuing operations (after-tax and diluted EPS amounts):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2013</w:t>
      </w:r>
    </w:p>
    <w:p>
      <w:pPr>
        <w:spacing w:after="0" w:line="21" w:lineRule="exact"/>
        <w:rPr>
          <w:sz w:val="20"/>
          <w:szCs w:val="20"/>
          <w:color w:val="auto"/>
        </w:rPr>
      </w:pPr>
    </w:p>
    <w:p>
      <w:pPr>
        <w:ind w:left="80" w:hanging="72"/>
        <w:spacing w:after="0"/>
        <w:tabs>
          <w:tab w:leader="none" w:pos="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charges of $25.3 million ($3.46 per share) related to severance and restructuring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 of $3.2 million ($0.44 per share)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write-down of a marketable equity security of $6.7 million ($0.91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losses, net, of $8.6 million ($1.17 per share) from non-operating unrealized foreign currency losses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2012</w:t>
      </w:r>
    </w:p>
    <w:p>
      <w:pPr>
        <w:spacing w:after="0" w:line="21" w:lineRule="exact"/>
        <w:rPr>
          <w:sz w:val="20"/>
          <w:szCs w:val="20"/>
          <w:color w:val="auto"/>
        </w:rPr>
      </w:pPr>
    </w:p>
    <w:p>
      <w:pPr>
        <w:ind w:left="80" w:hanging="72"/>
        <w:spacing w:after="0"/>
        <w:tabs>
          <w:tab w:leader="none" w:pos="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 of $81.9 million ($11.33 per share) at KTP</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charges of $32.9 million ($4.53 per share) related to severance and restructuring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write-down of a marketable equity security of $11.2 million ($1.54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$3.7 million ($0.48 per share) gain on sale of cost method investment</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gains, net, of $2.0 million ($0.27 per share) from non-operating unrealized foreign currency gains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2011</w:t>
      </w:r>
    </w:p>
    <w:p>
      <w:pPr>
        <w:spacing w:after="0" w:line="21" w:lineRule="exact"/>
        <w:rPr>
          <w:sz w:val="20"/>
          <w:szCs w:val="20"/>
          <w:color w:val="auto"/>
        </w:rPr>
      </w:pPr>
    </w:p>
    <w:p>
      <w:pPr>
        <w:ind w:left="80" w:hanging="72"/>
        <w:spacing w:after="0"/>
        <w:tabs>
          <w:tab w:leader="none" w:pos="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charges of $17.9 million ($2.26 per share) related to severance and restructuring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impairment charge at one of the Company’s affiliates of $5.7 million ($0.72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write-down of a marketable equity security of $34.6 million ($4.34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losses, net, of $2.1 million ($0.26 per share) from non-operating unrealized foreign currency losses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2010</w:t>
      </w:r>
    </w:p>
    <w:p>
      <w:pPr>
        <w:spacing w:after="0" w:line="21" w:lineRule="exact"/>
        <w:rPr>
          <w:sz w:val="20"/>
          <w:szCs w:val="20"/>
          <w:color w:val="auto"/>
        </w:rPr>
      </w:pPr>
    </w:p>
    <w:p>
      <w:pPr>
        <w:ind w:left="80" w:hanging="72"/>
        <w:spacing w:after="0"/>
        <w:tabs>
          <w:tab w:leader="none" w:pos="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charges of $24.2 million ($2.83 per share) related to severance and restructuring</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gains, net, of $4.2 million ($0.47 per share) from non-operating unrealized foreign currency gains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2009</w:t>
      </w:r>
    </w:p>
    <w:p>
      <w:pPr>
        <w:spacing w:after="0" w:line="21" w:lineRule="exact"/>
        <w:rPr>
          <w:sz w:val="20"/>
          <w:szCs w:val="20"/>
          <w:color w:val="auto"/>
        </w:rPr>
      </w:pPr>
    </w:p>
    <w:p>
      <w:pPr>
        <w:ind w:left="80" w:hanging="72"/>
        <w:spacing w:after="0"/>
        <w:tabs>
          <w:tab w:leader="none" w:pos="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charges of $20.6 million ($2.19 per share) in connection with the restructuring of Kaplan’s Score and Test Preparation operations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impairment charges of $18.8 million ($2.00 per share) at two of the Company’s equity affiliates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gains, net, of $10.3 million ($1.10 per share) from non-operating unrealized foreign currency gains</w:t>
      </w:r>
    </w:p>
    <w:p>
      <w:pPr>
        <w:sectPr>
          <w:pgSz w:w="11900" w:h="16838" w:orient="portrait"/>
          <w:cols w:equalWidth="0" w:num="1">
            <w:col w:w="11400"/>
          </w:cols>
          <w:pgMar w:left="240" w:top="736" w:right="259" w:bottom="1440" w:gutter="0" w:footer="0" w:header="0"/>
        </w:sect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00"/>
          </w:cols>
          <w:pgMar w:left="240" w:top="736" w:right="259" w:bottom="1440" w:gutter="0" w:footer="0" w:header="0"/>
          <w:type w:val="continuous"/>
        </w:sectPr>
      </w:pPr>
    </w:p>
    <w:bookmarkStart w:id="108" w:name="page109"/>
    <w:bookmarkEnd w:id="108"/>
    <w:p>
      <w:pPr>
        <w:jc w:val="center"/>
        <w:ind w:right="-119"/>
        <w:spacing w:after="0"/>
        <w:rPr>
          <w:sz w:val="20"/>
          <w:szCs w:val="20"/>
          <w:color w:val="auto"/>
        </w:rPr>
      </w:pPr>
      <w:r>
        <w:rPr>
          <w:rFonts w:ascii="Arial" w:cs="Arial" w:eastAsia="Arial" w:hAnsi="Arial"/>
          <w:sz w:val="17"/>
          <w:szCs w:val="17"/>
          <w:b w:val="1"/>
          <w:bCs w:val="1"/>
          <w:color w:val="auto"/>
        </w:rPr>
        <w:t>INDEX TO EXHIBITS</w:t>
      </w:r>
    </w:p>
    <w:p>
      <w:pPr>
        <w:sectPr>
          <w:pgSz w:w="11900" w:h="16838" w:orient="portrait"/>
          <w:cols w:equalWidth="0" w:num="1">
            <w:col w:w="11320"/>
          </w:cols>
          <w:pgMar w:left="240" w:top="736"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27305</wp:posOffset>
            </wp:positionV>
            <wp:extent cx="7203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56" w:lineRule="exact"/>
        <w:rPr>
          <w:sz w:val="20"/>
          <w:szCs w:val="20"/>
          <w:color w:val="auto"/>
        </w:rPr>
      </w:pPr>
    </w:p>
    <w:p>
      <w:pPr>
        <w:sectPr>
          <w:pgSz w:w="11900" w:h="16838" w:orient="portrait"/>
          <w:cols w:equalWidth="0" w:num="2">
            <w:col w:w="5240" w:space="720"/>
            <w:col w:w="5360"/>
          </w:cols>
          <w:pgMar w:left="240" w:top="736" w:right="339" w:bottom="1440" w:gutter="0" w:footer="0" w:header="0"/>
          <w:type w:val="continuous"/>
        </w:sectPr>
      </w:pPr>
    </w:p>
    <w:p>
      <w:pPr>
        <w:ind w:left="1400" w:right="60" w:hanging="831"/>
        <w:spacing w:after="0" w:line="246" w:lineRule="auto"/>
        <w:tabs>
          <w:tab w:leader="none" w:pos="13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Securities Purchase Agreement among the Company, Nash Holdings LLC, WP Company LLC, Express Publications Company, LLC, El Tiempo Latino LLC, Robinson Terminal Warehouse LLC, Greater Washington Publishing, LLC and Post-Newsweek Media, LLC dated October 1, 2013 (incorporated by reference to Exhibit 2.1 to the Company's Current Report on Form 8-K dated October 7, 2013).</w:t>
      </w:r>
    </w:p>
    <w:p>
      <w:pPr>
        <w:spacing w:after="0" w:line="9" w:lineRule="exact"/>
        <w:rPr>
          <w:sz w:val="20"/>
          <w:szCs w:val="20"/>
          <w:color w:val="auto"/>
        </w:rPr>
      </w:pPr>
    </w:p>
    <w:p>
      <w:pPr>
        <w:ind w:left="1400" w:right="340" w:hanging="831"/>
        <w:spacing w:after="0" w:line="265" w:lineRule="auto"/>
        <w:tabs>
          <w:tab w:leader="none" w:pos="13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color w:val="auto"/>
        </w:rPr>
        <w:t>Restated Certificate of Incorporation of the Company dated November 13, 2003 (incorporated by reference to Exhibit 3.1 to the Company’s Annual Report on Form 10-K for the fiscal year ended December 28, 2003).</w:t>
      </w:r>
    </w:p>
    <w:p>
      <w:pPr>
        <w:ind w:left="1400" w:right="100" w:hanging="831"/>
        <w:spacing w:after="0" w:line="265" w:lineRule="auto"/>
        <w:tabs>
          <w:tab w:leader="none" w:pos="13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Certificate of Amendment, effective November 29, 2013, to the Restated Certificate of Incorporation of the Company (incorporated by reference to Exhibit 3.1 to the Company's Current Report on Form 8-K dated November 29, 2013).</w:t>
      </w:r>
    </w:p>
    <w:p>
      <w:pPr>
        <w:ind w:left="1400" w:right="340" w:hanging="831"/>
        <w:spacing w:after="0" w:line="265" w:lineRule="auto"/>
        <w:tabs>
          <w:tab w:leader="none" w:pos="138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color w:val="auto"/>
        </w:rPr>
        <w:t>Certificate of Designation for the Company’s Series A Preferred Stock dated September 22, 2003 (incorporated by reference to Exhibit 3.2 to Amendment No. 1 to the Company’s Current Report on Form 8-K dated September 22, 2003).</w:t>
      </w:r>
    </w:p>
    <w:p>
      <w:pPr>
        <w:ind w:left="1400" w:right="280" w:hanging="831"/>
        <w:spacing w:after="0" w:line="265" w:lineRule="auto"/>
        <w:tabs>
          <w:tab w:leader="none" w:pos="138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7"/>
          <w:szCs w:val="17"/>
          <w:color w:val="auto"/>
        </w:rPr>
        <w:t>By-Laws of the Company as amended and restated through November 29, 2013 (incorporated by reference to Exhibit 3.2 to the Company’s Current Report on Form 8-K dated November 29, 2013).</w:t>
      </w:r>
    </w:p>
    <w:p>
      <w:pPr>
        <w:ind w:left="1400" w:right="240" w:hanging="831"/>
        <w:spacing w:after="0" w:line="253" w:lineRule="auto"/>
        <w:tabs>
          <w:tab w:leader="none" w:pos="13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Second Supplemental Indenture dated January 30, 2009, between the Company and The Bank of New York Mellon Trust Company, N.A., as successor to The First National Bank of Chicago, as Trustee (incorporated by reference to Exhibit 10.2 to the Company’s Current Report on Form 8-K dated January 30, 2009).</w:t>
      </w:r>
    </w:p>
    <w:p>
      <w:pPr>
        <w:spacing w:after="0" w:line="3" w:lineRule="exact"/>
        <w:rPr>
          <w:sz w:val="20"/>
          <w:szCs w:val="20"/>
          <w:color w:val="auto"/>
        </w:rPr>
      </w:pPr>
    </w:p>
    <w:p>
      <w:pPr>
        <w:ind w:left="1400" w:hanging="831"/>
        <w:spacing w:after="0" w:line="246" w:lineRule="auto"/>
        <w:tabs>
          <w:tab w:leader="none" w:pos="13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Four-Year Credit Agreement, dated as of June 17, 2011, among the Company, JPMorgan Chase Bank, N.A., J.P. Morgan Australia Limited, Wells Fargo Bank, N.A, The Royal Bank of Scotland PLC, HSBC Bank USA, The Bank of New York Mellon, PNC Bank, National Association, Bank of America, N.A., Citibank, N.A., and The Northern Trust Company (incorporated by reference to Exhibit 10.1 to the Company’s Current Report on Form 8-K dated June 17, 2011).</w:t>
      </w:r>
    </w:p>
    <w:p>
      <w:pPr>
        <w:spacing w:after="0" w:line="9"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Graham Holdings Company 2012 Incentive Compensation Plan, as amended and restated effective November 29, 2013.*</w:t>
      </w:r>
    </w:p>
    <w:p>
      <w:pPr>
        <w:spacing w:after="0" w:line="48" w:lineRule="exact"/>
        <w:rPr>
          <w:sz w:val="20"/>
          <w:szCs w:val="20"/>
          <w:color w:val="auto"/>
        </w:rPr>
      </w:pPr>
    </w:p>
    <w:p>
      <w:pPr>
        <w:jc w:val="right"/>
        <w:ind w:left="480" w:right="440"/>
        <w:spacing w:after="0" w:line="265" w:lineRule="auto"/>
        <w:rPr>
          <w:sz w:val="20"/>
          <w:szCs w:val="20"/>
          <w:color w:val="auto"/>
        </w:rPr>
      </w:pPr>
      <w:r>
        <w:rPr>
          <w:rFonts w:ascii="Arial" w:cs="Arial" w:eastAsia="Arial" w:hAnsi="Arial"/>
          <w:sz w:val="17"/>
          <w:szCs w:val="17"/>
          <w:color w:val="auto"/>
        </w:rPr>
        <w:t>10.2       Washington Post Company Stock Option Plan as amended and restated effective May 31, 2003 (incorporated by reference to Exhibit 10.1 to The Washington Post Company's Quarterly Report on Form 10-Q for the quarter ended September 28, 2003).*</w:t>
      </w:r>
    </w:p>
    <w:p>
      <w:pPr>
        <w:ind w:left="480"/>
        <w:spacing w:after="0"/>
        <w:tabs>
          <w:tab w:leader="none" w:pos="138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7"/>
          <w:szCs w:val="17"/>
          <w:color w:val="auto"/>
        </w:rPr>
        <w:t>Graham Holdings Company Supplemental Executive Retirement Plan as amended and restated effective December 10, 2013.*</w:t>
      </w:r>
    </w:p>
    <w:p>
      <w:pPr>
        <w:spacing w:after="0" w:line="48"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Graham Holdings Company Deferred Compensation Plan as amended and restated effective January 1, 2014.*</w:t>
      </w:r>
    </w:p>
    <w:p>
      <w:pPr>
        <w:spacing w:after="0" w:line="48" w:lineRule="exact"/>
        <w:rPr>
          <w:sz w:val="20"/>
          <w:szCs w:val="20"/>
          <w:color w:val="auto"/>
        </w:rPr>
      </w:pPr>
    </w:p>
    <w:p>
      <w:pPr>
        <w:ind w:left="1400" w:right="1040" w:hanging="926"/>
        <w:spacing w:after="0" w:line="265" w:lineRule="auto"/>
        <w:tabs>
          <w:tab w:leader="none" w:pos="138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Letter Agreement between the Company and Katharine Weymouth, dated October 1, 2013, addressing compensation arrangements through closing of transaction with Nash Holdings LLC.</w:t>
      </w:r>
    </w:p>
    <w:p>
      <w:pPr>
        <w:ind w:left="620"/>
        <w:spacing w:after="0"/>
        <w:tabs>
          <w:tab w:leader="none" w:pos="13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7"/>
          <w:szCs w:val="17"/>
          <w:color w:val="auto"/>
        </w:rPr>
        <w:t>List of subsidiaries of the Company.</w:t>
      </w:r>
    </w:p>
    <w:p>
      <w:pPr>
        <w:spacing w:after="0" w:line="75" w:lineRule="exact"/>
        <w:rPr>
          <w:sz w:val="20"/>
          <w:szCs w:val="20"/>
          <w:color w:val="auto"/>
        </w:rPr>
      </w:pPr>
    </w:p>
    <w:p>
      <w:pPr>
        <w:ind w:left="1400" w:hanging="785"/>
        <w:spacing w:after="0"/>
        <w:tabs>
          <w:tab w:leader="none" w:pos="14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Consent of independent registered public accounting firm.</w:t>
      </w:r>
    </w:p>
    <w:p>
      <w:pPr>
        <w:spacing w:after="0" w:line="74" w:lineRule="exact"/>
        <w:rPr>
          <w:rFonts w:ascii="Arial" w:cs="Arial" w:eastAsia="Arial" w:hAnsi="Arial"/>
          <w:sz w:val="17"/>
          <w:szCs w:val="17"/>
          <w:color w:val="auto"/>
        </w:rPr>
      </w:pPr>
    </w:p>
    <w:p>
      <w:pPr>
        <w:ind w:left="1400" w:hanging="785"/>
        <w:spacing w:after="0"/>
        <w:tabs>
          <w:tab w:leader="none" w:pos="14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Power of attorney dated February 20, 2014.</w:t>
      </w:r>
    </w:p>
    <w:p>
      <w:pPr>
        <w:spacing w:after="0" w:line="75"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Rule 13a-14(a)/15d-14(a) Certification of the Chief Executive Officer.</w:t>
      </w:r>
    </w:p>
    <w:p>
      <w:pPr>
        <w:spacing w:after="0" w:line="75" w:lineRule="exact"/>
        <w:rPr>
          <w:sz w:val="20"/>
          <w:szCs w:val="20"/>
          <w:color w:val="auto"/>
        </w:rPr>
      </w:pPr>
    </w:p>
    <w:p>
      <w:pPr>
        <w:ind w:left="480"/>
        <w:spacing w:after="0"/>
        <w:tabs>
          <w:tab w:leader="none" w:pos="138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Rule 13a-14(a)/15d-14(a) Certification of the Chief Financial Officer.</w:t>
      </w:r>
    </w:p>
    <w:p>
      <w:pPr>
        <w:spacing w:after="0" w:line="75" w:lineRule="exact"/>
        <w:rPr>
          <w:sz w:val="20"/>
          <w:szCs w:val="20"/>
          <w:color w:val="auto"/>
        </w:rPr>
      </w:pPr>
    </w:p>
    <w:p>
      <w:pPr>
        <w:ind w:left="620"/>
        <w:spacing w:after="0"/>
        <w:tabs>
          <w:tab w:leader="none" w:pos="13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color w:val="auto"/>
        </w:rPr>
        <w:t>Section 1350 Certification of the Chief Executive Officer and the Chief Financial Officer.</w:t>
      </w:r>
    </w:p>
    <w:p>
      <w:pPr>
        <w:spacing w:after="0" w:line="75" w:lineRule="exact"/>
        <w:rPr>
          <w:sz w:val="20"/>
          <w:szCs w:val="20"/>
          <w:color w:val="auto"/>
        </w:rPr>
      </w:pPr>
    </w:p>
    <w:p>
      <w:pPr>
        <w:ind w:left="1400" w:right="20" w:hanging="880"/>
        <w:spacing w:after="0" w:line="235" w:lineRule="auto"/>
        <w:tabs>
          <w:tab w:leader="none" w:pos="14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following financial information from Graham Holdings Company Annual Report on Form 10-K for the year ended December 31, 2013, formatted in Extensible Business Reporting Language (XBRL): (i) Consolidated Statements of Operations for the years ended December 31, 2013, 2012 and 2011; (ii) Consolidated Statements of Comprehensive Income for the years ended December 31, 2013, 2012 and 2011; (iii) Consolidated Balance Sheets as of December 31, 2013 and 2012; (iv) Consolidated Statements of Cash Flows for the years ended December 31, 2013, 2012 and 2011; (v) Consolidated Statements of Changes in Common Shareholders’ Equity for the years ended December 31, 2013, 2012 and 2011; and (vi) Notes to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sections.</w:t>
      </w:r>
    </w:p>
    <w:p>
      <w:pPr>
        <w:spacing w:after="0" w:line="13"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*A management contract or compensatory plan or arrangement required to be included as an exhibit hereto pursuant to Item 15(b) of Form 10-K.</w:t>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20"/>
          </w:cols>
          <w:pgMar w:left="240" w:top="736" w:right="33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8"/>
          <w:szCs w:val="18"/>
          <w:color w:val="auto"/>
        </w:rPr>
        <w:t>EXHIBIT 10.1</w:t>
      </w:r>
    </w:p>
    <w:p>
      <w:pPr>
        <w:spacing w:after="0" w:line="19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GRAHAM HOLDING COMPANY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INCENTIVE COMPENSATION PLAN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November 29, 2013</w:t>
      </w:r>
    </w:p>
    <w:p>
      <w:pPr>
        <w:spacing w:after="0" w:line="190" w:lineRule="exact"/>
        <w:rPr>
          <w:sz w:val="20"/>
          <w:szCs w:val="20"/>
          <w:color w:val="auto"/>
        </w:rPr>
      </w:pPr>
    </w:p>
    <w:p>
      <w:pPr>
        <w:ind w:left="780" w:hanging="772"/>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Purpose of the Plan</w:t>
      </w:r>
    </w:p>
    <w:p>
      <w:pPr>
        <w:spacing w:after="0" w:line="198" w:lineRule="exact"/>
        <w:rPr>
          <w:sz w:val="20"/>
          <w:szCs w:val="20"/>
          <w:color w:val="auto"/>
        </w:rPr>
      </w:pPr>
    </w:p>
    <w:p>
      <w:pPr>
        <w:jc w:val="both"/>
        <w:ind w:right="120" w:firstLine="770"/>
        <w:spacing w:after="0" w:line="302" w:lineRule="auto"/>
        <w:rPr>
          <w:sz w:val="20"/>
          <w:szCs w:val="20"/>
          <w:color w:val="auto"/>
        </w:rPr>
      </w:pPr>
      <w:r>
        <w:rPr>
          <w:rFonts w:ascii="Arial" w:cs="Arial" w:eastAsia="Arial" w:hAnsi="Arial"/>
          <w:sz w:val="18"/>
          <w:szCs w:val="18"/>
          <w:color w:val="auto"/>
        </w:rPr>
        <w:t>This Plan is intended to promote the interests of the Company and its shareholders by providing the employees and directors of the Company with incentives and rewards to encourage them to continue in the service of the Company and with a proprietary interest in pursuing the long-term growth, profitability and financial success of the Company.</w:t>
      </w:r>
    </w:p>
    <w:p>
      <w:pPr>
        <w:spacing w:after="0" w:line="110" w:lineRule="exact"/>
        <w:rPr>
          <w:sz w:val="20"/>
          <w:szCs w:val="20"/>
          <w:color w:val="auto"/>
        </w:rPr>
      </w:pPr>
    </w:p>
    <w:p>
      <w:pPr>
        <w:ind w:left="780" w:hanging="772"/>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98" w:lineRule="exact"/>
        <w:rPr>
          <w:sz w:val="20"/>
          <w:szCs w:val="20"/>
          <w:color w:val="auto"/>
        </w:rPr>
      </w:pPr>
    </w:p>
    <w:p>
      <w:pPr>
        <w:ind w:right="500" w:firstLine="770"/>
        <w:spacing w:after="0" w:line="323" w:lineRule="auto"/>
        <w:rPr>
          <w:sz w:val="20"/>
          <w:szCs w:val="20"/>
          <w:color w:val="auto"/>
        </w:rPr>
      </w:pPr>
      <w:r>
        <w:rPr>
          <w:rFonts w:ascii="Arial" w:cs="Arial" w:eastAsia="Arial" w:hAnsi="Arial"/>
          <w:sz w:val="18"/>
          <w:szCs w:val="18"/>
          <w:color w:val="auto"/>
        </w:rPr>
        <w:t>As used in the Plan or in any instrument governing the terms of any Incentive Award, the following definitions apply to the terms indicated below:</w:t>
      </w:r>
    </w:p>
    <w:p>
      <w:pPr>
        <w:spacing w:after="0" w:line="91" w:lineRule="exact"/>
        <w:rPr>
          <w:sz w:val="20"/>
          <w:szCs w:val="20"/>
          <w:color w:val="auto"/>
        </w:rPr>
      </w:pPr>
    </w:p>
    <w:p>
      <w:pPr>
        <w:ind w:left="1440" w:hanging="446"/>
        <w:spacing w:after="0"/>
        <w:tabs>
          <w:tab w:leader="none" w:pos="1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“Board of Directors” means the Board of Directors of GHC.</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“Cash Incentive Award” means an award granted pursuant to Section 8 of the Plan.</w:t>
      </w:r>
    </w:p>
    <w:p>
      <w:pPr>
        <w:spacing w:after="0" w:line="198" w:lineRule="exact"/>
        <w:rPr>
          <w:rFonts w:ascii="Arial" w:cs="Arial" w:eastAsia="Arial" w:hAnsi="Arial"/>
          <w:sz w:val="18"/>
          <w:szCs w:val="18"/>
          <w:color w:val="auto"/>
        </w:rPr>
      </w:pPr>
    </w:p>
    <w:p>
      <w:pPr>
        <w:ind w:left="1440" w:right="360" w:hanging="446"/>
        <w:spacing w:after="0" w:line="323" w:lineRule="auto"/>
        <w:tabs>
          <w:tab w:leader="none" w:pos="1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and all regulations, interpretations and administrative guidance issued thereunder.</w:t>
      </w:r>
    </w:p>
    <w:p>
      <w:pPr>
        <w:spacing w:after="0" w:line="91" w:lineRule="exact"/>
        <w:rPr>
          <w:rFonts w:ascii="Arial" w:cs="Arial" w:eastAsia="Arial" w:hAnsi="Arial"/>
          <w:sz w:val="18"/>
          <w:szCs w:val="18"/>
          <w:color w:val="auto"/>
        </w:rPr>
      </w:pPr>
    </w:p>
    <w:p>
      <w:pPr>
        <w:ind w:left="1440" w:right="520" w:hanging="446"/>
        <w:spacing w:after="0" w:line="302" w:lineRule="auto"/>
        <w:tabs>
          <w:tab w:leader="none" w:pos="1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of Directors or such other committee as the Board of Directors shall appoint from time to time to administer the Plan and to otherwise exercise and perform the authority and functions assigned to the Committee under the terms of the Plan.</w:t>
      </w:r>
    </w:p>
    <w:p>
      <w:pPr>
        <w:spacing w:after="0" w:line="109" w:lineRule="exact"/>
        <w:rPr>
          <w:rFonts w:ascii="Arial" w:cs="Arial" w:eastAsia="Arial" w:hAnsi="Arial"/>
          <w:sz w:val="18"/>
          <w:szCs w:val="18"/>
          <w:color w:val="auto"/>
        </w:rPr>
      </w:pPr>
    </w:p>
    <w:p>
      <w:pPr>
        <w:ind w:left="1440" w:right="480" w:hanging="446"/>
        <w:spacing w:after="0" w:line="323" w:lineRule="auto"/>
        <w:tabs>
          <w:tab w:leader="none" w:pos="1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“Common Stock” means GHC’s Class B Common Stock, $0.01 par value per share, or any other security into which the common stock shall be changed pursuant to the adjustment provisions of Section 10 of the Plan.</w:t>
      </w:r>
    </w:p>
    <w:p>
      <w:pPr>
        <w:spacing w:after="0" w:line="91" w:lineRule="exact"/>
        <w:rPr>
          <w:rFonts w:ascii="Arial" w:cs="Arial" w:eastAsia="Arial" w:hAnsi="Arial"/>
          <w:sz w:val="18"/>
          <w:szCs w:val="18"/>
          <w:color w:val="auto"/>
        </w:rPr>
      </w:pPr>
    </w:p>
    <w:p>
      <w:pPr>
        <w:ind w:left="1440" w:hanging="446"/>
        <w:spacing w:after="0"/>
        <w:tabs>
          <w:tab w:leader="none" w:pos="1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“Company” means Graham Holdings Company and all of its Subsidiaries, collectively.</w:t>
      </w:r>
    </w:p>
    <w:p>
      <w:pPr>
        <w:spacing w:after="0" w:line="198" w:lineRule="exact"/>
        <w:rPr>
          <w:rFonts w:ascii="Arial" w:cs="Arial" w:eastAsia="Arial" w:hAnsi="Arial"/>
          <w:sz w:val="18"/>
          <w:szCs w:val="18"/>
          <w:color w:val="auto"/>
        </w:rPr>
      </w:pPr>
    </w:p>
    <w:p>
      <w:pPr>
        <w:ind w:left="1440" w:right="780" w:hanging="446"/>
        <w:spacing w:after="0" w:line="323" w:lineRule="auto"/>
        <w:tabs>
          <w:tab w:leader="none" w:pos="1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“Covered Employee” means each Participant who is an executive officer (within the meaning of Rule 3b-7 under the Exchange Act) of Graham Holdings Company.</w:t>
      </w:r>
    </w:p>
    <w:p>
      <w:pPr>
        <w:spacing w:after="0" w:line="91" w:lineRule="exact"/>
        <w:rPr>
          <w:rFonts w:ascii="Arial" w:cs="Arial" w:eastAsia="Arial" w:hAnsi="Arial"/>
          <w:sz w:val="18"/>
          <w:szCs w:val="18"/>
          <w:color w:val="auto"/>
        </w:rPr>
      </w:pPr>
    </w:p>
    <w:p>
      <w:pPr>
        <w:ind w:left="1440" w:right="300" w:hanging="446"/>
        <w:spacing w:after="0" w:line="323" w:lineRule="auto"/>
        <w:tabs>
          <w:tab w:leader="none" w:pos="1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“Deferred Compensation Plan” means any plan, agreement or arrangement maintained by the Company from time to time that provides opportunities for deferral of compensation.</w:t>
      </w:r>
    </w:p>
    <w:p>
      <w:pPr>
        <w:spacing w:after="0" w:line="91" w:lineRule="exact"/>
        <w:rPr>
          <w:rFonts w:ascii="Arial" w:cs="Arial" w:eastAsia="Arial" w:hAnsi="Arial"/>
          <w:sz w:val="18"/>
          <w:szCs w:val="18"/>
          <w:color w:val="auto"/>
        </w:rPr>
      </w:pPr>
    </w:p>
    <w:p>
      <w:pPr>
        <w:ind w:left="1440" w:hanging="446"/>
        <w:spacing w:after="0"/>
        <w:tabs>
          <w:tab w:leader="none" w:pos="1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198" w:lineRule="exact"/>
        <w:rPr>
          <w:rFonts w:ascii="Arial" w:cs="Arial" w:eastAsia="Arial" w:hAnsi="Arial"/>
          <w:sz w:val="18"/>
          <w:szCs w:val="18"/>
          <w:color w:val="auto"/>
        </w:rPr>
      </w:pPr>
    </w:p>
    <w:p>
      <w:pPr>
        <w:ind w:left="1440" w:right="40" w:hanging="446"/>
        <w:spacing w:after="0" w:line="292" w:lineRule="auto"/>
        <w:tabs>
          <w:tab w:leader="none" w:pos="14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“Fair Market Value” means, with respect to a share of Common Stock, as of the applicable date of determination (i) the average of the high and low sales prices on the date of determination or, if not so reported for such day, the immediately preceding business day of a share of Common Stock as reported on the principal securities exchange on which shares of Common Stock are then listed or admitted to trading or (ii) if not so reported, the average of the closing bid and ask prices on the date of</w:t>
      </w:r>
    </w:p>
    <w:p>
      <w:pPr>
        <w:sectPr>
          <w:pgSz w:w="11900" w:h="16838" w:orient="portrait"/>
          <w:cols w:equalWidth="0" w:num="1">
            <w:col w:w="11420"/>
          </w:cols>
          <w:pgMar w:left="240" w:top="535" w:right="239" w:bottom="1440" w:gutter="0" w:footer="0" w:header="0"/>
        </w:sectPr>
      </w:pPr>
    </w:p>
    <w:bookmarkStart w:id="110" w:name="page111"/>
    <w:bookmarkEnd w:id="110"/>
    <w:p>
      <w:pPr>
        <w:ind w:left="446" w:right="80"/>
        <w:spacing w:after="0" w:line="354" w:lineRule="auto"/>
        <w:rPr>
          <w:sz w:val="20"/>
          <w:szCs w:val="20"/>
          <w:color w:val="auto"/>
        </w:rPr>
      </w:pPr>
      <w:r>
        <w:rPr>
          <w:rFonts w:ascii="Arial" w:cs="Arial" w:eastAsia="Arial" w:hAnsi="Arial"/>
          <w:sz w:val="18"/>
          <w:szCs w:val="18"/>
          <w:color w:val="auto"/>
        </w:rPr>
        <w:t>determination or, if not so reported for such day, on the immediately preceding business day as reported on the National Association of Securities Dealers Automated Quotation System or (iii) if not so reported, as furnished by any member of the National Association of Securities Dealers, Inc. selected by the Committee. In the event that the price of a share of Common Stock shall not be so reported, the Fair Market Value of a share of Common Stock shall be determined by the Committee in its sole discretion.</w:t>
      </w:r>
    </w:p>
    <w:p>
      <w:pPr>
        <w:spacing w:after="0" w:line="94" w:lineRule="exact"/>
        <w:rPr>
          <w:sz w:val="20"/>
          <w:szCs w:val="20"/>
          <w:color w:val="auto"/>
        </w:rPr>
      </w:pPr>
    </w:p>
    <w:p>
      <w:pPr>
        <w:ind w:left="446" w:hanging="446"/>
        <w:spacing w:after="0"/>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“GHC” means Graham Holdings Company, a Delaware corporation.</w:t>
      </w:r>
    </w:p>
    <w:p>
      <w:pPr>
        <w:spacing w:after="0" w:line="198" w:lineRule="exact"/>
        <w:rPr>
          <w:rFonts w:ascii="Arial" w:cs="Arial" w:eastAsia="Arial" w:hAnsi="Arial"/>
          <w:sz w:val="18"/>
          <w:szCs w:val="18"/>
          <w:color w:val="auto"/>
        </w:rPr>
      </w:pPr>
    </w:p>
    <w:p>
      <w:pPr>
        <w:ind w:left="446" w:hanging="446"/>
        <w:spacing w:after="0"/>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“Incentive Award” means one or more Stock Incentive Awards and Cash Incentive Awards, collectively.</w:t>
      </w:r>
    </w:p>
    <w:p>
      <w:pPr>
        <w:spacing w:after="0" w:line="198" w:lineRule="exact"/>
        <w:rPr>
          <w:rFonts w:ascii="Arial" w:cs="Arial" w:eastAsia="Arial" w:hAnsi="Arial"/>
          <w:sz w:val="18"/>
          <w:szCs w:val="18"/>
          <w:color w:val="auto"/>
        </w:rPr>
      </w:pPr>
    </w:p>
    <w:p>
      <w:pPr>
        <w:ind w:left="446" w:hanging="446"/>
        <w:spacing w:after="0"/>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“Option” means a stock option to purchase shares of Common Stock granted to a Participant pursuant to Section 6.</w:t>
      </w:r>
    </w:p>
    <w:p>
      <w:pPr>
        <w:spacing w:after="0" w:line="198" w:lineRule="exact"/>
        <w:rPr>
          <w:rFonts w:ascii="Arial" w:cs="Arial" w:eastAsia="Arial" w:hAnsi="Arial"/>
          <w:sz w:val="18"/>
          <w:szCs w:val="18"/>
          <w:color w:val="auto"/>
        </w:rPr>
      </w:pPr>
    </w:p>
    <w:p>
      <w:pPr>
        <w:ind w:left="446" w:hanging="446"/>
        <w:spacing w:after="0"/>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Stock-Based Award” means an award granted to a Participant pursuant to Section 7.</w:t>
      </w:r>
    </w:p>
    <w:p>
      <w:pPr>
        <w:spacing w:after="0" w:line="198" w:lineRule="exact"/>
        <w:rPr>
          <w:rFonts w:ascii="Arial" w:cs="Arial" w:eastAsia="Arial" w:hAnsi="Arial"/>
          <w:sz w:val="18"/>
          <w:szCs w:val="18"/>
          <w:color w:val="auto"/>
        </w:rPr>
      </w:pPr>
    </w:p>
    <w:p>
      <w:pPr>
        <w:ind w:left="446" w:right="260" w:hanging="446"/>
        <w:spacing w:after="0" w:line="302" w:lineRule="auto"/>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“Participant” means an employee or director of the Company who is eligible to participate in the Plan and to whom one or more Incentive Awards have been granted pursuant to the Plan and have not been fully settled or cancelled and, following the death of any such Person, his successors, heirs, executors and administrators, as the case may be.</w:t>
      </w:r>
    </w:p>
    <w:p>
      <w:pPr>
        <w:spacing w:after="0" w:line="109" w:lineRule="exact"/>
        <w:rPr>
          <w:rFonts w:ascii="Arial" w:cs="Arial" w:eastAsia="Arial" w:hAnsi="Arial"/>
          <w:sz w:val="18"/>
          <w:szCs w:val="18"/>
          <w:color w:val="auto"/>
        </w:rPr>
      </w:pPr>
    </w:p>
    <w:p>
      <w:pPr>
        <w:ind w:left="446" w:right="100" w:hanging="446"/>
        <w:spacing w:after="0" w:line="323" w:lineRule="auto"/>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“Performance-Based Compensation” means compensation that satisfies the requirements of Section 162(m) of the Code for deductibility of “qualified performance-based compensation.”</w:t>
      </w:r>
    </w:p>
    <w:p>
      <w:pPr>
        <w:spacing w:after="0" w:line="91" w:lineRule="exact"/>
        <w:rPr>
          <w:rFonts w:ascii="Arial" w:cs="Arial" w:eastAsia="Arial" w:hAnsi="Arial"/>
          <w:sz w:val="18"/>
          <w:szCs w:val="18"/>
          <w:color w:val="auto"/>
        </w:rPr>
      </w:pPr>
    </w:p>
    <w:p>
      <w:pPr>
        <w:ind w:left="446" w:right="400" w:hanging="446"/>
        <w:spacing w:after="0" w:line="323" w:lineRule="auto"/>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Measures” means such measures as are described in Section 9 on which performance goals are based in order to qualify certain awards granted hereunder as Performance-Based Compensation.</w:t>
      </w:r>
    </w:p>
    <w:p>
      <w:pPr>
        <w:spacing w:after="0" w:line="91" w:lineRule="exact"/>
        <w:rPr>
          <w:rFonts w:ascii="Arial" w:cs="Arial" w:eastAsia="Arial" w:hAnsi="Arial"/>
          <w:sz w:val="18"/>
          <w:szCs w:val="18"/>
          <w:color w:val="auto"/>
        </w:rPr>
      </w:pPr>
    </w:p>
    <w:p>
      <w:pPr>
        <w:ind w:left="446" w:hanging="446"/>
        <w:spacing w:after="0" w:line="323" w:lineRule="auto"/>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Percentage” means the factor determined pursuant to a Performance Schedule that is to be applied to a Target Award and that reflects actual performance compared to the Performance Target.</w:t>
      </w:r>
    </w:p>
    <w:p>
      <w:pPr>
        <w:spacing w:after="0" w:line="91" w:lineRule="exact"/>
        <w:rPr>
          <w:rFonts w:ascii="Arial" w:cs="Arial" w:eastAsia="Arial" w:hAnsi="Arial"/>
          <w:sz w:val="18"/>
          <w:szCs w:val="18"/>
          <w:color w:val="auto"/>
        </w:rPr>
      </w:pPr>
    </w:p>
    <w:p>
      <w:pPr>
        <w:ind w:left="446" w:right="380" w:hanging="446"/>
        <w:spacing w:after="0" w:line="302" w:lineRule="auto"/>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Period” means the period of time during which Performance Targets must be met in order to determine the degree of payout and/or vesting with respect to an Incentive Award that is intended to qualify as Performance-Based Compensation. Performance Periods may be overlapping.</w:t>
      </w:r>
    </w:p>
    <w:p>
      <w:pPr>
        <w:spacing w:after="0" w:line="109" w:lineRule="exact"/>
        <w:rPr>
          <w:rFonts w:ascii="Arial" w:cs="Arial" w:eastAsia="Arial" w:hAnsi="Arial"/>
          <w:sz w:val="18"/>
          <w:szCs w:val="18"/>
          <w:color w:val="auto"/>
        </w:rPr>
      </w:pPr>
    </w:p>
    <w:p>
      <w:pPr>
        <w:ind w:left="446" w:right="920" w:hanging="446"/>
        <w:spacing w:after="0" w:line="323" w:lineRule="auto"/>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Schedule” means a schedule or other objective method for determining the applicable Performance Percentage to be applied to each Target Award.</w:t>
      </w:r>
    </w:p>
    <w:p>
      <w:pPr>
        <w:spacing w:after="0" w:line="91" w:lineRule="exact"/>
        <w:rPr>
          <w:rFonts w:ascii="Arial" w:cs="Arial" w:eastAsia="Arial" w:hAnsi="Arial"/>
          <w:sz w:val="18"/>
          <w:szCs w:val="18"/>
          <w:color w:val="auto"/>
        </w:rPr>
      </w:pPr>
    </w:p>
    <w:p>
      <w:pPr>
        <w:ind w:left="446" w:hanging="446"/>
        <w:spacing w:after="0"/>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“Performance Target” means performance goals and objectives with respect to a Performance Period.</w:t>
      </w:r>
    </w:p>
    <w:p>
      <w:pPr>
        <w:spacing w:after="0" w:line="198" w:lineRule="exact"/>
        <w:rPr>
          <w:rFonts w:ascii="Arial" w:cs="Arial" w:eastAsia="Arial" w:hAnsi="Arial"/>
          <w:sz w:val="18"/>
          <w:szCs w:val="18"/>
          <w:color w:val="auto"/>
        </w:rPr>
      </w:pPr>
    </w:p>
    <w:p>
      <w:pPr>
        <w:ind w:left="446" w:right="20" w:hanging="446"/>
        <w:spacing w:after="0" w:line="323" w:lineRule="auto"/>
        <w:tabs>
          <w:tab w:leader="none" w:pos="4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 means a “person” as such term is used in Section 13(d) and 14(d) of the Exchange Act, including any “group” within the meaning of Section 13(d)(3) under the Exchange Act.</w:t>
      </w:r>
    </w:p>
    <w:p>
      <w:pPr>
        <w:sectPr>
          <w:pgSz w:w="11900" w:h="16838" w:orient="portrait"/>
          <w:cols w:equalWidth="0" w:num="1">
            <w:col w:w="10406"/>
          </w:cols>
          <w:pgMar w:left="1234" w:top="562" w:right="259" w:bottom="1440" w:gutter="0" w:footer="0" w:header="0"/>
        </w:sectPr>
      </w:pPr>
    </w:p>
    <w:bookmarkStart w:id="111" w:name="page112"/>
    <w:bookmarkEnd w:id="111"/>
    <w:p>
      <w:pPr>
        <w:ind w:left="1440" w:hanging="446"/>
        <w:spacing w:after="0"/>
        <w:tabs>
          <w:tab w:leader="none" w:pos="1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“Plan” means this 2012 Incentive Compensation Plan, as it may be amended from time to time.</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“Stock Incentive Award” means an Option or Other Stock-Based Award granted pursuant to the terms of the Plan.</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“Subsidiary” means any “subsidiary” within the meaning of Rule 405 under the Securities Act.</w:t>
      </w:r>
    </w:p>
    <w:p>
      <w:pPr>
        <w:spacing w:after="0" w:line="198" w:lineRule="exact"/>
        <w:rPr>
          <w:sz w:val="20"/>
          <w:szCs w:val="20"/>
          <w:color w:val="auto"/>
        </w:rPr>
      </w:pPr>
    </w:p>
    <w:p>
      <w:pPr>
        <w:ind w:left="1440" w:hanging="446"/>
        <w:spacing w:after="0"/>
        <w:tabs>
          <w:tab w:leader="none" w:pos="14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“Target Award” means target payout amount for an Incentive Award.</w:t>
      </w:r>
    </w:p>
    <w:p>
      <w:pPr>
        <w:spacing w:after="0" w:line="198" w:lineRule="exact"/>
        <w:rPr>
          <w:rFonts w:ascii="Arial" w:cs="Arial" w:eastAsia="Arial" w:hAnsi="Arial"/>
          <w:sz w:val="18"/>
          <w:szCs w:val="18"/>
          <w:color w:val="auto"/>
        </w:rPr>
      </w:pPr>
    </w:p>
    <w:p>
      <w:pPr>
        <w:ind w:left="780" w:hanging="772"/>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 and Limitations on Cash Incentive Awards</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p>
    <w:p>
      <w:pPr>
        <w:spacing w:after="0" w:line="198" w:lineRule="exact"/>
        <w:rPr>
          <w:sz w:val="20"/>
          <w:szCs w:val="20"/>
          <w:color w:val="auto"/>
        </w:rPr>
      </w:pPr>
    </w:p>
    <w:p>
      <w:pPr>
        <w:ind w:firstLine="770"/>
        <w:spacing w:after="0" w:line="295" w:lineRule="auto"/>
        <w:rPr>
          <w:sz w:val="20"/>
          <w:szCs w:val="20"/>
          <w:color w:val="auto"/>
        </w:rPr>
      </w:pPr>
      <w:r>
        <w:rPr>
          <w:rFonts w:ascii="Arial" w:cs="Arial" w:eastAsia="Arial" w:hAnsi="Arial"/>
          <w:sz w:val="18"/>
          <w:szCs w:val="18"/>
          <w:color w:val="auto"/>
        </w:rPr>
        <w:t>The maximum number of shares of Common Stock that may be covered by Incentive Awards granted under the Plan shall not exceed 500,000 shares of Common Stock in the aggregate. The shares referred to in the preceding sentence of this paragraph shall be subject to adjustment as provided in Section 10 and the following provisions of this Section 3. Shares of Common Stock issued under the Plan may be either authorized and unissued shares or treasury shares, or both, at the sole discretion of the Committee.</w:t>
      </w:r>
    </w:p>
    <w:p>
      <w:pPr>
        <w:spacing w:after="0" w:line="117" w:lineRule="exact"/>
        <w:rPr>
          <w:sz w:val="20"/>
          <w:szCs w:val="20"/>
          <w:color w:val="auto"/>
        </w:rPr>
      </w:pPr>
    </w:p>
    <w:p>
      <w:pPr>
        <w:ind w:right="20" w:firstLine="770"/>
        <w:spacing w:after="0" w:line="285" w:lineRule="auto"/>
        <w:rPr>
          <w:sz w:val="20"/>
          <w:szCs w:val="20"/>
          <w:color w:val="auto"/>
        </w:rPr>
      </w:pPr>
      <w:r>
        <w:rPr>
          <w:rFonts w:ascii="Arial" w:cs="Arial" w:eastAsia="Arial" w:hAnsi="Arial"/>
          <w:sz w:val="18"/>
          <w:szCs w:val="18"/>
          <w:color w:val="auto"/>
        </w:rPr>
        <w:t>For purposes of the preceding paragraph, shares of Common Stock covered by Incentive Awards shall only be counted as used to the extent they are actually issued and delivered to a Participant (or such Participant’s permitted transferees as described in the Plan) pursuant to the Plan. For purposes of clarification, in accordance with the preceding sentence if an Incentive Award is settled for cash or if shares of Common Stock are withheld to pay the exercise price of an Option or to satisfy any tax withholding requirement in connection with an Incentive Award, only the shares issued (if any), net of the shares withheld, will be deemed delivered for purposes of determining the number of shares of Common Stock that are available for delivery under the Plan. In addition, if shares of Common Stock are issued subject to conditions which may result in the forfeiture, cancellation or return of such shares to the Company, any portion of the shares forfeited, cancelled or returned shall be treated as not issued pursuant to the Plan. In addition, if shares of Common Stock owned by a Participant (or such Participant’s permitted transferees as described in the Plan) are tendered (either actually or through attestation) to the Company in payment of any obligation in connection with an Incentive Award, the number of shares tendered shall be added to the number of shares of Common Stock that are available for delivery under the Plan. Shares of Common Stock covered by Incentive Awards granted pursuant to the Plan in connection with the assumption, replacement, conversion or adjustment of outstanding equity-based awards in the context of a corporate acquisition or merger (within the meaning of Section 303A.08 of the New York Stock Exchange Listed Company Manual) shall not count as used under the Plan for purposes of this Section 3.</w:t>
      </w:r>
    </w:p>
    <w:p>
      <w:pPr>
        <w:spacing w:after="0" w:line="124" w:lineRule="exact"/>
        <w:rPr>
          <w:sz w:val="20"/>
          <w:szCs w:val="20"/>
          <w:color w:val="auto"/>
        </w:rPr>
      </w:pPr>
    </w:p>
    <w:p>
      <w:pPr>
        <w:ind w:left="1440" w:hanging="446"/>
        <w:spacing w:after="0"/>
        <w:tabs>
          <w:tab w:leader="none" w:pos="14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Individual Award Limits</w:t>
      </w:r>
    </w:p>
    <w:p>
      <w:pPr>
        <w:spacing w:after="0" w:line="198" w:lineRule="exact"/>
        <w:rPr>
          <w:sz w:val="20"/>
          <w:szCs w:val="20"/>
          <w:color w:val="auto"/>
        </w:rPr>
      </w:pPr>
    </w:p>
    <w:p>
      <w:pPr>
        <w:ind w:right="40" w:firstLine="770"/>
        <w:spacing w:after="0" w:line="302" w:lineRule="auto"/>
        <w:rPr>
          <w:sz w:val="20"/>
          <w:szCs w:val="20"/>
          <w:color w:val="auto"/>
        </w:rPr>
      </w:pPr>
      <w:r>
        <w:rPr>
          <w:rFonts w:ascii="Arial" w:cs="Arial" w:eastAsia="Arial" w:hAnsi="Arial"/>
          <w:sz w:val="18"/>
          <w:szCs w:val="18"/>
          <w:color w:val="auto"/>
        </w:rPr>
        <w:t>Subject to adjustment as provided in Section 10, the maximum number of shares of Common Stock that may be covered by Incentive Awards granted under the Plan to any Covered Employee in any calendar year shall not exceed 50,000 shares. The amount payable to any Covered Employee with respect to any calendar year for all Cash Incentive Awards shall not exceed $25 million. For purposes of</w:t>
      </w:r>
    </w:p>
    <w:p>
      <w:pPr>
        <w:sectPr>
          <w:pgSz w:w="11900" w:h="16838" w:orient="portrait"/>
          <w:cols w:equalWidth="0" w:num="1">
            <w:col w:w="11420"/>
          </w:cols>
          <w:pgMar w:left="240" w:top="535" w:right="239" w:bottom="1440" w:gutter="0" w:footer="0" w:header="0"/>
        </w:sectPr>
      </w:pPr>
    </w:p>
    <w:bookmarkStart w:id="112" w:name="page113"/>
    <w:bookmarkEnd w:id="112"/>
    <w:p>
      <w:pPr>
        <w:ind w:right="40"/>
        <w:spacing w:after="0" w:line="295" w:lineRule="auto"/>
        <w:rPr>
          <w:sz w:val="20"/>
          <w:szCs w:val="20"/>
          <w:color w:val="auto"/>
        </w:rPr>
      </w:pPr>
      <w:r>
        <w:rPr>
          <w:rFonts w:ascii="Arial" w:cs="Arial" w:eastAsia="Arial" w:hAnsi="Arial"/>
          <w:sz w:val="18"/>
          <w:szCs w:val="18"/>
          <w:color w:val="auto"/>
        </w:rPr>
        <w:t>the preceding sentences, the phrase “amount payable with respect to any calendar year” means the amount of cash, or value of other property, required to be paid based on the achievement of applicable Performance Measures during a Performance Period that ends in a calendar year, disregarding any deferral pursuant to the terms of a Deferred Compensation Plan unless the terms of the deferral are intended to comply with the requirements for performance-based compensation under Section 162(m) of the Code.</w:t>
      </w:r>
    </w:p>
    <w:p>
      <w:pPr>
        <w:spacing w:after="0" w:line="117" w:lineRule="exact"/>
        <w:rPr>
          <w:sz w:val="20"/>
          <w:szCs w:val="20"/>
          <w:color w:val="auto"/>
        </w:rPr>
      </w:pPr>
    </w:p>
    <w:p>
      <w:pPr>
        <w:ind w:left="780" w:hanging="772"/>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98" w:lineRule="exact"/>
        <w:rPr>
          <w:sz w:val="20"/>
          <w:szCs w:val="20"/>
          <w:color w:val="auto"/>
        </w:rPr>
      </w:pPr>
    </w:p>
    <w:p>
      <w:pPr>
        <w:ind w:firstLine="770"/>
        <w:spacing w:after="0" w:line="286" w:lineRule="auto"/>
        <w:rPr>
          <w:sz w:val="20"/>
          <w:szCs w:val="20"/>
          <w:color w:val="auto"/>
        </w:rPr>
      </w:pPr>
      <w:r>
        <w:rPr>
          <w:rFonts w:ascii="Arial" w:cs="Arial" w:eastAsia="Arial" w:hAnsi="Arial"/>
          <w:sz w:val="18"/>
          <w:szCs w:val="18"/>
          <w:color w:val="auto"/>
        </w:rPr>
        <w:t>The Plan shall be administered by a Committee of the Board of Directors consisting of two or more persons, each of whom qualifies as a “non-employee director” (within the meaning of Rule 16b-3 promulgated under Section 16 of the Exchange Act), an “outside director” within the meaning of Treasury Regulation Section 1.162-27(e)(3) and as “independent” within the meaning of any applicable stock exchange listing rules or similar regulatory authority. The Committee shall, consistent with the terms of the Plan, from time to time designate those employees and directors of the Company who shall be granted Incentive Awards under the Plan and the amount, type and other terms and conditions of such Incentive Awards. All of the powers and responsibilities of the Committee under the Plan may be delegated by the Committee to any subcommittee thereof. In addition, the Committee may from time to time authorize a subcommittee consisting of one or more members of the Board of Directors (including members who are employees of the Company) or employees of the Company to grant Incentive Awards, subject to such restrictions and limitation as the Committee may specify and to the requirements of Delaware General Corporation Law Section 157.</w:t>
      </w:r>
    </w:p>
    <w:p>
      <w:pPr>
        <w:spacing w:after="0" w:line="126" w:lineRule="exact"/>
        <w:rPr>
          <w:sz w:val="20"/>
          <w:szCs w:val="20"/>
          <w:color w:val="auto"/>
        </w:rPr>
      </w:pPr>
    </w:p>
    <w:p>
      <w:pPr>
        <w:ind w:firstLine="770"/>
        <w:spacing w:after="0" w:line="286" w:lineRule="auto"/>
        <w:rPr>
          <w:sz w:val="20"/>
          <w:szCs w:val="20"/>
          <w:color w:val="auto"/>
        </w:rPr>
      </w:pPr>
      <w:r>
        <w:rPr>
          <w:rFonts w:ascii="Arial" w:cs="Arial" w:eastAsia="Arial" w:hAnsi="Arial"/>
          <w:sz w:val="18"/>
          <w:szCs w:val="18"/>
          <w:color w:val="auto"/>
        </w:rPr>
        <w:t>The Committee shall have full discretionary authority to administer the Plan, including discretionary authority to interpret and construe any and all provisions of the Plan and the terms of any Incentive Award (and any agreement evidencing any Incentive Award) granted thereunder and to adopt and amend from time to time such rules and regulations for the administration of the Plan as the Committee may deem necessary or appropriate. Without limiting the generality of the foregoing, the Committee shall determine whether an authorized leave of absence, or absence in military or government service, shall constitute termination of employment. The employment of a Participant with the Company shall be deemed to have terminated for all purposes of the Plan if such Participant is employed by or provides services to a Person that is a Subsidiary of the Company and such Person ceases to be a Subsidiary of the Company, unless the Committee determines otherwise. A Participant who ceases to be an employee of the Company but continues, or simultaneously commences, services as a director of the Company shall not be deemed to have had a termination of employment for purposes of the Plan. Decisions of the Committee shall be final, binding and conclusive on all parties.</w:t>
      </w:r>
    </w:p>
    <w:p>
      <w:pPr>
        <w:spacing w:after="0" w:line="126" w:lineRule="exact"/>
        <w:rPr>
          <w:sz w:val="20"/>
          <w:szCs w:val="20"/>
          <w:color w:val="auto"/>
        </w:rPr>
      </w:pPr>
    </w:p>
    <w:p>
      <w:pPr>
        <w:ind w:right="40" w:firstLine="770"/>
        <w:spacing w:after="0" w:line="298" w:lineRule="auto"/>
        <w:rPr>
          <w:sz w:val="20"/>
          <w:szCs w:val="20"/>
          <w:color w:val="auto"/>
        </w:rPr>
      </w:pPr>
      <w:r>
        <w:rPr>
          <w:rFonts w:ascii="Arial" w:cs="Arial" w:eastAsia="Arial" w:hAnsi="Arial"/>
          <w:sz w:val="17"/>
          <w:szCs w:val="17"/>
          <w:color w:val="auto"/>
        </w:rPr>
        <w:t>On or after the date of grant of an Incentive Award under the Plan, the Committee may (i) accelerate the date on which any such Incentive Award becomes vested, exercisable or transferable, as the case may be, (ii) extend the term of any such Incentive Award, including, without limitation, extending the period following a termination of a Participant’s employment during which any such Incentive Award may remain outstanding, (iii) waive any conditions to the vesting, exercisability or transferability, as the case may be, of any such Incentive Award or</w:t>
      </w:r>
    </w:p>
    <w:p>
      <w:pPr>
        <w:spacing w:after="0" w:line="2" w:lineRule="exact"/>
        <w:rPr>
          <w:sz w:val="20"/>
          <w:szCs w:val="20"/>
          <w:color w:val="auto"/>
        </w:rPr>
      </w:pPr>
    </w:p>
    <w:p>
      <w:pPr>
        <w:ind w:right="100" w:firstLine="8"/>
        <w:spacing w:after="0" w:line="295" w:lineRule="auto"/>
        <w:tabs>
          <w:tab w:leader="none" w:pos="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provide for the payment of dividends or dividend equivalents with respect to any such Incentive Award;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Committee shall not have any such authority to the extent that the grant of such authority would cause any tax to become due under Section 409A of the Code. Notwithstanding anything herein to the contrary, the Company shall not reprice any stock option (within the meaning of Section 303A.08 of the New York Stock Exchange Listed Company Manual) without the approval of the shareholders of GHC.</w:t>
      </w:r>
    </w:p>
    <w:p>
      <w:pPr>
        <w:sectPr>
          <w:pgSz w:w="11900" w:h="16838" w:orient="portrait"/>
          <w:cols w:equalWidth="0" w:num="1">
            <w:col w:w="11420"/>
          </w:cols>
          <w:pgMar w:left="240" w:top="535" w:right="239" w:bottom="1440" w:gutter="0" w:footer="0" w:header="0"/>
        </w:sectPr>
      </w:pPr>
    </w:p>
    <w:bookmarkStart w:id="113" w:name="page114"/>
    <w:bookmarkEnd w:id="113"/>
    <w:p>
      <w:pPr>
        <w:ind w:right="80" w:firstLine="770"/>
        <w:spacing w:after="0" w:line="302" w:lineRule="auto"/>
        <w:rPr>
          <w:sz w:val="20"/>
          <w:szCs w:val="20"/>
          <w:color w:val="auto"/>
        </w:rPr>
      </w:pPr>
      <w:r>
        <w:rPr>
          <w:rFonts w:ascii="Arial" w:cs="Arial" w:eastAsia="Arial" w:hAnsi="Arial"/>
          <w:sz w:val="18"/>
          <w:szCs w:val="18"/>
          <w:color w:val="auto"/>
        </w:rPr>
        <w:t>The Company shall pay any amount payable with respect to an Incentive Award in accordance with the terms of such Incentive Award, provided that the Committee may, in its discretion, defer the payment of amounts payable with respect to an Incentive Award subject to and in accordance with the terms of a Deferred Compensation Plan.</w:t>
      </w:r>
    </w:p>
    <w:p>
      <w:pPr>
        <w:spacing w:after="0" w:line="110" w:lineRule="exact"/>
        <w:rPr>
          <w:sz w:val="20"/>
          <w:szCs w:val="20"/>
          <w:color w:val="auto"/>
        </w:rPr>
      </w:pPr>
    </w:p>
    <w:p>
      <w:pPr>
        <w:ind w:right="40" w:firstLine="770"/>
        <w:spacing w:after="0" w:line="290" w:lineRule="auto"/>
        <w:rPr>
          <w:sz w:val="20"/>
          <w:szCs w:val="20"/>
          <w:color w:val="auto"/>
        </w:rPr>
      </w:pPr>
      <w:r>
        <w:rPr>
          <w:rFonts w:ascii="Arial" w:cs="Arial" w:eastAsia="Arial" w:hAnsi="Arial"/>
          <w:sz w:val="18"/>
          <w:szCs w:val="18"/>
          <w:color w:val="auto"/>
        </w:rPr>
        <w:t>No member of the Committee shall be liable for any action, omission, or determination relating to the Plan, and GHC shall indemnify and hold harmless each member of the Committee and each other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or employee in bad faith and without reasonable belief that it was in the best interests of the Company.</w:t>
      </w:r>
    </w:p>
    <w:p>
      <w:pPr>
        <w:spacing w:after="0" w:line="120" w:lineRule="exact"/>
        <w:rPr>
          <w:sz w:val="20"/>
          <w:szCs w:val="20"/>
          <w:color w:val="auto"/>
        </w:rPr>
      </w:pPr>
    </w:p>
    <w:p>
      <w:pPr>
        <w:ind w:left="780" w:hanging="772"/>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198" w:lineRule="exact"/>
        <w:rPr>
          <w:sz w:val="20"/>
          <w:szCs w:val="20"/>
          <w:color w:val="auto"/>
        </w:rPr>
      </w:pPr>
    </w:p>
    <w:p>
      <w:pPr>
        <w:ind w:right="360" w:firstLine="770"/>
        <w:spacing w:after="0" w:line="302" w:lineRule="auto"/>
        <w:rPr>
          <w:sz w:val="20"/>
          <w:szCs w:val="20"/>
          <w:color w:val="auto"/>
        </w:rPr>
      </w:pPr>
      <w:r>
        <w:rPr>
          <w:rFonts w:ascii="Arial" w:cs="Arial" w:eastAsia="Arial" w:hAnsi="Arial"/>
          <w:sz w:val="18"/>
          <w:szCs w:val="18"/>
          <w:color w:val="auto"/>
        </w:rPr>
        <w:t>The Persons who shall be eligible to receive Incentive Awards pursuant to the Plan shall be those employees and directors of the Company whom the Committee shall select from time to time. Each Incentive Award granted under the Plan shall be evidenced by an instrument in writing in form and substance approved by the Committee.</w:t>
      </w:r>
    </w:p>
    <w:p>
      <w:pPr>
        <w:spacing w:after="0" w:line="110" w:lineRule="exact"/>
        <w:rPr>
          <w:sz w:val="20"/>
          <w:szCs w:val="20"/>
          <w:color w:val="auto"/>
        </w:rPr>
      </w:pPr>
    </w:p>
    <w:p>
      <w:pPr>
        <w:ind w:left="780" w:hanging="772"/>
        <w:spacing w:after="0"/>
        <w:tabs>
          <w:tab w:leader="none" w:pos="78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Options</w:t>
      </w:r>
    </w:p>
    <w:p>
      <w:pPr>
        <w:spacing w:after="0" w:line="19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Committee may from time to time grant Options, subject to the following terms and conditions:</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Exercise Price</w:t>
      </w:r>
    </w:p>
    <w:p>
      <w:pPr>
        <w:spacing w:after="0" w:line="198" w:lineRule="exact"/>
        <w:rPr>
          <w:sz w:val="20"/>
          <w:szCs w:val="20"/>
          <w:color w:val="auto"/>
        </w:rPr>
      </w:pPr>
    </w:p>
    <w:p>
      <w:pPr>
        <w:ind w:right="460" w:firstLine="770"/>
        <w:spacing w:after="0" w:line="323" w:lineRule="auto"/>
        <w:rPr>
          <w:sz w:val="20"/>
          <w:szCs w:val="20"/>
          <w:color w:val="auto"/>
        </w:rPr>
      </w:pPr>
      <w:r>
        <w:rPr>
          <w:rFonts w:ascii="Arial" w:cs="Arial" w:eastAsia="Arial" w:hAnsi="Arial"/>
          <w:sz w:val="18"/>
          <w:szCs w:val="18"/>
          <w:color w:val="auto"/>
        </w:rPr>
        <w:t>The exercise price per share of Common Stock covered by any Option shall be not less than 100% of the Fair Market Value of a share of Common Stock on the date on which such Option is granted.</w:t>
      </w:r>
    </w:p>
    <w:p>
      <w:pPr>
        <w:spacing w:after="0" w:line="91" w:lineRule="exact"/>
        <w:rPr>
          <w:sz w:val="20"/>
          <w:szCs w:val="20"/>
          <w:color w:val="auto"/>
        </w:rPr>
      </w:pPr>
    </w:p>
    <w:p>
      <w:pPr>
        <w:ind w:left="1440" w:hanging="446"/>
        <w:spacing w:after="0"/>
        <w:tabs>
          <w:tab w:leader="none" w:pos="1440"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Term and Exercise of Options</w:t>
      </w:r>
    </w:p>
    <w:p>
      <w:pPr>
        <w:spacing w:after="0" w:line="198" w:lineRule="exact"/>
        <w:rPr>
          <w:rFonts w:ascii="Arial" w:cs="Arial" w:eastAsia="Arial" w:hAnsi="Arial"/>
          <w:sz w:val="18"/>
          <w:szCs w:val="18"/>
          <w:color w:val="auto"/>
        </w:rPr>
      </w:pPr>
    </w:p>
    <w:p>
      <w:pPr>
        <w:ind w:firstLine="778"/>
        <w:spacing w:after="0" w:line="295" w:lineRule="auto"/>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Each Option shall become vested and exercisable on such date or dates, during such period and for such number of shares of Common Stock as shall be determined by the Committee on or after the date such Option is granted;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Option shall be exercisable after the expiration of ten years from the date such Option is granted;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each Option shall be subject to earlier termination, expiration or cancellation as provided in the Plan or in the agreement evidencing such Option.</w:t>
      </w:r>
    </w:p>
    <w:p>
      <w:pPr>
        <w:spacing w:after="0" w:line="116" w:lineRule="exact"/>
        <w:rPr>
          <w:rFonts w:ascii="Arial" w:cs="Arial" w:eastAsia="Arial" w:hAnsi="Arial"/>
          <w:sz w:val="18"/>
          <w:szCs w:val="18"/>
          <w:color w:val="auto"/>
        </w:rPr>
      </w:pPr>
    </w:p>
    <w:p>
      <w:pPr>
        <w:ind w:right="60" w:firstLine="778"/>
        <w:spacing w:after="0" w:line="302" w:lineRule="auto"/>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Each Option may be exercised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partial exercise of an Option shall be for an aggregate exercise price of less than $1,000. The partial exercise of an Option shall not cause the expiration, termination or cancellation of the remaining portion thereof.</w:t>
      </w:r>
    </w:p>
    <w:p>
      <w:pPr>
        <w:spacing w:after="0" w:line="109" w:lineRule="exact"/>
        <w:rPr>
          <w:rFonts w:ascii="Arial" w:cs="Arial" w:eastAsia="Arial" w:hAnsi="Arial"/>
          <w:sz w:val="18"/>
          <w:szCs w:val="18"/>
          <w:color w:val="auto"/>
        </w:rPr>
      </w:pPr>
    </w:p>
    <w:p>
      <w:pPr>
        <w:ind w:right="120" w:firstLine="778"/>
        <w:spacing w:after="0" w:line="323" w:lineRule="auto"/>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Option shall be exercised by such methods and procedures as the Committee determines from time to time, including without limitation through net physical settlement or other method of cashless exercise.</w:t>
      </w:r>
    </w:p>
    <w:p>
      <w:pPr>
        <w:spacing w:after="0" w:line="91" w:lineRule="exact"/>
        <w:rPr>
          <w:rFonts w:ascii="Arial" w:cs="Arial" w:eastAsia="Arial" w:hAnsi="Arial"/>
          <w:sz w:val="18"/>
          <w:szCs w:val="18"/>
          <w:color w:val="auto"/>
        </w:rPr>
      </w:pPr>
    </w:p>
    <w:p>
      <w:pPr>
        <w:ind w:right="120" w:firstLine="778"/>
        <w:spacing w:after="0" w:line="302" w:lineRule="auto"/>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Options may not be sold, pledged, assigned, hypothecated, transferred, or disposed of in any manner other than by will or by the laws of descent or distribution and may be exercised, during the lifetime of a Participant, only by the Participant;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Committee may permit in its</w:t>
      </w:r>
    </w:p>
    <w:p>
      <w:pPr>
        <w:sectPr>
          <w:pgSz w:w="11900" w:h="16838" w:orient="portrait"/>
          <w:cols w:equalWidth="0" w:num="1">
            <w:col w:w="11400"/>
          </w:cols>
          <w:pgMar w:left="240" w:top="535" w:right="259" w:bottom="1440" w:gutter="0" w:footer="0" w:header="0"/>
        </w:sectPr>
      </w:pPr>
    </w:p>
    <w:bookmarkStart w:id="114" w:name="page115"/>
    <w:bookmarkEnd w:id="114"/>
    <w:p>
      <w:pPr>
        <w:ind w:right="420"/>
        <w:spacing w:after="0" w:line="323" w:lineRule="auto"/>
        <w:rPr>
          <w:sz w:val="20"/>
          <w:szCs w:val="20"/>
          <w:color w:val="auto"/>
        </w:rPr>
      </w:pPr>
      <w:r>
        <w:rPr>
          <w:rFonts w:ascii="Arial" w:cs="Arial" w:eastAsia="Arial" w:hAnsi="Arial"/>
          <w:sz w:val="18"/>
          <w:szCs w:val="18"/>
          <w:color w:val="auto"/>
        </w:rPr>
        <w:t>discretion Options to be sold, pledged, assigned, hypothecated, transferred, or disposed of, on a general or specific basis, subject to such conditions and limitations as the Committee may determine.</w:t>
      </w:r>
    </w:p>
    <w:p>
      <w:pPr>
        <w:spacing w:after="0" w:line="91" w:lineRule="exact"/>
        <w:rPr>
          <w:sz w:val="20"/>
          <w:szCs w:val="20"/>
          <w:color w:val="auto"/>
        </w:rPr>
      </w:pPr>
    </w:p>
    <w:p>
      <w:pPr>
        <w:ind w:left="1440" w:hanging="446"/>
        <w:spacing w:after="0"/>
        <w:tabs>
          <w:tab w:leader="none" w:pos="14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Other Relationship</w:t>
      </w:r>
    </w:p>
    <w:p>
      <w:pPr>
        <w:spacing w:after="0" w:line="198" w:lineRule="exact"/>
        <w:rPr>
          <w:sz w:val="20"/>
          <w:szCs w:val="20"/>
          <w:color w:val="auto"/>
        </w:rPr>
      </w:pPr>
    </w:p>
    <w:p>
      <w:pPr>
        <w:ind w:firstLine="770"/>
        <w:spacing w:after="0" w:line="323" w:lineRule="auto"/>
        <w:rPr>
          <w:sz w:val="20"/>
          <w:szCs w:val="20"/>
          <w:color w:val="auto"/>
        </w:rPr>
      </w:pPr>
      <w:r>
        <w:rPr>
          <w:rFonts w:ascii="Arial" w:cs="Arial" w:eastAsia="Arial" w:hAnsi="Arial"/>
          <w:sz w:val="18"/>
          <w:szCs w:val="18"/>
          <w:color w:val="auto"/>
        </w:rPr>
        <w:t>The agreement evidencing the award of each Option shall specify the consequences with respect to such Option of the termination of the employment or other service between the Company and the Participant holding the Option.</w:t>
      </w:r>
    </w:p>
    <w:p>
      <w:pPr>
        <w:spacing w:after="0" w:line="91" w:lineRule="exact"/>
        <w:rPr>
          <w:sz w:val="20"/>
          <w:szCs w:val="20"/>
          <w:color w:val="auto"/>
        </w:rPr>
      </w:pPr>
    </w:p>
    <w:p>
      <w:pPr>
        <w:ind w:left="780" w:hanging="772"/>
        <w:spacing w:after="0"/>
        <w:tabs>
          <w:tab w:leader="none" w:pos="7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Other Stock-Based Awards</w:t>
      </w:r>
    </w:p>
    <w:p>
      <w:pPr>
        <w:spacing w:after="0" w:line="198" w:lineRule="exact"/>
        <w:rPr>
          <w:sz w:val="20"/>
          <w:szCs w:val="20"/>
          <w:color w:val="auto"/>
        </w:rPr>
      </w:pPr>
    </w:p>
    <w:p>
      <w:pPr>
        <w:ind w:firstLine="770"/>
        <w:spacing w:after="0" w:line="287" w:lineRule="auto"/>
        <w:rPr>
          <w:sz w:val="20"/>
          <w:szCs w:val="20"/>
          <w:color w:val="auto"/>
        </w:rPr>
      </w:pPr>
      <w:r>
        <w:rPr>
          <w:rFonts w:ascii="Arial" w:cs="Arial" w:eastAsia="Arial" w:hAnsi="Arial"/>
          <w:sz w:val="18"/>
          <w:szCs w:val="18"/>
          <w:color w:val="auto"/>
        </w:rPr>
        <w:t xml:space="preserve">The Committee may grant equity-based or equity-related awards not otherwise described herein in such amounts and subject to such terms and conditions as the Committee shall determine. Without limiting the generality of the preceding sentence, each such Other Stock-Based Award may (i) involve the transfer of actual shares of Common Stock to Participants, either at the time of grant or thereafter, or payment in cash or otherwise of amounts based on the value of shares of Common Stock, (ii) be subject to performance-based and/or service-based conditions, (iii) be in the form of stock appreciation rights, phantom stock, restricted stock, restricted stock units, performance shares, deferred share units or share-denominated performance units, (iv) be designed to comply with applicable laws of jurisdictions other than the United States and (v) be designed to qualify as Performance-Based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that each Other Stock-Based Award shall be denominated in, or shall have a value determined by reference to, a number of shares of Common Stock that is specified at the time of the grant of such award.</w:t>
      </w:r>
    </w:p>
    <w:p>
      <w:pPr>
        <w:spacing w:after="0" w:line="122" w:lineRule="exact"/>
        <w:rPr>
          <w:sz w:val="20"/>
          <w:szCs w:val="20"/>
          <w:color w:val="auto"/>
        </w:rPr>
      </w:pPr>
    </w:p>
    <w:p>
      <w:pPr>
        <w:ind w:left="780" w:hanging="772"/>
        <w:spacing w:after="0"/>
        <w:tabs>
          <w:tab w:leader="none" w:pos="7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Cash Incentive Awards</w:t>
      </w:r>
    </w:p>
    <w:p>
      <w:pPr>
        <w:spacing w:after="0" w:line="198" w:lineRule="exact"/>
        <w:rPr>
          <w:sz w:val="20"/>
          <w:szCs w:val="20"/>
          <w:color w:val="auto"/>
        </w:rPr>
      </w:pPr>
    </w:p>
    <w:p>
      <w:pPr>
        <w:ind w:right="60" w:firstLine="770"/>
        <w:spacing w:after="0" w:line="295" w:lineRule="auto"/>
        <w:rPr>
          <w:sz w:val="20"/>
          <w:szCs w:val="20"/>
          <w:color w:val="auto"/>
        </w:rPr>
      </w:pPr>
      <w:r>
        <w:rPr>
          <w:rFonts w:ascii="Arial" w:cs="Arial" w:eastAsia="Arial" w:hAnsi="Arial"/>
          <w:sz w:val="18"/>
          <w:szCs w:val="18"/>
          <w:color w:val="auto"/>
        </w:rPr>
        <w:t>The Committee may grant Cash Incentive Awards with respect to any Performance Period, subject to the terms and conditions of the Plan. Cash Incentive Awards may be settled in cash or in other property, including shares of Common Stock, provided that the term “Cash Incentive Award” shall exclude any Stock Incentive Award. Cash Incentive Awards may be designed to qualify as Performance-Based Compensation.</w:t>
      </w:r>
    </w:p>
    <w:p>
      <w:pPr>
        <w:spacing w:after="0" w:line="117" w:lineRule="exact"/>
        <w:rPr>
          <w:sz w:val="20"/>
          <w:szCs w:val="20"/>
          <w:color w:val="auto"/>
        </w:rPr>
      </w:pPr>
    </w:p>
    <w:p>
      <w:pPr>
        <w:ind w:left="780" w:hanging="772"/>
        <w:spacing w:after="0"/>
        <w:tabs>
          <w:tab w:leader="none" w:pos="7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Performance-Based Compensation</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1"/>
          <w:numId w:val="95"/>
        </w:numPr>
        <w:rPr>
          <w:rFonts w:ascii="Arial" w:cs="Arial" w:eastAsia="Arial" w:hAnsi="Arial"/>
          <w:sz w:val="18"/>
          <w:szCs w:val="18"/>
          <w:color w:val="auto"/>
        </w:rPr>
      </w:pPr>
      <w:r>
        <w:rPr>
          <w:rFonts w:ascii="Arial" w:cs="Arial" w:eastAsia="Arial" w:hAnsi="Arial"/>
          <w:sz w:val="18"/>
          <w:szCs w:val="18"/>
          <w:u w:val="single" w:color="auto"/>
          <w:color w:val="auto"/>
        </w:rPr>
        <w:t>Calculation</w:t>
      </w:r>
    </w:p>
    <w:p>
      <w:pPr>
        <w:spacing w:after="0" w:line="198" w:lineRule="exact"/>
        <w:rPr>
          <w:sz w:val="20"/>
          <w:szCs w:val="20"/>
          <w:color w:val="auto"/>
        </w:rPr>
      </w:pPr>
    </w:p>
    <w:p>
      <w:pPr>
        <w:ind w:right="360" w:firstLine="770"/>
        <w:spacing w:after="0" w:line="323" w:lineRule="auto"/>
        <w:rPr>
          <w:sz w:val="20"/>
          <w:szCs w:val="20"/>
          <w:color w:val="auto"/>
        </w:rPr>
      </w:pPr>
      <w:r>
        <w:rPr>
          <w:rFonts w:ascii="Arial" w:cs="Arial" w:eastAsia="Arial" w:hAnsi="Arial"/>
          <w:sz w:val="18"/>
          <w:szCs w:val="18"/>
          <w:color w:val="auto"/>
        </w:rPr>
        <w:t>The amount payable with respect to an Incentive Award that is intended to qualify as Performance-Based Compensation shall be determined in any manner permitted by Section 162(m) of the Code.</w:t>
      </w:r>
    </w:p>
    <w:p>
      <w:pPr>
        <w:spacing w:after="0" w:line="91" w:lineRule="exact"/>
        <w:rPr>
          <w:sz w:val="20"/>
          <w:szCs w:val="20"/>
          <w:color w:val="auto"/>
        </w:rPr>
      </w:pPr>
    </w:p>
    <w:p>
      <w:pPr>
        <w:ind w:left="1440" w:hanging="446"/>
        <w:spacing w:after="0"/>
        <w:tabs>
          <w:tab w:leader="none" w:pos="14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Discretionary Reduction</w:t>
      </w:r>
    </w:p>
    <w:p>
      <w:pPr>
        <w:spacing w:after="0" w:line="198" w:lineRule="exact"/>
        <w:rPr>
          <w:sz w:val="20"/>
          <w:szCs w:val="20"/>
          <w:color w:val="auto"/>
        </w:rPr>
      </w:pPr>
    </w:p>
    <w:p>
      <w:pPr>
        <w:ind w:right="200" w:firstLine="770"/>
        <w:spacing w:after="0" w:line="292" w:lineRule="auto"/>
        <w:rPr>
          <w:sz w:val="20"/>
          <w:szCs w:val="20"/>
          <w:color w:val="auto"/>
        </w:rPr>
      </w:pPr>
      <w:r>
        <w:rPr>
          <w:rFonts w:ascii="Arial" w:cs="Arial" w:eastAsia="Arial" w:hAnsi="Arial"/>
          <w:sz w:val="18"/>
          <w:szCs w:val="18"/>
          <w:color w:val="auto"/>
        </w:rPr>
        <w:t>Unless otherwise specified in the agreement evidencing the grant of an Incentive Award that is intended to qualify as Performance-Based Compensation, the Committee may, in its discretion, reduce or eliminate the amount payable to any Participant with respect to the Incentive Award, based on such factors as the Committee may deem relevant, but the Committee may not increase any such amount above the amount established in accordance with the relevant Performance Schedule. For purposes of clarity, the Committee may exercise the discretion provided for by the foregoing sentence in a non-uniform manner among Participants.</w:t>
      </w:r>
    </w:p>
    <w:p>
      <w:pPr>
        <w:sectPr>
          <w:pgSz w:w="11900" w:h="16838" w:orient="portrait"/>
          <w:cols w:equalWidth="0" w:num="1">
            <w:col w:w="11380"/>
          </w:cols>
          <w:pgMar w:left="240" w:top="535" w:right="279" w:bottom="1440" w:gutter="0" w:footer="0" w:header="0"/>
        </w:sectPr>
      </w:pPr>
    </w:p>
    <w:bookmarkStart w:id="115" w:name="page116"/>
    <w:bookmarkEnd w:id="115"/>
    <w:p>
      <w:pPr>
        <w:ind w:left="1440" w:hanging="446"/>
        <w:spacing w:after="0"/>
        <w:tabs>
          <w:tab w:leader="none" w:pos="144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Performance Measures</w:t>
      </w:r>
    </w:p>
    <w:p>
      <w:pPr>
        <w:spacing w:after="0" w:line="198" w:lineRule="exact"/>
        <w:rPr>
          <w:sz w:val="20"/>
          <w:szCs w:val="20"/>
          <w:color w:val="auto"/>
        </w:rPr>
      </w:pPr>
    </w:p>
    <w:p>
      <w:pPr>
        <w:ind w:right="20" w:firstLine="770"/>
        <w:spacing w:after="0" w:line="287" w:lineRule="auto"/>
        <w:rPr>
          <w:sz w:val="20"/>
          <w:szCs w:val="20"/>
          <w:color w:val="auto"/>
        </w:rPr>
      </w:pPr>
      <w:r>
        <w:rPr>
          <w:rFonts w:ascii="Arial" w:cs="Arial" w:eastAsia="Arial" w:hAnsi="Arial"/>
          <w:sz w:val="18"/>
          <w:szCs w:val="18"/>
          <w:color w:val="auto"/>
        </w:rPr>
        <w:t>The performance goals upon which the payment or vesting of any Incentive Award (other than Options and stock appreciation rights) that is intended to qualify as Performance-Based Compensation depends shall relate to one or more of the following Performance Measures: market price of Common Stock, earnings per share of Common Stock, net income or profit (before or after taxes), return on stockholder equity, cash flow, return on assets, earnings before interest and taxes, earnings before interest, taxes, depreciation and amortization, earnings from continuing operations, sales or revenues, capital or investment, market share, cost reduction goals, budget comparisons, implementation or completion of specified projects or processes, the formation of joint ventures, research or development collaborations, or the completion of other transactions, any other measure of financial performance that can be determined pursuant to U.S. generally accepted accounting principles, or any combination of any of the foregoing.</w:t>
      </w:r>
    </w:p>
    <w:p>
      <w:pPr>
        <w:spacing w:after="0" w:line="127" w:lineRule="exact"/>
        <w:rPr>
          <w:sz w:val="20"/>
          <w:szCs w:val="20"/>
          <w:color w:val="auto"/>
        </w:rPr>
      </w:pPr>
    </w:p>
    <w:p>
      <w:pPr>
        <w:ind w:right="40" w:firstLine="770"/>
        <w:spacing w:after="0" w:line="288" w:lineRule="auto"/>
        <w:rPr>
          <w:sz w:val="20"/>
          <w:szCs w:val="20"/>
          <w:color w:val="auto"/>
        </w:rPr>
      </w:pPr>
      <w:r>
        <w:rPr>
          <w:rFonts w:ascii="Arial" w:cs="Arial" w:eastAsia="Arial" w:hAnsi="Arial"/>
          <w:sz w:val="18"/>
          <w:szCs w:val="18"/>
          <w:color w:val="auto"/>
        </w:rPr>
        <w:t>A Performance Measure (i) may relate to the performance of the Participant, GHC, a Subsidiary, any business group, any business unit or other subdivision of the Company, or any combination of the foregoing, as the Committee deems appropriate and (ii) may be expressed as an amount, as an increase or decrease over a specified period, as a relative comparison to the performance of a group of comparator companies or a published or special index, or any other external measure of the selected performance criteria, as the Committee deems appropriate. The measurement of any Performance Measure may exclude the impact of charges for restructurings, discontinued operations, extraordinary items, and other unusual or non-recurring items, and the cumulative effects of accounting changes, each as defined by generally accepted accounting principles and as identified in the Company’s audited financial statements, including the notes thereto.</w:t>
      </w:r>
    </w:p>
    <w:p>
      <w:pPr>
        <w:spacing w:after="0" w:line="125" w:lineRule="exact"/>
        <w:rPr>
          <w:sz w:val="20"/>
          <w:szCs w:val="20"/>
          <w:color w:val="auto"/>
        </w:rPr>
      </w:pPr>
    </w:p>
    <w:p>
      <w:pPr>
        <w:ind w:left="1440" w:hanging="446"/>
        <w:spacing w:after="0"/>
        <w:tabs>
          <w:tab w:leader="none" w:pos="14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Performance Schedules</w:t>
      </w:r>
    </w:p>
    <w:p>
      <w:pPr>
        <w:spacing w:after="0" w:line="198" w:lineRule="exact"/>
        <w:rPr>
          <w:sz w:val="20"/>
          <w:szCs w:val="20"/>
          <w:color w:val="auto"/>
        </w:rPr>
      </w:pPr>
    </w:p>
    <w:p>
      <w:pPr>
        <w:ind w:firstLine="770"/>
        <w:spacing w:after="0" w:line="302" w:lineRule="auto"/>
        <w:rPr>
          <w:sz w:val="20"/>
          <w:szCs w:val="20"/>
          <w:color w:val="auto"/>
        </w:rPr>
      </w:pPr>
      <w:r>
        <w:rPr>
          <w:rFonts w:ascii="Arial" w:cs="Arial" w:eastAsia="Arial" w:hAnsi="Arial"/>
          <w:sz w:val="18"/>
          <w:szCs w:val="18"/>
          <w:color w:val="auto"/>
        </w:rPr>
        <w:t>Within 90 days after the beginning of a Performance Period, and in any case before 25% of the Performance Period has elapsed, the Committee shall establish (a) Performance Targets for such Performance Period, (b) Target Awards for each Participant, and (c) Performance Schedules for such Performance Period.</w:t>
      </w:r>
    </w:p>
    <w:p>
      <w:pPr>
        <w:spacing w:after="0" w:line="110" w:lineRule="exact"/>
        <w:rPr>
          <w:sz w:val="20"/>
          <w:szCs w:val="20"/>
          <w:color w:val="auto"/>
        </w:rPr>
      </w:pPr>
    </w:p>
    <w:p>
      <w:pPr>
        <w:ind w:left="1440" w:hanging="446"/>
        <w:spacing w:after="0"/>
        <w:tabs>
          <w:tab w:leader="none" w:pos="14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p>
    <w:p>
      <w:pPr>
        <w:spacing w:after="0" w:line="198" w:lineRule="exact"/>
        <w:rPr>
          <w:sz w:val="20"/>
          <w:szCs w:val="20"/>
          <w:color w:val="auto"/>
        </w:rPr>
      </w:pPr>
    </w:p>
    <w:p>
      <w:pPr>
        <w:ind w:right="60" w:firstLine="770"/>
        <w:spacing w:after="0" w:line="295" w:lineRule="auto"/>
        <w:rPr>
          <w:sz w:val="20"/>
          <w:szCs w:val="20"/>
          <w:color w:val="auto"/>
        </w:rPr>
      </w:pPr>
      <w:r>
        <w:rPr>
          <w:rFonts w:ascii="Arial" w:cs="Arial" w:eastAsia="Arial" w:hAnsi="Arial"/>
          <w:sz w:val="18"/>
          <w:szCs w:val="18"/>
          <w:color w:val="auto"/>
        </w:rPr>
        <w:t>The consequences with respect to a Performance-Based Award of the termination of employment of the Participant holding the Performance-Based Award shall be determined by the Committee in its sole discretion and set forth in the applicable Award Agreement, it being intended that no agreement providing for a payment to a Participant upon termination of employment without cause shall be given effect to the extent that it would cause an Incentive Award that was intended to qualify as a Performance-Based Award to fail to so qualify.</w:t>
      </w:r>
    </w:p>
    <w:p>
      <w:pPr>
        <w:spacing w:after="0" w:line="117" w:lineRule="exact"/>
        <w:rPr>
          <w:sz w:val="20"/>
          <w:szCs w:val="20"/>
          <w:color w:val="auto"/>
        </w:rPr>
      </w:pPr>
    </w:p>
    <w:p>
      <w:pPr>
        <w:ind w:left="1440" w:hanging="446"/>
        <w:spacing w:after="0"/>
        <w:tabs>
          <w:tab w:leader="none" w:pos="14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Committee Discretion</w:t>
      </w:r>
    </w:p>
    <w:p>
      <w:pPr>
        <w:spacing w:after="0" w:line="198" w:lineRule="exact"/>
        <w:rPr>
          <w:sz w:val="20"/>
          <w:szCs w:val="20"/>
          <w:color w:val="auto"/>
        </w:rPr>
      </w:pPr>
    </w:p>
    <w:p>
      <w:pPr>
        <w:ind w:right="20" w:firstLine="770"/>
        <w:spacing w:after="0" w:line="302" w:lineRule="auto"/>
        <w:rPr>
          <w:sz w:val="20"/>
          <w:szCs w:val="20"/>
          <w:color w:val="auto"/>
        </w:rPr>
      </w:pPr>
      <w:r>
        <w:rPr>
          <w:rFonts w:ascii="Arial" w:cs="Arial" w:eastAsia="Arial" w:hAnsi="Arial"/>
          <w:sz w:val="18"/>
          <w:szCs w:val="18"/>
          <w:color w:val="auto"/>
        </w:rPr>
        <w:t>Nothing in this Section 9 is intended to limit the Committee’s discretion to adopt conditions with respect to any Incentive Award that is not intended to qualify as Performance-Based Compensation. In addition, the Committee may, subject to the terms of the Plan, amend previously granted Incentive Awards in a way that disqualifies them as Performance-Based Compensation.</w:t>
      </w:r>
    </w:p>
    <w:p>
      <w:pPr>
        <w:sectPr>
          <w:pgSz w:w="11900" w:h="16838" w:orient="portrait"/>
          <w:cols w:equalWidth="0" w:num="1">
            <w:col w:w="11360"/>
          </w:cols>
          <w:pgMar w:left="240" w:top="940" w:right="299" w:bottom="1440" w:gutter="0" w:footer="0" w:header="0"/>
        </w:sectPr>
      </w:pPr>
    </w:p>
    <w:bookmarkStart w:id="116" w:name="page117"/>
    <w:bookmarkEnd w:id="116"/>
    <w:p>
      <w:pPr>
        <w:ind w:left="780" w:hanging="772"/>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Adjustment Upon Certain Changes</w:t>
      </w:r>
    </w:p>
    <w:p>
      <w:pPr>
        <w:spacing w:after="0" w:line="198" w:lineRule="exact"/>
        <w:rPr>
          <w:sz w:val="20"/>
          <w:szCs w:val="20"/>
          <w:color w:val="auto"/>
        </w:rPr>
      </w:pPr>
    </w:p>
    <w:p>
      <w:pPr>
        <w:ind w:right="100" w:firstLine="770"/>
        <w:spacing w:after="0" w:line="323" w:lineRule="auto"/>
        <w:rPr>
          <w:sz w:val="20"/>
          <w:szCs w:val="20"/>
          <w:color w:val="auto"/>
        </w:rPr>
      </w:pPr>
      <w:r>
        <w:rPr>
          <w:rFonts w:ascii="Arial" w:cs="Arial" w:eastAsia="Arial" w:hAnsi="Arial"/>
          <w:sz w:val="18"/>
          <w:szCs w:val="18"/>
          <w:color w:val="auto"/>
        </w:rPr>
        <w:t>Subject to any action by the shareholders of GHC required by law, applicable tax rules or the rules of any exchange on which shares of common stock of GHC are listed for trading:</w:t>
      </w:r>
    </w:p>
    <w:p>
      <w:pPr>
        <w:spacing w:after="0" w:line="91" w:lineRule="exact"/>
        <w:rPr>
          <w:sz w:val="20"/>
          <w:szCs w:val="20"/>
          <w:color w:val="auto"/>
        </w:rPr>
      </w:pPr>
    </w:p>
    <w:p>
      <w:pPr>
        <w:ind w:left="1440" w:hanging="446"/>
        <w:spacing w:after="0"/>
        <w:tabs>
          <w:tab w:leader="none" w:pos="144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Shares Available for Grants</w:t>
      </w:r>
    </w:p>
    <w:p>
      <w:pPr>
        <w:spacing w:after="0" w:line="198" w:lineRule="exact"/>
        <w:rPr>
          <w:sz w:val="20"/>
          <w:szCs w:val="20"/>
          <w:color w:val="auto"/>
        </w:rPr>
      </w:pPr>
    </w:p>
    <w:p>
      <w:pPr>
        <w:ind w:right="40" w:firstLine="770"/>
        <w:spacing w:after="0" w:line="288" w:lineRule="auto"/>
        <w:rPr>
          <w:sz w:val="20"/>
          <w:szCs w:val="20"/>
          <w:color w:val="auto"/>
        </w:rPr>
      </w:pPr>
      <w:r>
        <w:rPr>
          <w:rFonts w:ascii="Arial" w:cs="Arial" w:eastAsia="Arial" w:hAnsi="Arial"/>
          <w:sz w:val="18"/>
          <w:szCs w:val="18"/>
          <w:color w:val="auto"/>
        </w:rPr>
        <w:t>In the event of any change in the number or type of shares of common stock of GHC outstanding by reason of any stock dividend or split, recapitalization, merger, consolidation, combination or exchange of shares or similar corporate change, the type and maximum aggregate number of shares of Common Stock with respect to which the Committee may grant Incentive Awards and the maximum aggregate number of shares of Common Stock with respect to which the Committee may grant Incentive Awards to any individual Participant in any year shall be appropriately adjusted by the Committee. In the event of any change in the type or number of shares of common stock of GHC outstanding by reason of any other event or transaction, the Committee may, to the extent deemed appropriate by the Committee, make such adjustments in the number and class of shares of Common Stock with respect to which Incentive Awards may be granted.</w:t>
      </w:r>
    </w:p>
    <w:p>
      <w:pPr>
        <w:spacing w:after="0" w:line="125" w:lineRule="exact"/>
        <w:rPr>
          <w:sz w:val="20"/>
          <w:szCs w:val="20"/>
          <w:color w:val="auto"/>
        </w:rPr>
      </w:pPr>
    </w:p>
    <w:p>
      <w:pPr>
        <w:ind w:left="1440" w:hanging="446"/>
        <w:spacing w:after="0"/>
        <w:tabs>
          <w:tab w:leader="none" w:pos="14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Increase or Decrease in Issued Shares Without Consideration</w:t>
      </w:r>
    </w:p>
    <w:p>
      <w:pPr>
        <w:spacing w:after="0" w:line="198" w:lineRule="exact"/>
        <w:rPr>
          <w:sz w:val="20"/>
          <w:szCs w:val="20"/>
          <w:color w:val="auto"/>
        </w:rPr>
      </w:pPr>
    </w:p>
    <w:p>
      <w:pPr>
        <w:ind w:firstLine="770"/>
        <w:spacing w:after="0" w:line="292" w:lineRule="auto"/>
        <w:rPr>
          <w:sz w:val="20"/>
          <w:szCs w:val="20"/>
          <w:color w:val="auto"/>
        </w:rPr>
      </w:pPr>
      <w:r>
        <w:rPr>
          <w:rFonts w:ascii="Arial" w:cs="Arial" w:eastAsia="Arial" w:hAnsi="Arial"/>
          <w:sz w:val="18"/>
          <w:szCs w:val="18"/>
          <w:color w:val="auto"/>
        </w:rPr>
        <w:t>In the event of any increase or decrease in the type or number of issued shares of common stock of GHC resulting from a subdivision or consolidation of shares of common stock of GHC or the payment of a stock dividend (but only on the shares of common stock of GHC), or any other increase or decrease in the number of such shares effected without receipt or payment of consideration by the Company, the Committee may, to the extent deemed appropriate by the Committee, adjust the type or number of shares of Common Stock subject to each outstanding Incentive Award and the exercise price per share of Common Stock of each such Incentive Award.</w:t>
      </w:r>
    </w:p>
    <w:p>
      <w:pPr>
        <w:spacing w:after="0" w:line="118" w:lineRule="exact"/>
        <w:rPr>
          <w:sz w:val="20"/>
          <w:szCs w:val="20"/>
          <w:color w:val="auto"/>
        </w:rPr>
      </w:pPr>
    </w:p>
    <w:p>
      <w:pPr>
        <w:ind w:left="1440" w:hanging="446"/>
        <w:spacing w:after="0"/>
        <w:tabs>
          <w:tab w:leader="none" w:pos="144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Certain Mergers</w:t>
      </w:r>
    </w:p>
    <w:p>
      <w:pPr>
        <w:spacing w:after="0" w:line="198" w:lineRule="exact"/>
        <w:rPr>
          <w:sz w:val="20"/>
          <w:szCs w:val="20"/>
          <w:color w:val="auto"/>
        </w:rPr>
      </w:pPr>
    </w:p>
    <w:p>
      <w:pPr>
        <w:ind w:right="240" w:firstLine="770"/>
        <w:spacing w:after="0" w:line="292" w:lineRule="auto"/>
        <w:rPr>
          <w:sz w:val="20"/>
          <w:szCs w:val="20"/>
          <w:color w:val="auto"/>
        </w:rPr>
      </w:pPr>
      <w:r>
        <w:rPr>
          <w:rFonts w:ascii="Arial" w:cs="Arial" w:eastAsia="Arial" w:hAnsi="Arial"/>
          <w:sz w:val="18"/>
          <w:szCs w:val="18"/>
          <w:color w:val="auto"/>
        </w:rPr>
        <w:t>In the event of any merger, consolidation or similar transaction as a result of which the holders of shares of Common Stock receive consideration consisting exclusively of securities of the surviving corporation in such transaction, the Committee may, to the extent deemed appropriate by the Committee, adjust each Incentive Award outstanding on the date of such merger or consolidation so that it pertains and applies to the securities which a holder of the number of shares of Common Stock subject to such Incentive Award would have received in such merger or consolidation.</w:t>
      </w:r>
    </w:p>
    <w:p>
      <w:pPr>
        <w:spacing w:after="0" w:line="118" w:lineRule="exact"/>
        <w:rPr>
          <w:sz w:val="20"/>
          <w:szCs w:val="20"/>
          <w:color w:val="auto"/>
        </w:rPr>
      </w:pPr>
    </w:p>
    <w:p>
      <w:pPr>
        <w:ind w:left="1440" w:hanging="446"/>
        <w:spacing w:after="0"/>
        <w:tabs>
          <w:tab w:leader="none" w:pos="14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Certain Other Transactions</w:t>
      </w:r>
    </w:p>
    <w:p>
      <w:pPr>
        <w:spacing w:after="0" w:line="198" w:lineRule="exact"/>
        <w:rPr>
          <w:sz w:val="20"/>
          <w:szCs w:val="20"/>
          <w:color w:val="auto"/>
        </w:rPr>
      </w:pPr>
    </w:p>
    <w:p>
      <w:pPr>
        <w:ind w:right="180" w:firstLine="770"/>
        <w:spacing w:after="0" w:line="295" w:lineRule="auto"/>
        <w:rPr>
          <w:sz w:val="20"/>
          <w:szCs w:val="20"/>
          <w:color w:val="auto"/>
        </w:rPr>
      </w:pPr>
      <w:r>
        <w:rPr>
          <w:rFonts w:ascii="Arial" w:cs="Arial" w:eastAsia="Arial" w:hAnsi="Arial"/>
          <w:sz w:val="18"/>
          <w:szCs w:val="18"/>
          <w:color w:val="auto"/>
        </w:rPr>
        <w:t>In the event of (i) a dissolution or liquidation of GHC, (ii) a sale of all or substantially all of the Company’s assets (on a consolidated basis), or (iii) a merger, consolidation or similar transaction involving GHC in which the holders of shares of Common Stock receive securities and/or other property, including cash, other than shares of the surviving corporation in such transaction, the Committee shall, in its sole discretion, have the power to:</w:t>
      </w:r>
    </w:p>
    <w:p>
      <w:pPr>
        <w:spacing w:after="0" w:line="117" w:lineRule="exact"/>
        <w:rPr>
          <w:sz w:val="20"/>
          <w:szCs w:val="20"/>
          <w:color w:val="auto"/>
        </w:rPr>
      </w:pPr>
    </w:p>
    <w:p>
      <w:pPr>
        <w:ind w:left="780" w:right="180" w:firstLine="768"/>
        <w:spacing w:after="0" w:line="295" w:lineRule="auto"/>
        <w:tabs>
          <w:tab w:leader="none" w:pos="1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cancel, effective immediately prior to the occurrence of such event, each Incentive Award (whether or not then exercisable or vested), and, in full consideration of such cancellation, pay to the Participant to whom such Incentive Award was granted an amount in cash, for each share of Common Stock subject to such Incentive Award, equal to the value, as determined by the Committee, of such Incentive Award, provided that with respect to any</w:t>
      </w:r>
    </w:p>
    <w:p>
      <w:pPr>
        <w:sectPr>
          <w:pgSz w:w="11900" w:h="16838" w:orient="portrait"/>
          <w:cols w:equalWidth="0" w:num="1">
            <w:col w:w="11400"/>
          </w:cols>
          <w:pgMar w:left="240" w:top="535" w:right="259" w:bottom="1440" w:gutter="0" w:footer="0" w:header="0"/>
        </w:sectPr>
      </w:pPr>
    </w:p>
    <w:bookmarkStart w:id="117" w:name="page118"/>
    <w:bookmarkEnd w:id="117"/>
    <w:p>
      <w:pPr>
        <w:ind w:left="780" w:right="420"/>
        <w:spacing w:after="0" w:line="302" w:lineRule="auto"/>
        <w:rPr>
          <w:sz w:val="20"/>
          <w:szCs w:val="20"/>
          <w:color w:val="auto"/>
        </w:rPr>
      </w:pPr>
      <w:r>
        <w:rPr>
          <w:rFonts w:ascii="Arial" w:cs="Arial" w:eastAsia="Arial" w:hAnsi="Arial"/>
          <w:sz w:val="18"/>
          <w:szCs w:val="18"/>
          <w:color w:val="auto"/>
        </w:rPr>
        <w:t>outstanding Option such value shall be equal to the excess of (A) the value, as determined by the Committee, of the property (including cash) received by the holder of a share of Common Stock as a result of such event over (B) the exercise price of such Option; or</w:t>
      </w:r>
    </w:p>
    <w:p>
      <w:pPr>
        <w:spacing w:after="0" w:line="110" w:lineRule="exact"/>
        <w:rPr>
          <w:sz w:val="20"/>
          <w:szCs w:val="20"/>
          <w:color w:val="auto"/>
        </w:rPr>
      </w:pPr>
    </w:p>
    <w:p>
      <w:pPr>
        <w:ind w:left="780" w:right="100" w:firstLine="768"/>
        <w:spacing w:after="0" w:line="290" w:lineRule="auto"/>
        <w:tabs>
          <w:tab w:leader="none" w:pos="18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provide for the exchange of each Incentive Award (whether or not then exercisable or vested) for an Incentive Award with respect to some or all of the property which a holder of the number of shares of Common Stock subject to such Incentive Award would have received in such transaction and, incident thereto, make an equitable adjustment as determined by the Committee in the exercise price of the Incentive Award, or the number of shares or amount of property subject to the Incentive Award or provide for a payment (in cash or other property) to the Participant to whom such Incentive Award was granted in partial consideration for the exchange of the Incentive Award.</w:t>
      </w:r>
    </w:p>
    <w:p>
      <w:pPr>
        <w:spacing w:after="0" w:line="119" w:lineRule="exact"/>
        <w:rPr>
          <w:rFonts w:ascii="Arial" w:cs="Arial" w:eastAsia="Arial" w:hAnsi="Arial"/>
          <w:sz w:val="18"/>
          <w:szCs w:val="18"/>
          <w:color w:val="auto"/>
        </w:rPr>
      </w:pPr>
    </w:p>
    <w:p>
      <w:pPr>
        <w:ind w:left="1440" w:hanging="446"/>
        <w:spacing w:after="0"/>
        <w:tabs>
          <w:tab w:leader="none" w:pos="144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Other Changes</w:t>
      </w:r>
    </w:p>
    <w:p>
      <w:pPr>
        <w:spacing w:after="0" w:line="198" w:lineRule="exact"/>
        <w:rPr>
          <w:sz w:val="20"/>
          <w:szCs w:val="20"/>
          <w:color w:val="auto"/>
        </w:rPr>
      </w:pPr>
    </w:p>
    <w:p>
      <w:pPr>
        <w:ind w:right="100" w:firstLine="770"/>
        <w:spacing w:after="0" w:line="292" w:lineRule="auto"/>
        <w:rPr>
          <w:sz w:val="20"/>
          <w:szCs w:val="20"/>
          <w:color w:val="auto"/>
        </w:rPr>
      </w:pPr>
      <w:r>
        <w:rPr>
          <w:rFonts w:ascii="Arial" w:cs="Arial" w:eastAsia="Arial" w:hAnsi="Arial"/>
          <w:sz w:val="18"/>
          <w:szCs w:val="18"/>
          <w:color w:val="auto"/>
        </w:rPr>
        <w:t>In the event of any change in the capitalization of GHC or corporate change other than those specifically referred to in paragraphs 10(b), (c) or (d), the Committee may make such adjustments in the number and class of shares subject to Stock Incentive Awards outstanding on the date on which such change occurs and in such other terms of such Incentive Awards, including without limitation in any Performance Schedule, Performance Target or Target Award, as the Committee may consider appropriate, provided that if any such Incentive Award is intended to be Performance-Based Compensation such adjustment is consistent with the requirements of Section 162(m) of the Code.</w:t>
      </w:r>
    </w:p>
    <w:p>
      <w:pPr>
        <w:spacing w:after="0" w:line="118" w:lineRule="exact"/>
        <w:rPr>
          <w:sz w:val="20"/>
          <w:szCs w:val="20"/>
          <w:color w:val="auto"/>
        </w:rPr>
      </w:pPr>
    </w:p>
    <w:p>
      <w:pPr>
        <w:ind w:left="1440" w:hanging="446"/>
        <w:spacing w:after="0"/>
        <w:tabs>
          <w:tab w:leader="none" w:pos="14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Cash Incentive Awards</w:t>
      </w:r>
    </w:p>
    <w:p>
      <w:pPr>
        <w:spacing w:after="0" w:line="198" w:lineRule="exact"/>
        <w:rPr>
          <w:sz w:val="20"/>
          <w:szCs w:val="20"/>
          <w:color w:val="auto"/>
        </w:rPr>
      </w:pPr>
    </w:p>
    <w:p>
      <w:pPr>
        <w:ind w:right="40" w:firstLine="770"/>
        <w:spacing w:after="0" w:line="292" w:lineRule="auto"/>
        <w:rPr>
          <w:sz w:val="20"/>
          <w:szCs w:val="20"/>
          <w:color w:val="auto"/>
        </w:rPr>
      </w:pPr>
      <w:r>
        <w:rPr>
          <w:rFonts w:ascii="Arial" w:cs="Arial" w:eastAsia="Arial" w:hAnsi="Arial"/>
          <w:sz w:val="18"/>
          <w:szCs w:val="18"/>
          <w:color w:val="auto"/>
        </w:rPr>
        <w:t>In the event of any transaction or event described in this Section 10, including without limitation any corporate change referred to in paragraph (e) hereof, the Committee may, in its sole discretion, make such adjustments in any Performance Schedule, Performance Target or Target Award, and in such other terms of any Cash Incentive Award, as the Committee may consider appropriate in respect of such transaction or event, provided that if such Cash Incentive Award is intended to be Performance-Based Compensation such adjustment is consistent with the requirements of Section 162(m) of the Code.</w:t>
      </w:r>
    </w:p>
    <w:p>
      <w:pPr>
        <w:spacing w:after="0" w:line="118" w:lineRule="exact"/>
        <w:rPr>
          <w:sz w:val="20"/>
          <w:szCs w:val="20"/>
          <w:color w:val="auto"/>
        </w:rPr>
      </w:pPr>
    </w:p>
    <w:p>
      <w:pPr>
        <w:ind w:left="1440" w:hanging="446"/>
        <w:spacing w:after="0"/>
        <w:tabs>
          <w:tab w:leader="none" w:pos="144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 Other Rights</w:t>
      </w:r>
    </w:p>
    <w:p>
      <w:pPr>
        <w:spacing w:after="0" w:line="198" w:lineRule="exact"/>
        <w:rPr>
          <w:sz w:val="20"/>
          <w:szCs w:val="20"/>
          <w:color w:val="auto"/>
        </w:rPr>
      </w:pPr>
    </w:p>
    <w:p>
      <w:pPr>
        <w:ind w:right="20" w:firstLine="770"/>
        <w:spacing w:after="0" w:line="292" w:lineRule="auto"/>
        <w:rPr>
          <w:sz w:val="20"/>
          <w:szCs w:val="20"/>
          <w:color w:val="auto"/>
        </w:rPr>
      </w:pPr>
      <w:r>
        <w:rPr>
          <w:rFonts w:ascii="Arial" w:cs="Arial" w:eastAsia="Arial" w:hAnsi="Arial"/>
          <w:sz w:val="18"/>
          <w:szCs w:val="18"/>
          <w:color w:val="auto"/>
        </w:rPr>
        <w:t>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GHC or any other corporation. Except as expressly provided in the Plan, no issuance by GHC of shares of stock of any class, or securities convertible into shares of stock of any class, shall affect, and no adjustment by reason thereof shall be made with respect to, the number of shares or amount of other property subject to, or the terms related to, any Incentive Award.</w:t>
      </w:r>
    </w:p>
    <w:p>
      <w:pPr>
        <w:spacing w:after="0" w:line="118" w:lineRule="exact"/>
        <w:rPr>
          <w:sz w:val="20"/>
          <w:szCs w:val="20"/>
          <w:color w:val="auto"/>
        </w:rPr>
      </w:pPr>
    </w:p>
    <w:p>
      <w:pPr>
        <w:ind w:left="1440" w:hanging="446"/>
        <w:spacing w:after="0"/>
        <w:tabs>
          <w:tab w:leader="none" w:pos="14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Savings Clause</w:t>
      </w:r>
    </w:p>
    <w:p>
      <w:pPr>
        <w:spacing w:after="0" w:line="198" w:lineRule="exact"/>
        <w:rPr>
          <w:sz w:val="20"/>
          <w:szCs w:val="20"/>
          <w:color w:val="auto"/>
        </w:rPr>
      </w:pPr>
    </w:p>
    <w:p>
      <w:pPr>
        <w:ind w:right="520" w:firstLine="770"/>
        <w:spacing w:after="0" w:line="323" w:lineRule="auto"/>
        <w:rPr>
          <w:sz w:val="20"/>
          <w:szCs w:val="20"/>
          <w:color w:val="auto"/>
        </w:rPr>
      </w:pPr>
      <w:r>
        <w:rPr>
          <w:rFonts w:ascii="Arial" w:cs="Arial" w:eastAsia="Arial" w:hAnsi="Arial"/>
          <w:sz w:val="18"/>
          <w:szCs w:val="18"/>
          <w:color w:val="auto"/>
        </w:rPr>
        <w:t>No provision of this Section 10 shall be given effect to the extent that such provision would cause any tax to become due under Section 409A of the Code.</w:t>
      </w:r>
    </w:p>
    <w:p>
      <w:pPr>
        <w:spacing w:after="0" w:line="91" w:lineRule="exact"/>
        <w:rPr>
          <w:sz w:val="20"/>
          <w:szCs w:val="20"/>
          <w:color w:val="auto"/>
        </w:rPr>
      </w:pPr>
    </w:p>
    <w:p>
      <w:pPr>
        <w:ind w:left="780" w:hanging="772"/>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Rights Under the Plan</w:t>
      </w:r>
    </w:p>
    <w:p>
      <w:pPr>
        <w:spacing w:after="0" w:line="198" w:lineRule="exact"/>
        <w:rPr>
          <w:sz w:val="20"/>
          <w:szCs w:val="20"/>
          <w:color w:val="auto"/>
        </w:rPr>
      </w:pPr>
    </w:p>
    <w:p>
      <w:pPr>
        <w:ind w:firstLine="770"/>
        <w:spacing w:after="0" w:line="323" w:lineRule="auto"/>
        <w:rPr>
          <w:sz w:val="20"/>
          <w:szCs w:val="20"/>
          <w:color w:val="auto"/>
        </w:rPr>
      </w:pPr>
      <w:r>
        <w:rPr>
          <w:rFonts w:ascii="Arial" w:cs="Arial" w:eastAsia="Arial" w:hAnsi="Arial"/>
          <w:sz w:val="18"/>
          <w:szCs w:val="18"/>
          <w:color w:val="auto"/>
        </w:rPr>
        <w:t>No Person shall have any rights as a stockholder with respect to any shares of Common Stock covered by or relating to any Incentive Award until the date of the issuance of such shares on the books</w:t>
      </w:r>
    </w:p>
    <w:p>
      <w:pPr>
        <w:sectPr>
          <w:pgSz w:w="11900" w:h="16838" w:orient="portrait"/>
          <w:cols w:equalWidth="0" w:num="1">
            <w:col w:w="11400"/>
          </w:cols>
          <w:pgMar w:left="240" w:top="535" w:right="259" w:bottom="1440" w:gutter="0" w:footer="0" w:header="0"/>
        </w:sectPr>
      </w:pPr>
    </w:p>
    <w:bookmarkStart w:id="118" w:name="page119"/>
    <w:bookmarkEnd w:id="118"/>
    <w:p>
      <w:pPr>
        <w:ind w:right="40"/>
        <w:spacing w:after="0" w:line="295" w:lineRule="auto"/>
        <w:rPr>
          <w:sz w:val="20"/>
          <w:szCs w:val="20"/>
          <w:color w:val="auto"/>
        </w:rPr>
      </w:pPr>
      <w:r>
        <w:rPr>
          <w:rFonts w:ascii="Arial" w:cs="Arial" w:eastAsia="Arial" w:hAnsi="Arial"/>
          <w:sz w:val="18"/>
          <w:szCs w:val="18"/>
          <w:color w:val="auto"/>
        </w:rPr>
        <w:t>and records of GHC. Except as otherwise expressly provided in Section 10 hereof, no adjustment of any Incentive Award shall be made for dividends or other rights for which the record date occurs prior to the date of such issuance. Nothing in this Section 11 is intended, or should be construed, to limit authority of the Committee to cause the Company to make payments based on the dividends that would be payable with respect to any share of Common Stock if it were issued or outstanding, or from granting rights related to such dividends.</w:t>
      </w:r>
    </w:p>
    <w:p>
      <w:pPr>
        <w:spacing w:after="0" w:line="117" w:lineRule="exact"/>
        <w:rPr>
          <w:sz w:val="20"/>
          <w:szCs w:val="20"/>
          <w:color w:val="auto"/>
        </w:rPr>
      </w:pPr>
    </w:p>
    <w:p>
      <w:pPr>
        <w:ind w:right="80" w:firstLine="770"/>
        <w:spacing w:after="0" w:line="302" w:lineRule="auto"/>
        <w:rPr>
          <w:sz w:val="20"/>
          <w:szCs w:val="20"/>
          <w:color w:val="auto"/>
        </w:rPr>
      </w:pPr>
      <w:r>
        <w:rPr>
          <w:rFonts w:ascii="Arial" w:cs="Arial" w:eastAsia="Arial" w:hAnsi="Arial"/>
          <w:sz w:val="18"/>
          <w:szCs w:val="18"/>
          <w:color w:val="auto"/>
        </w:rPr>
        <w:t>The Company shall not have any obligation to establish any separate fund or trust or other segregation of assets to provide for payments under the Plan. To the extent any person acquires any rights to receive payments hereunder from the Company, such rights shall be no greater than those of an unsecured creditor.</w:t>
      </w:r>
    </w:p>
    <w:p>
      <w:pPr>
        <w:spacing w:after="0" w:line="110" w:lineRule="exact"/>
        <w:rPr>
          <w:sz w:val="20"/>
          <w:szCs w:val="20"/>
          <w:color w:val="auto"/>
        </w:rPr>
      </w:pPr>
    </w:p>
    <w:p>
      <w:pPr>
        <w:ind w:left="780" w:hanging="772"/>
        <w:spacing w:after="0"/>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No Special Employment Rights; No Right to Incentive Award</w:t>
      </w:r>
    </w:p>
    <w:p>
      <w:pPr>
        <w:spacing w:after="0" w:line="198" w:lineRule="exact"/>
        <w:rPr>
          <w:rFonts w:ascii="Arial" w:cs="Arial" w:eastAsia="Arial" w:hAnsi="Arial"/>
          <w:sz w:val="18"/>
          <w:szCs w:val="18"/>
          <w:color w:val="auto"/>
        </w:rPr>
      </w:pPr>
    </w:p>
    <w:p>
      <w:pPr>
        <w:ind w:firstLine="778"/>
        <w:spacing w:after="0" w:line="295" w:lineRule="auto"/>
        <w:tabs>
          <w:tab w:leader="none" w:pos="10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Nothing contained in the Plan or any Incentive Award shall confer upon any Participant any right with respect to the continuation of his employment by or service to the Company or interfere in any way with the right of the Company at any time to terminate such employment or service or to increase or decrease the compensation of the Participant from the rate in existence at the time of the grant of an Incentive Award.</w:t>
      </w:r>
    </w:p>
    <w:p>
      <w:pPr>
        <w:spacing w:after="0" w:line="116" w:lineRule="exact"/>
        <w:rPr>
          <w:rFonts w:ascii="Arial" w:cs="Arial" w:eastAsia="Arial" w:hAnsi="Arial"/>
          <w:sz w:val="18"/>
          <w:szCs w:val="18"/>
          <w:color w:val="auto"/>
        </w:rPr>
      </w:pPr>
    </w:p>
    <w:p>
      <w:pPr>
        <w:jc w:val="both"/>
        <w:ind w:right="60" w:firstLine="778"/>
        <w:spacing w:after="0" w:line="327" w:lineRule="auto"/>
        <w:tabs>
          <w:tab w:leader="none" w:pos="104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No person shall have any claim or right to receive an Incentive Award hereunder. The Committee’s granting of an Incentive Award to a Participant at any time shall neither require the Committee to grant an Incentive Award to such Participant or any other Participant or other person at any time nor preclude the Committee from making subsequent grants to such Participant or any other Participant or other person.</w:t>
      </w:r>
    </w:p>
    <w:p>
      <w:pPr>
        <w:spacing w:after="0" w:line="92" w:lineRule="exact"/>
        <w:rPr>
          <w:rFonts w:ascii="Arial" w:cs="Arial" w:eastAsia="Arial" w:hAnsi="Arial"/>
          <w:sz w:val="17"/>
          <w:szCs w:val="17"/>
          <w:color w:val="auto"/>
        </w:rPr>
      </w:pPr>
    </w:p>
    <w:p>
      <w:pPr>
        <w:ind w:left="780" w:hanging="772"/>
        <w:spacing w:after="0"/>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Securities Matters</w:t>
      </w:r>
    </w:p>
    <w:p>
      <w:pPr>
        <w:spacing w:after="0" w:line="198" w:lineRule="exact"/>
        <w:rPr>
          <w:rFonts w:ascii="Arial" w:cs="Arial" w:eastAsia="Arial" w:hAnsi="Arial"/>
          <w:sz w:val="18"/>
          <w:szCs w:val="18"/>
          <w:color w:val="auto"/>
        </w:rPr>
      </w:pPr>
    </w:p>
    <w:p>
      <w:pPr>
        <w:ind w:right="120" w:firstLine="778"/>
        <w:spacing w:after="0" w:line="288" w:lineRule="auto"/>
        <w:tabs>
          <w:tab w:leader="none" w:pos="10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GHC shall be under no obligation to effect the registration pursuant to the Securities Act of any shares of Common Stock to be issued hereunder or to effect similar compliance under any state laws. Notwithstanding anything herein to the contrary, GHC shall not be obligated to cause to be issued any shares of Common Stock pursuant to the Plan unless and until GHC is advised by its counsel that the issuance of such shares is in compliance with all applicable laws, regulations of governmental authority and the requirements of any securities exchange on which shares of Common Stock are traded. The Committee may require, as a condition to the issuance of shares of Common Stock pursuant to the terms hereof, that the recipient of such shares make such covenants, agreements and representations, and that any certificates representing such shares bear such legends, as the Committee deems necessary or desirable.</w:t>
      </w:r>
    </w:p>
    <w:p>
      <w:pPr>
        <w:spacing w:after="0" w:line="125" w:lineRule="exact"/>
        <w:rPr>
          <w:rFonts w:ascii="Arial" w:cs="Arial" w:eastAsia="Arial" w:hAnsi="Arial"/>
          <w:sz w:val="18"/>
          <w:szCs w:val="18"/>
          <w:color w:val="auto"/>
        </w:rPr>
      </w:pPr>
    </w:p>
    <w:p>
      <w:pPr>
        <w:ind w:right="20" w:firstLine="778"/>
        <w:spacing w:after="0" w:line="287" w:lineRule="auto"/>
        <w:tabs>
          <w:tab w:leader="none" w:pos="104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exercise of any Option granted hereunder shall only be effective at such time as counsel to GHC shall have determined that the issuance of shares of Common Stock pursuant to such exercise is in compliance with all applicable laws, regulations of governmental authority and the requirements of any securities exchange on which shares of Common Stock are traded. GHC may, in its sole discretion, defer the effectiveness of an exercise of an Option hereunder or the issuance of shares of Common Stock pursuant to any Incentive Award pending or to ensure compliance under federal or state securities laws. GHC shall inform the Participant in writing of its decision to defer the effectiveness of the exercise of an Option or the issuance of shares of Common Stock pursuant to any Incentive Award. During the period that the effectiveness of the exercise of an Option has been deferred, the Participant may, by written notice, withdraw such exercise and obtain the refund of any amount paid with respect thereto.</w:t>
      </w:r>
    </w:p>
    <w:p>
      <w:pPr>
        <w:sectPr>
          <w:pgSz w:w="11900" w:h="16838" w:orient="portrait"/>
          <w:cols w:equalWidth="0" w:num="1">
            <w:col w:w="11420"/>
          </w:cols>
          <w:pgMar w:left="240" w:top="535" w:right="239" w:bottom="1440" w:gutter="0" w:footer="0" w:header="0"/>
        </w:sectPr>
      </w:pPr>
    </w:p>
    <w:bookmarkStart w:id="119" w:name="page120"/>
    <w:bookmarkEnd w:id="119"/>
    <w:p>
      <w:pPr>
        <w:ind w:left="780" w:hanging="772"/>
        <w:spacing w:after="0"/>
        <w:tabs>
          <w:tab w:leader="none" w:pos="7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Withholding Taxes</w:t>
      </w:r>
    </w:p>
    <w:p>
      <w:pPr>
        <w:spacing w:after="0" w:line="198" w:lineRule="exact"/>
        <w:rPr>
          <w:rFonts w:ascii="Arial" w:cs="Arial" w:eastAsia="Arial" w:hAnsi="Arial"/>
          <w:sz w:val="18"/>
          <w:szCs w:val="18"/>
          <w:color w:val="auto"/>
        </w:rPr>
      </w:pPr>
    </w:p>
    <w:p>
      <w:pPr>
        <w:ind w:left="1440" w:hanging="446"/>
        <w:spacing w:after="0"/>
        <w:tabs>
          <w:tab w:leader="none" w:pos="1440"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Cash Remittance</w:t>
      </w:r>
    </w:p>
    <w:p>
      <w:pPr>
        <w:spacing w:after="0" w:line="198" w:lineRule="exact"/>
        <w:rPr>
          <w:sz w:val="20"/>
          <w:szCs w:val="20"/>
          <w:color w:val="auto"/>
        </w:rPr>
      </w:pPr>
    </w:p>
    <w:p>
      <w:pPr>
        <w:ind w:right="80" w:firstLine="770"/>
        <w:spacing w:after="0" w:line="287" w:lineRule="auto"/>
        <w:rPr>
          <w:sz w:val="20"/>
          <w:szCs w:val="20"/>
          <w:color w:val="auto"/>
        </w:rPr>
      </w:pPr>
      <w:r>
        <w:rPr>
          <w:rFonts w:ascii="Arial" w:cs="Arial" w:eastAsia="Arial" w:hAnsi="Arial"/>
          <w:sz w:val="18"/>
          <w:szCs w:val="18"/>
          <w:color w:val="auto"/>
        </w:rPr>
        <w:t>Whenever shares of Common Stock are to be issued upon the exercise of an Option or the grant or vesting of an Incentive Award, and whenever any amount shall become payable in respect of any Incentive Award, GHC shall have the right to require the Participant to remit to GHC in cash an amount sufficient to satisfy federal, state and local withholding tax requirements, if any, attributable to such exercise, grant, vesting or payment prior to issuance of such shares or the effectiveness of the lapse of such restrictions or making of such payment. In addition, upon the exercise or settlement of any Incentive Award in cash, or the making of any other payment with respect to any Incentive Award (other than in shares of Common Stock), GHC shall have the right to withhold from any payment required to be made pursuant thereto an amount sufficient to satisfy the federal, state and local withholding tax requirements, if any, attributable to such exercise, settlement or payment.</w:t>
      </w:r>
    </w:p>
    <w:p>
      <w:pPr>
        <w:spacing w:after="0" w:line="127" w:lineRule="exact"/>
        <w:rPr>
          <w:sz w:val="20"/>
          <w:szCs w:val="20"/>
          <w:color w:val="auto"/>
        </w:rPr>
      </w:pPr>
    </w:p>
    <w:p>
      <w:pPr>
        <w:ind w:left="1440" w:hanging="446"/>
        <w:spacing w:after="0"/>
        <w:tabs>
          <w:tab w:leader="none" w:pos="144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Stock Remittance</w:t>
      </w:r>
    </w:p>
    <w:p>
      <w:pPr>
        <w:spacing w:after="0" w:line="198" w:lineRule="exact"/>
        <w:rPr>
          <w:sz w:val="20"/>
          <w:szCs w:val="20"/>
          <w:color w:val="auto"/>
        </w:rPr>
      </w:pPr>
    </w:p>
    <w:p>
      <w:pPr>
        <w:ind w:right="80" w:firstLine="770"/>
        <w:spacing w:after="0" w:line="290" w:lineRule="auto"/>
        <w:rPr>
          <w:sz w:val="20"/>
          <w:szCs w:val="20"/>
          <w:color w:val="auto"/>
        </w:rPr>
      </w:pPr>
      <w:r>
        <w:rPr>
          <w:rFonts w:ascii="Arial" w:cs="Arial" w:eastAsia="Arial" w:hAnsi="Arial"/>
          <w:sz w:val="18"/>
          <w:szCs w:val="18"/>
          <w:color w:val="auto"/>
        </w:rPr>
        <w:t>At the election of the Participant, subject to the approval of the Committee, when shares of Common Stock are to be issued upon the exercise, grant or vesting of an Incentive Award, the Participant may tender to GHC a number of shares of Common Stock that have been owned by the Participant for at least six months (or such other period as the Committee may determine) having a Fair Market Value at the tender date determined by the Committee to be sufficient to satisfy the minimum federal, state and local withholding tax requirements, if any, attributable to such exercise, grant or vesting but not greater than the minimum withholding obligations. Such election shall satisfy the Participant’s obligations under Section 14(a) hereof, if any.</w:t>
      </w:r>
    </w:p>
    <w:p>
      <w:pPr>
        <w:spacing w:after="0" w:line="120" w:lineRule="exact"/>
        <w:rPr>
          <w:sz w:val="20"/>
          <w:szCs w:val="20"/>
          <w:color w:val="auto"/>
        </w:rPr>
      </w:pPr>
    </w:p>
    <w:p>
      <w:pPr>
        <w:ind w:left="1440" w:hanging="446"/>
        <w:spacing w:after="0"/>
        <w:tabs>
          <w:tab w:leader="none" w:pos="14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Stock Withholding</w:t>
      </w:r>
    </w:p>
    <w:p>
      <w:pPr>
        <w:spacing w:after="0" w:line="198" w:lineRule="exact"/>
        <w:rPr>
          <w:sz w:val="20"/>
          <w:szCs w:val="20"/>
          <w:color w:val="auto"/>
        </w:rPr>
      </w:pPr>
    </w:p>
    <w:p>
      <w:pPr>
        <w:jc w:val="both"/>
        <w:ind w:firstLine="770"/>
        <w:spacing w:after="0" w:line="292" w:lineRule="auto"/>
        <w:rPr>
          <w:sz w:val="20"/>
          <w:szCs w:val="20"/>
          <w:color w:val="auto"/>
        </w:rPr>
      </w:pPr>
      <w:r>
        <w:rPr>
          <w:rFonts w:ascii="Arial" w:cs="Arial" w:eastAsia="Arial" w:hAnsi="Arial"/>
          <w:sz w:val="18"/>
          <w:szCs w:val="18"/>
          <w:color w:val="auto"/>
        </w:rPr>
        <w:t>At the election of the Participant, subject to the approval of the Committee, when shares of Common Stock are to be issued upon the exercise, grant or vesting of an Incentive Award, GHC shall withhold a number of such shares having a Fair Market Value at the exercise date determined by the Committee to be sufficient to satisfy the minimum federal, state and local withholding tax requirements, if any, attributable to such exercise, grant or vesting but not greater than the minimum withholding obligations. Such election shall satisfy the Participant’s obligations under Section 14(a) hereof, if any.</w:t>
      </w:r>
    </w:p>
    <w:p>
      <w:pPr>
        <w:spacing w:after="0" w:line="118" w:lineRule="exact"/>
        <w:rPr>
          <w:sz w:val="20"/>
          <w:szCs w:val="20"/>
          <w:color w:val="auto"/>
        </w:rPr>
      </w:pPr>
    </w:p>
    <w:p>
      <w:pPr>
        <w:ind w:left="780" w:hanging="772"/>
        <w:spacing w:after="0"/>
        <w:tabs>
          <w:tab w:leader="none" w:pos="78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Amendment or Termination of the Plan</w:t>
      </w:r>
    </w:p>
    <w:p>
      <w:pPr>
        <w:spacing w:after="0" w:line="198" w:lineRule="exact"/>
        <w:rPr>
          <w:sz w:val="20"/>
          <w:szCs w:val="20"/>
          <w:color w:val="auto"/>
        </w:rPr>
      </w:pPr>
    </w:p>
    <w:p>
      <w:pPr>
        <w:ind w:right="120" w:firstLine="770"/>
        <w:spacing w:after="0" w:line="287" w:lineRule="auto"/>
        <w:rPr>
          <w:sz w:val="20"/>
          <w:szCs w:val="20"/>
          <w:color w:val="auto"/>
        </w:rPr>
      </w:pPr>
      <w:r>
        <w:rPr>
          <w:rFonts w:ascii="Arial" w:cs="Arial" w:eastAsia="Arial" w:hAnsi="Arial"/>
          <w:sz w:val="18"/>
          <w:szCs w:val="18"/>
          <w:color w:val="auto"/>
        </w:rPr>
        <w:t xml:space="preserve">The Board of Directors may at any time suspend or discontinue the Plan or revise or amend it in any respect whatsoever;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that any applicable law, tax requirement, or rule of a stock exchange requires shareholder approval in order for any such revision or amendment to be effective, such revision or amendment shall not be effective without such approval. The preceding sentence shall not restrict the Committee’s ability to exercise its discretionary authority hereunder pursuant to Section 4 hereof, which discretion may be exercised without amendment to the Plan. No provision of this Section 15 shall be given effect to the extent that such provision would cause any tax to become due under Section 409A of the Code. Except as expressly provided in the Plan, no action hereunder may, without the consent of a Participant, reduce the Participant’s rights under any previously granted and outstanding Incentive Award. Nothing in the Plan shall limit the right of the Company to pay compensation of any kind outside the terms of the Plan.</w:t>
      </w:r>
    </w:p>
    <w:p>
      <w:pPr>
        <w:sectPr>
          <w:pgSz w:w="11900" w:h="16838" w:orient="portrait"/>
          <w:cols w:equalWidth="0" w:num="1">
            <w:col w:w="11420"/>
          </w:cols>
          <w:pgMar w:left="240" w:top="535" w:right="239" w:bottom="1440" w:gutter="0" w:footer="0" w:header="0"/>
        </w:sectPr>
      </w:pPr>
    </w:p>
    <w:bookmarkStart w:id="120" w:name="page121"/>
    <w:bookmarkEnd w:id="120"/>
    <w:p>
      <w:pPr>
        <w:ind w:left="780" w:hanging="772"/>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No Obligation to Exercise</w:t>
      </w:r>
    </w:p>
    <w:p>
      <w:pPr>
        <w:spacing w:after="0" w:line="198"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The grant to a Participant of an Incentive Award shall impose no obligation upon such Participant to exercise such Incentive Award.</w:t>
      </w:r>
    </w:p>
    <w:p>
      <w:pPr>
        <w:spacing w:after="0" w:line="198" w:lineRule="exact"/>
        <w:rPr>
          <w:rFonts w:ascii="Arial" w:cs="Arial" w:eastAsia="Arial" w:hAnsi="Arial"/>
          <w:sz w:val="18"/>
          <w:szCs w:val="18"/>
          <w:color w:val="auto"/>
        </w:rPr>
      </w:pPr>
    </w:p>
    <w:p>
      <w:pPr>
        <w:ind w:left="780" w:hanging="772"/>
        <w:spacing w:after="0"/>
        <w:tabs>
          <w:tab w:leader="none" w:pos="7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Transfers Upon Death</w:t>
      </w:r>
    </w:p>
    <w:p>
      <w:pPr>
        <w:spacing w:after="0" w:line="198" w:lineRule="exact"/>
        <w:rPr>
          <w:sz w:val="20"/>
          <w:szCs w:val="20"/>
          <w:color w:val="auto"/>
        </w:rPr>
      </w:pPr>
    </w:p>
    <w:p>
      <w:pPr>
        <w:ind w:firstLine="770"/>
        <w:spacing w:after="0" w:line="288" w:lineRule="auto"/>
        <w:rPr>
          <w:sz w:val="20"/>
          <w:szCs w:val="20"/>
          <w:color w:val="auto"/>
        </w:rPr>
      </w:pPr>
      <w:r>
        <w:rPr>
          <w:rFonts w:ascii="Arial" w:cs="Arial" w:eastAsia="Arial" w:hAnsi="Arial"/>
          <w:sz w:val="18"/>
          <w:szCs w:val="18"/>
          <w:color w:val="auto"/>
        </w:rPr>
        <w:t>Upon the death of a Participant, outstanding Incentive Awards granted to such Participant may be exercised only by the executors or administrators of the Participant’s estate or by any person or persons who shall have acquired such right to exercise by will or by the laws of descent and distribution. No transfer by will or the laws of descent and distribution of any Incentive Award, or the right to exercise any Incentive Award, shall be effective to bind GHC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Incentive Award that are or would have been applicable to the Participant and to be bound by the acknowledgements made by the Participant in connection with the grant of the Incentive Award.</w:t>
      </w:r>
    </w:p>
    <w:p>
      <w:pPr>
        <w:spacing w:after="0" w:line="125" w:lineRule="exact"/>
        <w:rPr>
          <w:sz w:val="20"/>
          <w:szCs w:val="20"/>
          <w:color w:val="auto"/>
        </w:rPr>
      </w:pPr>
    </w:p>
    <w:p>
      <w:pPr>
        <w:ind w:left="780" w:hanging="772"/>
        <w:spacing w:after="0"/>
        <w:tabs>
          <w:tab w:leader="none" w:pos="7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Expenses and Receipts</w:t>
      </w:r>
    </w:p>
    <w:p>
      <w:pPr>
        <w:spacing w:after="0" w:line="198" w:lineRule="exact"/>
        <w:rPr>
          <w:sz w:val="20"/>
          <w:szCs w:val="20"/>
          <w:color w:val="auto"/>
        </w:rPr>
      </w:pPr>
    </w:p>
    <w:p>
      <w:pPr>
        <w:ind w:right="40" w:firstLine="770"/>
        <w:spacing w:after="0" w:line="323" w:lineRule="auto"/>
        <w:rPr>
          <w:sz w:val="20"/>
          <w:szCs w:val="20"/>
          <w:color w:val="auto"/>
        </w:rPr>
      </w:pPr>
      <w:r>
        <w:rPr>
          <w:rFonts w:ascii="Arial" w:cs="Arial" w:eastAsia="Arial" w:hAnsi="Arial"/>
          <w:sz w:val="18"/>
          <w:szCs w:val="18"/>
          <w:color w:val="auto"/>
        </w:rPr>
        <w:t>The expenses of the Plan shall be paid by GHC. Any proceeds received by GHC in connection with any Incentive Award will be used for general corporate purposes.</w:t>
      </w:r>
    </w:p>
    <w:p>
      <w:pPr>
        <w:spacing w:after="0" w:line="91" w:lineRule="exact"/>
        <w:rPr>
          <w:sz w:val="20"/>
          <w:szCs w:val="20"/>
          <w:color w:val="auto"/>
        </w:rPr>
      </w:pPr>
    </w:p>
    <w:p>
      <w:pPr>
        <w:ind w:left="780" w:hanging="772"/>
        <w:spacing w:after="0"/>
        <w:tabs>
          <w:tab w:leader="none" w:pos="7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98" w:lineRule="exact"/>
        <w:rPr>
          <w:sz w:val="20"/>
          <w:szCs w:val="20"/>
          <w:color w:val="auto"/>
        </w:rPr>
      </w:pPr>
    </w:p>
    <w:p>
      <w:pPr>
        <w:ind w:right="40" w:firstLine="770"/>
        <w:spacing w:after="0" w:line="323" w:lineRule="auto"/>
        <w:rPr>
          <w:sz w:val="20"/>
          <w:szCs w:val="20"/>
          <w:color w:val="auto"/>
        </w:rPr>
      </w:pPr>
      <w:r>
        <w:rPr>
          <w:rFonts w:ascii="Arial" w:cs="Arial" w:eastAsia="Arial" w:hAnsi="Arial"/>
          <w:sz w:val="18"/>
          <w:szCs w:val="18"/>
          <w:color w:val="auto"/>
        </w:rPr>
        <w:t>The Plan and the rights of all persons under the Plan shall be construed and administered in accordance with the laws of the State of New York without regard to its conflict of law principles.</w:t>
      </w:r>
    </w:p>
    <w:p>
      <w:pPr>
        <w:spacing w:after="0" w:line="91" w:lineRule="exact"/>
        <w:rPr>
          <w:sz w:val="20"/>
          <w:szCs w:val="20"/>
          <w:color w:val="auto"/>
        </w:rPr>
      </w:pPr>
    </w:p>
    <w:p>
      <w:pPr>
        <w:ind w:left="780" w:hanging="772"/>
        <w:spacing w:after="0"/>
        <w:tabs>
          <w:tab w:leader="none" w:pos="78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p>
    <w:p>
      <w:pPr>
        <w:spacing w:after="0" w:line="198" w:lineRule="exact"/>
        <w:rPr>
          <w:sz w:val="20"/>
          <w:szCs w:val="20"/>
          <w:color w:val="auto"/>
        </w:rPr>
      </w:pPr>
    </w:p>
    <w:p>
      <w:pPr>
        <w:ind w:right="340" w:firstLine="770"/>
        <w:spacing w:after="0" w:line="323" w:lineRule="auto"/>
        <w:rPr>
          <w:sz w:val="20"/>
          <w:szCs w:val="20"/>
          <w:color w:val="auto"/>
        </w:rPr>
      </w:pPr>
      <w:r>
        <w:rPr>
          <w:rFonts w:ascii="Arial" w:cs="Arial" w:eastAsia="Arial" w:hAnsi="Arial"/>
          <w:sz w:val="18"/>
          <w:szCs w:val="18"/>
          <w:color w:val="auto"/>
        </w:rPr>
        <w:t>The Plan was adopted by the Board of Directors on February 23, 2012, subject to the approval of the Plan by the shareholders of GHC. No grants of Incentive Awards may be made under the Plan after February 23, 2022.</w:t>
      </w:r>
    </w:p>
    <w:p>
      <w:pPr>
        <w:sectPr>
          <w:pgSz w:w="11900" w:h="16838" w:orient="portrait"/>
          <w:cols w:equalWidth="0" w:num="1">
            <w:col w:w="11380"/>
          </w:cols>
          <w:pgMar w:left="240" w:top="940" w:right="27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10.3</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200" w:lineRule="exact"/>
        <w:rPr>
          <w:sz w:val="20"/>
          <w:szCs w:val="20"/>
          <w:color w:val="auto"/>
        </w:rPr>
      </w:pPr>
    </w:p>
    <w:p>
      <w:pPr>
        <w:spacing w:after="0" w:line="295" w:lineRule="exact"/>
        <w:rPr>
          <w:sz w:val="20"/>
          <w:szCs w:val="20"/>
          <w:color w:val="auto"/>
        </w:rPr>
      </w:pPr>
    </w:p>
    <w:p>
      <w:pPr>
        <w:ind w:right="260"/>
        <w:spacing w:after="0" w:line="23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Graham Holdings Company Supplemental Executive Retirement Plan (the “Plan”) is an unfunded plan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 of providing deferred compensation for a select group of management or highly compensated employees, as referred to in Sections 201(a)(2), 301(a)(3) and 401(a)(1) of ERISA, in order to induce employees of outstanding ability to join or continue in the employ of the Company or an Affiliate of the Company and to increase their efforts for its welfare by providing them with supplemental benefits notwithstanding the limitations imposed by the Internal Revenue Code on retirement and other benefits from tax qualified plans.</w:t>
      </w:r>
    </w:p>
    <w:p>
      <w:pPr>
        <w:spacing w:after="0" w:line="109"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This Plan is strictly a voluntary undertaking on the part of the Company and shall not be deemed to constitute a contract of employment or part of a contract between the Company and any employee or any employee of an Affiliate, nor shall it be deemed to give any employee the right to be retained in the employ of the Company or an Affiliate, as the case be made, or to interfere with the right of the Company or an Affiliate, as the case may be, to discharge any employee at any time, nor shall this Plan interfere with the right of the Company or an Affiliate, as the case may be, to establish the terms and conditions of employment of any employee.</w:t>
      </w:r>
    </w:p>
    <w:p>
      <w:pPr>
        <w:spacing w:after="0" w:line="11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Benefits under this Plan shall be payable solely from the general assets of the Company and participants herein shall not be entitled to look to any source for payment of such benefits other than the general assets of the Company.</w:t>
      </w:r>
    </w:p>
    <w:p>
      <w:pPr>
        <w:spacing w:after="0" w:line="92"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Plan is hereby amended and restated for the purpose of complying with § 409A of the Internal Revenue Code (“§ 409A”) and for the purpose of making certain administrative amendments. It is the intent of the Company that all benefits under the Plan shall either be exempt from § 409A or compliant with § 409A, and any ambiguity under the Plan shall be interpreted, to the extent possible, consistently with that objective. To the extent necessary to comply with § 409A, the provisions of this restated document shall be effective January 1, 2005. With respect to a Participant who terminated employment before January 1, 2005, any benefit payable hereunder shall be based on the terms of the Plan in effect on such termination of employment, and not on the terms of this amendment and restatement.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Plan, the following words shall have the following meanings:</w:t>
      </w:r>
    </w:p>
    <w:p>
      <w:pPr>
        <w:spacing w:after="0" w:line="14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401(a)(17) Limitations</w:t>
      </w:r>
      <w:r>
        <w:rPr>
          <w:rFonts w:ascii="Arial" w:cs="Arial" w:eastAsia="Arial" w:hAnsi="Arial"/>
          <w:sz w:val="18"/>
          <w:szCs w:val="18"/>
          <w:color w:val="auto"/>
        </w:rPr>
        <w:t>” means Retirement Plan and Savings Plan provisions adopted pursuant to Section 401(a)(17) of the Internal Revenue Code to limit earnings considered for purposes of computing Retirement Plan benefits and Savings Plan contributions.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415 Limitations</w:t>
      </w:r>
      <w:r>
        <w:rPr>
          <w:rFonts w:ascii="Arial" w:cs="Arial" w:eastAsia="Arial" w:hAnsi="Arial"/>
          <w:sz w:val="18"/>
          <w:szCs w:val="18"/>
          <w:color w:val="auto"/>
        </w:rPr>
        <w:t>” means Retirement Plan and Savings Plan provisions adopted pursuant to Section 415 of the Internal Revenue Code to limit (i) annual Retirement Plan benefits pursuant to Section 415(b) thereof, and (ii) annual additions to a Savings Plan pursuant to Section 415(c) thereof.</w:t>
      </w:r>
    </w:p>
    <w:p>
      <w:pPr>
        <w:spacing w:after="0" w:line="108"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Actuarial Equivalent</w:t>
      </w:r>
      <w:r>
        <w:rPr>
          <w:rFonts w:ascii="Arial" w:cs="Arial" w:eastAsia="Arial" w:hAnsi="Arial"/>
          <w:sz w:val="18"/>
          <w:szCs w:val="18"/>
          <w:color w:val="auto"/>
        </w:rPr>
        <w:t>” (or any similar term, whether or not capitalized) shall, except as otherwise provided herein, be determined using the actuarial assumptions specified in the Retirement Plan for such purpose, but taking into account any amendments to such actuarial assumptions to comply with the Pension Protection Act of 2006, even if such amendment has not yet been adopted.</w:t>
      </w:r>
    </w:p>
    <w:p>
      <w:pPr>
        <w:spacing w:after="0" w:line="108" w:lineRule="exact"/>
        <w:rPr>
          <w:sz w:val="20"/>
          <w:szCs w:val="20"/>
          <w:color w:val="auto"/>
        </w:rPr>
      </w:pPr>
    </w:p>
    <w:p>
      <w:pPr>
        <w:ind w:right="140"/>
        <w:spacing w:after="0" w:line="195"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Salary</w:t>
      </w:r>
      <w:r>
        <w:rPr>
          <w:rFonts w:ascii="Arial" w:cs="Arial" w:eastAsia="Arial" w:hAnsi="Arial"/>
          <w:sz w:val="18"/>
          <w:szCs w:val="18"/>
          <w:color w:val="auto"/>
        </w:rPr>
        <w:t>” means the regular basic compensation paid or payable to an employee during a calendar year by the Company or an Affiliate (including tax</w:t>
      </w:r>
      <w:r>
        <w:rPr>
          <w:rFonts w:ascii="MS PGothic" w:cs="MS PGothic" w:eastAsia="MS PGothic" w:hAnsi="MS PGothic"/>
          <w:sz w:val="18"/>
          <w:szCs w:val="18"/>
          <w:color w:val="auto"/>
        </w:rPr>
        <w:t>‑</w:t>
      </w:r>
      <w:r>
        <w:rPr>
          <w:rFonts w:ascii="Arial" w:cs="Arial" w:eastAsia="Arial" w:hAnsi="Arial"/>
          <w:sz w:val="18"/>
          <w:szCs w:val="18"/>
          <w:color w:val="auto"/>
        </w:rPr>
        <w:t>deferred contributions, otherwise payable to an employee, elected by the employee under any Savings Plan and including earnings not payable by application of a salary reduction election made pursuant to Section 125 of the Internal Revenue Code), but excluding any other items of compensation such as (i) bonuses and commissions, (ii) overtime, (iii) transportation benefit plan deferrals, (iv) compensation under the terms of the long</w:t>
      </w:r>
      <w:r>
        <w:rPr>
          <w:rFonts w:ascii="MS PGothic" w:cs="MS PGothic" w:eastAsia="MS PGothic" w:hAnsi="MS PGothic"/>
          <w:sz w:val="18"/>
          <w:szCs w:val="18"/>
          <w:color w:val="auto"/>
        </w:rPr>
        <w:t>‑</w:t>
      </w:r>
      <w:r>
        <w:rPr>
          <w:rFonts w:ascii="Arial" w:cs="Arial" w:eastAsia="Arial" w:hAnsi="Arial"/>
          <w:sz w:val="18"/>
          <w:szCs w:val="18"/>
          <w:color w:val="auto"/>
        </w:rPr>
        <w:t>term component of the Incentive Compensation Plan (or any successor plan or similar plan by whatever name) of the Company paid during such Plan Year, (v) Workers' Compensation, (vi) amounts paid by the Company for insurance, retirement or other benefits, (vii) contributions or payments made by the Company or an Affiliate (other than tax</w:t>
      </w:r>
      <w:r>
        <w:rPr>
          <w:rFonts w:ascii="MS PGothic" w:cs="MS PGothic" w:eastAsia="MS PGothic" w:hAnsi="MS PGothic"/>
          <w:sz w:val="18"/>
          <w:szCs w:val="18"/>
          <w:color w:val="auto"/>
        </w:rPr>
        <w:t>‑</w:t>
      </w:r>
      <w:r>
        <w:rPr>
          <w:rFonts w:ascii="Arial" w:cs="Arial" w:eastAsia="Arial" w:hAnsi="Arial"/>
          <w:sz w:val="18"/>
          <w:szCs w:val="18"/>
          <w:color w:val="auto"/>
        </w:rPr>
        <w:t>deferred contributions elected by the employee) under any Retirement Plan, any Savings Plan, this Plan or other benefits, or (viii) dismissal or other payments made to an employee as a result of termination of employment. The Actual Salary of an employee will include any payment made under any short</w:t>
      </w:r>
      <w:r>
        <w:rPr>
          <w:rFonts w:ascii="MS PGothic" w:cs="MS PGothic" w:eastAsia="MS PGothic" w:hAnsi="MS PGothic"/>
          <w:sz w:val="18"/>
          <w:szCs w:val="18"/>
          <w:color w:val="auto"/>
        </w:rPr>
        <w:t>‑</w:t>
      </w:r>
      <w:r>
        <w:rPr>
          <w:rFonts w:ascii="Arial" w:cs="Arial" w:eastAsia="Arial" w:hAnsi="Arial"/>
          <w:sz w:val="18"/>
          <w:szCs w:val="18"/>
          <w:color w:val="auto"/>
        </w:rPr>
        <w:t>term disability income plan of the Company or an Affiliate.</w:t>
      </w:r>
    </w:p>
    <w:p>
      <w:pPr>
        <w:spacing w:after="0" w:line="11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corporation (other than the Company) 50% or more of the outstanding stock of which is directly or indirectly owned by the Company and any unincorporated trade or business which is under common control with the</w:t>
      </w:r>
    </w:p>
    <w:p>
      <w:pPr>
        <w:sectPr>
          <w:pgSz w:w="11900" w:h="16838" w:orient="portrait"/>
          <w:cols w:equalWidth="0" w:num="1">
            <w:col w:w="11420"/>
          </w:cols>
          <w:pgMar w:left="240" w:top="535"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Company as determined in accordance with Section 414(c) of the Internal Revenue Code and the regulations issued thereunder.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shall have the meaning set forth in Section 4.</w:t>
      </w:r>
    </w:p>
    <w:p>
      <w:pPr>
        <w:spacing w:after="0" w:line="144"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Balance Plan</w:t>
      </w:r>
      <w:r>
        <w:rPr>
          <w:rFonts w:ascii="Arial" w:cs="Arial" w:eastAsia="Arial" w:hAnsi="Arial"/>
          <w:sz w:val="18"/>
          <w:szCs w:val="18"/>
          <w:color w:val="auto"/>
        </w:rPr>
        <w:t>” means, collectively, all of the Cash Balance Retirement Benefits Schedules in the Retirement Plan, but not including the Secure Retirement Account.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44"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Graham Holdings Company (formerly known as The Washington Post Company), a Delaware corporation, and any successors in interest thereto. Where required by context the term Company will include Affiliates.</w:t>
      </w:r>
    </w:p>
    <w:p>
      <w:pPr>
        <w:spacing w:after="0" w:line="92"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the Actual Salary of an employee plus, starting in 1988, bonuses awarded under the annual component of the Incentive Compensation Plan of the Company during a calendar year by the Company or an Affiliate. Bonuses (other than “Special Annual Incentive Awards”) awarded under the annual component of the Incentive Compensation Plan of the Company will be considered as part of Compensation for the year in which they are paid to the Employee, or would otherwise be paid but for the Employee’s election to defer receipt of payment under the Company’s Deferred Compensation Plan.</w:t>
      </w:r>
    </w:p>
    <w:p>
      <w:pPr>
        <w:spacing w:after="0" w:line="11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u w:val="single" w:color="auto"/>
          <w:color w:val="auto"/>
        </w:rPr>
        <w:t>Special Rule for Bonuses Effective January 1, 2013</w:t>
      </w:r>
      <w:r>
        <w:rPr>
          <w:rFonts w:ascii="Arial" w:cs="Arial" w:eastAsia="Arial" w:hAnsi="Arial"/>
          <w:sz w:val="18"/>
          <w:szCs w:val="18"/>
          <w:color w:val="auto"/>
        </w:rPr>
        <w:t>. The rule in this paragraph shall apply solely for purposes of Section 3, and shall be effective January 1, 2013. Each Bonus includible in Compensation under the previous paragraph (“Bonus” or “Bonuses”) shall be included in Compensation in the year following the year in which the Bonus was earned (which, for avoidance of ambiguity, is normally the year in which such Bonus is paid). Notwithstanding the above, in the event a Participant’s benefit under Section 3 would be greater, every Bonus for the Participant shall be included in Compensation in the year in which such Bonus was earned. The rule in this paragraph shall apply to all Bonuses, including Bonuses earned before January 1, 2013. Notwithstanding the above, the Participant’s benefit under Section 3 hereof shall be no less than the benefit computed as of December 31, 2012 taking into account only service and compensation before December 31, 2012.</w:t>
      </w:r>
    </w:p>
    <w:p>
      <w:pPr>
        <w:spacing w:after="0" w:line="10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Contribution</w:t>
      </w:r>
      <w:r>
        <w:rPr>
          <w:rFonts w:ascii="Arial" w:cs="Arial" w:eastAsia="Arial" w:hAnsi="Arial"/>
          <w:sz w:val="18"/>
          <w:szCs w:val="18"/>
          <w:color w:val="auto"/>
        </w:rPr>
        <w:t>” and “</w:t>
      </w:r>
      <w:r>
        <w:rPr>
          <w:rFonts w:ascii="Arial" w:cs="Arial" w:eastAsia="Arial" w:hAnsi="Arial"/>
          <w:sz w:val="18"/>
          <w:szCs w:val="18"/>
          <w:u w:val="single" w:color="auto"/>
          <w:color w:val="auto"/>
        </w:rPr>
        <w:t>Employer Contribution</w:t>
      </w:r>
      <w:r>
        <w:rPr>
          <w:rFonts w:ascii="Arial" w:cs="Arial" w:eastAsia="Arial" w:hAnsi="Arial"/>
          <w:sz w:val="18"/>
          <w:szCs w:val="18"/>
          <w:color w:val="auto"/>
        </w:rPr>
        <w:t>” shall have the meanings set forth in Section 4. The Employee Contribution and Employer Contribution are not actual contributions, but rather they represent credits to a notional account (the Savings Account) which is an unfunded obligation of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144"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Election</w:t>
      </w:r>
      <w:r>
        <w:rPr>
          <w:rFonts w:ascii="Arial" w:cs="Arial" w:eastAsia="Arial" w:hAnsi="Arial"/>
          <w:sz w:val="18"/>
          <w:szCs w:val="18"/>
          <w:color w:val="auto"/>
        </w:rPr>
        <w:t>” means an election made by the Participant selecting the investment credit factor(s) that will be applicable to his Savings Account. The Committee shall determine the manner in which Investment Elections may be made and the frequency with which such elections may be prospectively changed.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Kaplan</w:t>
      </w:r>
      <w:r>
        <w:rPr>
          <w:rFonts w:ascii="Arial" w:cs="Arial" w:eastAsia="Arial" w:hAnsi="Arial"/>
          <w:sz w:val="18"/>
          <w:szCs w:val="18"/>
          <w:color w:val="auto"/>
        </w:rPr>
        <w:t>” means Kaplan, Inc. and all of its subsidiaries.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 Date</w:t>
      </w:r>
      <w:r>
        <w:rPr>
          <w:rFonts w:ascii="Arial" w:cs="Arial" w:eastAsia="Arial" w:hAnsi="Arial"/>
          <w:sz w:val="18"/>
          <w:szCs w:val="18"/>
          <w:color w:val="auto"/>
        </w:rPr>
        <w:t>” means the first day of the calendar month following the month in which a person's 65th birthday occurs.</w:t>
      </w:r>
    </w:p>
    <w:p>
      <w:pPr>
        <w:spacing w:after="0" w:line="144"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employee of the Company or an Affiliate recommended by the Company's senior management and designated a participant in this Plan by the Committee. The following rules shall govern the designation of a Participant.</w:t>
      </w:r>
    </w:p>
    <w:p>
      <w:pPr>
        <w:spacing w:after="0" w:line="92" w:lineRule="exact"/>
        <w:rPr>
          <w:sz w:val="20"/>
          <w:szCs w:val="20"/>
          <w:color w:val="auto"/>
        </w:rPr>
      </w:pPr>
    </w:p>
    <w:p>
      <w:pPr>
        <w:ind w:right="100" w:firstLine="656"/>
        <w:spacing w:after="0" w:line="260" w:lineRule="auto"/>
        <w:tabs>
          <w:tab w:leader="none" w:pos="99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Participant shall be an individual who is within the category of a select group of management or highly compensated employees as referred to in Sections 201(a)(2), 301(a)(3) and 401(a)(1) of ERISA.</w:t>
      </w:r>
    </w:p>
    <w:p>
      <w:pPr>
        <w:spacing w:after="0" w:line="91" w:lineRule="exact"/>
        <w:rPr>
          <w:rFonts w:ascii="Arial" w:cs="Arial" w:eastAsia="Arial" w:hAnsi="Arial"/>
          <w:sz w:val="18"/>
          <w:szCs w:val="18"/>
          <w:color w:val="auto"/>
        </w:rPr>
      </w:pPr>
    </w:p>
    <w:p>
      <w:pPr>
        <w:ind w:right="320" w:firstLine="656"/>
        <w:spacing w:after="0"/>
        <w:tabs>
          <w:tab w:leader="none" w:pos="103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 Participant shall be designated by the Committee as a </w:t>
      </w:r>
      <w:r>
        <w:rPr>
          <w:rFonts w:ascii="Arial" w:cs="Arial" w:eastAsia="Arial" w:hAnsi="Arial"/>
          <w:sz w:val="18"/>
          <w:szCs w:val="18"/>
          <w:u w:val="single" w:color="auto"/>
          <w:color w:val="auto"/>
        </w:rPr>
        <w:t>Pension Participant</w:t>
      </w:r>
      <w:r>
        <w:rPr>
          <w:rFonts w:ascii="Arial" w:cs="Arial" w:eastAsia="Arial" w:hAnsi="Arial"/>
          <w:sz w:val="18"/>
          <w:szCs w:val="18"/>
          <w:color w:val="auto"/>
        </w:rPr>
        <w:t xml:space="preserve">, or a </w:t>
      </w:r>
      <w:r>
        <w:rPr>
          <w:rFonts w:ascii="Arial" w:cs="Arial" w:eastAsia="Arial" w:hAnsi="Arial"/>
          <w:sz w:val="18"/>
          <w:szCs w:val="18"/>
          <w:u w:val="single" w:color="auto"/>
          <w:color w:val="auto"/>
        </w:rPr>
        <w:t>Savings Participant</w:t>
      </w:r>
      <w:r>
        <w:rPr>
          <w:rFonts w:ascii="Arial" w:cs="Arial" w:eastAsia="Arial" w:hAnsi="Arial"/>
          <w:sz w:val="18"/>
          <w:szCs w:val="18"/>
          <w:color w:val="auto"/>
        </w:rPr>
        <w:t>, or both. Only a Pension Participant shall be eligible to receive the Supplemental Retirement Benefit in Section 3, and only a Savings Participant shall be eligible to receive the benefits in Section 4.</w:t>
      </w:r>
    </w:p>
    <w:p>
      <w:pPr>
        <w:spacing w:after="0" w:line="108" w:lineRule="exact"/>
        <w:rPr>
          <w:rFonts w:ascii="Arial" w:cs="Arial" w:eastAsia="Arial" w:hAnsi="Arial"/>
          <w:sz w:val="18"/>
          <w:szCs w:val="18"/>
          <w:color w:val="auto"/>
        </w:rPr>
      </w:pPr>
    </w:p>
    <w:p>
      <w:pPr>
        <w:ind w:right="60" w:firstLine="656"/>
        <w:spacing w:after="0" w:line="229" w:lineRule="auto"/>
        <w:tabs>
          <w:tab w:leader="none" w:pos="107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 Pension Participant shall be further designated by the Committee as an </w:t>
      </w:r>
      <w:r>
        <w:rPr>
          <w:rFonts w:ascii="Arial" w:cs="Arial" w:eastAsia="Arial" w:hAnsi="Arial"/>
          <w:sz w:val="18"/>
          <w:szCs w:val="18"/>
          <w:u w:val="single" w:color="auto"/>
          <w:color w:val="auto"/>
        </w:rPr>
        <w:t>Executive Participant</w:t>
      </w:r>
      <w:r>
        <w:rPr>
          <w:rFonts w:ascii="Arial" w:cs="Arial" w:eastAsia="Arial" w:hAnsi="Arial"/>
          <w:sz w:val="18"/>
          <w:szCs w:val="18"/>
          <w:color w:val="auto"/>
        </w:rPr>
        <w:t xml:space="preserve"> or a </w:t>
      </w:r>
      <w:r>
        <w:rPr>
          <w:rFonts w:ascii="Arial" w:cs="Arial" w:eastAsia="Arial" w:hAnsi="Arial"/>
          <w:sz w:val="18"/>
          <w:szCs w:val="18"/>
          <w:u w:val="single" w:color="auto"/>
          <w:color w:val="auto"/>
        </w:rPr>
        <w:t>Limited Participant</w:t>
      </w:r>
      <w:r>
        <w:rPr>
          <w:rFonts w:ascii="Arial" w:cs="Arial" w:eastAsia="Arial" w:hAnsi="Arial"/>
          <w:sz w:val="18"/>
          <w:szCs w:val="18"/>
          <w:color w:val="auto"/>
        </w:rPr>
        <w:t>. Unless designated an Executive Participant, a Participant shall be deemed to be a Limited Participant. In general, an Executive Participant must hold (or have held) the position of Vice President, or an equivalent or more senior position or a position of at least equal responsibility or importance to the Company, and must be (or have been) covered by the long-term component of the Company’s Incentive Compensation Plan. However, notwithstanding the above, the Committee may designate an individual as an Executive Participant even if the individual does not satisfy the foregoing criteria based on additional or other criteria, as determined by the Committee.</w:t>
      </w:r>
    </w:p>
    <w:p>
      <w:pPr>
        <w:spacing w:after="0" w:line="111" w:lineRule="exact"/>
        <w:rPr>
          <w:rFonts w:ascii="Arial" w:cs="Arial" w:eastAsia="Arial" w:hAnsi="Arial"/>
          <w:sz w:val="18"/>
          <w:szCs w:val="18"/>
          <w:color w:val="auto"/>
        </w:rPr>
      </w:pPr>
    </w:p>
    <w:p>
      <w:pPr>
        <w:ind w:left="1100" w:hanging="444"/>
        <w:spacing w:after="0"/>
        <w:tabs>
          <w:tab w:leader="none" w:pos="11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 Participant who is employed by Kaplan shall be a </w:t>
      </w:r>
      <w:r>
        <w:rPr>
          <w:rFonts w:ascii="Arial" w:cs="Arial" w:eastAsia="Arial" w:hAnsi="Arial"/>
          <w:sz w:val="18"/>
          <w:szCs w:val="18"/>
          <w:u w:val="single" w:color="auto"/>
          <w:color w:val="auto"/>
        </w:rPr>
        <w:t>Kaplan Participant</w:t>
      </w:r>
      <w:r>
        <w:rPr>
          <w:rFonts w:ascii="Arial" w:cs="Arial" w:eastAsia="Arial" w:hAnsi="Arial"/>
          <w:sz w:val="18"/>
          <w:szCs w:val="18"/>
          <w:color w:val="auto"/>
        </w:rPr>
        <w:t>.</w:t>
      </w:r>
    </w:p>
    <w:p>
      <w:pPr>
        <w:sectPr>
          <w:pgSz w:w="11900" w:h="16838" w:orient="portrait"/>
          <w:cols w:equalWidth="0" w:num="1">
            <w:col w:w="11420"/>
          </w:cols>
          <w:pgMar w:left="240" w:top="346"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44"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 Plan</w:t>
      </w:r>
      <w:r>
        <w:rPr>
          <w:rFonts w:ascii="Arial" w:cs="Arial" w:eastAsia="Arial" w:hAnsi="Arial"/>
          <w:sz w:val="18"/>
          <w:szCs w:val="18"/>
          <w:color w:val="auto"/>
        </w:rPr>
        <w:t>” means The Retirement Plan for Washington Post Companies (which shall be renamed due to the change in the name of the Company), which for avoidance of doubt, includes (prior to its merger into the Retirement Plan) The Washington Post Washington-Baltimore Newspaper Guild Retirement Income Plan and such other tax qualified, defined benefit retirement plans as may be sponsored by the Company or its Affiliates and designated for inclusion hereunder by the Committee.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Savings Account</w:t>
      </w:r>
      <w:r>
        <w:rPr>
          <w:rFonts w:ascii="Arial" w:cs="Arial" w:eastAsia="Arial" w:hAnsi="Arial"/>
          <w:sz w:val="18"/>
          <w:szCs w:val="18"/>
          <w:color w:val="auto"/>
        </w:rPr>
        <w:t>” shall have the meaning set forth in Section 4.</w:t>
      </w:r>
    </w:p>
    <w:p>
      <w:pPr>
        <w:spacing w:after="0" w:line="120" w:lineRule="exact"/>
        <w:rPr>
          <w:sz w:val="20"/>
          <w:szCs w:val="20"/>
          <w:color w:val="auto"/>
        </w:rPr>
      </w:pPr>
    </w:p>
    <w:p>
      <w:pPr>
        <w:ind w:right="320"/>
        <w:spacing w:after="0" w:line="208"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Savings Plan</w:t>
      </w:r>
      <w:r>
        <w:rPr>
          <w:rFonts w:ascii="Arial" w:cs="Arial" w:eastAsia="Arial" w:hAnsi="Arial"/>
          <w:sz w:val="18"/>
          <w:szCs w:val="18"/>
          <w:color w:val="auto"/>
        </w:rPr>
        <w:t>” means The Washington Post Tax Deferral and Savings Plan, Post</w:t>
      </w:r>
      <w:r>
        <w:rPr>
          <w:rFonts w:ascii="MS PGothic" w:cs="MS PGothic" w:eastAsia="MS PGothic" w:hAnsi="MS PGothic"/>
          <w:sz w:val="18"/>
          <w:szCs w:val="18"/>
          <w:color w:val="auto"/>
        </w:rPr>
        <w:t>‑</w:t>
      </w:r>
      <w:r>
        <w:rPr>
          <w:rFonts w:ascii="Arial" w:cs="Arial" w:eastAsia="Arial" w:hAnsi="Arial"/>
          <w:sz w:val="18"/>
          <w:szCs w:val="18"/>
          <w:color w:val="auto"/>
        </w:rPr>
        <w:t>Newsweek Stations, Inc. Tax Deferred Savings Plan, The Savings and Retirement Plan of Affiliated Post Companies, the Kaplan, Inc. Tax Deferred Savings Plan for Salaried Employees, the Kaplan, Inc. Tax Deferred Savings Plan for Hourly Employees, and such other tax qualified 401(k) savings and profit</w:t>
      </w:r>
      <w:r>
        <w:rPr>
          <w:rFonts w:ascii="MS PGothic" w:cs="MS PGothic" w:eastAsia="MS PGothic" w:hAnsi="MS PGothic"/>
          <w:sz w:val="18"/>
          <w:szCs w:val="18"/>
          <w:color w:val="auto"/>
        </w:rPr>
        <w:t>‑</w:t>
      </w:r>
      <w:r>
        <w:rPr>
          <w:rFonts w:ascii="Arial" w:cs="Arial" w:eastAsia="Arial" w:hAnsi="Arial"/>
          <w:sz w:val="18"/>
          <w:szCs w:val="18"/>
          <w:color w:val="auto"/>
        </w:rPr>
        <w:t>sharing plans as may be sponsored by the Company or its Affiliates and designated for inclusion hereunder by the Committee.</w:t>
      </w:r>
    </w:p>
    <w:p>
      <w:pPr>
        <w:spacing w:after="0" w:line="11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w:t>
      </w:r>
      <w:r>
        <w:rPr>
          <w:rFonts w:ascii="Arial" w:cs="Arial" w:eastAsia="Arial" w:hAnsi="Arial"/>
          <w:sz w:val="18"/>
          <w:szCs w:val="18"/>
          <w:color w:val="auto"/>
        </w:rPr>
        <w:t>” means the period of employment by the Company or an Affiliate (excluding both service prior to the time an Affiliate became such and service after the time an Affiliate is no longer such, except to the extent required by Section 414(a) of the Code and the regulations promulgated thereunder).</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Retirement Benefit</w:t>
      </w:r>
      <w:r>
        <w:rPr>
          <w:rFonts w:ascii="Arial" w:cs="Arial" w:eastAsia="Arial" w:hAnsi="Arial"/>
          <w:sz w:val="18"/>
          <w:szCs w:val="18"/>
          <w:color w:val="auto"/>
        </w:rPr>
        <w:t>” shall have the meaning set forth in Section 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Supplemental Cash Balance Account</w:t>
      </w:r>
      <w:r>
        <w:rPr>
          <w:rFonts w:ascii="Arial" w:cs="Arial" w:eastAsia="Arial" w:hAnsi="Arial"/>
          <w:sz w:val="18"/>
          <w:szCs w:val="18"/>
          <w:color w:val="auto"/>
        </w:rPr>
        <w:t>” means the Supplemental Retirement Benefit with respect to the Cash Balance Plan.</w:t>
      </w:r>
    </w:p>
    <w:p>
      <w:pPr>
        <w:spacing w:after="0" w:line="144" w:lineRule="exact"/>
        <w:rPr>
          <w:sz w:val="20"/>
          <w:szCs w:val="20"/>
          <w:color w:val="auto"/>
        </w:rPr>
      </w:pPr>
    </w:p>
    <w:p>
      <w:pPr>
        <w:spacing w:after="0" w:line="224" w:lineRule="exact"/>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Spouse</w:t>
      </w:r>
      <w:r>
        <w:rPr>
          <w:rFonts w:ascii="Arial" w:cs="Arial" w:eastAsia="Arial" w:hAnsi="Arial"/>
          <w:sz w:val="18"/>
          <w:szCs w:val="18"/>
          <w:color w:val="auto"/>
        </w:rPr>
        <w:t>” means the surviving husband or wife of an employee of the Company or an Affiliate, who has been married to the employee throughout the one</w:t>
      </w:r>
      <w:r>
        <w:rPr>
          <w:rFonts w:ascii="MS PGothic" w:cs="MS PGothic" w:eastAsia="MS PGothic" w:hAnsi="MS PGothic"/>
          <w:sz w:val="18"/>
          <w:szCs w:val="18"/>
          <w:color w:val="auto"/>
        </w:rPr>
        <w:t>‑</w:t>
      </w:r>
      <w:r>
        <w:rPr>
          <w:rFonts w:ascii="Arial" w:cs="Arial" w:eastAsia="Arial" w:hAnsi="Arial"/>
          <w:sz w:val="18"/>
          <w:szCs w:val="18"/>
          <w:color w:val="auto"/>
        </w:rPr>
        <w:t>year period ending on the date of the death of such employee.</w:t>
      </w:r>
    </w:p>
    <w:p>
      <w:pPr>
        <w:spacing w:after="0" w:line="93"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w:t>
      </w:r>
      <w:r>
        <w:rPr>
          <w:rFonts w:ascii="Arial" w:cs="Arial" w:eastAsia="Arial" w:hAnsi="Arial"/>
          <w:sz w:val="18"/>
          <w:szCs w:val="18"/>
          <w:color w:val="auto"/>
        </w:rPr>
        <w:t>” (relating to termination of service or termination of employment) shall mean a separation from service in accordance with § 409A and the regulations thereunder. A separation from service will be deemed to occur at any time that an employee and the Company reasonably anticipate that the bona fide level of services the employee will perform (whether as an employee or an independent contractor) will be permanently reduced to a level that is less than 50 percent of the average level of bona fide services the employee performed during the immediately preceding 36 months (or the entire period the employee has provided services if the employee has been providing services to the employer less than 36 months).</w:t>
      </w:r>
    </w:p>
    <w:p>
      <w:pPr>
        <w:spacing w:after="0" w:line="112"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Year</w:t>
      </w:r>
      <w:r>
        <w:rPr>
          <w:rFonts w:ascii="Arial" w:cs="Arial" w:eastAsia="Arial" w:hAnsi="Arial"/>
          <w:sz w:val="18"/>
          <w:szCs w:val="18"/>
          <w:color w:val="auto"/>
        </w:rPr>
        <w:t>” means each calendar year in which a Participant has at least 1,000 hours of Service with the Company or an Affiliate. Except as provided for in the applicable schedule of the applicable Retirement Plan, service with a predecessor company prior to becoming an Affiliate will not be counted in calculating Vesting Years. In addition, a pro-rata portion of a year shall be counted as a partial Vesting Year in the first and last year of service to the extent such portion of the year is counted in the applicable schedule of the applicable Retirement Plan.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Supplemental Retirement Benefit</w:t>
      </w:r>
      <w:r>
        <w:rPr>
          <w:rFonts w:ascii="Arial" w:cs="Arial" w:eastAsia="Arial" w:hAnsi="Arial"/>
          <w:sz w:val="18"/>
          <w:szCs w:val="18"/>
          <w:b w:val="1"/>
          <w:bCs w:val="1"/>
          <w:color w:val="auto"/>
        </w:rPr>
        <w:t>.</w:t>
      </w:r>
    </w:p>
    <w:p>
      <w:pPr>
        <w:spacing w:after="0" w:line="146" w:lineRule="exact"/>
        <w:rPr>
          <w:sz w:val="20"/>
          <w:szCs w:val="20"/>
          <w:color w:val="auto"/>
        </w:rPr>
      </w:pPr>
    </w:p>
    <w:p>
      <w:pPr>
        <w:ind w:right="200" w:firstLine="656"/>
        <w:spacing w:after="0" w:line="229" w:lineRule="auto"/>
        <w:tabs>
          <w:tab w:leader="none" w:pos="10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General Rule</w:t>
      </w:r>
      <w:r>
        <w:rPr>
          <w:rFonts w:ascii="Arial" w:cs="Arial" w:eastAsia="Arial" w:hAnsi="Arial"/>
          <w:sz w:val="18"/>
          <w:szCs w:val="18"/>
          <w:color w:val="auto"/>
        </w:rPr>
        <w:t>. Each Pension Participant who is vested and to whom a benefit accrues under the Retirement Plan (and his surviving spouse to whom a benefit is payable under the Retirement Plan, if any), shall be paid a supplemental annual retirement benefit (the “Supplemental Retirement Benefit”) under this Plan. A Participant shall be vested if he has ten or more Vesting Years or reaches age 62 or older while employed by the Company. The Supplemental Retirement Benefit shall be equal in amount to the difference between (i) the aggregate annual benefit payable under the Retirement Plan (the “Qualified Plan Benefit”) and (ii) the aggregate annual benefit that would be payable under the Retirement Plan if the 415 and 401(a)(17) Limitations were not contained therein (the “Unrestricted Benefit”).</w:t>
      </w:r>
    </w:p>
    <w:p>
      <w:pPr>
        <w:spacing w:after="0" w:line="11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 the case of a person who becomes a participant in this Plan after December 31, 2009, the Unrestricted Benefit shall (except for purposes of vesting) be computed taking into account only service and compensation earned while a Participant.</w:t>
      </w:r>
    </w:p>
    <w:p>
      <w:pPr>
        <w:spacing w:after="0" w:line="9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Effective August 1, 2012, the Supplemental Retirement Benefit shall be determined excluding the Secure Retirement Account (a Cash Balance Retirement Benefits Schedule in the Retirement Plan) from both the Qualified Plan Benefit and from the Unrestricted Benefit.</w:t>
      </w:r>
    </w:p>
    <w:p>
      <w:pPr>
        <w:spacing w:after="0" w:line="92" w:lineRule="exact"/>
        <w:rPr>
          <w:sz w:val="20"/>
          <w:szCs w:val="20"/>
          <w:color w:val="auto"/>
        </w:rPr>
      </w:pPr>
    </w:p>
    <w:p>
      <w:pPr>
        <w:ind w:right="40" w:firstLine="656"/>
        <w:spacing w:after="0" w:line="231" w:lineRule="auto"/>
        <w:tabs>
          <w:tab w:leader="none" w:pos="109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Kaplan Participants</w:t>
      </w:r>
      <w:r>
        <w:rPr>
          <w:rFonts w:ascii="Arial" w:cs="Arial" w:eastAsia="Arial" w:hAnsi="Arial"/>
          <w:sz w:val="18"/>
          <w:szCs w:val="18"/>
          <w:color w:val="auto"/>
        </w:rPr>
        <w:t>. With respect to a Kaplan Participant the Unrestricted Benefit shall be calculated as if he were covered by the TWPC Retirement Benefits Schedule of the Retirement Plan during his years of Service with Kaplan (without regard to any window benefit, except as specifically provided below); and the Qualified Plan Benefit shall be the “Kaplan Qualified Benefit,” which shall be the aggregate annual benefit (payable in the form of a life annuity) related to his years of Service with Kaplan payable to such person under the Kaplan Cash Balance Retirement</w:t>
      </w:r>
    </w:p>
    <w:p>
      <w:pPr>
        <w:sectPr>
          <w:pgSz w:w="11900" w:h="16838" w:orient="portrait"/>
          <w:cols w:equalWidth="0" w:num="1">
            <w:col w:w="11420"/>
          </w:cols>
          <w:pgMar w:left="240" w:top="346" w:right="239" w:bottom="1440" w:gutter="0" w:footer="0" w:header="0"/>
        </w:sectPr>
      </w:pPr>
    </w:p>
    <w:bookmarkStart w:id="124" w:name="page125"/>
    <w:bookmarkEnd w:id="124"/>
    <w:p>
      <w:pPr>
        <w:ind w:right="40"/>
        <w:spacing w:after="0"/>
        <w:rPr>
          <w:sz w:val="20"/>
          <w:szCs w:val="20"/>
          <w:color w:val="auto"/>
        </w:rPr>
      </w:pPr>
      <w:r>
        <w:rPr>
          <w:rFonts w:ascii="Arial" w:cs="Arial" w:eastAsia="Arial" w:hAnsi="Arial"/>
          <w:sz w:val="18"/>
          <w:szCs w:val="18"/>
          <w:color w:val="auto"/>
        </w:rPr>
        <w:t xml:space="preserve">Benefits Schedule of the Retirement Plan. </w:t>
      </w:r>
      <w:r>
        <w:rPr>
          <w:rFonts w:ascii="Arial" w:cs="Arial" w:eastAsia="Arial" w:hAnsi="Arial"/>
          <w:sz w:val="18"/>
          <w:szCs w:val="18"/>
          <w:u w:val="single" w:color="auto"/>
          <w:color w:val="auto"/>
        </w:rPr>
        <w:t>Effective December 31, 2006</w:t>
      </w:r>
      <w:r>
        <w:rPr>
          <w:rFonts w:ascii="Arial" w:cs="Arial" w:eastAsia="Arial" w:hAnsi="Arial"/>
          <w:sz w:val="18"/>
          <w:szCs w:val="18"/>
          <w:color w:val="auto"/>
        </w:rPr>
        <w:t xml:space="preserve"> benefits for all Kaplan Participants (other than those designated by the Committee) shall be “frozen” meaning that the Supplemental Retirement Benefit shall be the amount accrued as of December 31, 2006 and shall not thereafter increase.</w:t>
      </w:r>
    </w:p>
    <w:p>
      <w:pPr>
        <w:spacing w:after="0" w:line="108" w:lineRule="exact"/>
        <w:rPr>
          <w:sz w:val="20"/>
          <w:szCs w:val="20"/>
          <w:color w:val="auto"/>
        </w:rPr>
      </w:pPr>
    </w:p>
    <w:p>
      <w:pPr>
        <w:ind w:right="760" w:firstLine="1305"/>
        <w:spacing w:after="0" w:line="260" w:lineRule="auto"/>
        <w:tabs>
          <w:tab w:leader="none" w:pos="1736" w:val="left"/>
        </w:tabs>
        <w:numPr>
          <w:ilvl w:val="2"/>
          <w:numId w:val="125"/>
        </w:numPr>
        <w:rPr>
          <w:rFonts w:ascii="Arial" w:cs="Arial" w:eastAsia="Arial" w:hAnsi="Arial"/>
          <w:sz w:val="18"/>
          <w:szCs w:val="18"/>
          <w:color w:val="auto"/>
        </w:rPr>
      </w:pPr>
      <w:r>
        <w:rPr>
          <w:rFonts w:ascii="Arial" w:cs="Arial" w:eastAsia="Arial" w:hAnsi="Arial"/>
          <w:sz w:val="18"/>
          <w:szCs w:val="18"/>
          <w:u w:val="single" w:color="auto"/>
          <w:color w:val="auto"/>
        </w:rPr>
        <w:t>Executive Participants</w:t>
      </w:r>
      <w:r>
        <w:rPr>
          <w:rFonts w:ascii="Arial" w:cs="Arial" w:eastAsia="Arial" w:hAnsi="Arial"/>
          <w:sz w:val="18"/>
          <w:szCs w:val="18"/>
          <w:color w:val="auto"/>
        </w:rPr>
        <w:t>. In the case of an Executive Participant, the Unrestricted Benefit shall be calculated using Compensation rather than Actual Salary.</w:t>
      </w:r>
    </w:p>
    <w:p>
      <w:pPr>
        <w:spacing w:after="0" w:line="91" w:lineRule="exact"/>
        <w:rPr>
          <w:rFonts w:ascii="Arial" w:cs="Arial" w:eastAsia="Arial" w:hAnsi="Arial"/>
          <w:sz w:val="18"/>
          <w:szCs w:val="18"/>
          <w:color w:val="auto"/>
        </w:rPr>
      </w:pPr>
    </w:p>
    <w:p>
      <w:pPr>
        <w:jc w:val="both"/>
        <w:ind w:firstLine="1045"/>
        <w:spacing w:after="0" w:line="234" w:lineRule="auto"/>
        <w:tabs>
          <w:tab w:leader="none" w:pos="1676"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Window Benefits Not Generally Included</w:t>
      </w:r>
      <w:r>
        <w:rPr>
          <w:rFonts w:ascii="Arial" w:cs="Arial" w:eastAsia="Arial" w:hAnsi="Arial"/>
          <w:sz w:val="18"/>
          <w:szCs w:val="18"/>
          <w:color w:val="auto"/>
        </w:rPr>
        <w:t xml:space="preserve">. Effective January 1, 2008, </w:t>
      </w:r>
      <w:r>
        <w:rPr>
          <w:rFonts w:ascii="Arial" w:cs="Arial" w:eastAsia="Arial" w:hAnsi="Arial"/>
          <w:sz w:val="18"/>
          <w:szCs w:val="18"/>
          <w:u w:val="single" w:color="auto"/>
          <w:color w:val="auto"/>
        </w:rPr>
        <w:t>except as specifically provided otherwise</w:t>
      </w:r>
      <w:r>
        <w:rPr>
          <w:rFonts w:ascii="Arial" w:cs="Arial" w:eastAsia="Arial" w:hAnsi="Arial"/>
          <w:sz w:val="18"/>
          <w:szCs w:val="18"/>
          <w:color w:val="auto"/>
        </w:rPr>
        <w:t>, the Supplemental Retirement Benefit shall be determined without regard to any window benefit (specifically, as if the Retirement Plan did not have the window benefit). A window benefit for this purpose is an additional or enhanced benefit in the Retirement Plan that is available only to participants who terminate or retire during a specified period of time, not to exceed one year.</w:t>
      </w:r>
    </w:p>
    <w:p>
      <w:pPr>
        <w:spacing w:after="0" w:line="111" w:lineRule="exact"/>
        <w:rPr>
          <w:rFonts w:ascii="Arial" w:cs="Arial" w:eastAsia="Arial" w:hAnsi="Arial"/>
          <w:sz w:val="18"/>
          <w:szCs w:val="18"/>
          <w:color w:val="auto"/>
        </w:rPr>
      </w:pPr>
    </w:p>
    <w:p>
      <w:pPr>
        <w:jc w:val="both"/>
        <w:ind w:firstLine="656"/>
        <w:spacing w:after="0" w:line="231" w:lineRule="auto"/>
        <w:tabs>
          <w:tab w:leader="none" w:pos="1058"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Certain Window Benefits Included</w:t>
      </w:r>
      <w:r>
        <w:rPr>
          <w:rFonts w:ascii="Arial" w:cs="Arial" w:eastAsia="Arial" w:hAnsi="Arial"/>
          <w:sz w:val="18"/>
          <w:szCs w:val="18"/>
          <w:color w:val="auto"/>
        </w:rPr>
        <w:t>. The Company shall have the authority to amend the Plan to include window benefits approved after January 1, 2008. The authority to include such window benefits shall be delegated to the same individual, committee or other governing body as the authority to approve the window benefit in the Retirement Plan; provided however that, if such amendment is not approved by the Committee, the present value of the window benefit in the Plan shall not exceed the present value of the benefit that would be provided if Section 3(a)(iv) were deleted.</w:t>
      </w:r>
    </w:p>
    <w:p>
      <w:pPr>
        <w:spacing w:after="0" w:line="111" w:lineRule="exact"/>
        <w:rPr>
          <w:rFonts w:ascii="Arial" w:cs="Arial" w:eastAsia="Arial" w:hAnsi="Arial"/>
          <w:sz w:val="18"/>
          <w:szCs w:val="18"/>
          <w:color w:val="auto"/>
        </w:rPr>
      </w:pPr>
    </w:p>
    <w:p>
      <w:pPr>
        <w:jc w:val="both"/>
        <w:ind w:firstLine="656"/>
        <w:spacing w:after="0" w:line="231" w:lineRule="auto"/>
        <w:tabs>
          <w:tab w:leader="none" w:pos="115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Newsweek 2008 VRIP</w:t>
      </w:r>
      <w:r>
        <w:rPr>
          <w:rFonts w:ascii="Arial" w:cs="Arial" w:eastAsia="Arial" w:hAnsi="Arial"/>
          <w:sz w:val="18"/>
          <w:szCs w:val="18"/>
          <w:color w:val="auto"/>
        </w:rPr>
        <w:t>. In the case of a Participant who elects to participate in the window benefit described in notices as the Newsweek, Inc. Voluntary Incentive Retirement / Resignation Program offered in the first half of 2008 (the “2008 VIRRP”), such Participant’s Supplemental Retirement Benefit shall be determined and paid in accordance with the modifications in this paragraph (vi). The terms of the Retirement Plan, including the 2008 VIRRP, shall be used in determining the Participant’s Supplemental Retirement Benefit. The Participant’s Supplemental Retirement Benefit shall be paid as follows.</w:t>
      </w:r>
    </w:p>
    <w:p>
      <w:pPr>
        <w:spacing w:after="0" w:line="111" w:lineRule="exact"/>
        <w:rPr>
          <w:sz w:val="20"/>
          <w:szCs w:val="20"/>
          <w:color w:val="auto"/>
        </w:rPr>
      </w:pPr>
    </w:p>
    <w:p>
      <w:pPr>
        <w:jc w:val="both"/>
        <w:ind w:firstLine="1305"/>
        <w:spacing w:after="0" w:line="226" w:lineRule="auto"/>
        <w:tabs>
          <w:tab w:leader="none" w:pos="1751"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portion of the Supplemental Retirement Benefit attributable to the Improved Retirement Benefit (as described in the Newsweek, Inc. Notice of Voluntary Incentive Retirement / Resignation Program, hereinafter referred to as the “Notice”) shall be paid in accordance with Section 3(b)(iv) hereof, provided however that if the earliest possible commencement date of the Improved Retirement Benefit in the Retirement Plan is earlier than the presumptive retirement date in Section 3(b)(iv) hereof, then the terms of payment of the monthly benefit described in this Section 3(a)(vi)(1) shall be modified as follows. First, the presumptive retirement date shall be such earliest benefit commencement date as specified in the Retirement Plan. Second, the actual commencement date shall be the later of (A) the first day of the seventh month following termination of employment, or (B) January 1, 2009. Notwithstanding the above, if the earliest possible commencement date of the Improved Retirement Benefit in the Retirement Plan is the same as the presumptive retirement date in Section 3(b)(iv) hereof, the actual commencement date shall not be earlier than January 1, 2009.</w:t>
      </w:r>
    </w:p>
    <w:p>
      <w:pPr>
        <w:spacing w:after="0" w:line="109" w:lineRule="exact"/>
        <w:rPr>
          <w:rFonts w:ascii="Arial" w:cs="Arial" w:eastAsia="Arial" w:hAnsi="Arial"/>
          <w:sz w:val="18"/>
          <w:szCs w:val="18"/>
          <w:color w:val="auto"/>
        </w:rPr>
      </w:pPr>
    </w:p>
    <w:p>
      <w:pPr>
        <w:jc w:val="both"/>
        <w:ind w:firstLine="1305"/>
        <w:spacing w:after="0" w:line="227" w:lineRule="auto"/>
        <w:tabs>
          <w:tab w:leader="none" w:pos="187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portion of the Supplemental Retirement Benefit attributable to the Special Retirement Incentive Payment (as described in the Notice) shall be paid in a single lump sum within 31 days after the Participant’s termination of employment under the 2008 VIRRP (which, solely for this purpose shall not be “separation from service,” but, instead shall be termination of employment for purposes of the Retirement Plan) but in no event later than January 31, 2009. Notwithstanding the above, for Angelo Rivello the portion of the Supplemental Retirement Benefit attributable to the Special Retirement Incentive Payment shall be payable as an actuarially equivalent annuity in the form specified in Section 3(b)(iv) hereof and commencing on the first day of the month that is on or after the Participant’s retirement under the 2008 VIRRP, and provided further that any monthly payment otherwise due under this subparagraph (2) to Mr. Rivello before the later of (A) January 1, 2009 or (B) the first day of the seventh month following the Participant’s separation from service shall be withheld and paid on such date.</w:t>
      </w:r>
    </w:p>
    <w:p>
      <w:pPr>
        <w:spacing w:after="0" w:line="108" w:lineRule="exact"/>
        <w:rPr>
          <w:rFonts w:ascii="Arial" w:cs="Arial" w:eastAsia="Arial" w:hAnsi="Arial"/>
          <w:sz w:val="18"/>
          <w:szCs w:val="18"/>
          <w:color w:val="auto"/>
        </w:rPr>
      </w:pPr>
    </w:p>
    <w:p>
      <w:pPr>
        <w:jc w:val="both"/>
        <w:ind w:firstLine="656"/>
        <w:spacing w:after="0" w:line="229" w:lineRule="auto"/>
        <w:tabs>
          <w:tab w:leader="none" w:pos="119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TWPC 2008 VRIP</w:t>
      </w:r>
      <w:r>
        <w:rPr>
          <w:rFonts w:ascii="Arial" w:cs="Arial" w:eastAsia="Arial" w:hAnsi="Arial"/>
          <w:sz w:val="18"/>
          <w:szCs w:val="18"/>
          <w:color w:val="auto"/>
        </w:rPr>
        <w:t>. In the case of a Participant who elects to participate in the Voluntary Retirement Incentive Program in the TWPC Retirement Benefits Schedule (including any associated benefits in any other benefits schedule or Retirement Plan attributable to the same program) whose election period ended in the second quarter of 2008 (the “2008 VRIP”), such Participant’s Supplemental Retirement Benefit shall be determined and paid in accordance with the modifications in this paragraph (vii). The terms of the Retirement Plan, including the 2008 VRIP, shall be used in determining the Participant’s Supplemental Retirement Benefit. The Participant’s Supplemental Retirement Benefit shall be paid as follows.</w:t>
      </w:r>
    </w:p>
    <w:p>
      <w:pPr>
        <w:spacing w:after="0" w:line="111" w:lineRule="exact"/>
        <w:rPr>
          <w:rFonts w:ascii="Arial" w:cs="Arial" w:eastAsia="Arial" w:hAnsi="Arial"/>
          <w:sz w:val="18"/>
          <w:szCs w:val="18"/>
          <w:color w:val="auto"/>
        </w:rPr>
      </w:pPr>
    </w:p>
    <w:p>
      <w:pPr>
        <w:jc w:val="both"/>
        <w:ind w:firstLine="1305"/>
        <w:spacing w:after="0" w:line="226" w:lineRule="auto"/>
        <w:tabs>
          <w:tab w:leader="none" w:pos="173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portion of the Supplemental Retirement Benefit attributable to the Enhanced Retirement Benefit (as described in the Notice of Voluntary Retirement Incentive Program, hereinafter referred to as the “Notice”) shall be paid in accordance with Section 3(b)(iv) hereof, provided however that if the earliest possible commencement date of the Enhanced Retirement Benefit in the Retirement Plan is earlier than the presumptive retirement date in Section 3(b)(iv) hereof, then the terms of payment of the monthly benefit described in this Section 3(a) (vii)(1) shall be modified as follows. First, the presumptive retirement date shall be such earliest commencement date as is specified in the Retirement Plan. Second, the actual commencement date shall be the later of (A) the first day of the seventh month following termination of employment, or (B) January 1, 2009. Notwithstanding the above, if the earliest possible commencement date of the Improved Retirement Benefit in the Retirement Plan is the same as the presumptive retirement date in Section 3(b)(iv) hereof, the actual commencement date shall not be earlier than January 1, 2009.</w:t>
      </w:r>
    </w:p>
    <w:p>
      <w:pPr>
        <w:sectPr>
          <w:pgSz w:w="11900" w:h="16838" w:orient="portrait"/>
          <w:cols w:equalWidth="0" w:num="1">
            <w:col w:w="11420"/>
          </w:cols>
          <w:pgMar w:left="240" w:top="346" w:right="239" w:bottom="1440" w:gutter="0" w:footer="0" w:header="0"/>
        </w:sectPr>
      </w:pPr>
    </w:p>
    <w:bookmarkStart w:id="125" w:name="page126"/>
    <w:bookmarkEnd w:id="125"/>
    <w:p>
      <w:pPr>
        <w:jc w:val="both"/>
        <w:ind w:left="-656" w:firstLine="1305"/>
        <w:spacing w:after="0" w:line="234" w:lineRule="auto"/>
        <w:tabs>
          <w:tab w:leader="none" w:pos="1222"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portion of the Supplemental Retirement Benefit attributable to the Special Retirement Incentive Payment (as described in the Notice) shall be paid in a single lump sum within 31 days after the Participant’s termination of employment under the 2008 VRIP (which, solely for this purpose shall not be “separation from service,” but, instead shall be termination of employment for purposes of the Retirement Plan) but in no event later than January 31, 2009.</w:t>
      </w:r>
    </w:p>
    <w:p>
      <w:pPr>
        <w:spacing w:after="0" w:line="111" w:lineRule="exact"/>
        <w:rPr>
          <w:rFonts w:ascii="Arial" w:cs="Arial" w:eastAsia="Arial" w:hAnsi="Arial"/>
          <w:sz w:val="18"/>
          <w:szCs w:val="18"/>
          <w:color w:val="auto"/>
        </w:rPr>
      </w:pPr>
    </w:p>
    <w:p>
      <w:pPr>
        <w:jc w:val="both"/>
        <w:ind w:left="-656" w:firstLine="656"/>
        <w:spacing w:after="0" w:line="229" w:lineRule="auto"/>
        <w:tabs>
          <w:tab w:leader="none" w:pos="576"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2009 VRIP</w:t>
      </w:r>
      <w:r>
        <w:rPr>
          <w:rFonts w:ascii="Arial" w:cs="Arial" w:eastAsia="Arial" w:hAnsi="Arial"/>
          <w:sz w:val="18"/>
          <w:szCs w:val="18"/>
          <w:color w:val="auto"/>
        </w:rPr>
        <w:t>. In the case of a Participant who elects to participate in the Voluntary Retirement Incentive Program in the TWPC Retirement Benefits Schedule (including any associated benefits in any other benefits schedule or Retirement Plan attributable to the same program) whose election period ended in June 2009 (the “2009 VRIP”), such Participant’s Supplemental Retirement Benefit shall be determined and paid in accordance with the modifications in this paragraph (viii). The terms of the Retirement Plan, including the 2009 VRIP, shall be used in determining the Participant’s Supplemental Retirement Benefit. The Participant’s Supplemental Retirement Benefit shall be paid as follows.</w:t>
      </w:r>
    </w:p>
    <w:p>
      <w:pPr>
        <w:spacing w:after="0" w:line="111" w:lineRule="exact"/>
        <w:rPr>
          <w:rFonts w:ascii="Arial" w:cs="Arial" w:eastAsia="Arial" w:hAnsi="Arial"/>
          <w:sz w:val="18"/>
          <w:szCs w:val="18"/>
          <w:color w:val="auto"/>
        </w:rPr>
      </w:pPr>
    </w:p>
    <w:p>
      <w:pPr>
        <w:jc w:val="both"/>
        <w:ind w:left="-656" w:firstLine="1305"/>
        <w:spacing w:after="0" w:line="228" w:lineRule="auto"/>
        <w:tabs>
          <w:tab w:leader="none" w:pos="108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portion of the Supplemental Retirement Benefit attributable to the Enhanced Retirement Benefit (as described in the Notice of Voluntary Retirement Incentive Program for Certain Exempt Employees, hereinafter referred to as the “Notice”) shall be paid in accordance with Section 3(b)(iv) hereof, provided however that if the earliest possible commencement date of such benefit in the Retirement Plan is earlier than the presumptive retirement date in Section 3(b)(iv) hereof, then the terms of payment of the monthly benefit described in this Section 3(a)(viii)(1) shall be modified as follows. First, the presumptive retirement date shall be such earliest commencement date as is specified in the Retirement Plan. Second, the actual commencement date shall be the first day of the seventh month following termination of employment, or the presumptive retirement date if later.</w:t>
      </w:r>
    </w:p>
    <w:p>
      <w:pPr>
        <w:spacing w:after="0" w:line="109" w:lineRule="exact"/>
        <w:rPr>
          <w:rFonts w:ascii="Arial" w:cs="Arial" w:eastAsia="Arial" w:hAnsi="Arial"/>
          <w:sz w:val="18"/>
          <w:szCs w:val="18"/>
          <w:color w:val="auto"/>
        </w:rPr>
      </w:pPr>
    </w:p>
    <w:p>
      <w:pPr>
        <w:jc w:val="both"/>
        <w:ind w:left="-656" w:firstLine="1305"/>
        <w:spacing w:after="0" w:line="234" w:lineRule="auto"/>
        <w:tabs>
          <w:tab w:leader="none" w:pos="129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portion of the Supplemental Retirement Benefit attributable to the Special Retirement Incentive Payment (as described in the Notice) shall be paid in a single lump sum within 31 days after the Participant’s termination of employment under the 2009 VRIP (which, solely for this purpose shall not be “separation from service,” but instead shall be termination of employment for purposes of the Retirement Plan) but in no event later than January 31, 2010.</w:t>
      </w:r>
    </w:p>
    <w:p>
      <w:pPr>
        <w:spacing w:after="0" w:line="111" w:lineRule="exact"/>
        <w:rPr>
          <w:rFonts w:ascii="Arial" w:cs="Arial" w:eastAsia="Arial" w:hAnsi="Arial"/>
          <w:sz w:val="18"/>
          <w:szCs w:val="18"/>
          <w:color w:val="auto"/>
        </w:rPr>
      </w:pPr>
    </w:p>
    <w:p>
      <w:pPr>
        <w:jc w:val="both"/>
        <w:ind w:left="-656" w:firstLine="656"/>
        <w:spacing w:after="0" w:line="234" w:lineRule="auto"/>
        <w:tabs>
          <w:tab w:leader="none" w:pos="469"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2012 VRIP</w:t>
      </w:r>
      <w:r>
        <w:rPr>
          <w:rFonts w:ascii="Arial" w:cs="Arial" w:eastAsia="Arial" w:hAnsi="Arial"/>
          <w:sz w:val="18"/>
          <w:szCs w:val="18"/>
          <w:color w:val="auto"/>
        </w:rPr>
        <w:t>. In the case of a Participant who elects to participate in the 2012 Voluntary Retirement Incentive Program (the “2012 VRIP”) contained in the Post-Newsweek Media Cash Balance Retirement Benefits Schedule to the Statement of Basic Cash Balance Provisions of the Retirement Plan, such Participant’s Supplemental Retirement Benefit shall be determined based on the terms of the Retirement Plan, including the 2012 VRIP.</w:t>
      </w:r>
    </w:p>
    <w:p>
      <w:pPr>
        <w:spacing w:after="0" w:line="111" w:lineRule="exact"/>
        <w:rPr>
          <w:sz w:val="20"/>
          <w:szCs w:val="20"/>
          <w:color w:val="auto"/>
        </w:rPr>
      </w:pPr>
    </w:p>
    <w:p>
      <w:pPr>
        <w:ind w:left="424" w:hanging="424"/>
        <w:spacing w:after="0"/>
        <w:tabs>
          <w:tab w:leader="none" w:pos="424"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Time and Form of Payment</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656" w:firstLine="1305"/>
        <w:spacing w:after="0"/>
        <w:tabs>
          <w:tab w:leader="none" w:pos="850" w:val="left"/>
        </w:tabs>
        <w:numPr>
          <w:ilvl w:val="1"/>
          <w:numId w:val="132"/>
        </w:numPr>
        <w:rPr>
          <w:rFonts w:ascii="Arial" w:cs="Arial" w:eastAsia="Arial" w:hAnsi="Arial"/>
          <w:sz w:val="18"/>
          <w:szCs w:val="18"/>
          <w:color w:val="auto"/>
        </w:rPr>
      </w:pPr>
      <w:r>
        <w:rPr>
          <w:rFonts w:ascii="Arial" w:cs="Arial" w:eastAsia="Arial" w:hAnsi="Arial"/>
          <w:sz w:val="18"/>
          <w:szCs w:val="18"/>
          <w:u w:val="single" w:color="auto"/>
          <w:color w:val="auto"/>
        </w:rPr>
        <w:t>Payment Provisions Before 2008</w:t>
      </w:r>
      <w:r>
        <w:rPr>
          <w:rFonts w:ascii="Arial" w:cs="Arial" w:eastAsia="Arial" w:hAnsi="Arial"/>
          <w:sz w:val="18"/>
          <w:szCs w:val="18"/>
          <w:color w:val="auto"/>
        </w:rPr>
        <w:t>. Except as provided below, the Supplemental Retirement Benefit shall be paid to the Participant (or to any beneficiary or Surviving Spouse, as applicable) concurrently with the payment of the benefit payable under the Retirement Plan and shall be payable in the same form as such Retirement Plan benefit is being paid thereunder.</w:t>
      </w:r>
    </w:p>
    <w:p>
      <w:pPr>
        <w:spacing w:after="0" w:line="108" w:lineRule="exact"/>
        <w:rPr>
          <w:sz w:val="20"/>
          <w:szCs w:val="20"/>
          <w:color w:val="auto"/>
        </w:rPr>
      </w:pPr>
    </w:p>
    <w:p>
      <w:pPr>
        <w:ind w:left="-656" w:right="60" w:firstLine="656"/>
        <w:spacing w:after="0" w:line="224" w:lineRule="auto"/>
        <w:tabs>
          <w:tab w:leader="none" w:pos="242"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Special Rule for Cash Balance Benefits</w:t>
      </w:r>
      <w:r>
        <w:rPr>
          <w:rFonts w:ascii="Arial" w:cs="Arial" w:eastAsia="Arial" w:hAnsi="Arial"/>
          <w:sz w:val="18"/>
          <w:szCs w:val="18"/>
          <w:color w:val="auto"/>
        </w:rPr>
        <w:t xml:space="preserve">. With respect to the Cash Balance Plan, the Qualified Plan Benefit and the Unrestricted Benefit shall be a single life annuity that is actuarially equivalent to the lump sum benefit payable in the Retirement Plan, with such actuarial equivalent determined using the interest rate specified in § 417(e) of the Internal Revenue Code (as determined in the Retirement Plan) plus 2%. In the event the Supplemental Retirement Benefit commences prior to Normal Retirement Date or is payable in a form other than an annuity for the life of the Participant only, the Supplemental Retirement Benefit shall be actuarially adjusted in the same manner as is the benefit payable under the Retirement Plan. The Committee may, however, in its sole discretion direct that the Supplemental Retirement Benefit payable with respect to a Participant be paid as an actuarially equivalent single lump sum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 such payment may be made prior to termination of Service or prior to the date that a benefit may become payable under the Retirement Plan, or after January 1, 2005,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determining actuarial equivalency of a single lump sum payment in cash, there shall be used the same actuarial assumptions as are applicable for the calculation of a single lump sum payment under the Retirement Plan. If a portion of the Participant’s benefit is determined in accordance with the Cash Balance Plan, the associated Supplemental Retirement Benefit will also be payable in a single lump sum amount which shall be equal to his Supplemental Benefit Cash Balance Account as of the date of the single lump sum payment.</w:t>
      </w:r>
    </w:p>
    <w:p>
      <w:pPr>
        <w:spacing w:after="0" w:line="108" w:lineRule="exact"/>
        <w:rPr>
          <w:rFonts w:ascii="Arial" w:cs="Arial" w:eastAsia="Arial" w:hAnsi="Arial"/>
          <w:sz w:val="18"/>
          <w:szCs w:val="18"/>
          <w:color w:val="auto"/>
        </w:rPr>
      </w:pPr>
    </w:p>
    <w:p>
      <w:pPr>
        <w:ind w:left="-656" w:right="400" w:firstLine="656"/>
        <w:spacing w:after="0" w:line="234" w:lineRule="auto"/>
        <w:tabs>
          <w:tab w:leader="none" w:pos="432"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Special Rule for Kaplan Participants</w:t>
      </w:r>
      <w:r>
        <w:rPr>
          <w:rFonts w:ascii="Arial" w:cs="Arial" w:eastAsia="Arial" w:hAnsi="Arial"/>
          <w:sz w:val="18"/>
          <w:szCs w:val="18"/>
          <w:color w:val="auto"/>
        </w:rPr>
        <w:t>. For a Kaplan Participant, the Unrestricted Benefit shall be calculated as an annuity. The Supplemental Retirement Benefit for a Kaplan Participant will be paid in the form of a single life annuity beginning at the same time the payment is commenced under the Retirement Plan, but in no case prior to age 55. A Kaplan Participant cannot receive the amount of his Supplemental Retirement Benefit in a lump sum, except in accordance with subsection (c) relating to small benefits.</w:t>
      </w:r>
    </w:p>
    <w:p>
      <w:pPr>
        <w:spacing w:after="0" w:line="111" w:lineRule="exact"/>
        <w:rPr>
          <w:rFonts w:ascii="Arial" w:cs="Arial" w:eastAsia="Arial" w:hAnsi="Arial"/>
          <w:sz w:val="18"/>
          <w:szCs w:val="18"/>
          <w:color w:val="auto"/>
        </w:rPr>
      </w:pPr>
    </w:p>
    <w:p>
      <w:pPr>
        <w:ind w:left="-656" w:right="40" w:firstLine="656"/>
        <w:spacing w:after="0" w:line="231" w:lineRule="auto"/>
        <w:tabs>
          <w:tab w:leader="none" w:pos="442"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Payment Provisions Effective 2008</w:t>
      </w:r>
      <w:r>
        <w:rPr>
          <w:rFonts w:ascii="Arial" w:cs="Arial" w:eastAsia="Arial" w:hAnsi="Arial"/>
          <w:sz w:val="18"/>
          <w:szCs w:val="18"/>
          <w:color w:val="auto"/>
        </w:rPr>
        <w:t>. Notwithstanding paragraphs (i) and (iii) above, and subject to the actuarial equivalence rules in paragraph (ii) above, effective January 1, 2008 the Supplemental Retirement Benefit shall be determined as if the benefit payable under the Retirement Plan is payable as a life annuity and actually commences on the “presumptive retirement date,” which shall be the latest of the following dates: (i) the first day of the month on or after the date the Participant terminates employment; (ii) the first day of the month on or after the date the</w:t>
      </w:r>
    </w:p>
    <w:p>
      <w:pPr>
        <w:sectPr>
          <w:pgSz w:w="11900" w:h="16838" w:orient="portrait"/>
          <w:cols w:equalWidth="0" w:num="1">
            <w:col w:w="10764"/>
          </w:cols>
          <w:pgMar w:left="896" w:top="346" w:right="239" w:bottom="1440" w:gutter="0" w:footer="0" w:header="0"/>
        </w:sectPr>
      </w:pPr>
    </w:p>
    <w:bookmarkStart w:id="126" w:name="page127"/>
    <w:bookmarkEnd w:id="126"/>
    <w:p>
      <w:pPr>
        <w:ind w:right="20"/>
        <w:spacing w:after="0"/>
        <w:rPr>
          <w:sz w:val="20"/>
          <w:szCs w:val="20"/>
          <w:color w:val="auto"/>
        </w:rPr>
      </w:pPr>
      <w:r>
        <w:rPr>
          <w:rFonts w:ascii="Arial" w:cs="Arial" w:eastAsia="Arial" w:hAnsi="Arial"/>
          <w:sz w:val="17"/>
          <w:szCs w:val="17"/>
          <w:color w:val="auto"/>
        </w:rPr>
        <w:t>Participant attains age 55; or (iii) January 1, 2008. The Supplemental Retirement Benefit shall be determined as if it commenced on the presumptive retirement date, but the first payment shall be made no earlier than the first day of the seventh month following termination of employment (the “actual commencement date”), and on the actual commencement date, a number of monthly payments shall be made equal to the number of months from the presumptive retirement date to the actual commencement date, inclusive, with one monthly payment made on the first day of each month thereafter. The Supplemental Retirement Benefit shall be considered a series of separate payments for purposes of § 409A. The Supplemental Retirement Benefit shall be payable in the form of a life annuity, provided however that the Participant may elect, at any time prior to the presumptive retirement date, to have the Supplemental Retirement Benefit paid in the form of any other actuarially equivalent annuity that is permitted under the Retirement Plan, but only if such election is permitted by § 409A and the regulations thereunder.</w:t>
      </w:r>
    </w:p>
    <w:p>
      <w:pPr>
        <w:spacing w:after="0" w:line="111" w:lineRule="exact"/>
        <w:rPr>
          <w:sz w:val="20"/>
          <w:szCs w:val="20"/>
          <w:color w:val="auto"/>
        </w:rPr>
      </w:pPr>
    </w:p>
    <w:p>
      <w:pPr>
        <w:ind w:firstLine="656"/>
        <w:spacing w:after="0" w:line="227" w:lineRule="auto"/>
        <w:tabs>
          <w:tab w:leader="none" w:pos="1058"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Small Benefit Paid as Lump Sum</w:t>
      </w:r>
      <w:r>
        <w:rPr>
          <w:rFonts w:ascii="Arial" w:cs="Arial" w:eastAsia="Arial" w:hAnsi="Arial"/>
          <w:sz w:val="18"/>
          <w:szCs w:val="18"/>
          <w:color w:val="auto"/>
        </w:rPr>
        <w:t>. Notwithstanding (a) and (b) above, in the event any benefit in this Section 3 is payable in the form of an annuity, and the present value of such annuity as of the commencement date is less than $5,000, such benefit shall be paid in the form of a single lump sum equal to such present value on the date the annuity would otherwise commence. For purposes of this subsection (c), each annuity benefit (defined by the commencement date and form of annuity) shall be considered separately, and shall not be aggregated with any other benefit payable commencing on a different date or in a different form. The present value of the annuity benefit shall be determined using the actuarial assumptions in the definition of “Actuarial Equivalent” herein except that the present value of any benefit determined with respect to a Cash Balance account shall be the amount of such Cash Balance. This subsection (c) shall apply only so long as it is permissible under regulations or rulings under § 409A.</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Supplemental Savings Plan</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7" w:lineRule="exact"/>
        <w:rPr>
          <w:sz w:val="20"/>
          <w:szCs w:val="20"/>
          <w:color w:val="auto"/>
        </w:rPr>
      </w:pPr>
    </w:p>
    <w:p>
      <w:pPr>
        <w:ind w:right="700" w:firstLine="656"/>
        <w:spacing w:after="0" w:line="260" w:lineRule="auto"/>
        <w:tabs>
          <w:tab w:leader="none" w:pos="1068"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 Savings Participant shall be eligible for the benefits of this Section 4 for a particular Plan Year only if all of the following conditions are met for such Plan Year:</w:t>
      </w:r>
    </w:p>
    <w:p>
      <w:pPr>
        <w:spacing w:after="0" w:line="91" w:lineRule="exact"/>
        <w:rPr>
          <w:rFonts w:ascii="Arial" w:cs="Arial" w:eastAsia="Arial" w:hAnsi="Arial"/>
          <w:sz w:val="18"/>
          <w:szCs w:val="18"/>
          <w:color w:val="auto"/>
        </w:rPr>
      </w:pPr>
    </w:p>
    <w:p>
      <w:pPr>
        <w:ind w:right="400" w:firstLine="1305"/>
        <w:spacing w:after="0" w:line="260" w:lineRule="auto"/>
        <w:tabs>
          <w:tab w:leader="none" w:pos="1703"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The Participant’s Actual Salary for such Plan Year exceeds the 401(a)(17) Limitation for such Plan Year (such excess being “Excess Salary”). (See Subsection (h) below for an exception to this requirement for suspended Participants.)</w:t>
      </w:r>
    </w:p>
    <w:p>
      <w:pPr>
        <w:spacing w:after="0" w:line="91" w:lineRule="exact"/>
        <w:rPr>
          <w:rFonts w:ascii="Arial" w:cs="Arial" w:eastAsia="Arial" w:hAnsi="Arial"/>
          <w:sz w:val="18"/>
          <w:szCs w:val="18"/>
          <w:color w:val="auto"/>
        </w:rPr>
      </w:pPr>
    </w:p>
    <w:p>
      <w:pPr>
        <w:ind w:left="1300" w:hanging="444"/>
        <w:spacing w:after="0"/>
        <w:tabs>
          <w:tab w:leader="none" w:pos="13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Participant is participating in the Savings Plan.</w:t>
      </w:r>
    </w:p>
    <w:p>
      <w:pPr>
        <w:spacing w:after="0" w:line="144" w:lineRule="exact"/>
        <w:rPr>
          <w:rFonts w:ascii="Arial" w:cs="Arial" w:eastAsia="Arial" w:hAnsi="Arial"/>
          <w:sz w:val="18"/>
          <w:szCs w:val="18"/>
          <w:color w:val="auto"/>
        </w:rPr>
      </w:pPr>
    </w:p>
    <w:p>
      <w:pPr>
        <w:ind w:right="120" w:firstLine="1305"/>
        <w:spacing w:after="0" w:line="207" w:lineRule="exact"/>
        <w:tabs>
          <w:tab w:leader="none" w:pos="1777" w:val="left"/>
        </w:tabs>
        <w:numPr>
          <w:ilvl w:val="2"/>
          <w:numId w:val="136"/>
        </w:numPr>
        <w:rPr>
          <w:rFonts w:ascii="Arial" w:cs="Arial" w:eastAsia="Arial" w:hAnsi="Arial"/>
          <w:sz w:val="18"/>
          <w:szCs w:val="18"/>
          <w:color w:val="auto"/>
        </w:rPr>
      </w:pPr>
      <w:r>
        <w:rPr>
          <w:rFonts w:ascii="Arial" w:cs="Arial" w:eastAsia="Arial" w:hAnsi="Arial"/>
          <w:sz w:val="18"/>
          <w:szCs w:val="18"/>
          <w:color w:val="auto"/>
        </w:rPr>
        <w:t>As of the last day of the prior Plan Year (and without regard to any subsequent election to the contrary), the Participant has elected to make, for the Plan Year, (1) the maximum allowable basic, matchable tax-deferred contributions to the Savings Plan and (2) the maximum allowable after-tax contributions which can result in a matching employer contribution, as permitted under the Savings Plan, after taking into account any applicable non</w:t>
      </w:r>
      <w:r>
        <w:rPr>
          <w:rFonts w:ascii="MS PGothic" w:cs="MS PGothic" w:eastAsia="MS PGothic" w:hAnsi="MS PGothic"/>
          <w:sz w:val="18"/>
          <w:szCs w:val="18"/>
          <w:color w:val="auto"/>
        </w:rPr>
        <w:t>‑</w:t>
      </w:r>
      <w:r>
        <w:rPr>
          <w:rFonts w:ascii="Arial" w:cs="Arial" w:eastAsia="Arial" w:hAnsi="Arial"/>
          <w:sz w:val="18"/>
          <w:szCs w:val="18"/>
          <w:color w:val="auto"/>
        </w:rPr>
        <w:t>discrimination rules of the Internal Revenue Code for such Plan Year.</w:t>
      </w:r>
    </w:p>
    <w:p>
      <w:pPr>
        <w:spacing w:after="0" w:line="93" w:lineRule="exact"/>
        <w:rPr>
          <w:rFonts w:ascii="Arial" w:cs="Arial" w:eastAsia="Arial" w:hAnsi="Arial"/>
          <w:sz w:val="18"/>
          <w:szCs w:val="18"/>
          <w:color w:val="auto"/>
        </w:rPr>
      </w:pPr>
    </w:p>
    <w:p>
      <w:pPr>
        <w:ind w:right="40" w:firstLine="656"/>
        <w:spacing w:after="0" w:line="226" w:lineRule="auto"/>
        <w:tabs>
          <w:tab w:leader="none" w:pos="1068"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Determination of Employee Contribution and Employer Contribution</w:t>
      </w:r>
      <w:r>
        <w:rPr>
          <w:rFonts w:ascii="Arial" w:cs="Arial" w:eastAsia="Arial" w:hAnsi="Arial"/>
          <w:sz w:val="18"/>
          <w:szCs w:val="18"/>
          <w:color w:val="auto"/>
        </w:rPr>
        <w:t>. A Participant’s Employee Contribution and Employer Contribution will be determined as follows. The maximum dollar amount of contributions the Participant is able to make to the Savings Plan that result in matching contributions will be expressed as a percentage (the “Applicable Percentage”) of the amount of compensation that can be recognized under Section 401(a)(17) of the Internal Revenue Code for the Plan Year. Prior to the beginning of each Plan Year, the Participant may irrevocably elect to defer the Applicable Percentage (or any whole lower percentage) of his Excess Salary. Such a salary reduction is referred to as an “Employee Contribution.” In the event that a Participant elects to make an Employee Contribution he will receive an Employer Contribution, which shall be a matching contribution equal to the product of his Employee Contribution multiplied by the matching employer contribution percentage under the terms of the Savings Plan. The Employer Contribution for any Plan Year shall be credited as of the first day of the following year. See Subsection (i) below for adjustments, effective August 1, 2012, for the Secure Retirement Account.</w:t>
      </w:r>
    </w:p>
    <w:p>
      <w:pPr>
        <w:spacing w:after="0" w:line="109" w:lineRule="exact"/>
        <w:rPr>
          <w:rFonts w:ascii="Arial" w:cs="Arial" w:eastAsia="Arial" w:hAnsi="Arial"/>
          <w:sz w:val="18"/>
          <w:szCs w:val="18"/>
          <w:color w:val="auto"/>
        </w:rPr>
      </w:pPr>
    </w:p>
    <w:p>
      <w:pPr>
        <w:ind w:right="280" w:firstLine="656"/>
        <w:spacing w:after="0" w:line="234" w:lineRule="auto"/>
        <w:tabs>
          <w:tab w:leader="none" w:pos="104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Participant's Savings Account shall be the aggregate amount of his Employee Contributions and Employer Contributions together with investment credits accrued thereon (the “Savings Account”). Investment credits shall be credited on the amount of the Savings Account at the end of the Plan Year or on such other basis as may be approved by the Committee and in accordance with the Participant’s Investment Election.</w:t>
      </w:r>
    </w:p>
    <w:p>
      <w:pPr>
        <w:spacing w:after="0" w:line="111" w:lineRule="exact"/>
        <w:rPr>
          <w:sz w:val="20"/>
          <w:szCs w:val="20"/>
          <w:color w:val="auto"/>
        </w:rPr>
      </w:pPr>
    </w:p>
    <w:p>
      <w:pPr>
        <w:ind w:right="180" w:firstLine="648"/>
        <w:spacing w:after="0"/>
        <w:rPr>
          <w:sz w:val="20"/>
          <w:szCs w:val="20"/>
          <w:color w:val="auto"/>
        </w:rPr>
      </w:pPr>
      <w:r>
        <w:rPr>
          <w:rFonts w:ascii="Arial" w:cs="Arial" w:eastAsia="Arial" w:hAnsi="Arial"/>
          <w:sz w:val="18"/>
          <w:szCs w:val="18"/>
          <w:color w:val="auto"/>
        </w:rPr>
        <w:t>In the event a Participant fails to complete a valid Investment Election, his Savings Account will be credited with the investment credit amounts equivalent to the rates of return generated by the money market option under the Savings Plan (or if there is no such option, the option that is most similar to a money market fund, as determined by the Committee).</w:t>
      </w:r>
    </w:p>
    <w:p>
      <w:pPr>
        <w:sectPr>
          <w:pgSz w:w="11900" w:h="16838" w:orient="portrait"/>
          <w:cols w:equalWidth="0" w:num="1">
            <w:col w:w="11420"/>
          </w:cols>
          <w:pgMar w:left="240" w:top="346" w:right="239" w:bottom="1440" w:gutter="0" w:footer="0" w:header="0"/>
        </w:sectPr>
      </w:pPr>
    </w:p>
    <w:bookmarkStart w:id="127" w:name="page128"/>
    <w:bookmarkEnd w:id="127"/>
    <w:p>
      <w:pPr>
        <w:ind w:left="1080" w:hanging="424"/>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Committee shall establish the investment credit factors that will be available in any Plan Year.</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right="60" w:firstLine="656"/>
        <w:spacing w:after="0" w:line="260" w:lineRule="auto"/>
        <w:tabs>
          <w:tab w:leader="none" w:pos="106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Employee Contributions, Employer Contributions and the investment credits thereon shall be fully vested and, except as provided in Section 7 hereof, nonforfeitable.</w:t>
      </w:r>
    </w:p>
    <w:p>
      <w:pPr>
        <w:spacing w:after="0" w:line="91" w:lineRule="exact"/>
        <w:rPr>
          <w:rFonts w:ascii="Arial" w:cs="Arial" w:eastAsia="Arial" w:hAnsi="Arial"/>
          <w:sz w:val="18"/>
          <w:szCs w:val="18"/>
          <w:color w:val="auto"/>
        </w:rPr>
      </w:pPr>
    </w:p>
    <w:p>
      <w:pPr>
        <w:ind w:right="280" w:firstLine="656"/>
        <w:spacing w:after="0"/>
        <w:tabs>
          <w:tab w:leader="none" w:pos="101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withdrawal of funds in a Participant's Savings Account for hardship or any other reason may be made while the Participant remains employed by the Company or an Affiliate. The Savings Account shall be paid in cash on the first day of the seventh month following termination of Service.</w:t>
      </w:r>
    </w:p>
    <w:p>
      <w:pPr>
        <w:spacing w:after="0" w:line="108" w:lineRule="exact"/>
        <w:rPr>
          <w:rFonts w:ascii="Arial" w:cs="Arial" w:eastAsia="Arial" w:hAnsi="Arial"/>
          <w:sz w:val="18"/>
          <w:szCs w:val="18"/>
          <w:color w:val="auto"/>
        </w:rPr>
      </w:pPr>
    </w:p>
    <w:p>
      <w:pPr>
        <w:ind w:right="180" w:firstLine="656"/>
        <w:spacing w:after="0" w:line="231" w:lineRule="auto"/>
        <w:tabs>
          <w:tab w:leader="none" w:pos="105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Participant shall designate a beneficiary to receive the unpaid portion of his Savings Account in the event of his death. The designation shall be made in a writing filed with the Committee on a form approved by it and signed by the Participant. If no effective designation of beneficiary is on file with the Company when the Savings Account is distributable to a beneficiary, then such benefits shall be distributed to the surviving spouse of the Participant (who, solely for this purpose, need not have been married to the Participant for one year) or, if there is no surviving spouse, to his estate.</w:t>
      </w:r>
    </w:p>
    <w:p>
      <w:pPr>
        <w:spacing w:after="0" w:line="111" w:lineRule="exact"/>
        <w:rPr>
          <w:rFonts w:ascii="Arial" w:cs="Arial" w:eastAsia="Arial" w:hAnsi="Arial"/>
          <w:sz w:val="18"/>
          <w:szCs w:val="18"/>
          <w:color w:val="auto"/>
        </w:rPr>
      </w:pPr>
    </w:p>
    <w:p>
      <w:pPr>
        <w:ind w:firstLine="656"/>
        <w:spacing w:after="0" w:line="234" w:lineRule="auto"/>
        <w:tabs>
          <w:tab w:leader="none" w:pos="1068"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Special provisions for participants who are suspended in the Savings Plan</w:t>
      </w:r>
      <w:r>
        <w:rPr>
          <w:rFonts w:ascii="Arial" w:cs="Arial" w:eastAsia="Arial" w:hAnsi="Arial"/>
          <w:sz w:val="18"/>
          <w:szCs w:val="18"/>
          <w:color w:val="auto"/>
        </w:rPr>
        <w:t>. This subsection shall apply only to a Participant who is suspended in the Savings Plan for a portion of a Plan Year because the Participant has less than one year of service at the start of such Plan Year. Such a Participant shall be eligible to make Employee Contributions and receive Employer Contributions for such Plan Year based on the Participant’s entire Actual Salary regardless of whether it exceeds the 401(a)(17) Limitation.</w:t>
      </w:r>
    </w:p>
    <w:p>
      <w:pPr>
        <w:spacing w:after="0" w:line="111" w:lineRule="exact"/>
        <w:rPr>
          <w:rFonts w:ascii="Arial" w:cs="Arial" w:eastAsia="Arial" w:hAnsi="Arial"/>
          <w:sz w:val="18"/>
          <w:szCs w:val="18"/>
          <w:color w:val="auto"/>
        </w:rPr>
      </w:pPr>
    </w:p>
    <w:p>
      <w:pPr>
        <w:ind w:right="40" w:firstLine="656"/>
        <w:spacing w:after="0" w:line="226" w:lineRule="auto"/>
        <w:tabs>
          <w:tab w:leader="none" w:pos="1008"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Secure Retirement Account Adjustment Effective August 1, 2012</w:t>
      </w:r>
      <w:r>
        <w:rPr>
          <w:rFonts w:ascii="Arial" w:cs="Arial" w:eastAsia="Arial" w:hAnsi="Arial"/>
          <w:sz w:val="18"/>
          <w:szCs w:val="18"/>
          <w:color w:val="auto"/>
        </w:rPr>
        <w:t>. Notwithstanding the foregoing, effective August 1, 2012, the Employee Contribution and Employer Contribution under Section 4(b) above shall be determined as if the matching provision in the Savings Plan were as follows: (i) the maximum employee contribution percentage that is treated as matched (for this purpose) shall be the actual percentage under the Savings Plan that is applicable to the Participant, plus the multiplier (from the Secure Retirement Account Cash Balance Retirement Benefits Schedule) divided by 100; and (ii) the matching employer contribution percentage shall be 100%. As an example of the foregoing, if the maximum employee contribution percentage that is matched is 1% and the multiplier is 3, then for purposes of Section 4(b), the Employee and Employer Contributions shall be determined as if the Savings Plan match is equal to 100% of the employee’s contribution of up to 4% of Base Salary. Notwithstanding the above, if the multiplier is 4.2, then the Employee and Employer Contributions shall be determined as if the Savings Plan match is equal to 130% of the employee’s contribution of up to 4% of Base Salary.</w:t>
      </w:r>
    </w:p>
    <w:p>
      <w:pPr>
        <w:spacing w:after="0" w:line="121"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Funding</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under this Plan shall not be funded in order that the Plan may be exempt from certain provisions of ERISA.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shall maintain records of Savings Accounts and records for the calculation of Supplemental Retirement Benefits.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w:t>
      </w:r>
    </w:p>
    <w:p>
      <w:pPr>
        <w:spacing w:after="0" w:line="146" w:lineRule="exact"/>
        <w:rPr>
          <w:sz w:val="20"/>
          <w:szCs w:val="20"/>
          <w:color w:val="auto"/>
        </w:rPr>
      </w:pPr>
    </w:p>
    <w:p>
      <w:pPr>
        <w:ind w:right="80" w:firstLine="656"/>
        <w:spacing w:after="0" w:line="231" w:lineRule="auto"/>
        <w:tabs>
          <w:tab w:leader="none" w:pos="1068"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This Plan shall be administered by the Committee. All decisions and interpretations of the Committee shall be conclusive and binding on the Company, and the Participants. The Plan may be amended or terminated by the Committee at any time and any Participant may have his designation as such terminated by the Committee at any time; provided, however, that no such amendment or termination or change in designation shall deprive any Participant of supplemental retirement or savings benefits accrued to the date of such amendment or termination.</w:t>
      </w:r>
    </w:p>
    <w:p>
      <w:pPr>
        <w:spacing w:after="0" w:line="111" w:lineRule="exact"/>
        <w:rPr>
          <w:rFonts w:ascii="Arial" w:cs="Arial" w:eastAsia="Arial" w:hAnsi="Arial"/>
          <w:sz w:val="18"/>
          <w:szCs w:val="18"/>
          <w:color w:val="auto"/>
        </w:rPr>
      </w:pPr>
    </w:p>
    <w:p>
      <w:pPr>
        <w:ind w:right="200" w:firstLine="656"/>
        <w:spacing w:after="0" w:line="231" w:lineRule="auto"/>
        <w:tabs>
          <w:tab w:leader="none" w:pos="1068"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Claims Procedure</w:t>
      </w:r>
      <w:r>
        <w:rPr>
          <w:rFonts w:ascii="Arial" w:cs="Arial" w:eastAsia="Arial" w:hAnsi="Arial"/>
          <w:sz w:val="18"/>
          <w:szCs w:val="18"/>
          <w:color w:val="auto"/>
        </w:rPr>
        <w:t>. If a Participant or Beneficiary (“Claimant”) has a complaint about the Plan’s operation or about Plan benefits, the Claimant has the right to have the complaint reviewed by the Committee. All complaints and claims for benefits must be submitted in writing. All such complaints must be submitted within the “applicable limitations period.” The “applicable limitations period” is two years, beginning on the earlier of (i) the date on which the payment was made, or (ii) for all other claims, the date on which the action complained or grieved of occurred.</w:t>
      </w:r>
    </w:p>
    <w:p>
      <w:pPr>
        <w:spacing w:after="0" w:line="11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If a Claimant has applied for a benefit under the Plan and that claim as been denied, in whole or in part, the Claimant has the right to a review of the denial.</w:t>
      </w:r>
    </w:p>
    <w:p>
      <w:pPr>
        <w:spacing w:after="0" w:line="92"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Within 60 days after a claim is received, the Claimant will be notified in writing by the Committee of its decision. If special circumstances require an extension of up to 60 additional days of time for processing, the Committee will provide written notice of the extension prior to the expiration of the initial 60-day period. If the claim is denied or partially denied, the written notice will outline:</w:t>
      </w:r>
    </w:p>
    <w:p>
      <w:pPr>
        <w:spacing w:after="0" w:line="108" w:lineRule="exact"/>
        <w:rPr>
          <w:sz w:val="20"/>
          <w:szCs w:val="20"/>
          <w:color w:val="auto"/>
        </w:rPr>
      </w:pPr>
    </w:p>
    <w:p>
      <w:pPr>
        <w:ind w:left="1300" w:hanging="320"/>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provisions of the Plan on which the denial is based,</w:t>
      </w:r>
    </w:p>
    <w:p>
      <w:pPr>
        <w:sectPr>
          <w:pgSz w:w="11900" w:h="16838" w:orient="portrait"/>
          <w:cols w:equalWidth="0" w:num="1">
            <w:col w:w="11420"/>
          </w:cols>
          <w:pgMar w:left="240" w:top="346" w:right="239" w:bottom="1440" w:gutter="0" w:footer="0" w:header="0"/>
        </w:sectPr>
      </w:pPr>
    </w:p>
    <w:bookmarkStart w:id="128" w:name="page129"/>
    <w:bookmarkEnd w:id="128"/>
    <w:p>
      <w:pPr>
        <w:ind w:left="1300" w:hanging="320"/>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procedures for having the request reviewed, and</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Additional information needed to process the request and an explanation of why this information is necessary.</w:t>
      </w:r>
    </w:p>
    <w:p>
      <w:pPr>
        <w:spacing w:after="0" w:line="36"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 Claimant may ask for a review of the denied request within 60 days after receipt of the notice of denial. If an appeal is not filed within this 60-day period, an appeal cannot be filed at a later date, nor shall any other remedy be available.</w:t>
      </w:r>
    </w:p>
    <w:p>
      <w:pPr>
        <w:spacing w:after="0" w:line="92"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To appeal a denial a Claimant must request a review by the Committee, or an appeals committee appointed by the Committee. Any such request must be in writing and include:</w:t>
      </w:r>
    </w:p>
    <w:p>
      <w:pPr>
        <w:spacing w:after="0" w:line="92" w:lineRule="exact"/>
        <w:rPr>
          <w:sz w:val="20"/>
          <w:szCs w:val="20"/>
          <w:color w:val="auto"/>
        </w:rPr>
      </w:pPr>
    </w:p>
    <w:p>
      <w:pPr>
        <w:ind w:left="1300" w:hanging="320"/>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reasons that support the claim,</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reasons the claim should not have been denied,</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All written evidence that supports the claim, and</w:t>
      </w:r>
    </w:p>
    <w:p>
      <w:pPr>
        <w:spacing w:after="0" w:line="36" w:lineRule="exact"/>
        <w:rPr>
          <w:rFonts w:ascii="Arial" w:cs="Arial" w:eastAsia="Arial" w:hAnsi="Arial"/>
          <w:sz w:val="18"/>
          <w:szCs w:val="18"/>
          <w:color w:val="auto"/>
        </w:rPr>
      </w:pPr>
    </w:p>
    <w:p>
      <w:pPr>
        <w:ind w:left="1300" w:hanging="320"/>
        <w:spacing w:after="0"/>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other appropriate issues or comments.</w:t>
      </w:r>
    </w:p>
    <w:p>
      <w:pPr>
        <w:spacing w:after="0" w:line="36"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appeal must include all documentary evidence necessary to support the claim and must state the reasons that the Claimant is eligible for the benefit claimed. The appeals committee will make its decision based on the record and the arguments that are presented, including any evidence presented in the initial claim.</w:t>
      </w:r>
    </w:p>
    <w:p>
      <w:pPr>
        <w:spacing w:after="0" w:line="10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 Claimant is entitled to receive, upon request and free of charge, reasonable access to and copies of all documents, records and other information relevant to a claim. If this information is requested in order to perfect an appeal, or to file a claim, and there is a delay in providing it, the applicable time limits will be extended by the period of the delay. A Claimant may also request in writing that copies of the Plan document be made available for examination.</w:t>
      </w:r>
    </w:p>
    <w:p>
      <w:pPr>
        <w:spacing w:after="0" w:line="11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The Committee normally will reach a decision no later than 60 days after it receives a request for review. If needed, the Committee will send a written notice of an extension of this period of up to 60 additional days. The Committee’s decision will be in writing and will include specific reasons for the decision and references to the Plan provisions that apply.</w:t>
      </w:r>
    </w:p>
    <w:p>
      <w:pPr>
        <w:spacing w:after="0" w:line="10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Legal action may not be brought against the Committee or the Company without first pursuing this claims procedure. Any legal action to recover a benefit under this Plan must be filed within one year of the Committee’s decision on appeal. Failure to file suit within this time period will extinguish any right to benefits under the Plan.</w:t>
      </w:r>
    </w:p>
    <w:p>
      <w:pPr>
        <w:spacing w:after="0" w:line="108" w:lineRule="exact"/>
        <w:rPr>
          <w:sz w:val="20"/>
          <w:szCs w:val="20"/>
          <w:color w:val="auto"/>
        </w:rPr>
      </w:pPr>
    </w:p>
    <w:p>
      <w:pPr>
        <w:ind w:right="20" w:firstLine="656"/>
        <w:spacing w:after="0" w:line="226" w:lineRule="auto"/>
        <w:tabs>
          <w:tab w:leader="none" w:pos="1058"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Recovery of Payroll Taxes and Other Amounts</w:t>
      </w:r>
      <w:r>
        <w:rPr>
          <w:rFonts w:ascii="Arial" w:cs="Arial" w:eastAsia="Arial" w:hAnsi="Arial"/>
          <w:sz w:val="18"/>
          <w:szCs w:val="18"/>
          <w:color w:val="auto"/>
        </w:rPr>
        <w:t>. In the event that the Company pays the employee portion of any FICA or payroll tax, or any other amount with respect to benefits under this Plan, that should have been paid by the Participant or should have been reimbursed to the Company by the Participant, the following rules shall apply. The Company shall make a diligent effort to collect such amount from the Participant, consistent with the amount involved and the likelihood of success (specifically, the Company shall not be required to expend an amount in such collection effort that is disproportionate to the amount anticipated to be collected). If the Company is not successful in such collection effort, the Company shall collect (or “offset”) such amount out of the next future benefit to be paid to the Participant. Any such offset shall not affect the amount reported to the IRS or any other taxing authority as taxable benefits paid to the Participant. By way of clarification of the preceding sentence, the amount reported as a taxable distribution to the Participant on any date shall be the amount that would have been distributed to the Participant on such date had there been no offset.</w:t>
      </w:r>
    </w:p>
    <w:p>
      <w:pPr>
        <w:spacing w:after="0" w:line="109" w:lineRule="exact"/>
        <w:rPr>
          <w:rFonts w:ascii="Arial" w:cs="Arial" w:eastAsia="Arial" w:hAnsi="Arial"/>
          <w:sz w:val="18"/>
          <w:szCs w:val="18"/>
          <w:color w:val="auto"/>
        </w:rPr>
      </w:pPr>
    </w:p>
    <w:p>
      <w:pPr>
        <w:ind w:firstLine="656"/>
        <w:spacing w:after="0" w:line="228" w:lineRule="auto"/>
        <w:tabs>
          <w:tab w:leader="none" w:pos="1068"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Administrative Amendments</w:t>
      </w:r>
      <w:r>
        <w:rPr>
          <w:rFonts w:ascii="Arial" w:cs="Arial" w:eastAsia="Arial" w:hAnsi="Arial"/>
          <w:sz w:val="18"/>
          <w:szCs w:val="18"/>
          <w:color w:val="auto"/>
        </w:rPr>
        <w:t>. The Company acting through any officer may amend this Plan without prior approval of the Committee provided such amendment (i) is for the purpose of compliance with § 409A or any other applicable law, or the avoidance of any legal penalty or excise tax, or for the purpose of reducing the administrative burden of the Plan on the Company, and (ii) such amendment does not increase the cost of the Plan to the Company; and (iii) such amendment does not materially affect benefits payable from the Plan. An amendment shall not be considered to materially affect benefits payable from the Plan if the only changes are changes in time and form of payment that are required by law, or minor changes in time and form of payment permitted under § 409A. The Company shall not, without the consent of the Committee, amend the Plan so as to increase the ability of officers of the Company to amend the Plan.</w:t>
      </w:r>
    </w:p>
    <w:p>
      <w:pPr>
        <w:spacing w:after="0" w:line="107"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Loss of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section of this Plan, if a Participant is discharged by the Company or an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of conduct that the Participant knew or should have known was detrimental to legitimate interests of the Company or its Affiliates, dishonesty, fraud, misappropriation of funds or confidential, secret or proprietary information belonging to the Company or an Affiliate or commission of a crime, such Participant's rights to any benefits under this Plan shall be forfeited; except that such Participant shall be entitled to receive the aggregate amount of his Employee Contributions, without any investment credits, in such event.</w:t>
      </w:r>
    </w:p>
    <w:p>
      <w:pPr>
        <w:sectPr>
          <w:pgSz w:w="11900" w:h="16838" w:orient="portrait"/>
          <w:cols w:equalWidth="0" w:num="1">
            <w:col w:w="11400"/>
          </w:cols>
          <w:pgMar w:left="240" w:top="346" w:right="259" w:bottom="1440" w:gutter="0" w:footer="0" w:header="0"/>
        </w:sectPr>
      </w:pPr>
    </w:p>
    <w:bookmarkStart w:id="129" w:name="page130"/>
    <w:bookmarkEnd w:id="129"/>
    <w:p>
      <w:pPr>
        <w:spacing w:after="0" w:line="241"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Nonassignability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No Participant or beneficiary shall have the right to assign, pledge or otherwise dispose of any benefit payable to</w:t>
      </w:r>
      <w:r>
        <w:rPr>
          <w:rFonts w:ascii="Arial" w:cs="Arial" w:eastAsia="Arial" w:hAnsi="Arial"/>
          <w:sz w:val="18"/>
          <w:szCs w:val="18"/>
          <w:b w:val="1"/>
          <w:bCs w:val="1"/>
          <w:color w:val="auto"/>
        </w:rPr>
        <w:t xml:space="preserve"> </w:t>
      </w:r>
      <w:r>
        <w:rPr>
          <w:rFonts w:ascii="Arial" w:cs="Arial" w:eastAsia="Arial" w:hAnsi="Arial"/>
          <w:sz w:val="18"/>
          <w:szCs w:val="18"/>
          <w:color w:val="auto"/>
        </w:rPr>
        <w:t>him hereunder nor shall any benefit hereunder be subject to garnishment, attachment, transfer by operation of law, or any legal process, other than a qualified domestic relations order (as defined in § 414(p) of the Internal Revenue Code).</w:t>
      </w:r>
    </w:p>
    <w:p>
      <w:pPr>
        <w:spacing w:after="0" w:line="10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sole obligation under this Plan is to pay the benefits provided for herein and neither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nor any other person shall have any legal or equitable right against the Company, an Affiliate, the Boards of Directors thereof, the Committee or any officer or employee of the Company or an Affiliate other than the right against the Company to receive such payments from the Company as provided herein.</w:t>
      </w:r>
    </w:p>
    <w:p>
      <w:pPr>
        <w:spacing w:after="0" w:line="108"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Special Grandfathering Rules for Certain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 individually designated grandfathered Participant, the</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such Participant’s benefit under Section 3 or Section 4 hereof that was accrued and not subject to a substantial risk of forfeiture as of December 31, 2004, plus any investment earnings thereon, shall be payable under the terms of the Plan in effect before January 1, 2005. Individually designated grandfathered Participants shall include John Hockenberry and Diana Daniels.</w:t>
      </w:r>
    </w:p>
    <w:p>
      <w:pPr>
        <w:spacing w:after="0" w:line="108" w:lineRule="exact"/>
        <w:rPr>
          <w:sz w:val="20"/>
          <w:szCs w:val="20"/>
          <w:color w:val="auto"/>
        </w:rPr>
      </w:pPr>
    </w:p>
    <w:p>
      <w:pPr>
        <w:ind w:right="680"/>
        <w:spacing w:after="0" w:line="263"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Use of Masculine and Feminine; Singular and Plural</w:t>
      </w:r>
      <w:r>
        <w:rPr>
          <w:rFonts w:ascii="Arial" w:cs="Arial" w:eastAsia="Arial" w:hAnsi="Arial"/>
          <w:sz w:val="18"/>
          <w:szCs w:val="18"/>
          <w:b w:val="1"/>
          <w:bCs w:val="1"/>
          <w:color w:val="auto"/>
        </w:rPr>
        <w:t xml:space="preserve">. </w:t>
      </w:r>
      <w:r>
        <w:rPr>
          <w:rFonts w:ascii="Arial" w:cs="Arial" w:eastAsia="Arial" w:hAnsi="Arial"/>
          <w:sz w:val="18"/>
          <w:szCs w:val="18"/>
          <w:color w:val="auto"/>
        </w:rPr>
        <w:t>Wherever used in this Plan, the masculine gender will include the</w:t>
      </w:r>
      <w:r>
        <w:rPr>
          <w:rFonts w:ascii="Arial" w:cs="Arial" w:eastAsia="Arial" w:hAnsi="Arial"/>
          <w:sz w:val="18"/>
          <w:szCs w:val="18"/>
          <w:b w:val="1"/>
          <w:bCs w:val="1"/>
          <w:color w:val="auto"/>
        </w:rPr>
        <w:t xml:space="preserve"> </w:t>
      </w:r>
      <w:r>
        <w:rPr>
          <w:rFonts w:ascii="Arial" w:cs="Arial" w:eastAsia="Arial" w:hAnsi="Arial"/>
          <w:sz w:val="18"/>
          <w:szCs w:val="18"/>
          <w:color w:val="auto"/>
        </w:rPr>
        <w:t>feminine gender and the singular will include the plural, unless the context indicates otherwise.</w:t>
      </w:r>
    </w:p>
    <w:p>
      <w:pPr>
        <w:spacing w:after="0" w:line="8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WITNESS WHEREOF, the Company has caused this amendment and restatement of the Plan to be adopted by action of the Committee on this 10th day of December, 2013.</w:t>
      </w:r>
    </w:p>
    <w:p>
      <w:pPr>
        <w:spacing w:after="0" w:line="200" w:lineRule="exact"/>
        <w:rPr>
          <w:sz w:val="20"/>
          <w:szCs w:val="20"/>
          <w:color w:val="auto"/>
        </w:rPr>
      </w:pPr>
    </w:p>
    <w:p>
      <w:pPr>
        <w:spacing w:after="0" w:line="36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GRAHAM HOLDINGS COMPANY</w:t>
      </w:r>
    </w:p>
    <w:p>
      <w:pPr>
        <w:spacing w:after="0" w:line="200" w:lineRule="exact"/>
        <w:rPr>
          <w:sz w:val="20"/>
          <w:szCs w:val="20"/>
          <w:color w:val="auto"/>
        </w:rPr>
      </w:pPr>
    </w:p>
    <w:p>
      <w:pPr>
        <w:spacing w:after="0" w:line="34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w:t>
      </w:r>
      <w:r>
        <w:rPr>
          <w:rFonts w:ascii="Arial" w:cs="Arial" w:eastAsia="Arial" w:hAnsi="Arial"/>
          <w:sz w:val="18"/>
          <w:szCs w:val="18"/>
          <w:u w:val="single" w:color="auto"/>
          <w:color w:val="auto"/>
        </w:rPr>
        <w:t>/s/ Ann McDaniel</w:t>
      </w:r>
      <w:r>
        <w:rPr>
          <w:rFonts w:ascii="Arial" w:cs="Arial" w:eastAsia="Arial" w:hAnsi="Arial"/>
          <w:sz w:val="18"/>
          <w:szCs w:val="18"/>
          <w:color w:val="auto"/>
        </w:rPr>
        <w:t>______________</w:t>
      </w:r>
    </w:p>
    <w:p>
      <w:pPr>
        <w:spacing w:after="0" w:line="3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Ann McDaniel</w:t>
      </w:r>
    </w:p>
    <w:p>
      <w:pPr>
        <w:spacing w:after="0" w:line="9"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18"/>
          <w:szCs w:val="18"/>
          <w:color w:val="auto"/>
        </w:rPr>
        <w:t>Title:</w:t>
        <w:tab/>
        <w:t>Senior Vice President</w:t>
      </w:r>
    </w:p>
    <w:p>
      <w:pPr>
        <w:sectPr>
          <w:pgSz w:w="11900" w:h="16838" w:orient="portrait"/>
          <w:cols w:equalWidth="0" w:num="1">
            <w:col w:w="11400"/>
          </w:cols>
          <w:pgMar w:left="240" w:top="695" w:right="25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GRAHAM HOLDINGS COMPANY</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DEFERRED COMPENSATION PLAN</w:t>
      </w:r>
    </w:p>
    <w:p>
      <w:pPr>
        <w:spacing w:after="0" w:line="36"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(Formerly The Washington Post Company</w:t>
      </w:r>
    </w:p>
    <w:p>
      <w:pPr>
        <w:spacing w:after="0" w:line="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Deferred Compensation Plan)</w:t>
      </w:r>
    </w:p>
    <w:p>
      <w:pPr>
        <w:spacing w:after="0" w:line="26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 December, 2013</w:t>
      </w:r>
    </w:p>
    <w:p>
      <w:pPr>
        <w:spacing w:after="0" w:line="46"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Effective January 1, 2014</w:t>
      </w:r>
    </w:p>
    <w:p>
      <w:pPr>
        <w:sectPr>
          <w:pgSz w:w="11900" w:h="16838" w:orient="portrait"/>
          <w:cols w:equalWidth="0" w:num="1">
            <w:col w:w="10220"/>
          </w:cols>
          <w:pgMar w:left="1440" w:top="1008" w:right="239" w:bottom="1440" w:gutter="0" w:footer="0" w:header="0"/>
        </w:sectPr>
      </w:pPr>
    </w:p>
    <w:bookmarkStart w:id="131" w:name="page132"/>
    <w:bookmarkEnd w:id="131"/>
    <w:p>
      <w:pPr>
        <w:jc w:val="right"/>
        <w:ind w:right="37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60" w:type="dxa"/>
            <w:vAlign w:val="bottom"/>
            <w:gridSpan w:val="2"/>
          </w:tcPr>
          <w:p>
            <w:pPr>
              <w:spacing w:after="0"/>
              <w:rPr>
                <w:sz w:val="20"/>
                <w:szCs w:val="20"/>
                <w:color w:val="auto"/>
              </w:rPr>
            </w:pPr>
            <w:r>
              <w:rPr>
                <w:rFonts w:ascii="Arial" w:cs="Arial" w:eastAsia="Arial" w:hAnsi="Arial"/>
                <w:sz w:val="15"/>
                <w:szCs w:val="15"/>
                <w:color w:val="auto"/>
              </w:rPr>
              <w:t>Section 1. Purpose</w:t>
            </w:r>
          </w:p>
        </w:tc>
        <w:tc>
          <w:tcPr>
            <w:tcW w:w="1500" w:type="dxa"/>
            <w:vAlign w:val="bottom"/>
          </w:tcPr>
          <w:p>
            <w:pPr>
              <w:jc w:val="right"/>
              <w:ind w:right="1323"/>
              <w:spacing w:after="0"/>
              <w:rPr>
                <w:sz w:val="20"/>
                <w:szCs w:val="20"/>
                <w:color w:val="auto"/>
              </w:rPr>
            </w:pPr>
            <w:r>
              <w:rPr>
                <w:rFonts w:ascii="Arial" w:cs="Arial" w:eastAsia="Arial" w:hAnsi="Arial"/>
                <w:sz w:val="15"/>
                <w:szCs w:val="15"/>
                <w:color w:val="auto"/>
                <w:w w:val="95"/>
              </w:rPr>
              <w:t>2</w:t>
            </w:r>
          </w:p>
        </w:tc>
        <w:tc>
          <w:tcPr>
            <w:tcW w:w="680" w:type="dxa"/>
            <w:vAlign w:val="bottom"/>
          </w:tcPr>
          <w:p>
            <w:pPr>
              <w:spacing w:after="0"/>
              <w:rPr>
                <w:sz w:val="17"/>
                <w:szCs w:val="17"/>
                <w:color w:val="auto"/>
              </w:rPr>
            </w:pPr>
          </w:p>
        </w:tc>
      </w:tr>
      <w:tr>
        <w:trPr>
          <w:trHeight w:val="392"/>
        </w:trPr>
        <w:tc>
          <w:tcPr>
            <w:tcW w:w="1460" w:type="dxa"/>
            <w:vAlign w:val="bottom"/>
            <w:gridSpan w:val="2"/>
          </w:tcPr>
          <w:p>
            <w:pPr>
              <w:spacing w:after="0"/>
              <w:rPr>
                <w:sz w:val="20"/>
                <w:szCs w:val="20"/>
                <w:color w:val="auto"/>
              </w:rPr>
            </w:pPr>
            <w:r>
              <w:rPr>
                <w:rFonts w:ascii="Arial" w:cs="Arial" w:eastAsia="Arial" w:hAnsi="Arial"/>
                <w:sz w:val="15"/>
                <w:szCs w:val="15"/>
                <w:color w:val="auto"/>
              </w:rPr>
              <w:t>Section 2. Definitions</w:t>
            </w:r>
          </w:p>
        </w:tc>
        <w:tc>
          <w:tcPr>
            <w:tcW w:w="1500" w:type="dxa"/>
            <w:vAlign w:val="bottom"/>
          </w:tcPr>
          <w:p>
            <w:pPr>
              <w:jc w:val="right"/>
              <w:ind w:right="1183"/>
              <w:spacing w:after="0"/>
              <w:rPr>
                <w:sz w:val="20"/>
                <w:szCs w:val="20"/>
                <w:color w:val="auto"/>
              </w:rPr>
            </w:pPr>
            <w:r>
              <w:rPr>
                <w:rFonts w:ascii="Arial" w:cs="Arial" w:eastAsia="Arial" w:hAnsi="Arial"/>
                <w:sz w:val="15"/>
                <w:szCs w:val="15"/>
                <w:color w:val="auto"/>
              </w:rPr>
              <w:t>2</w:t>
            </w:r>
          </w:p>
        </w:tc>
        <w:tc>
          <w:tcPr>
            <w:tcW w:w="680" w:type="dxa"/>
            <w:vAlign w:val="bottom"/>
          </w:tcPr>
          <w:p>
            <w:pPr>
              <w:spacing w:after="0"/>
              <w:rPr>
                <w:sz w:val="24"/>
                <w:szCs w:val="24"/>
                <w:color w:val="auto"/>
              </w:rPr>
            </w:pPr>
          </w:p>
        </w:tc>
      </w:tr>
      <w:tr>
        <w:trPr>
          <w:trHeight w:val="392"/>
        </w:trPr>
        <w:tc>
          <w:tcPr>
            <w:tcW w:w="2960" w:type="dxa"/>
            <w:vAlign w:val="bottom"/>
            <w:gridSpan w:val="3"/>
          </w:tcPr>
          <w:p>
            <w:pPr>
              <w:spacing w:after="0"/>
              <w:rPr>
                <w:sz w:val="20"/>
                <w:szCs w:val="20"/>
                <w:color w:val="auto"/>
              </w:rPr>
            </w:pPr>
            <w:r>
              <w:rPr>
                <w:rFonts w:ascii="Arial" w:cs="Arial" w:eastAsia="Arial" w:hAnsi="Arial"/>
                <w:sz w:val="15"/>
                <w:szCs w:val="15"/>
                <w:color w:val="auto"/>
              </w:rPr>
              <w:t>Section 3. Deferral Elections  6</w:t>
            </w:r>
          </w:p>
        </w:tc>
        <w:tc>
          <w:tcPr>
            <w:tcW w:w="680" w:type="dxa"/>
            <w:vAlign w:val="bottom"/>
          </w:tcPr>
          <w:p>
            <w:pPr>
              <w:spacing w:after="0"/>
              <w:rPr>
                <w:sz w:val="24"/>
                <w:szCs w:val="24"/>
                <w:color w:val="auto"/>
              </w:rPr>
            </w:pPr>
          </w:p>
        </w:tc>
      </w:tr>
      <w:tr>
        <w:trPr>
          <w:trHeight w:val="392"/>
        </w:trPr>
        <w:tc>
          <w:tcPr>
            <w:tcW w:w="2960" w:type="dxa"/>
            <w:vAlign w:val="bottom"/>
            <w:gridSpan w:val="3"/>
          </w:tcPr>
          <w:p>
            <w:pPr>
              <w:spacing w:after="0"/>
              <w:rPr>
                <w:sz w:val="20"/>
                <w:szCs w:val="20"/>
                <w:color w:val="auto"/>
              </w:rPr>
            </w:pPr>
            <w:r>
              <w:rPr>
                <w:rFonts w:ascii="Arial" w:cs="Arial" w:eastAsia="Arial" w:hAnsi="Arial"/>
                <w:sz w:val="15"/>
                <w:szCs w:val="15"/>
                <w:color w:val="auto"/>
              </w:rPr>
              <w:t>Section 4. Treatment of Deferred Amounts</w:t>
            </w:r>
          </w:p>
        </w:tc>
        <w:tc>
          <w:tcPr>
            <w:tcW w:w="680" w:type="dxa"/>
            <w:vAlign w:val="bottom"/>
          </w:tcPr>
          <w:p>
            <w:pPr>
              <w:jc w:val="right"/>
              <w:ind w:right="423"/>
              <w:spacing w:after="0"/>
              <w:rPr>
                <w:sz w:val="20"/>
                <w:szCs w:val="20"/>
                <w:color w:val="auto"/>
              </w:rPr>
            </w:pPr>
            <w:r>
              <w:rPr>
                <w:rFonts w:ascii="Arial" w:cs="Arial" w:eastAsia="Arial" w:hAnsi="Arial"/>
                <w:sz w:val="15"/>
                <w:szCs w:val="15"/>
                <w:color w:val="auto"/>
              </w:rPr>
              <w:t>7</w:t>
            </w:r>
          </w:p>
        </w:tc>
      </w:tr>
      <w:tr>
        <w:trPr>
          <w:trHeight w:val="392"/>
        </w:trPr>
        <w:tc>
          <w:tcPr>
            <w:tcW w:w="700" w:type="dxa"/>
            <w:vAlign w:val="bottom"/>
          </w:tcPr>
          <w:p>
            <w:pPr>
              <w:spacing w:after="0"/>
              <w:rPr>
                <w:sz w:val="20"/>
                <w:szCs w:val="20"/>
                <w:color w:val="auto"/>
              </w:rPr>
            </w:pPr>
            <w:r>
              <w:rPr>
                <w:rFonts w:ascii="Arial" w:cs="Arial" w:eastAsia="Arial" w:hAnsi="Arial"/>
                <w:sz w:val="15"/>
                <w:szCs w:val="15"/>
                <w:color w:val="auto"/>
              </w:rPr>
              <w:t>Section 5.</w:t>
            </w:r>
          </w:p>
        </w:tc>
        <w:tc>
          <w:tcPr>
            <w:tcW w:w="2260" w:type="dxa"/>
            <w:vAlign w:val="bottom"/>
            <w:gridSpan w:val="2"/>
          </w:tcPr>
          <w:p>
            <w:pPr>
              <w:ind w:left="40"/>
              <w:spacing w:after="0"/>
              <w:rPr>
                <w:sz w:val="20"/>
                <w:szCs w:val="20"/>
                <w:color w:val="auto"/>
              </w:rPr>
            </w:pPr>
            <w:r>
              <w:rPr>
                <w:rFonts w:ascii="Arial" w:cs="Arial" w:eastAsia="Arial" w:hAnsi="Arial"/>
                <w:sz w:val="15"/>
                <w:szCs w:val="15"/>
                <w:color w:val="auto"/>
              </w:rPr>
              <w:t>Payment of Deferred Accounts</w:t>
            </w:r>
          </w:p>
        </w:tc>
        <w:tc>
          <w:tcPr>
            <w:tcW w:w="680" w:type="dxa"/>
            <w:vAlign w:val="bottom"/>
          </w:tcPr>
          <w:p>
            <w:pPr>
              <w:jc w:val="right"/>
              <w:ind w:right="503"/>
              <w:spacing w:after="0"/>
              <w:rPr>
                <w:sz w:val="20"/>
                <w:szCs w:val="20"/>
                <w:color w:val="auto"/>
              </w:rPr>
            </w:pPr>
            <w:r>
              <w:rPr>
                <w:rFonts w:ascii="Arial" w:cs="Arial" w:eastAsia="Arial" w:hAnsi="Arial"/>
                <w:sz w:val="15"/>
                <w:szCs w:val="15"/>
                <w:color w:val="auto"/>
                <w:w w:val="95"/>
              </w:rPr>
              <w:t>8</w:t>
            </w:r>
          </w:p>
        </w:tc>
      </w:tr>
      <w:tr>
        <w:trPr>
          <w:trHeight w:val="392"/>
        </w:trPr>
        <w:tc>
          <w:tcPr>
            <w:tcW w:w="700" w:type="dxa"/>
            <w:vAlign w:val="bottom"/>
          </w:tcPr>
          <w:p>
            <w:pPr>
              <w:spacing w:after="0"/>
              <w:rPr>
                <w:sz w:val="20"/>
                <w:szCs w:val="20"/>
                <w:color w:val="auto"/>
              </w:rPr>
            </w:pPr>
            <w:r>
              <w:rPr>
                <w:rFonts w:ascii="Arial" w:cs="Arial" w:eastAsia="Arial" w:hAnsi="Arial"/>
                <w:sz w:val="15"/>
                <w:szCs w:val="15"/>
                <w:color w:val="auto"/>
              </w:rPr>
              <w:t>Section 6.</w:t>
            </w:r>
          </w:p>
        </w:tc>
        <w:tc>
          <w:tcPr>
            <w:tcW w:w="2940" w:type="dxa"/>
            <w:vAlign w:val="bottom"/>
            <w:gridSpan w:val="3"/>
          </w:tcPr>
          <w:p>
            <w:pPr>
              <w:ind w:left="40"/>
              <w:spacing w:after="0"/>
              <w:rPr>
                <w:sz w:val="20"/>
                <w:szCs w:val="20"/>
                <w:color w:val="auto"/>
              </w:rPr>
            </w:pPr>
            <w:r>
              <w:rPr>
                <w:rFonts w:ascii="Arial" w:cs="Arial" w:eastAsia="Arial" w:hAnsi="Arial"/>
                <w:sz w:val="15"/>
                <w:szCs w:val="15"/>
                <w:color w:val="auto"/>
              </w:rPr>
              <w:t>Grandfathered Deferred Compensation  9</w:t>
            </w:r>
          </w:p>
        </w:tc>
      </w:tr>
      <w:tr>
        <w:trPr>
          <w:trHeight w:val="392"/>
        </w:trPr>
        <w:tc>
          <w:tcPr>
            <w:tcW w:w="700" w:type="dxa"/>
            <w:vAlign w:val="bottom"/>
          </w:tcPr>
          <w:p>
            <w:pPr>
              <w:spacing w:after="0"/>
              <w:rPr>
                <w:sz w:val="20"/>
                <w:szCs w:val="20"/>
                <w:color w:val="auto"/>
              </w:rPr>
            </w:pPr>
            <w:r>
              <w:rPr>
                <w:rFonts w:ascii="Arial" w:cs="Arial" w:eastAsia="Arial" w:hAnsi="Arial"/>
                <w:sz w:val="15"/>
                <w:szCs w:val="15"/>
                <w:color w:val="auto"/>
              </w:rPr>
              <w:t>Section 7.</w:t>
            </w:r>
          </w:p>
        </w:tc>
        <w:tc>
          <w:tcPr>
            <w:tcW w:w="2260" w:type="dxa"/>
            <w:vAlign w:val="bottom"/>
            <w:gridSpan w:val="2"/>
          </w:tcPr>
          <w:p>
            <w:pPr>
              <w:ind w:left="40"/>
              <w:spacing w:after="0"/>
              <w:rPr>
                <w:sz w:val="20"/>
                <w:szCs w:val="20"/>
                <w:color w:val="auto"/>
              </w:rPr>
            </w:pPr>
            <w:r>
              <w:rPr>
                <w:rFonts w:ascii="Arial" w:cs="Arial" w:eastAsia="Arial" w:hAnsi="Arial"/>
                <w:sz w:val="15"/>
                <w:szCs w:val="15"/>
                <w:color w:val="auto"/>
              </w:rPr>
              <w:t>Administration and Amendment</w:t>
            </w:r>
          </w:p>
        </w:tc>
        <w:tc>
          <w:tcPr>
            <w:tcW w:w="680" w:type="dxa"/>
            <w:vAlign w:val="bottom"/>
          </w:tcPr>
          <w:p>
            <w:pPr>
              <w:jc w:val="right"/>
              <w:ind w:right="443"/>
              <w:spacing w:after="0"/>
              <w:rPr>
                <w:sz w:val="20"/>
                <w:szCs w:val="20"/>
                <w:color w:val="auto"/>
              </w:rPr>
            </w:pPr>
            <w:r>
              <w:rPr>
                <w:rFonts w:ascii="Arial" w:cs="Arial" w:eastAsia="Arial" w:hAnsi="Arial"/>
                <w:sz w:val="15"/>
                <w:szCs w:val="15"/>
                <w:color w:val="auto"/>
              </w:rPr>
              <w:t>9</w:t>
            </w:r>
          </w:p>
        </w:tc>
      </w:tr>
      <w:tr>
        <w:trPr>
          <w:trHeight w:val="392"/>
        </w:trPr>
        <w:tc>
          <w:tcPr>
            <w:tcW w:w="700" w:type="dxa"/>
            <w:vAlign w:val="bottom"/>
          </w:tcPr>
          <w:p>
            <w:pPr>
              <w:spacing w:after="0"/>
              <w:rPr>
                <w:sz w:val="20"/>
                <w:szCs w:val="20"/>
                <w:color w:val="auto"/>
              </w:rPr>
            </w:pPr>
            <w:r>
              <w:rPr>
                <w:rFonts w:ascii="Arial" w:cs="Arial" w:eastAsia="Arial" w:hAnsi="Arial"/>
                <w:sz w:val="15"/>
                <w:szCs w:val="15"/>
                <w:color w:val="auto"/>
              </w:rPr>
              <w:t>Section 8.</w:t>
            </w:r>
          </w:p>
        </w:tc>
        <w:tc>
          <w:tcPr>
            <w:tcW w:w="2260" w:type="dxa"/>
            <w:vAlign w:val="bottom"/>
            <w:gridSpan w:val="2"/>
          </w:tcPr>
          <w:p>
            <w:pPr>
              <w:ind w:left="40"/>
              <w:spacing w:after="0"/>
              <w:rPr>
                <w:sz w:val="20"/>
                <w:szCs w:val="20"/>
                <w:color w:val="auto"/>
              </w:rPr>
            </w:pPr>
            <w:r>
              <w:rPr>
                <w:rFonts w:ascii="Arial" w:cs="Arial" w:eastAsia="Arial" w:hAnsi="Arial"/>
                <w:sz w:val="15"/>
                <w:szCs w:val="15"/>
                <w:color w:val="auto"/>
              </w:rPr>
              <w:t>Disputed Claims Procedure  10</w:t>
            </w:r>
          </w:p>
        </w:tc>
        <w:tc>
          <w:tcPr>
            <w:tcW w:w="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1100" w:right="1440"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t>DEFERRED COMPENSATION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2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Graham Holdings Company Deferred Compensation Plan (formerly The Washington Post Company Deferred Compensation Plan) (the “Plan”) is an unfunded plan established for the purpose of offering a select group of management and other highly compensated key employees and non-employee directors the opportunity to defer the receipt of compensation payments or fees that would otherwise become payable to them currently for the periods provided in the Plan.</w:t>
      </w:r>
    </w:p>
    <w:p>
      <w:pPr>
        <w:spacing w:after="0" w:line="17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This Plan is strictly a voluntary undertaking on the part of the Company and shall not be deemed to constitute a contract of employment or part of a contract between the Company and any employee or any employee of an Affiliate or any director, nor shall it be deemed to give any employee the right to be retained in the employ of the Company or an Affiliate, as the case may be, or to interfere with the right of the Company or an Affiliate, as the case may be, to discharge any employee at any time, or to establish the terms and conditions of employment of any employee nor shall it be deemed to give any director the right to be retained as a director of the Company.</w:t>
      </w:r>
    </w:p>
    <w:p>
      <w:pPr>
        <w:spacing w:after="0" w:line="175"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Benefits from this Plan shall be payable solely from the general assets of the Company and participants herein shall not be entitled to look to any source for payment of such benefits other than the general assets of the Company.</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Section 409A of the Internal Revenue Code of 1986 applies to the Plan, the terms of the Plan are intended to comply with Section 409A and shall be interpreted and administered in accordance with Section 409A and any governmental regulations and other guidance issued thereunder. To the extent any provision of this Plan that is intended to comply with Section 409A must be effective as of January 1, 2005, such provision shall be effective as of such date.</w:t>
      </w:r>
    </w:p>
    <w:p>
      <w:pPr>
        <w:spacing w:after="0" w:line="170"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With respect to a Participant who terminated employment before January 1, 2005, any benefits payable hereunder shall be based on the terms of the Plan in effect on such termination of employment, and not on the terms of this amendment and restatement.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Plan, the following words shall have the following meanings:</w:t>
      </w:r>
    </w:p>
    <w:p>
      <w:pPr>
        <w:spacing w:after="0" w:line="225" w:lineRule="exact"/>
        <w:rPr>
          <w:sz w:val="20"/>
          <w:szCs w:val="20"/>
          <w:color w:val="auto"/>
        </w:rPr>
      </w:pPr>
    </w:p>
    <w:p>
      <w:pPr>
        <w:ind w:firstLine="656"/>
        <w:spacing w:after="0" w:line="264" w:lineRule="auto"/>
        <w:tabs>
          <w:tab w:leader="none" w:pos="106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“Affiliate” means any corporation (other than the Company) 50% or more of the outstanding stock of which is directly or indirectly owned by the Company and any unincorporated trade or business which is under common control with the Company as determined in accordance with Section 414(c) of the Code. The term Affiliate shall include any other entity required to be aggregated with the Company under Section 409A.</w:t>
      </w:r>
    </w:p>
    <w:p>
      <w:pPr>
        <w:spacing w:after="0" w:line="169" w:lineRule="exact"/>
        <w:rPr>
          <w:rFonts w:ascii="Arial" w:cs="Arial" w:eastAsia="Arial" w:hAnsi="Arial"/>
          <w:sz w:val="18"/>
          <w:szCs w:val="18"/>
          <w:color w:val="auto"/>
        </w:rPr>
      </w:pPr>
    </w:p>
    <w:p>
      <w:pPr>
        <w:jc w:val="both"/>
        <w:ind w:right="20" w:firstLine="656"/>
        <w:spacing w:after="0" w:line="271" w:lineRule="auto"/>
        <w:tabs>
          <w:tab w:leader="none" w:pos="106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“Annual Incentive Compensation” means any bonus awarded to a Participant and payable in cash under the Company’s Incentive Compensation Plan (or any successor plan or similar plan by whatever name) or any other annual bonus program maintained by the Company or an Affiliate.</w:t>
      </w:r>
    </w:p>
    <w:p>
      <w:pPr>
        <w:spacing w:after="0" w:line="163" w:lineRule="exact"/>
        <w:rPr>
          <w:rFonts w:ascii="Arial" w:cs="Arial" w:eastAsia="Arial" w:hAnsi="Arial"/>
          <w:sz w:val="18"/>
          <w:szCs w:val="18"/>
          <w:color w:val="auto"/>
        </w:rPr>
      </w:pPr>
    </w:p>
    <w:p>
      <w:pPr>
        <w:jc w:val="both"/>
        <w:ind w:right="40" w:firstLine="656"/>
        <w:spacing w:after="0" w:line="264" w:lineRule="auto"/>
        <w:tabs>
          <w:tab w:leader="none" w:pos="105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“Beneficiary” means the person, persons or entity designated in writing by the Participant to receive his or her Participant Account in the event of his or her death. If no effective designation of beneficiary is on file with the Committee, then such amounts that would otherwise be payable to a Beneficiary will be paid to the surviving spouse of the Participant, or, if there is no surviving spouse, then to the Participant’s estate.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30" w:right="259" w:bottom="1440" w:gutter="0" w:footer="0" w:header="0"/>
        </w:sectPr>
      </w:pPr>
    </w:p>
    <w:bookmarkStart w:id="133" w:name="page134"/>
    <w:bookmarkEnd w:id="133"/>
    <w:p>
      <w:pPr>
        <w:ind w:right="320" w:firstLine="656"/>
        <w:spacing w:after="0" w:line="292" w:lineRule="auto"/>
        <w:tabs>
          <w:tab w:leader="none" w:pos="10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References herein to Section 409A and other sections of the Code shall apply to any successor provisions.</w:t>
      </w:r>
    </w:p>
    <w:p>
      <w:pPr>
        <w:spacing w:after="0" w:line="144" w:lineRule="exact"/>
        <w:rPr>
          <w:rFonts w:ascii="Arial" w:cs="Arial" w:eastAsia="Arial" w:hAnsi="Arial"/>
          <w:sz w:val="18"/>
          <w:szCs w:val="18"/>
          <w:color w:val="auto"/>
        </w:rPr>
      </w:pPr>
    </w:p>
    <w:p>
      <w:pPr>
        <w:ind w:right="120" w:firstLine="656"/>
        <w:spacing w:after="0" w:line="292" w:lineRule="auto"/>
        <w:tabs>
          <w:tab w:leader="none" w:pos="10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of Directors of the Company or such other Committee appointed by the Board to administer the Plan.</w:t>
      </w:r>
    </w:p>
    <w:p>
      <w:pPr>
        <w:spacing w:after="0" w:line="144" w:lineRule="exact"/>
        <w:rPr>
          <w:rFonts w:ascii="Arial" w:cs="Arial" w:eastAsia="Arial" w:hAnsi="Arial"/>
          <w:sz w:val="18"/>
          <w:szCs w:val="18"/>
          <w:color w:val="auto"/>
        </w:rPr>
      </w:pPr>
    </w:p>
    <w:p>
      <w:pPr>
        <w:ind w:right="480" w:firstLine="656"/>
        <w:spacing w:after="0" w:line="292" w:lineRule="auto"/>
        <w:tabs>
          <w:tab w:leader="none" w:pos="101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“Company” means Graham Holdings Company (formerly The Washington Post Company), a Delaware Corporation, and any successors in interest thereto. Where required by context the term Company will include Affiliates.</w:t>
      </w:r>
    </w:p>
    <w:p>
      <w:pPr>
        <w:spacing w:after="0" w:line="144" w:lineRule="exact"/>
        <w:rPr>
          <w:rFonts w:ascii="Arial" w:cs="Arial" w:eastAsia="Arial" w:hAnsi="Arial"/>
          <w:sz w:val="18"/>
          <w:szCs w:val="18"/>
          <w:color w:val="auto"/>
        </w:rPr>
      </w:pPr>
    </w:p>
    <w:p>
      <w:pPr>
        <w:ind w:right="840" w:firstLine="656"/>
        <w:spacing w:after="0" w:line="292" w:lineRule="auto"/>
        <w:tabs>
          <w:tab w:leader="none" w:pos="10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“Deferred Compensation” means any amounts deferred under this Plan in accordance with Section 3, together with any investment credits thereto under Section 4.</w:t>
      </w:r>
    </w:p>
    <w:p>
      <w:pPr>
        <w:spacing w:after="0" w:line="144" w:lineRule="exact"/>
        <w:rPr>
          <w:rFonts w:ascii="Arial" w:cs="Arial" w:eastAsia="Arial" w:hAnsi="Arial"/>
          <w:sz w:val="18"/>
          <w:szCs w:val="18"/>
          <w:color w:val="auto"/>
        </w:rPr>
      </w:pPr>
    </w:p>
    <w:p>
      <w:pPr>
        <w:ind w:right="40" w:firstLine="656"/>
        <w:spacing w:after="0" w:line="292" w:lineRule="auto"/>
        <w:tabs>
          <w:tab w:leader="none" w:pos="106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“Designated Deferral Period” means one of the following periods as selected by the Participant with respect to his or her Deferred Compensation for the particular Plan Year or Short Year:</w:t>
      </w:r>
    </w:p>
    <w:p>
      <w:pPr>
        <w:spacing w:after="0" w:line="144" w:lineRule="exact"/>
        <w:rPr>
          <w:rFonts w:ascii="Arial" w:cs="Arial" w:eastAsia="Arial" w:hAnsi="Arial"/>
          <w:sz w:val="18"/>
          <w:szCs w:val="18"/>
          <w:color w:val="auto"/>
        </w:rPr>
      </w:pPr>
    </w:p>
    <w:p>
      <w:pPr>
        <w:ind w:left="1680" w:hanging="375"/>
        <w:spacing w:after="0"/>
        <w:tabs>
          <w:tab w:leader="none" w:pos="16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until a specified date in the future; or</w:t>
      </w:r>
    </w:p>
    <w:p>
      <w:pPr>
        <w:spacing w:after="0" w:line="225" w:lineRule="exact"/>
        <w:rPr>
          <w:sz w:val="20"/>
          <w:szCs w:val="20"/>
          <w:color w:val="auto"/>
        </w:rPr>
      </w:pPr>
    </w:p>
    <w:p>
      <w:pPr>
        <w:ind w:left="1720" w:hanging="415"/>
        <w:spacing w:after="0"/>
        <w:tabs>
          <w:tab w:leader="none" w:pos="17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until Separation from Service.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Provided, however, with respect to future Deferred Compensation on or after January 1, 2014, (subject to the rules below relating to the six-month delay for employees) the deferral period shall be either: (1) until Separation from Service; or (2) until the earlier of a specified date or Separation from Service. In the case of a Participant who elects only a specified date, effective January 1, 2014, such election shall be deemed to be to the earlier of the specified date or Separation from Service.</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rules shall apply to the designation of the deferral period. In the case of a deferral until a specified date in the future, such date may not be later than the first day of the month following the Participant’s 65th birthday. In the case of a deferral until Separation from Service, (except in the case of a director who has never been an employee of the Company) the deferral period shall end on the first day of the seventh month following Separation from Service. In the case of a director who has never been an employee of the Company, if the Participant elects a deferral until Separation from Service, the Participant may specify payment on the first day of a month (not later than the seventh) following Separation from Service. By way of example of the preceding sentence, a director who has never been an employee of the Company may specify payment on the first day of the first month following Separation from Service.</w:t>
      </w:r>
    </w:p>
    <w:p>
      <w:pPr>
        <w:spacing w:after="0" w:line="177"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In the event a Participant selects a specified date that is not the first day of a month, the following rules shall apply. If the deferral election relates to compensation earned on or before December 31, 2010 (including performance based Incentive Compensation that would otherwise be payable in 2011 or earlier), and the Payout Period is installments, the payment date shall be the first day of the following month. If the deferral election relates to compensation earned after December 31, 2010, the payment date shall be the first day of the month containing the specified date.</w:t>
      </w:r>
    </w:p>
    <w:p>
      <w:pPr>
        <w:spacing w:after="0" w:line="175" w:lineRule="exact"/>
        <w:rPr>
          <w:sz w:val="20"/>
          <w:szCs w:val="20"/>
          <w:color w:val="auto"/>
        </w:rPr>
      </w:pPr>
    </w:p>
    <w:p>
      <w:pPr>
        <w:ind w:right="140" w:firstLine="656"/>
        <w:spacing w:after="0" w:line="292" w:lineRule="auto"/>
        <w:tabs>
          <w:tab w:leader="none" w:pos="100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“Effective Date” means November 15, 1996, in the case of employees of the Company or an Affiliate, and October 1, 1997, in the case of Eligible Directors.</w:t>
      </w:r>
    </w:p>
    <w:p>
      <w:pPr>
        <w:spacing w:after="0" w:line="144" w:lineRule="exact"/>
        <w:rPr>
          <w:rFonts w:ascii="Arial" w:cs="Arial" w:eastAsia="Arial" w:hAnsi="Arial"/>
          <w:sz w:val="18"/>
          <w:szCs w:val="18"/>
          <w:color w:val="auto"/>
        </w:rPr>
      </w:pPr>
    </w:p>
    <w:p>
      <w:pPr>
        <w:ind w:right="320" w:firstLine="656"/>
        <w:spacing w:after="0" w:line="292" w:lineRule="auto"/>
        <w:tabs>
          <w:tab w:leader="none" w:pos="1008"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“Eligible Director” means any member of the Board of Directors of the Company who is not an employee of the Company or an Affiliate and who is entitled to receive fees for service as a director.</w:t>
      </w:r>
    </w:p>
    <w:p>
      <w:pPr>
        <w:spacing w:after="0" w:line="144" w:lineRule="exact"/>
        <w:rPr>
          <w:rFonts w:ascii="Arial" w:cs="Arial" w:eastAsia="Arial" w:hAnsi="Arial"/>
          <w:sz w:val="18"/>
          <w:szCs w:val="18"/>
          <w:color w:val="auto"/>
        </w:rPr>
      </w:pPr>
    </w:p>
    <w:p>
      <w:pPr>
        <w:ind w:left="1060" w:hanging="404"/>
        <w:spacing w:after="0"/>
        <w:tabs>
          <w:tab w:leader="none" w:pos="10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1974, as amended.</w:t>
      </w:r>
    </w:p>
    <w:p>
      <w:pPr>
        <w:spacing w:after="0" w:line="225" w:lineRule="exact"/>
        <w:rPr>
          <w:rFonts w:ascii="Arial" w:cs="Arial" w:eastAsia="Arial" w:hAnsi="Arial"/>
          <w:sz w:val="18"/>
          <w:szCs w:val="18"/>
          <w:color w:val="auto"/>
        </w:rPr>
      </w:pPr>
    </w:p>
    <w:p>
      <w:pPr>
        <w:ind w:left="1060" w:hanging="404"/>
        <w:spacing w:after="0"/>
        <w:tabs>
          <w:tab w:leader="none" w:pos="10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“Incentive Compensation” means Annual Incentive Compensation and Long-Term Incentive Compensation.</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832" w:right="259" w:bottom="1440" w:gutter="0" w:footer="0" w:header="0"/>
        </w:sectPr>
      </w:pPr>
    </w:p>
    <w:bookmarkStart w:id="134" w:name="page135"/>
    <w:bookmarkEnd w:id="134"/>
    <w:p>
      <w:pPr>
        <w:jc w:val="both"/>
        <w:ind w:right="280" w:firstLine="656"/>
        <w:spacing w:after="0" w:line="271" w:lineRule="auto"/>
        <w:tabs>
          <w:tab w:leader="none" w:pos="111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“Investment Election” means an election filed by a Participant selecting the investment credit factor(s) that will be applicable to the Participant Accounts of the Participant. The Committee shall determine the manner in which Investment Elections may be made and the frequency with which such elections may be prospectively changed.</w:t>
      </w:r>
    </w:p>
    <w:p>
      <w:pPr>
        <w:spacing w:after="0" w:line="163" w:lineRule="exact"/>
        <w:rPr>
          <w:rFonts w:ascii="Arial" w:cs="Arial" w:eastAsia="Arial" w:hAnsi="Arial"/>
          <w:sz w:val="18"/>
          <w:szCs w:val="18"/>
          <w:color w:val="auto"/>
        </w:rPr>
      </w:pPr>
    </w:p>
    <w:p>
      <w:pPr>
        <w:ind w:firstLine="656"/>
        <w:spacing w:after="0" w:line="264" w:lineRule="auto"/>
        <w:tabs>
          <w:tab w:leader="none" w:pos="106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“Long-Term Incentive Compensation” means any bonus awarded to a Participant and payable in cash under the Performance Unit provisions of the Company’s Incentive Compensation Plan (or any successor plan or similar plan by whatever name) or another special long-term incentive compensation plan maintained by the Company or an Affiliate that provides the opportunity for a cash bonus payment at the end of a specified period (minimum two years) based on the attainment of specific performance goals.</w:t>
      </w:r>
    </w:p>
    <w:p>
      <w:pPr>
        <w:spacing w:after="0" w:line="169" w:lineRule="exact"/>
        <w:rPr>
          <w:rFonts w:ascii="Arial" w:cs="Arial" w:eastAsia="Arial" w:hAnsi="Arial"/>
          <w:sz w:val="18"/>
          <w:szCs w:val="18"/>
          <w:color w:val="auto"/>
        </w:rPr>
      </w:pPr>
    </w:p>
    <w:p>
      <w:pPr>
        <w:ind w:right="340" w:firstLine="656"/>
        <w:spacing w:after="0" w:line="260" w:lineRule="auto"/>
        <w:tabs>
          <w:tab w:leader="none" w:pos="106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“Participant” means (i) an employee of the Company or an Affiliate recommended by the Company’s senior management and designated a participant in this Plan by the Committee, who is within the category of a select group of management or highly compensated employees as referred to in Sections 201(2), 301(a)(3) and 401(a)(1) of ERISA for any Plan Year and who is a participant in the Company’s Incentive Compensation Plan (or any successor plan or similar plan by whatever name) or any other incentive program maintained by the Company or an Affiliate or (ii) an Eligible Director who elects to participate in the Plan.</w:t>
      </w:r>
    </w:p>
    <w:p>
      <w:pPr>
        <w:spacing w:after="0" w:line="175" w:lineRule="exact"/>
        <w:rPr>
          <w:rFonts w:ascii="Arial" w:cs="Arial" w:eastAsia="Arial" w:hAnsi="Arial"/>
          <w:sz w:val="18"/>
          <w:szCs w:val="18"/>
          <w:color w:val="auto"/>
        </w:rPr>
      </w:pPr>
    </w:p>
    <w:p>
      <w:pPr>
        <w:ind w:right="60" w:firstLine="656"/>
        <w:spacing w:after="0" w:line="264" w:lineRule="auto"/>
        <w:tabs>
          <w:tab w:leader="none" w:pos="106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“Participant Account” includes separate accounts representing the value of a Participant’s Deferred Compensation with respect to each Plan Year or Short Year, and with respect to any amounts that are payable at different times or in different forms. A Participant may have more than one Participant Account, reflecting separate year deferral elections. A separate Participant Account or Accounts will be maintained for all grandfathered deferred compensation.</w:t>
      </w:r>
    </w:p>
    <w:p>
      <w:pPr>
        <w:spacing w:after="0" w:line="169" w:lineRule="exact"/>
        <w:rPr>
          <w:rFonts w:ascii="Arial" w:cs="Arial" w:eastAsia="Arial" w:hAnsi="Arial"/>
          <w:sz w:val="18"/>
          <w:szCs w:val="18"/>
          <w:color w:val="auto"/>
        </w:rPr>
      </w:pPr>
    </w:p>
    <w:p>
      <w:pPr>
        <w:ind w:firstLine="656"/>
        <w:spacing w:after="0" w:line="254" w:lineRule="auto"/>
        <w:tabs>
          <w:tab w:leader="none" w:pos="106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“Payout Period” means either (i) a lump sum or (ii) a series of annual installments, which may not be less than 2 nor more than 10, over which a Participant Account shall be paid. Each installment shall be the balance in the Participant’s Account as of the date of the distribution divided by the number of remaining installments (including the then current installment). The first installment shall be paid on date specified in the Designated Deferral period. Except as provided below, each subsequent installment shall be paid on each anniversary of the payment date of the first installment. Effective for installments commencing on or after January 1, 2008 (that is, for installments in which the first installment is payable on or after January 1, 2008), the second and all subsequent installments shall be payable on each January 1 following the prior installment. If a Participant’s installment payments commenced before January 1, 2008, the Participant shall have two opportunities to elect to change the installment payment date to January 1 of the year in which the installment would otherwise have been paid. The first opportunity shall be on or before December 31, 2007 and shall be applicable to installments (other than the first installment of a series) payable in 2008 and later years. The second opportunity shall be on or before December 31, 2008 and shall be applicable to installments (other than the first installment of a series) payable in 2009 and later years.</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“Plan Year” means a calendar year.</w:t>
      </w:r>
    </w:p>
    <w:p>
      <w:pPr>
        <w:spacing w:after="0" w:line="225" w:lineRule="exact"/>
        <w:rPr>
          <w:rFonts w:ascii="Arial" w:cs="Arial" w:eastAsia="Arial" w:hAnsi="Arial"/>
          <w:sz w:val="18"/>
          <w:szCs w:val="18"/>
          <w:color w:val="auto"/>
        </w:rPr>
      </w:pPr>
    </w:p>
    <w:p>
      <w:pPr>
        <w:ind w:right="20" w:firstLine="656"/>
        <w:spacing w:after="0" w:line="256" w:lineRule="auto"/>
        <w:tabs>
          <w:tab w:leader="none" w:pos="105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“Separation from Service” means a separation from service as defined in § 409A and the final regulations thereunder. In determining whether a Separation from Service has occurred, service as a Director is considered separately from service as an employee. It is not considered a Separation from Service when a Participant is transferred from the Company to an Affiliate or from an Affiliate to the Company or another Affiliate. A Separation from Service as an employee will be deemed to occur at any time that an employee and the Company reasonably anticipate that the bona fide level of services the employee will perform (whether as an employee or an independent contractor) will be permanently reduced to a level that is less than 50 percent of the average level of bona fide services the employee performed during the immediately preceding 36 months (or the entire period the employee has provided services if the employee has been providing services to the employer less than 36 months).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32" w:right="239" w:bottom="1440" w:gutter="0" w:footer="0" w:header="0"/>
        </w:sectPr>
      </w:pPr>
    </w:p>
    <w:bookmarkStart w:id="135" w:name="page136"/>
    <w:bookmarkEnd w:id="135"/>
    <w:p>
      <w:pPr>
        <w:ind w:right="320" w:firstLine="656"/>
        <w:spacing w:after="0" w:line="292" w:lineRule="auto"/>
        <w:tabs>
          <w:tab w:leader="none" w:pos="101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“Short Year” means (i) the remainder of the Plan Year following the Effective Date of this Plan and (ii) the remainder of the Plan Year following the date an employee or director first becomes a Participant in this Plan if other than the beginning of a Plan Year.</w:t>
      </w:r>
    </w:p>
    <w:p>
      <w:pPr>
        <w:spacing w:after="0" w:line="144" w:lineRule="exact"/>
        <w:rPr>
          <w:rFonts w:ascii="Arial" w:cs="Arial" w:eastAsia="Arial" w:hAnsi="Arial"/>
          <w:sz w:val="18"/>
          <w:szCs w:val="18"/>
          <w:color w:val="auto"/>
        </w:rPr>
      </w:pPr>
    </w:p>
    <w:p>
      <w:pPr>
        <w:jc w:val="both"/>
        <w:ind w:right="160" w:firstLine="656"/>
        <w:spacing w:after="0" w:line="294" w:lineRule="auto"/>
        <w:tabs>
          <w:tab w:leader="none" w:pos="106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“Specified Amount” means the portion of the Participant’s Incentive Compensation for a particular Plan Year or Short Year which the Participant elects in writing to defer hereunder, provided that such amount shall not be less than $10,000 or the portion of the Participant’s directors’ fees for a particular Plan Year or Short Year which the Participant elects in writing to defer hereunder, as the case may be.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Deferral Elections</w:t>
      </w:r>
    </w:p>
    <w:p>
      <w:pPr>
        <w:spacing w:after="0" w:line="281" w:lineRule="exact"/>
        <w:rPr>
          <w:sz w:val="20"/>
          <w:szCs w:val="20"/>
          <w:color w:val="auto"/>
        </w:rPr>
      </w:pPr>
    </w:p>
    <w:p>
      <w:pPr>
        <w:ind w:right="340" w:firstLine="656"/>
        <w:spacing w:after="0" w:line="292" w:lineRule="auto"/>
        <w:tabs>
          <w:tab w:leader="none" w:pos="106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Subject to the limitations described below, each Participant may elect to have the payment of a Specified Amount of his or her Incentive Compensation or annual directors’ fees, as the case may be, deferred pursuant to this Plan for the Designated Deferral Period.</w:t>
      </w:r>
    </w:p>
    <w:p>
      <w:pPr>
        <w:spacing w:after="0" w:line="144" w:lineRule="exact"/>
        <w:rPr>
          <w:rFonts w:ascii="Arial" w:cs="Arial" w:eastAsia="Arial" w:hAnsi="Arial"/>
          <w:sz w:val="18"/>
          <w:szCs w:val="18"/>
          <w:color w:val="auto"/>
        </w:rPr>
      </w:pPr>
    </w:p>
    <w:p>
      <w:pPr>
        <w:ind w:firstLine="656"/>
        <w:spacing w:after="0" w:line="253" w:lineRule="auto"/>
        <w:tabs>
          <w:tab w:leader="none" w:pos="105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 deferral election must be an irrevocable written election made on a form prescribed by the Committee within a period specified by the Committee which, (I) for an employee Participant (1) in the case of Annual Incentive Compensation shall end no later than the last day of the Plan Year preceding the Plan Year for which such Incentive Compensation would be payable, and (2) in the case of Long-Term Incentive Compensation shall end no later than the last day of the Plan Year preceding the first Plan Year in the period for which such Incentive Compensation would be payable, and (II) for an Eligible Director, shall end no later than the last day of the Plan Year preceding the Plan Year in which the annual directors’ fees are earned. Notwithstanding the foregoing, in the event any Incentive Compensation that constitutes performance-based compensation under Section 409A of the Code is payable with respect to any period of at least 12 months, the specified period established by the Committee for such Incentive Compensation shall end no later than six months before the end of the period for which such Incentive Compensation would be payable, provided that the Participant performs services continuously from the later of the beginning of the performance period or the date the performance criteria are established through the date a deferral election is made, and provided further that an election to defer performance-based compensation may not be made after such compensation has become readily ascertainable. In the event of a Short Year, the specified period established by the Committee shall end no later than 30 days following the date the employee or Eligible Director first becomes eligible to participate in the Plan, and, except as otherwise permitted under Section 409A of the Code, such deferral election shall apply only to Incentive Compensation or annual directors’ fees earned after the date of the Participant’s deferral election.</w:t>
      </w:r>
    </w:p>
    <w:p>
      <w:pPr>
        <w:spacing w:after="0" w:line="186" w:lineRule="exact"/>
        <w:rPr>
          <w:rFonts w:ascii="Arial" w:cs="Arial" w:eastAsia="Arial" w:hAnsi="Arial"/>
          <w:sz w:val="18"/>
          <w:szCs w:val="18"/>
          <w:color w:val="auto"/>
        </w:rPr>
      </w:pPr>
    </w:p>
    <w:p>
      <w:pPr>
        <w:ind w:right="200" w:firstLine="656"/>
        <w:spacing w:after="0" w:line="271" w:lineRule="auto"/>
        <w:tabs>
          <w:tab w:leader="none" w:pos="105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deferral election shall set forth the Specified Amount of the Participant’s Incentive Compensation or annual directors’ fees, as the case may be, for the period covered by the election that the Participant desires to have deferred, the Designated Deferral Period, and the Payout Period. After the latest date that a deferral election may be made, a Participant may not change the election, except as follows:</w:t>
      </w:r>
    </w:p>
    <w:p>
      <w:pPr>
        <w:spacing w:after="0" w:line="163" w:lineRule="exact"/>
        <w:rPr>
          <w:rFonts w:ascii="Arial" w:cs="Arial" w:eastAsia="Arial" w:hAnsi="Arial"/>
          <w:sz w:val="18"/>
          <w:szCs w:val="18"/>
          <w:color w:val="auto"/>
        </w:rPr>
      </w:pPr>
    </w:p>
    <w:p>
      <w:pPr>
        <w:ind w:right="40" w:firstLine="1305"/>
        <w:spacing w:after="0" w:line="257" w:lineRule="auto"/>
        <w:tabs>
          <w:tab w:leader="none" w:pos="166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Except as provided in Section 3(c)(II) below, a Participant may file a change in the Designated Deferral Period and/or the Payout Period with respect to his or her deferral election for any Plan Year or Short Year, provided that (1) such change will be given effect only if made at least 12 months before the end of the previously elected Designated Deferral Period (or at least 12 months before actual Separation from Service if the previously elected Designated Deferral Period was based on Separation from Service), and (2) any change in the Designated Deferral Period must extend the Designated Deferral Period for a minimum of 60 months. With respect to elections under this Section 3(c)(I) relating to installment payments, for purposes of applying Section 409A of the Code, a series of installment payments shall be treated as a single payment.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32" w:right="239" w:bottom="1440" w:gutter="0" w:footer="0" w:header="0"/>
        </w:sectPr>
      </w:pPr>
    </w:p>
    <w:bookmarkStart w:id="136" w:name="page137"/>
    <w:bookmarkEnd w:id="136"/>
    <w:p>
      <w:pPr>
        <w:ind w:right="60" w:firstLine="1305"/>
        <w:spacing w:after="0" w:line="264" w:lineRule="auto"/>
        <w:tabs>
          <w:tab w:leader="none" w:pos="176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On or before December 31, 2007, a Participant who had previously elected to defer Incentive Compensation under the Plan may elect a new Designated Deferral Period and/or a new Payout Period with respect to such deferred Incentive Compensation, provided that the election (1) may not apply to an amount that would otherwise be payable in 2007 and (2) may not cause an amount to be paid in 2007 that would not otherwise be payable in 2007.</w:t>
      </w:r>
    </w:p>
    <w:p>
      <w:pPr>
        <w:spacing w:after="0" w:line="169" w:lineRule="exact"/>
        <w:rPr>
          <w:rFonts w:ascii="Arial" w:cs="Arial" w:eastAsia="Arial" w:hAnsi="Arial"/>
          <w:sz w:val="18"/>
          <w:szCs w:val="18"/>
          <w:color w:val="auto"/>
        </w:rPr>
      </w:pPr>
    </w:p>
    <w:p>
      <w:pPr>
        <w:ind w:right="100" w:firstLine="656"/>
        <w:spacing w:after="0" w:line="264" w:lineRule="auto"/>
        <w:tabs>
          <w:tab w:leader="none" w:pos="106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Committee may, from time to time, set limitations on the amount of a Participant’s Incentive Compensation or directors’ fees, as the case may be, which may be subject to deferral under this Plan, including but not limited to establishing annual limitations relating to particular employment positions or levels of Participants and/or compensation levels. Any applicable limitations will be set forth on the deferral election form relating to the Plan Year for which such limitations are applicable.</w:t>
      </w:r>
    </w:p>
    <w:p>
      <w:pPr>
        <w:spacing w:after="0" w:line="169" w:lineRule="exact"/>
        <w:rPr>
          <w:rFonts w:ascii="Arial" w:cs="Arial" w:eastAsia="Arial" w:hAnsi="Arial"/>
          <w:sz w:val="18"/>
          <w:szCs w:val="18"/>
          <w:color w:val="auto"/>
        </w:rPr>
      </w:pPr>
    </w:p>
    <w:p>
      <w:pPr>
        <w:ind w:left="1060" w:hanging="404"/>
        <w:spacing w:after="0"/>
        <w:tabs>
          <w:tab w:leader="none" w:pos="10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Participant will be 100% vested in his or her Participant Account at all times.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Treatment of Deferred Amounts.</w:t>
      </w:r>
    </w:p>
    <w:p>
      <w:pPr>
        <w:spacing w:after="0" w:line="227" w:lineRule="exact"/>
        <w:rPr>
          <w:sz w:val="20"/>
          <w:szCs w:val="20"/>
          <w:color w:val="auto"/>
        </w:rPr>
      </w:pPr>
    </w:p>
    <w:p>
      <w:pPr>
        <w:ind w:right="40" w:firstLine="656"/>
        <w:spacing w:after="0" w:line="264" w:lineRule="auto"/>
        <w:tabs>
          <w:tab w:leader="none" w:pos="106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shall maintain on its books a separate Participant Account for each Participant who has deferred compensation under this Plan with respect to any Plan Year or Short Year. The amount of such Deferred Compensation shall be credited to such Participant Account on the date or dates during the Plan Year on which the Deferred Compensation would have been payable to the Participant but for the deferral under this Plan.</w:t>
      </w:r>
    </w:p>
    <w:p>
      <w:pPr>
        <w:spacing w:after="0" w:line="169" w:lineRule="exact"/>
        <w:rPr>
          <w:rFonts w:ascii="Arial" w:cs="Arial" w:eastAsia="Arial" w:hAnsi="Arial"/>
          <w:sz w:val="18"/>
          <w:szCs w:val="18"/>
          <w:color w:val="auto"/>
        </w:rPr>
      </w:pPr>
    </w:p>
    <w:p>
      <w:pPr>
        <w:ind w:firstLine="656"/>
        <w:spacing w:after="0" w:line="260" w:lineRule="auto"/>
        <w:tabs>
          <w:tab w:leader="none" w:pos="106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Participant Account shall be deemed to earn investment credits reflecting gains or losses with respect to each Plan Year or Short Year in accordance with the Participant’s individual Investment Election. The Committee shall determine the investment credit factors that will be offered in any Plan Year. Beginning with the applicable Effective Date, the investment credit factors will be the equivalent rates of return generated by the investment options offered under the 401(k) plan maintained by the Company covering eligible corporate office employees and shall continue to be such factors unless otherwise determined by the Committee.</w:t>
      </w:r>
    </w:p>
    <w:p>
      <w:pPr>
        <w:spacing w:after="0" w:line="175" w:lineRule="exact"/>
        <w:rPr>
          <w:rFonts w:ascii="Arial" w:cs="Arial" w:eastAsia="Arial" w:hAnsi="Arial"/>
          <w:sz w:val="18"/>
          <w:szCs w:val="18"/>
          <w:color w:val="auto"/>
        </w:rPr>
      </w:pPr>
    </w:p>
    <w:p>
      <w:pPr>
        <w:ind w:right="140" w:firstLine="656"/>
        <w:spacing w:after="0" w:line="260" w:lineRule="auto"/>
        <w:tabs>
          <w:tab w:leader="none" w:pos="105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Participant must file an Investment Election at the time he or she first files a deferral election. The Investment Election will determine the investment credit factors that will be applicable to the Deferred Compensation in the Participant Accounts of such Participant. A Participant may file a new Investment Election at any time. In the event a Participant fails to complete a valid Investment Election, his or her Deferred Compensation will be credited with the investment credit amounts equivalent to the rates of return generated by the money market option under the Company’s 401(k) plan referred to above.</w:t>
      </w:r>
    </w:p>
    <w:p>
      <w:pPr>
        <w:spacing w:after="0" w:line="175" w:lineRule="exact"/>
        <w:rPr>
          <w:rFonts w:ascii="Arial" w:cs="Arial" w:eastAsia="Arial" w:hAnsi="Arial"/>
          <w:sz w:val="18"/>
          <w:szCs w:val="18"/>
          <w:color w:val="auto"/>
        </w:rPr>
      </w:pPr>
    </w:p>
    <w:p>
      <w:pPr>
        <w:ind w:right="980" w:firstLine="656"/>
        <w:spacing w:after="0" w:line="292" w:lineRule="auto"/>
        <w:tabs>
          <w:tab w:leader="none" w:pos="106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Company will add to (or subtract from) each Participant Account the appropriate amounts, in accordance with the Participant’s Investment Election, calculated no less frequently than the last day of each calendar quarter.</w:t>
      </w:r>
    </w:p>
    <w:p>
      <w:pPr>
        <w:spacing w:after="0" w:line="144" w:lineRule="exact"/>
        <w:rPr>
          <w:rFonts w:ascii="Arial" w:cs="Arial" w:eastAsia="Arial" w:hAnsi="Arial"/>
          <w:sz w:val="18"/>
          <w:szCs w:val="18"/>
          <w:color w:val="auto"/>
        </w:rPr>
      </w:pPr>
    </w:p>
    <w:p>
      <w:pPr>
        <w:ind w:firstLine="656"/>
        <w:spacing w:after="0" w:line="264" w:lineRule="auto"/>
        <w:tabs>
          <w:tab w:leader="none" w:pos="106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assets shall be segregated or earmarked in respect of any Participant Account and no Participant shall have any right to assign, transfer, or pledge his or her interest, or any portion thereof, in his or her Participant Accounts. The Plan and the crediting of accounts hereunder shall not constitute a trust and shall merely be for the purpose of recording an unsecured contractual obligation. All amounts payable pursuant to the terms of this Plan shall be paid from the general assets of the Company.</w:t>
      </w:r>
    </w:p>
    <w:p>
      <w:pPr>
        <w:spacing w:after="0" w:line="169" w:lineRule="exact"/>
        <w:rPr>
          <w:rFonts w:ascii="Arial" w:cs="Arial" w:eastAsia="Arial" w:hAnsi="Arial"/>
          <w:sz w:val="18"/>
          <w:szCs w:val="18"/>
          <w:color w:val="auto"/>
        </w:rPr>
      </w:pPr>
    </w:p>
    <w:p>
      <w:pPr>
        <w:ind w:right="20" w:firstLine="656"/>
        <w:spacing w:after="0" w:line="271" w:lineRule="auto"/>
        <w:tabs>
          <w:tab w:leader="none" w:pos="101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Until the entire balance in all of the Participant Accounts of a Participant has been paid in full, the Company will furnish or cause to be furnished to each Participant a report, at least annually, setting forth the credits and debits to each Participant Account and the status of all Participant Accounts of such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833" w:right="25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Section 5. Payment of Deferred Accounts.</w:t>
      </w:r>
    </w:p>
    <w:p>
      <w:pPr>
        <w:spacing w:after="0" w:line="227" w:lineRule="exact"/>
        <w:rPr>
          <w:sz w:val="20"/>
          <w:szCs w:val="20"/>
          <w:color w:val="auto"/>
        </w:rPr>
      </w:pPr>
    </w:p>
    <w:p>
      <w:pPr>
        <w:jc w:val="both"/>
        <w:ind w:right="240" w:firstLine="656"/>
        <w:spacing w:after="0" w:line="271" w:lineRule="auto"/>
        <w:tabs>
          <w:tab w:leader="none" w:pos="106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amount to be paid to a Participant following the expiration of the Designated Deferral Period with respect to any Participant Account shall be computed on the basis of the balance of the Participant Account (i.e., the original Deferred Compensation amount plus and minus cumulative investment credits under Section 4 and minus any payments previously made) as of the payment date.</w:t>
      </w:r>
    </w:p>
    <w:p>
      <w:pPr>
        <w:spacing w:after="0" w:line="163" w:lineRule="exact"/>
        <w:rPr>
          <w:rFonts w:ascii="Arial" w:cs="Arial" w:eastAsia="Arial" w:hAnsi="Arial"/>
          <w:sz w:val="18"/>
          <w:szCs w:val="18"/>
          <w:color w:val="auto"/>
        </w:rPr>
      </w:pPr>
    </w:p>
    <w:p>
      <w:pPr>
        <w:ind w:left="1060" w:hanging="404"/>
        <w:spacing w:after="0"/>
        <w:tabs>
          <w:tab w:leader="none" w:pos="10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All payments of amounts under this Plan shall be made in cash.</w:t>
      </w:r>
    </w:p>
    <w:p>
      <w:pPr>
        <w:spacing w:after="0" w:line="225" w:lineRule="exact"/>
        <w:rPr>
          <w:rFonts w:ascii="Arial" w:cs="Arial" w:eastAsia="Arial" w:hAnsi="Arial"/>
          <w:sz w:val="18"/>
          <w:szCs w:val="18"/>
          <w:color w:val="auto"/>
        </w:rPr>
      </w:pPr>
    </w:p>
    <w:p>
      <w:pPr>
        <w:ind w:right="20" w:firstLine="656"/>
        <w:spacing w:after="0" w:line="257" w:lineRule="auto"/>
        <w:tabs>
          <w:tab w:leader="none" w:pos="105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Notwithstanding the Designated Deferral Period or the Payout Period selected by the Participant, if a Participant dies or becomes permanently disabled before the end of the Designated Deferral Period selected by the Participant, the entire Participant Account shall be payable in a lump sum to such Participant (or, in the case of death, to his or her Beneficiary) as soon as practical but not more than 90 days following the Participant’s death or permanent disability. A Participant is permanently disabled if the Participant is receiving income replacement benefits for a period of not less than three months under an accident and health plan of the Company by reason of any medically determinable physical or mental impairment that can be expected to result in death or can be expected to last for a continuous period of not less than 12 months.</w:t>
      </w:r>
    </w:p>
    <w:p>
      <w:pPr>
        <w:spacing w:after="0" w:line="177" w:lineRule="exact"/>
        <w:rPr>
          <w:rFonts w:ascii="Arial" w:cs="Arial" w:eastAsia="Arial" w:hAnsi="Arial"/>
          <w:sz w:val="18"/>
          <w:szCs w:val="18"/>
          <w:color w:val="auto"/>
        </w:rPr>
      </w:pPr>
    </w:p>
    <w:p>
      <w:pPr>
        <w:ind w:firstLine="656"/>
        <w:spacing w:after="0" w:line="257" w:lineRule="auto"/>
        <w:tabs>
          <w:tab w:leader="none" w:pos="106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Notwithstanding any other provision of this Plan to the contrary, a Participant’s Deferred Compensation shall become payable upon the Participant’s incurring an unforeseeable emergency within the meaning of Section 409A of the Code. In such event, the amount of Deferred Compensation payable with respect to the unforeseeable emergency shall not exceed the amount necessary to satisfy the emergency plus the amount necessary to satisfy taxes reasonably anticipated as a result of the emergency payment; the amount necessary to satisfy the emergency shall be determined taking into account the extent to which the financial hardship caused by the emergency is or may be relieved through reimbursement or compensation by insurance or otherwise or by liquidation of the Participant’s assets (to the extent the liquidation of such assets would not itself cause severe financial hardship).</w:t>
      </w:r>
    </w:p>
    <w:p>
      <w:pPr>
        <w:spacing w:after="0" w:line="177" w:lineRule="exact"/>
        <w:rPr>
          <w:rFonts w:ascii="Arial" w:cs="Arial" w:eastAsia="Arial" w:hAnsi="Arial"/>
          <w:sz w:val="18"/>
          <w:szCs w:val="18"/>
          <w:color w:val="auto"/>
        </w:rPr>
      </w:pPr>
    </w:p>
    <w:p>
      <w:pPr>
        <w:ind w:right="280" w:firstLine="656"/>
        <w:spacing w:after="0" w:line="323" w:lineRule="auto"/>
        <w:tabs>
          <w:tab w:leader="none" w:pos="91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Notwithstanding anything in the Plan to the contrary, to the extent consistent with Section 409A of the Code, the Committee shall cause Deferred Compensation to be paid in accordance with a qualified domestic relations order as defined in Section 414(p) of the Code.</w:t>
      </w:r>
    </w:p>
    <w:p>
      <w:pPr>
        <w:spacing w:after="0" w:line="122" w:lineRule="exact"/>
        <w:rPr>
          <w:rFonts w:ascii="Arial" w:cs="Arial" w:eastAsia="Arial" w:hAnsi="Arial"/>
          <w:sz w:val="17"/>
          <w:szCs w:val="17"/>
          <w:color w:val="auto"/>
        </w:rPr>
      </w:pPr>
    </w:p>
    <w:p>
      <w:pPr>
        <w:ind w:right="180" w:firstLine="656"/>
        <w:spacing w:after="0" w:line="271" w:lineRule="auto"/>
        <w:tabs>
          <w:tab w:leader="none" w:pos="101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Committee shall have the authority to require deferral of a Participant’s Deferred Compensation beyond the expiration of the Designated Deferral Period to the extent necessary to avoid a limitation on the deductibility by the Company of the deferred amount under Section 162(m) as permitted under Section 409A.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Grandfathered Deferred Compensation</w:t>
      </w:r>
    </w:p>
    <w:p>
      <w:pPr>
        <w:spacing w:after="0" w:line="227"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With respect to individually designated grandfathered Participants, the portion of such a Participant’s benefit under the Plan that was accrued as of December 31, 2004, plus any investment credits thereon, shall be payable under the terms of the Plan in effect before January 1, 2005. Individually designated grandfathered Participants shall include Diana Daniels.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Administration and Amendment</w:t>
      </w:r>
    </w:p>
    <w:p>
      <w:pPr>
        <w:spacing w:after="0" w:line="227" w:lineRule="exact"/>
        <w:rPr>
          <w:sz w:val="20"/>
          <w:szCs w:val="20"/>
          <w:color w:val="auto"/>
        </w:rPr>
      </w:pPr>
    </w:p>
    <w:p>
      <w:pPr>
        <w:ind w:right="140" w:firstLine="656"/>
        <w:spacing w:after="0" w:line="264" w:lineRule="auto"/>
        <w:tabs>
          <w:tab w:leader="none" w:pos="106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This Plan shall be administered by the Committee. All decisions and interpretations of the Committee shall be conclusive and binding on the Company, its Affiliates and the Participants. The Committee may at any time terminate an employee’s designation as a Participant, in which event the employee shall not be permitted to defer additional Incentive Compensation under the Plan. No such change in designation shall otherwise affect such a Participant’s rights under the Plan.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30" w:right="239" w:bottom="1440" w:gutter="0" w:footer="0" w:header="0"/>
        </w:sectPr>
      </w:pPr>
    </w:p>
    <w:bookmarkStart w:id="138" w:name="page139"/>
    <w:bookmarkEnd w:id="138"/>
    <w:p>
      <w:pPr>
        <w:ind w:firstLine="656"/>
        <w:spacing w:after="0" w:line="258" w:lineRule="auto"/>
        <w:tabs>
          <w:tab w:leader="none" w:pos="106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Committee may at any time amend the Plan, including an amendment to suspend or terminate the right of Participants to defer Incentive Compensation and/or directors’ fees under the Plan. No such amendment shall adversely affect a Participant’s rights with respect to Deferred Compensation credited to a Participant Account before such amendment, including the right to be credited with investment credits for the period of time after such amendment as long as there continues to be a positive balance in the Participant Account. To the extent permitted under Section 409A of the Code, the Committee may in its discretion terminate the Plan and distribute all Participant Accounts established under the Plan within twelve months of a change in control of the Company, as defined for purposes of Section 409A of the Code.</w:t>
      </w:r>
    </w:p>
    <w:p>
      <w:pPr>
        <w:spacing w:after="0" w:line="177" w:lineRule="exact"/>
        <w:rPr>
          <w:rFonts w:ascii="Arial" w:cs="Arial" w:eastAsia="Arial" w:hAnsi="Arial"/>
          <w:sz w:val="18"/>
          <w:szCs w:val="18"/>
          <w:color w:val="auto"/>
        </w:rPr>
      </w:pPr>
    </w:p>
    <w:p>
      <w:pPr>
        <w:ind w:firstLine="656"/>
        <w:spacing w:after="0" w:line="257" w:lineRule="auto"/>
        <w:tabs>
          <w:tab w:leader="none" w:pos="105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Notwithstanding any other section of this Plan, if a Participant is discharged by the Company or an Affiliate or his or her services as a director are terminated because of conduct that the Participant knew or should have known was detrimental to legitimate interests of the Company or its Affiliates, dishonesty, fraud, misappropriation of funds or confidential, secret or proprietary information belonging to the Company or an Affiliate or commission of a crime, such Participant’s investment credits shall be reduced to the lesser of the Participant’s actual investment credits up to the date of discharge or the investment credits that would have been credited under the money market fund in the Company’s 401(k) plan (or the most similar fund if there is no money market fund in the Company’s 401(k) plan), and from the date of discharge to the date of payment hereunder, investment credits shall be at such money market rate.</w:t>
      </w:r>
    </w:p>
    <w:p>
      <w:pPr>
        <w:spacing w:after="0" w:line="177" w:lineRule="exact"/>
        <w:rPr>
          <w:rFonts w:ascii="Arial" w:cs="Arial" w:eastAsia="Arial" w:hAnsi="Arial"/>
          <w:sz w:val="18"/>
          <w:szCs w:val="18"/>
          <w:color w:val="auto"/>
        </w:rPr>
      </w:pPr>
    </w:p>
    <w:p>
      <w:pPr>
        <w:jc w:val="both"/>
        <w:ind w:right="100" w:firstLine="656"/>
        <w:spacing w:after="0" w:line="264" w:lineRule="auto"/>
        <w:tabs>
          <w:tab w:leader="none" w:pos="106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Company’s sole obligation under this Plan is to pay the benefits provided for herein and neither the Participant nor any other person shall have any legal or equitable right against the Company, any Affiliate, the Boards of Directors thereof, the Committee or any officer or employee of the Company or any Affiliate other than the right against the Company to receive such payments from the Company provided herein.</w:t>
      </w:r>
    </w:p>
    <w:p>
      <w:pPr>
        <w:spacing w:after="0" w:line="169"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shall bear all expenses incurred by it in administering this Plan.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Disputed Claims Procedure</w:t>
      </w:r>
    </w:p>
    <w:p>
      <w:pPr>
        <w:spacing w:after="0" w:line="2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a Participant or Beneficiary (collectively, “Claimant”) has a complaint about the Plan’s operation or about Plan benefits, the Claimant has the right to have the complaint reviewed by the Committee. All complaints and claims for benefits must be submitted in writing. All such complaints must be submitted within the “applicable limitations period.” The “applicable limitations period” is two years, beginning on the earlier of (i) the date on which the payment was made, or (ii) for all other claims, the date on which the action complained or grieved of occurred.</w:t>
      </w:r>
    </w:p>
    <w:p>
      <w:pPr>
        <w:spacing w:after="0" w:line="170"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If a Claimant has applied for a benefit under the Plan and that claim as been denied, in whole or in part, the Claimant has the right to a review of the denial.</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Within 60 days after a claim is received, the Claimant will be notified in writing by the Committee of its decision. If special circumstances require an extension of up to 60 additional days of time for processing, the Committee will provide written notice of the extension prior to the expiration of the initial 60-day period. If the claim is denied or partially denied, the written notice will outline:</w:t>
      </w:r>
    </w:p>
    <w:p>
      <w:pPr>
        <w:spacing w:after="0" w:line="163" w:lineRule="exact"/>
        <w:rPr>
          <w:sz w:val="20"/>
          <w:szCs w:val="20"/>
          <w:color w:val="auto"/>
        </w:rPr>
      </w:pPr>
    </w:p>
    <w:p>
      <w:pPr>
        <w:ind w:left="980" w:hanging="324"/>
        <w:spacing w:after="0"/>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specific reasons for the denial,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provisions of the Plan on which the denial is based,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procedures for having the request reviewed,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Additional information needed to process the request and an explanation of why this information is necessary.</w:t>
      </w:r>
    </w:p>
    <w:p>
      <w:pPr>
        <w:spacing w:after="0" w:line="63"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Claimant may ask for a review of the denied request within 60 days after receipt of the notice of denial. If an appeal is not filed within this 60-day period, an appeal cannot be filed at a later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832" w:right="259" w:bottom="1440" w:gutter="0" w:footer="0" w:header="0"/>
        </w:sectPr>
      </w:pPr>
    </w:p>
    <w:bookmarkStart w:id="139" w:name="page140"/>
    <w:bookmarkEnd w:id="139"/>
    <w:p>
      <w:pPr>
        <w:ind w:right="540"/>
        <w:spacing w:after="0" w:line="292" w:lineRule="auto"/>
        <w:rPr>
          <w:sz w:val="20"/>
          <w:szCs w:val="20"/>
          <w:color w:val="auto"/>
        </w:rPr>
      </w:pPr>
      <w:r>
        <w:rPr>
          <w:rFonts w:ascii="Arial" w:cs="Arial" w:eastAsia="Arial" w:hAnsi="Arial"/>
          <w:sz w:val="18"/>
          <w:szCs w:val="18"/>
          <w:color w:val="auto"/>
        </w:rPr>
        <w:t>To appeal a denial a Claimant must request a review by the Committee, or an appeals committee appointed by the Committee. Any such request must be in writing and include:</w:t>
      </w:r>
    </w:p>
    <w:p>
      <w:pPr>
        <w:spacing w:after="0" w:line="145" w:lineRule="exact"/>
        <w:rPr>
          <w:sz w:val="20"/>
          <w:szCs w:val="20"/>
          <w:color w:val="auto"/>
        </w:rPr>
      </w:pPr>
    </w:p>
    <w:p>
      <w:pPr>
        <w:ind w:left="980" w:hanging="324"/>
        <w:spacing w:after="0"/>
        <w:tabs>
          <w:tab w:leader="none" w:pos="9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reasons that support the claim,</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reasons the claim should not have been denied,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written evidence that supports the claim, and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other appropriate issues or comments.</w:t>
      </w:r>
    </w:p>
    <w:p>
      <w:pPr>
        <w:spacing w:after="0" w:line="6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appeal must include all documentary evidence necessary to support the claim and must state the reasons that the Claimant is eligible for the benefit claimed. The appeals committee will make its decision based on the record and the arguments that presented, including any evidence presented in the initial claim.</w:t>
      </w:r>
    </w:p>
    <w:p>
      <w:pPr>
        <w:spacing w:after="0" w:line="16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Claimant is entitled to receive, upon request and free of charge, reasonable access to and copies of all documents, records and other information relevant to a claim. If this information is requested in order to perfect an appeal, or to file a claim, and there is a delay in providing it, the applicable time limits will be extended by the period of the delay. A Claimant may also request in writing that copies of the Plan document be made available for examination.</w:t>
      </w:r>
    </w:p>
    <w:p>
      <w:pPr>
        <w:spacing w:after="0" w:line="170"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Committee normally will reach a decision no later than 60 days after it receives a request for review. If needed, the Committee will send a written notice of an extension of this period of up to 60 additional days. The Committee’s decision will be in writing and will include specific reasons for the decision and references to the Plan provisions that apply.</w:t>
      </w:r>
    </w:p>
    <w:p>
      <w:pPr>
        <w:spacing w:after="0" w:line="16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Legal action may not be brought against the Committee or the Company without first pursuing the claims procedures. Any legal action to recover a benefit under this Plan must be filed within one year of the Committee’s decision on appeal. Failure to file suit within this time period will extinguish any right to benefits under the Plan.</w:t>
      </w:r>
    </w:p>
    <w:p>
      <w:pPr>
        <w:spacing w:after="0" w:line="217" w:lineRule="exact"/>
        <w:rPr>
          <w:sz w:val="20"/>
          <w:szCs w:val="20"/>
          <w:color w:val="auto"/>
        </w:rPr>
      </w:pPr>
    </w:p>
    <w:p>
      <w:pPr>
        <w:ind w:right="20"/>
        <w:spacing w:after="0" w:line="417" w:lineRule="auto"/>
        <w:rPr>
          <w:sz w:val="20"/>
          <w:szCs w:val="20"/>
          <w:color w:val="auto"/>
        </w:rPr>
      </w:pPr>
      <w:r>
        <w:rPr>
          <w:rFonts w:ascii="Arial" w:cs="Arial" w:eastAsia="Arial" w:hAnsi="Arial"/>
          <w:sz w:val="18"/>
          <w:szCs w:val="18"/>
          <w:color w:val="auto"/>
        </w:rPr>
        <w:t>IN WITNESS WHEREOF, the Company has caused this amendment and restatement of the Plan to be adopted by action of the Compensation Committee of the Board of Directors on this 10th day of December, 2013.</w:t>
      </w:r>
    </w:p>
    <w:p>
      <w:pPr>
        <w:spacing w:after="0" w:line="19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GRAHAM HOLDINGS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__</w:t>
      </w:r>
      <w:r>
        <w:rPr>
          <w:rFonts w:ascii="Arial" w:cs="Arial" w:eastAsia="Arial" w:hAnsi="Arial"/>
          <w:sz w:val="18"/>
          <w:szCs w:val="18"/>
          <w:u w:val="single" w:color="auto"/>
          <w:color w:val="auto"/>
        </w:rPr>
        <w:t>/s/ Ann McDaniel</w:t>
      </w:r>
      <w:r>
        <w:rPr>
          <w:rFonts w:ascii="Arial" w:cs="Arial" w:eastAsia="Arial" w:hAnsi="Arial"/>
          <w:sz w:val="18"/>
          <w:szCs w:val="18"/>
          <w:color w:val="auto"/>
        </w:rPr>
        <w:t>_______</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Ann McDaniel</w:t>
      </w:r>
    </w:p>
    <w:p>
      <w:pPr>
        <w:spacing w:after="0" w:line="9" w:lineRule="exact"/>
        <w:rPr>
          <w:sz w:val="20"/>
          <w:szCs w:val="20"/>
          <w:color w:val="auto"/>
        </w:rPr>
      </w:pPr>
    </w:p>
    <w:p>
      <w:pPr>
        <w:jc w:val="center"/>
        <w:ind w:left="2620"/>
        <w:spacing w:after="0"/>
        <w:tabs>
          <w:tab w:leader="none" w:pos="240" w:val="left"/>
        </w:tabs>
        <w:rPr>
          <w:sz w:val="20"/>
          <w:szCs w:val="20"/>
          <w:color w:val="auto"/>
        </w:rPr>
      </w:pPr>
      <w:r>
        <w:rPr>
          <w:rFonts w:ascii="Arial" w:cs="Arial" w:eastAsia="Arial" w:hAnsi="Arial"/>
          <w:sz w:val="18"/>
          <w:szCs w:val="18"/>
          <w:color w:val="auto"/>
        </w:rPr>
        <w:t>Title:</w:t>
        <w:tab/>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832" w:right="25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EXHIBIT 10.5</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Katharine Weymouth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 Dane Butswinkas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Williams &amp; Connolly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725 Twelfth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Dear Katharine:</w:t>
      </w:r>
    </w:p>
    <w:p>
      <w:pPr>
        <w:spacing w:after="0" w:line="225" w:lineRule="exact"/>
        <w:rPr>
          <w:sz w:val="20"/>
          <w:szCs w:val="20"/>
          <w:color w:val="auto"/>
        </w:rPr>
      </w:pPr>
    </w:p>
    <w:p>
      <w:pPr>
        <w:ind w:right="180" w:firstLine="1297"/>
        <w:spacing w:after="0" w:line="257" w:lineRule="auto"/>
        <w:rPr>
          <w:sz w:val="20"/>
          <w:szCs w:val="20"/>
          <w:color w:val="auto"/>
        </w:rPr>
      </w:pPr>
      <w:r>
        <w:rPr>
          <w:rFonts w:ascii="Arial" w:cs="Arial" w:eastAsia="Arial" w:hAnsi="Arial"/>
          <w:sz w:val="18"/>
          <w:szCs w:val="18"/>
          <w:color w:val="auto"/>
        </w:rPr>
        <w:t>As you are aware, The Washington Post Company, a Delaware corporation (“</w:t>
      </w:r>
      <w:r>
        <w:rPr>
          <w:rFonts w:ascii="Arial" w:cs="Arial" w:eastAsia="Arial" w:hAnsi="Arial"/>
          <w:sz w:val="18"/>
          <w:szCs w:val="18"/>
          <w:u w:val="single" w:color="auto"/>
          <w:color w:val="auto"/>
        </w:rPr>
        <w:t>Parent</w:t>
      </w:r>
      <w:r>
        <w:rPr>
          <w:rFonts w:ascii="Arial" w:cs="Arial" w:eastAsia="Arial" w:hAnsi="Arial"/>
          <w:sz w:val="18"/>
          <w:szCs w:val="18"/>
          <w:color w:val="auto"/>
        </w:rPr>
        <w:t>”), has entered into a Letter of Intent with Nash Holdings LLC, a Delaware limited liability company (the “</w:t>
      </w:r>
      <w:r>
        <w:rPr>
          <w:rFonts w:ascii="Arial" w:cs="Arial" w:eastAsia="Arial" w:hAnsi="Arial"/>
          <w:sz w:val="18"/>
          <w:szCs w:val="18"/>
          <w:u w:val="single" w:color="auto"/>
          <w:color w:val="auto"/>
        </w:rPr>
        <w:t>Purchaser</w:t>
      </w:r>
      <w:r>
        <w:rPr>
          <w:rFonts w:ascii="Arial" w:cs="Arial" w:eastAsia="Arial" w:hAnsi="Arial"/>
          <w:sz w:val="18"/>
          <w:szCs w:val="18"/>
          <w:color w:val="auto"/>
        </w:rPr>
        <w:t>”) and, solely to the extent set forth in the Letter of Intent, Explore Holdings LLC, dated August 5, 2013 (the “</w:t>
      </w:r>
      <w:r>
        <w:rPr>
          <w:rFonts w:ascii="Arial" w:cs="Arial" w:eastAsia="Arial" w:hAnsi="Arial"/>
          <w:sz w:val="18"/>
          <w:szCs w:val="18"/>
          <w:u w:val="single" w:color="auto"/>
          <w:color w:val="auto"/>
        </w:rPr>
        <w:t>Letter of Intent</w:t>
      </w:r>
      <w:r>
        <w:rPr>
          <w:rFonts w:ascii="Arial" w:cs="Arial" w:eastAsia="Arial" w:hAnsi="Arial"/>
          <w:sz w:val="18"/>
          <w:szCs w:val="18"/>
          <w:color w:val="auto"/>
        </w:rPr>
        <w:t>”) pursuant to which Parent will sell all of the outstanding equity interests of WP Company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certain other subsidiaries of Parent to the Purchaser, subject to the terms and conditions set forth therein and in a definitive securities purchase agreement to be subsequently entered into (such agreement,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and the contemplated transaction, the “</w:t>
      </w:r>
      <w:r>
        <w:rPr>
          <w:rFonts w:ascii="Arial" w:cs="Arial" w:eastAsia="Arial" w:hAnsi="Arial"/>
          <w:sz w:val="18"/>
          <w:szCs w:val="18"/>
          <w:u w:val="single" w:color="auto"/>
          <w:color w:val="auto"/>
        </w:rPr>
        <w:t>Transaction</w:t>
      </w:r>
      <w:r>
        <w:rPr>
          <w:rFonts w:ascii="Arial" w:cs="Arial" w:eastAsia="Arial" w:hAnsi="Arial"/>
          <w:sz w:val="18"/>
          <w:szCs w:val="18"/>
          <w:color w:val="auto"/>
        </w:rPr>
        <w:t>”). The Transaction will result in the Company becoming wholly owned by the Purchaser upon the consummation of the Transaction (the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69" w:lineRule="exact"/>
        <w:rPr>
          <w:sz w:val="20"/>
          <w:szCs w:val="20"/>
          <w:color w:val="auto"/>
        </w:rPr>
      </w:pPr>
    </w:p>
    <w:p>
      <w:pPr>
        <w:ind w:right="60" w:firstLine="1297"/>
        <w:spacing w:after="0" w:line="271" w:lineRule="auto"/>
        <w:rPr>
          <w:sz w:val="20"/>
          <w:szCs w:val="20"/>
          <w:color w:val="auto"/>
        </w:rPr>
      </w:pPr>
      <w:r>
        <w:rPr>
          <w:rFonts w:ascii="Arial" w:cs="Arial" w:eastAsia="Arial" w:hAnsi="Arial"/>
          <w:sz w:val="18"/>
          <w:szCs w:val="18"/>
          <w:color w:val="auto"/>
        </w:rPr>
        <w:t>We greatly appreciate the contributions that you have made to the Company so far and recognize the continuing importance of your work to the success of the Company. Accordingly, in recognition of your extraordinary efforts to date and to encourage your continued dedication to the Company, Parent agrees and undertakes as follows.</w:t>
      </w:r>
    </w:p>
    <w:p>
      <w:pPr>
        <w:spacing w:after="0" w:line="82" w:lineRule="exact"/>
        <w:rPr>
          <w:sz w:val="20"/>
          <w:szCs w:val="20"/>
          <w:color w:val="auto"/>
        </w:rPr>
      </w:pPr>
    </w:p>
    <w:p>
      <w:pPr>
        <w:ind w:right="40" w:firstLine="1305"/>
        <w:spacing w:after="0" w:line="305" w:lineRule="auto"/>
        <w:tabs>
          <w:tab w:leader="none" w:pos="2095"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xml:space="preserve"> This letter agreement will become effective upon its execution by both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letter agreement will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of no further force or effect if the Closing does not occur, or if the Letter of Intent is terminated prior to entry into the Purchase Agreement, or the Purchase Agreement is terminated prior to the Closing. In addition, as a condition to your receipt of any compensation or benefits under this letter agreement, you must (i) remain employed with the Company at least through the Closing, and (ii) transfer to the employment of the Company, the Purchaser or one of their respective subsidiaries (collectively, the “</w:t>
      </w:r>
      <w:r>
        <w:rPr>
          <w:rFonts w:ascii="Arial" w:cs="Arial" w:eastAsia="Arial" w:hAnsi="Arial"/>
          <w:sz w:val="18"/>
          <w:szCs w:val="18"/>
          <w:u w:val="single" w:color="auto"/>
          <w:color w:val="auto"/>
        </w:rPr>
        <w:t>Purchaser Entities</w:t>
      </w:r>
      <w:r>
        <w:rPr>
          <w:rFonts w:ascii="Arial" w:cs="Arial" w:eastAsia="Arial" w:hAnsi="Arial"/>
          <w:sz w:val="18"/>
          <w:szCs w:val="18"/>
          <w:color w:val="auto"/>
        </w:rPr>
        <w:t>”) effective as of the Closing.</w:t>
      </w:r>
    </w:p>
    <w:p>
      <w:pPr>
        <w:spacing w:after="0" w:line="150" w:lineRule="exact"/>
        <w:rPr>
          <w:rFonts w:ascii="Arial" w:cs="Arial" w:eastAsia="Arial" w:hAnsi="Arial"/>
          <w:sz w:val="18"/>
          <w:szCs w:val="18"/>
          <w:color w:val="auto"/>
        </w:rPr>
      </w:pPr>
    </w:p>
    <w:p>
      <w:pPr>
        <w:ind w:right="160" w:firstLine="1305"/>
        <w:spacing w:after="0" w:line="271" w:lineRule="auto"/>
        <w:tabs>
          <w:tab w:leader="none" w:pos="1647"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Through the Closing.</w:t>
      </w:r>
      <w:r>
        <w:rPr>
          <w:rFonts w:ascii="Arial" w:cs="Arial" w:eastAsia="Arial" w:hAnsi="Arial"/>
          <w:sz w:val="18"/>
          <w:szCs w:val="18"/>
          <w:color w:val="auto"/>
        </w:rPr>
        <w:t xml:space="preserve"> During your employment with the Company from and after the date hereof and until the Closing, your compensation and benefits for your services with the Company will continue at current levels in the ordinary course of business.</w:t>
      </w:r>
    </w:p>
    <w:p>
      <w:pPr>
        <w:spacing w:after="0" w:line="163" w:lineRule="exact"/>
        <w:rPr>
          <w:rFonts w:ascii="Arial" w:cs="Arial" w:eastAsia="Arial" w:hAnsi="Arial"/>
          <w:sz w:val="18"/>
          <w:szCs w:val="18"/>
          <w:color w:val="auto"/>
        </w:rPr>
      </w:pPr>
    </w:p>
    <w:p>
      <w:pPr>
        <w:ind w:right="400" w:firstLine="1305"/>
        <w:spacing w:after="0" w:line="271" w:lineRule="auto"/>
        <w:tabs>
          <w:tab w:leader="none" w:pos="1647"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The Letter of Intent</w:t>
      </w:r>
      <w:r>
        <w:rPr>
          <w:rFonts w:ascii="Arial" w:cs="Arial" w:eastAsia="Arial" w:hAnsi="Arial"/>
          <w:sz w:val="18"/>
          <w:szCs w:val="18"/>
          <w:color w:val="auto"/>
        </w:rPr>
        <w:t>. The Letter of Intent contains assurances and the Purchase Agreement will contain assurances, in each case related to the payment of your annual bonus for 2013, your qualified pension plan and the defined benefit component of your supplemental executive retirement plan,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[[NYCORP:3431195v2:3224W: 09/30/2013--06:51 PM]]</w:t>
      </w:r>
    </w:p>
    <w:p>
      <w:pPr>
        <w:sectPr>
          <w:pgSz w:w="11900" w:h="16838" w:orient="portrait"/>
          <w:cols w:equalWidth="0" w:num="1">
            <w:col w:w="11420"/>
          </w:cols>
          <w:pgMar w:left="240" w:top="792" w:right="239" w:bottom="1440" w:gutter="0" w:footer="0" w:header="0"/>
        </w:sectPr>
      </w:pPr>
    </w:p>
    <w:bookmarkStart w:id="141" w:name="page142"/>
    <w:bookmarkEnd w:id="141"/>
    <w:p>
      <w:pPr>
        <w:ind w:left="1062" w:hanging="413"/>
        <w:spacing w:after="0"/>
        <w:tabs>
          <w:tab w:leader="none" w:pos="1062"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2013 Annual Bonus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18" w:right="20" w:firstLine="1305"/>
        <w:spacing w:after="0" w:line="257" w:lineRule="auto"/>
        <w:tabs>
          <w:tab w:leader="none" w:pos="96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Subject to Paragraph 3(a)(ii), following the Closing, you will continue to participate in the Company’s 2013 Executive Incentive Compensation Plan (the “</w:t>
      </w:r>
      <w:r>
        <w:rPr>
          <w:rFonts w:ascii="Arial" w:cs="Arial" w:eastAsia="Arial" w:hAnsi="Arial"/>
          <w:sz w:val="18"/>
          <w:szCs w:val="18"/>
          <w:u w:val="single" w:color="auto"/>
          <w:color w:val="auto"/>
        </w:rPr>
        <w:t>2013 EICP</w:t>
      </w:r>
      <w:r>
        <w:rPr>
          <w:rFonts w:ascii="Arial" w:cs="Arial" w:eastAsia="Arial" w:hAnsi="Arial"/>
          <w:sz w:val="18"/>
          <w:szCs w:val="18"/>
          <w:color w:val="auto"/>
        </w:rPr>
        <w:t>”). You will be eligible to receive your full bonus under the terms of the 2013 EICP based on actual performance of the Company during the complete 2013 year, determined in accordance with the 2013 EICP (your “</w:t>
      </w:r>
      <w:r>
        <w:rPr>
          <w:rFonts w:ascii="Arial" w:cs="Arial" w:eastAsia="Arial" w:hAnsi="Arial"/>
          <w:sz w:val="18"/>
          <w:szCs w:val="18"/>
          <w:u w:val="single" w:color="auto"/>
          <w:color w:val="auto"/>
        </w:rPr>
        <w:t>2013 EICP Bonus</w:t>
      </w:r>
      <w:r>
        <w:rPr>
          <w:rFonts w:ascii="Arial" w:cs="Arial" w:eastAsia="Arial" w:hAnsi="Arial"/>
          <w:sz w:val="18"/>
          <w:szCs w:val="18"/>
          <w:color w:val="auto"/>
        </w:rPr>
        <w:t>”). The 2013 EICP will not be amended or modified following the Closing in a manner that is adverse to you, and it will be administered without the exercise of any negative discretion in respect of your 2013 EICP Bonus. The Company will make your 2013 EICP Bonus payment to you in one lump sum in cash no later than March 15, 2014, provided that you continue to be employed by the Company or a Purchaser Entity through December 31, 2013.</w:t>
      </w:r>
    </w:p>
    <w:p>
      <w:pPr>
        <w:spacing w:after="0" w:line="177" w:lineRule="exact"/>
        <w:rPr>
          <w:rFonts w:ascii="Arial" w:cs="Arial" w:eastAsia="Arial" w:hAnsi="Arial"/>
          <w:sz w:val="18"/>
          <w:szCs w:val="18"/>
          <w:color w:val="auto"/>
        </w:rPr>
      </w:pPr>
    </w:p>
    <w:p>
      <w:pPr>
        <w:ind w:left="-818" w:right="80" w:firstLine="1305"/>
        <w:spacing w:after="0" w:line="260" w:lineRule="auto"/>
        <w:tabs>
          <w:tab w:leader="none" w:pos="100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after the Closing and prior to the payment date of the 2013 EICP Bonus, your employment is terminated by the Purchaser Entities without cause, as determined by Purchaser in its reasonable discretion (for purposes of clarity, such standard for “cause” is pursuant to the Letter of Intent and the Purchase Agreement), or due to your death or disability, then your 2013 EICP Bonus will be paid to you (or, if applicable, to your estate) in one lump sum on the date that it otherwise would have been paid if you had remained employed through December 31, 2013.</w:t>
      </w:r>
    </w:p>
    <w:p>
      <w:pPr>
        <w:spacing w:after="0" w:line="175" w:lineRule="exact"/>
        <w:rPr>
          <w:rFonts w:ascii="Arial" w:cs="Arial" w:eastAsia="Arial" w:hAnsi="Arial"/>
          <w:sz w:val="18"/>
          <w:szCs w:val="18"/>
          <w:color w:val="auto"/>
        </w:rPr>
      </w:pPr>
    </w:p>
    <w:p>
      <w:pPr>
        <w:ind w:left="-638" w:right="20" w:firstLine="1287"/>
        <w:spacing w:after="0" w:line="255" w:lineRule="auto"/>
        <w:tabs>
          <w:tab w:leader="none" w:pos="1078"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Purchaser Pension Plan; SERP.</w:t>
      </w:r>
      <w:r>
        <w:rPr>
          <w:rFonts w:ascii="Arial" w:cs="Arial" w:eastAsia="Arial" w:hAnsi="Arial"/>
          <w:sz w:val="18"/>
          <w:szCs w:val="18"/>
          <w:color w:val="auto"/>
        </w:rPr>
        <w:t xml:space="preserve"> Effective as of the Closing, the Purchaser shall assume or cause its “Purchaser Pension Plan” (as defined in the Letter of Intent) to assume all liabilities owed to you as of the Closing under the “Post Pension Plan” (as defined in the Letter of Intent). Effective as of the Closing, the Company also shall assume all obligations of Parent to you under the defined benefit component of Parent’s Supplemental Executive Retirement Plan (the “</w:t>
      </w:r>
      <w:r>
        <w:rPr>
          <w:rFonts w:ascii="Arial" w:cs="Arial" w:eastAsia="Arial" w:hAnsi="Arial"/>
          <w:sz w:val="18"/>
          <w:szCs w:val="18"/>
          <w:u w:val="single" w:color="auto"/>
          <w:color w:val="auto"/>
        </w:rPr>
        <w:t>DB SERP</w:t>
      </w:r>
      <w:r>
        <w:rPr>
          <w:rFonts w:ascii="Arial" w:cs="Arial" w:eastAsia="Arial" w:hAnsi="Arial"/>
          <w:sz w:val="18"/>
          <w:szCs w:val="18"/>
          <w:color w:val="auto"/>
        </w:rPr>
        <w:t>”). Upon your retirement from all of the Purchaser Entities following the Closing, your benefits under the Purchaser Pension Plan and the DB SERP will be paid by the Company or one of the Purchaser Entities in accordance with the terms of the Purchaser Pension Plan and the DB SERP, respectively. For a period of at least one year following the Closing, the Company or another Purchaser Entity will continue to provide you with additional qualified pension benefits under the Purchaser Pension Plan and additional supplemental defined benefit pension benefits, in each case at the levels in effect under the Post Pension Plan and the DB SERP, respectively, at the Closing, subject to your continuing employment with the Company or another Purchaser Entity during such period.</w:t>
      </w:r>
    </w:p>
    <w:p>
      <w:pPr>
        <w:spacing w:after="0" w:line="178" w:lineRule="exact"/>
        <w:rPr>
          <w:sz w:val="20"/>
          <w:szCs w:val="20"/>
          <w:color w:val="auto"/>
        </w:rPr>
      </w:pPr>
    </w:p>
    <w:p>
      <w:pPr>
        <w:ind w:left="842" w:hanging="355"/>
        <w:spacing w:after="0"/>
        <w:tabs>
          <w:tab w:leader="none" w:pos="842"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Performance Units.</w:t>
      </w:r>
    </w:p>
    <w:p>
      <w:pPr>
        <w:spacing w:after="0" w:line="225" w:lineRule="exact"/>
        <w:rPr>
          <w:sz w:val="20"/>
          <w:szCs w:val="20"/>
          <w:color w:val="auto"/>
        </w:rPr>
      </w:pPr>
    </w:p>
    <w:p>
      <w:pPr>
        <w:ind w:left="-818" w:firstLine="1305"/>
        <w:spacing w:after="0" w:line="264" w:lineRule="auto"/>
        <w:tabs>
          <w:tab w:leader="none" w:pos="898"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2011-14 Performance Units.</w:t>
      </w:r>
      <w:r>
        <w:rPr>
          <w:rFonts w:ascii="Arial" w:cs="Arial" w:eastAsia="Arial" w:hAnsi="Arial"/>
          <w:sz w:val="18"/>
          <w:szCs w:val="18"/>
          <w:color w:val="auto"/>
        </w:rPr>
        <w:t xml:space="preserve"> Parent will ensure that all Performance Units granted to you under the 2011-14 Award Cycle under the Company’s Performance Unit Plan (the “</w:t>
      </w:r>
      <w:r>
        <w:rPr>
          <w:rFonts w:ascii="Arial" w:cs="Arial" w:eastAsia="Arial" w:hAnsi="Arial"/>
          <w:sz w:val="18"/>
          <w:szCs w:val="18"/>
          <w:u w:val="single" w:color="auto"/>
          <w:color w:val="auto"/>
        </w:rPr>
        <w:t>2011-14 Performance Units</w:t>
      </w:r>
      <w:r>
        <w:rPr>
          <w:rFonts w:ascii="Arial" w:cs="Arial" w:eastAsia="Arial" w:hAnsi="Arial"/>
          <w:sz w:val="18"/>
          <w:szCs w:val="18"/>
          <w:color w:val="auto"/>
        </w:rPr>
        <w:t>”) will be paid to you in cash within 30 days after the Closing. The amount you will receive for your 2011-14 Performance Units will be $75.00 per Unit. The payment described in this Paragraph 4 will constitute full satisfaction of any rights you may have under the Company’s Performance Unit Plan.</w:t>
      </w:r>
    </w:p>
    <w:p>
      <w:pPr>
        <w:spacing w:after="0" w:line="169" w:lineRule="exact"/>
        <w:rPr>
          <w:rFonts w:ascii="Arial" w:cs="Arial" w:eastAsia="Arial" w:hAnsi="Arial"/>
          <w:sz w:val="18"/>
          <w:szCs w:val="18"/>
          <w:color w:val="auto"/>
        </w:rPr>
      </w:pPr>
    </w:p>
    <w:p>
      <w:pPr>
        <w:ind w:left="-818" w:right="120" w:firstLine="1305"/>
        <w:spacing w:after="0" w:line="292" w:lineRule="auto"/>
        <w:tabs>
          <w:tab w:leader="none" w:pos="898"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2013-16 Performance Units.</w:t>
      </w:r>
      <w:r>
        <w:rPr>
          <w:rFonts w:ascii="Arial" w:cs="Arial" w:eastAsia="Arial" w:hAnsi="Arial"/>
          <w:sz w:val="18"/>
          <w:szCs w:val="18"/>
          <w:color w:val="auto"/>
        </w:rPr>
        <w:t xml:space="preserve"> All Performance Units granted to you under the 2013-16 Award Cycle under the Company’s Performance Unit Plan will be forfeited as of the Closing without payment to you.</w:t>
      </w:r>
    </w:p>
    <w:p>
      <w:pPr>
        <w:spacing w:after="0" w:line="144" w:lineRule="exact"/>
        <w:rPr>
          <w:rFonts w:ascii="Arial" w:cs="Arial" w:eastAsia="Arial" w:hAnsi="Arial"/>
          <w:sz w:val="18"/>
          <w:szCs w:val="18"/>
          <w:color w:val="auto"/>
        </w:rPr>
      </w:pPr>
    </w:p>
    <w:p>
      <w:pPr>
        <w:ind w:left="-818" w:right="300" w:firstLine="818"/>
        <w:spacing w:after="0" w:line="271" w:lineRule="auto"/>
        <w:tabs>
          <w:tab w:leader="none" w:pos="342"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2012-14 Incentive Bonus Plan.</w:t>
      </w:r>
      <w:r>
        <w:rPr>
          <w:rFonts w:ascii="Arial" w:cs="Arial" w:eastAsia="Arial" w:hAnsi="Arial"/>
          <w:sz w:val="18"/>
          <w:szCs w:val="18"/>
          <w:color w:val="auto"/>
        </w:rPr>
        <w:t xml:space="preserve"> Parent will pay you $900,000 in cash within 30 days after the Closing in respect of your bonus under the Company’s 2012-14 Three Year Incentive Plan for Company Senior Executives (the “</w:t>
      </w:r>
      <w:r>
        <w:rPr>
          <w:rFonts w:ascii="Arial" w:cs="Arial" w:eastAsia="Arial" w:hAnsi="Arial"/>
          <w:sz w:val="18"/>
          <w:szCs w:val="18"/>
          <w:u w:val="single" w:color="auto"/>
          <w:color w:val="auto"/>
        </w:rPr>
        <w:t>2012-14 Incentive Plan</w:t>
      </w:r>
      <w:r>
        <w:rPr>
          <w:rFonts w:ascii="Arial" w:cs="Arial" w:eastAsia="Arial" w:hAnsi="Arial"/>
          <w:sz w:val="18"/>
          <w:szCs w:val="18"/>
          <w:color w:val="auto"/>
        </w:rPr>
        <w:t>”). The payment described in this Paragraph 5 will constitute full satisfaction of any rights you may have under the 2012-14 Incentive Plan.</w:t>
      </w:r>
    </w:p>
    <w:p>
      <w:pPr>
        <w:sectPr>
          <w:pgSz w:w="11900" w:h="16838" w:orient="portrait"/>
          <w:cols w:equalWidth="0" w:num="1">
            <w:col w:w="10602"/>
          </w:cols>
          <w:pgMar w:left="1058" w:top="360" w:right="239" w:bottom="1440" w:gutter="0" w:footer="0" w:header="0"/>
        </w:sectPr>
      </w:pPr>
    </w:p>
    <w:bookmarkStart w:id="142" w:name="page143"/>
    <w:bookmarkEnd w:id="142"/>
    <w:p>
      <w:pPr>
        <w:ind w:left="504" w:hanging="342"/>
        <w:spacing w:after="0"/>
        <w:tabs>
          <w:tab w:leader="none" w:pos="504"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Equity.</w:t>
      </w:r>
    </w:p>
    <w:p>
      <w:pPr>
        <w:spacing w:after="0" w:line="225" w:lineRule="exact"/>
        <w:rPr>
          <w:rFonts w:ascii="Arial" w:cs="Arial" w:eastAsia="Arial" w:hAnsi="Arial"/>
          <w:sz w:val="18"/>
          <w:szCs w:val="18"/>
          <w:color w:val="auto"/>
        </w:rPr>
      </w:pPr>
    </w:p>
    <w:p>
      <w:pPr>
        <w:ind w:left="-656" w:right="40" w:firstLine="1305"/>
        <w:spacing w:after="0" w:line="255" w:lineRule="auto"/>
        <w:tabs>
          <w:tab w:leader="none" w:pos="910" w:val="left"/>
        </w:tabs>
        <w:numPr>
          <w:ilvl w:val="2"/>
          <w:numId w:val="16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You have been granted restricted shares of Parent’s Class B common stock, either pursuant to Parent’s 2012 Incentive Compensation Plan or Parent’s Incentive Compensation Plan, as amended and restated May 13, 2010 (your “</w:t>
      </w:r>
      <w:r>
        <w:rPr>
          <w:rFonts w:ascii="Arial" w:cs="Arial" w:eastAsia="Arial" w:hAnsi="Arial"/>
          <w:sz w:val="18"/>
          <w:szCs w:val="18"/>
          <w:u w:val="single" w:color="auto"/>
          <w:color w:val="auto"/>
        </w:rPr>
        <w:t>Restricted Shares</w:t>
      </w:r>
      <w:r>
        <w:rPr>
          <w:rFonts w:ascii="Arial" w:cs="Arial" w:eastAsia="Arial" w:hAnsi="Arial"/>
          <w:sz w:val="18"/>
          <w:szCs w:val="18"/>
          <w:color w:val="auto"/>
        </w:rPr>
        <w:t>”). In addition, you have been granted stock options to purchase shares of Parent’s Class B common stock (your “</w:t>
      </w:r>
      <w:r>
        <w:rPr>
          <w:rFonts w:ascii="Arial" w:cs="Arial" w:eastAsia="Arial" w:hAnsi="Arial"/>
          <w:sz w:val="18"/>
          <w:szCs w:val="18"/>
          <w:u w:val="single" w:color="auto"/>
          <w:color w:val="auto"/>
        </w:rPr>
        <w:t>Stock Options</w:t>
      </w:r>
      <w:r>
        <w:rPr>
          <w:rFonts w:ascii="Arial" w:cs="Arial" w:eastAsia="Arial" w:hAnsi="Arial"/>
          <w:sz w:val="18"/>
          <w:szCs w:val="18"/>
          <w:color w:val="auto"/>
        </w:rPr>
        <w:t>”) pursuant to Parent’s Stock Option Plan, as amended and restated May 31, 2003 (the “</w:t>
      </w:r>
      <w:r>
        <w:rPr>
          <w:rFonts w:ascii="Arial" w:cs="Arial" w:eastAsia="Arial" w:hAnsi="Arial"/>
          <w:sz w:val="18"/>
          <w:szCs w:val="18"/>
          <w:u w:val="single" w:color="auto"/>
          <w:color w:val="auto"/>
        </w:rPr>
        <w:t>Stock Option Plan</w:t>
      </w:r>
      <w:r>
        <w:rPr>
          <w:rFonts w:ascii="Arial" w:cs="Arial" w:eastAsia="Arial" w:hAnsi="Arial"/>
          <w:sz w:val="18"/>
          <w:szCs w:val="18"/>
          <w:color w:val="auto"/>
        </w:rPr>
        <w:t>”). Parent will ensure that your Restricted Shares and your Stock Options will become vested at the Closing to the extent set forth on Schedule A to this letter agreement. Except as set forth in Paragraph 6(b) below, you agree that your remaining unvested Restricted Shares and Stock Options (i.e., those that are not previously vested and will not have vested at the Closing pursuant to the immediately preceding sentence) will be forfeited at the Closing. Pursuant to the terms of the Stock Option Plan, all vested Stock Options (including Stock Options previously vested and those becoming vested at the Closing) must be exercised within three months after the Closing.</w:t>
      </w:r>
    </w:p>
    <w:p>
      <w:pPr>
        <w:spacing w:after="0" w:line="181" w:lineRule="exact"/>
        <w:rPr>
          <w:rFonts w:ascii="Arial" w:cs="Arial" w:eastAsia="Arial" w:hAnsi="Arial"/>
          <w:sz w:val="18"/>
          <w:szCs w:val="18"/>
          <w:color w:val="auto"/>
        </w:rPr>
      </w:pPr>
    </w:p>
    <w:p>
      <w:pPr>
        <w:ind w:left="-656" w:right="40" w:firstLine="1305"/>
        <w:spacing w:after="0" w:line="257" w:lineRule="auto"/>
        <w:tabs>
          <w:tab w:leader="none" w:pos="910" w:val="left"/>
        </w:tabs>
        <w:numPr>
          <w:ilvl w:val="2"/>
          <w:numId w:val="165"/>
        </w:numPr>
        <w:rPr>
          <w:rFonts w:ascii="Arial" w:cs="Arial" w:eastAsia="Arial" w:hAnsi="Arial"/>
          <w:sz w:val="18"/>
          <w:szCs w:val="18"/>
          <w:color w:val="auto"/>
        </w:rPr>
      </w:pPr>
      <w:r>
        <w:rPr>
          <w:rFonts w:ascii="Arial" w:cs="Arial" w:eastAsia="Arial" w:hAnsi="Arial"/>
          <w:sz w:val="18"/>
          <w:szCs w:val="18"/>
          <w:u w:val="single" w:color="auto"/>
          <w:color w:val="auto"/>
        </w:rPr>
        <w:t>Special Restricted Stock Grant.</w:t>
      </w:r>
      <w:r>
        <w:rPr>
          <w:rFonts w:ascii="Arial" w:cs="Arial" w:eastAsia="Arial" w:hAnsi="Arial"/>
          <w:sz w:val="18"/>
          <w:szCs w:val="18"/>
          <w:color w:val="auto"/>
        </w:rPr>
        <w:t xml:space="preserve"> In connection with the Closing Parent will ensure that the grant of Restricted Shares that was made to you on June 15, 2012 (the “</w:t>
      </w:r>
      <w:r>
        <w:rPr>
          <w:rFonts w:ascii="Arial" w:cs="Arial" w:eastAsia="Arial" w:hAnsi="Arial"/>
          <w:sz w:val="18"/>
          <w:szCs w:val="18"/>
          <w:u w:val="single" w:color="auto"/>
          <w:color w:val="auto"/>
        </w:rPr>
        <w:t>Special Award</w:t>
      </w:r>
      <w:r>
        <w:rPr>
          <w:rFonts w:ascii="Arial" w:cs="Arial" w:eastAsia="Arial" w:hAnsi="Arial"/>
          <w:sz w:val="18"/>
          <w:szCs w:val="18"/>
          <w:color w:val="auto"/>
        </w:rPr>
        <w:t>”) will be treated as follows: (i) 10,000 Restricted Shares will become vested immediately following the Closing; (ii) 5,000 Restricted Shares (the “</w:t>
      </w:r>
      <w:r>
        <w:rPr>
          <w:rFonts w:ascii="Arial" w:cs="Arial" w:eastAsia="Arial" w:hAnsi="Arial"/>
          <w:sz w:val="18"/>
          <w:szCs w:val="18"/>
          <w:u w:val="single" w:color="auto"/>
          <w:color w:val="auto"/>
        </w:rPr>
        <w:t>Board Shares</w:t>
      </w:r>
      <w:r>
        <w:rPr>
          <w:rFonts w:ascii="Arial" w:cs="Arial" w:eastAsia="Arial" w:hAnsi="Arial"/>
          <w:sz w:val="18"/>
          <w:szCs w:val="18"/>
          <w:color w:val="auto"/>
        </w:rPr>
        <w:t>”) will become vested on each of the first three anniversaries of the Closing, provided that you are a member of Parent’s board of directors on each applicable vesting date, and (iii) all remaining Restricted Shares granted under the Special Award that are not addressed by the foregoing clause (i) or (ii) will be forfeited upon the Closing. For the avoidance of doubt, in no event will any other vesting terms that were previously applicable to such Restricted Shares remain applicable following the Closing.</w:t>
      </w:r>
    </w:p>
    <w:p>
      <w:pPr>
        <w:spacing w:after="0" w:line="177" w:lineRule="exact"/>
        <w:rPr>
          <w:rFonts w:ascii="Arial" w:cs="Arial" w:eastAsia="Arial" w:hAnsi="Arial"/>
          <w:sz w:val="18"/>
          <w:szCs w:val="18"/>
          <w:color w:val="auto"/>
        </w:rPr>
      </w:pPr>
    </w:p>
    <w:p>
      <w:pPr>
        <w:ind w:left="-656" w:right="360" w:firstLine="656"/>
        <w:spacing w:after="0" w:line="292" w:lineRule="auto"/>
        <w:tabs>
          <w:tab w:leader="none" w:pos="342"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You hereby agree that you will use your reasonable best efforts to perform faithfully and efficiently your duties and responsibilities to the Company and, prior to the Closing, assist Parent and the Company in consummating the Transaction.</w:t>
      </w:r>
    </w:p>
    <w:p>
      <w:pPr>
        <w:spacing w:after="0" w:line="144" w:lineRule="exact"/>
        <w:rPr>
          <w:rFonts w:ascii="Arial" w:cs="Arial" w:eastAsia="Arial" w:hAnsi="Arial"/>
          <w:sz w:val="18"/>
          <w:szCs w:val="18"/>
          <w:color w:val="auto"/>
        </w:rPr>
      </w:pPr>
    </w:p>
    <w:p>
      <w:pPr>
        <w:ind w:left="-656" w:firstLine="656"/>
        <w:spacing w:after="0" w:line="255" w:lineRule="auto"/>
        <w:tabs>
          <w:tab w:leader="none" w:pos="342"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You hereby agree that you will keep the terms of this letter agreement confidential, and will not, except as required by law or compulsory process, as reasonably required to enforce your rights hereunder or to defend yourself against claims against you arising hereunder, or to the extent this letter agreement is publicly disclosed by Parent, disclose such terms to any person other than your immediate family or legal or financial advisers (who also must keep the terms of this letter agreement confidential to the same extent). Notwithstanding anything that may be construed to the contrary herein, you hereby agree that you will keep all information regarding the Transaction confidential, except as required or permitted by the by the Chief Executive Officer of Parent, as required by law or compulsory process, as reasonably required to enforce your rights hereunder or to defend yourself against claims against you arising hereunder, or to the extent such information is publicly disclosed by Parent. You hereby agree that your obligations pursuant to this Paragraph 8 will survive the expiration or termination of this letter agreement, the Letter of Intent and the Purchase Agreement.</w:t>
      </w:r>
    </w:p>
    <w:p>
      <w:pPr>
        <w:spacing w:after="0" w:line="181" w:lineRule="exact"/>
        <w:rPr>
          <w:rFonts w:ascii="Arial" w:cs="Arial" w:eastAsia="Arial" w:hAnsi="Arial"/>
          <w:sz w:val="18"/>
          <w:szCs w:val="18"/>
          <w:color w:val="auto"/>
        </w:rPr>
      </w:pPr>
    </w:p>
    <w:p>
      <w:pPr>
        <w:ind w:left="-656" w:right="360" w:firstLine="656"/>
        <w:spacing w:after="0" w:line="292" w:lineRule="auto"/>
        <w:tabs>
          <w:tab w:leader="none" w:pos="342"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Parent may deduct and withhold from any amount payable under this letter agreement such Federal, state, local, foreign or other taxes as are required to be withheld pursuant to any applicable law or regulation.</w:t>
      </w:r>
    </w:p>
    <w:p>
      <w:pPr>
        <w:spacing w:after="0" w:line="144" w:lineRule="exact"/>
        <w:rPr>
          <w:rFonts w:ascii="Arial" w:cs="Arial" w:eastAsia="Arial" w:hAnsi="Arial"/>
          <w:sz w:val="18"/>
          <w:szCs w:val="18"/>
          <w:color w:val="auto"/>
        </w:rPr>
      </w:pPr>
    </w:p>
    <w:p>
      <w:pPr>
        <w:ind w:left="-656" w:right="40" w:firstLine="656"/>
        <w:spacing w:after="0" w:line="264" w:lineRule="auto"/>
        <w:tabs>
          <w:tab w:leader="none" w:pos="442"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letter agreement is personal to you and, without the prior written consent of Parent, will not be assignable by you otherwise than by will or the laws of descent and distribution, and any assignment in violation of this letter agreement will be void. Notwithstanding the foregoing sentence, this letter agreement and all of your rights hereunder will inure to the benefit of and be enforceable by your personal or legal representatives, executors, administrators, successors, heirs, distributees, permitted assignees, devisees and legatees.</w:t>
      </w:r>
    </w:p>
    <w:p>
      <w:pPr>
        <w:sectPr>
          <w:pgSz w:w="11900" w:h="16838" w:orient="portrait"/>
          <w:cols w:equalWidth="0" w:num="1">
            <w:col w:w="10704"/>
          </w:cols>
          <w:pgMar w:left="896" w:top="360" w:right="299" w:bottom="1440" w:gutter="0" w:footer="0" w:header="0"/>
        </w:sectPr>
      </w:pPr>
    </w:p>
    <w:bookmarkStart w:id="143" w:name="page144"/>
    <w:bookmarkEnd w:id="143"/>
    <w:p>
      <w:pPr>
        <w:ind w:left="-20" w:firstLine="656"/>
        <w:spacing w:after="0" w:line="264" w:lineRule="auto"/>
        <w:tabs>
          <w:tab w:leader="none" w:pos="1065"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Amendment/Waiver.</w:t>
      </w:r>
      <w:r>
        <w:rPr>
          <w:rFonts w:ascii="Arial" w:cs="Arial" w:eastAsia="Arial" w:hAnsi="Arial"/>
          <w:sz w:val="18"/>
          <w:szCs w:val="18"/>
          <w:color w:val="auto"/>
        </w:rPr>
        <w:t xml:space="preserve"> No provisions of this letter agreement may be amended, modified, waived or discharged except by a written document signed by you and a duly authorized officer of Parent. The failure of a party to insist upon strict adherence to any term of this letter agreement on any occasion will not be considered a waiver of such party’s rights or deprive such party of the right thereafter to insist upon strict adherence to that term or any other term of this letter agreement.</w:t>
      </w:r>
    </w:p>
    <w:p>
      <w:pPr>
        <w:spacing w:after="0" w:line="169" w:lineRule="exact"/>
        <w:rPr>
          <w:rFonts w:ascii="Arial" w:cs="Arial" w:eastAsia="Arial" w:hAnsi="Arial"/>
          <w:sz w:val="18"/>
          <w:szCs w:val="18"/>
          <w:color w:val="auto"/>
        </w:rPr>
      </w:pPr>
    </w:p>
    <w:p>
      <w:pPr>
        <w:ind w:left="-20" w:right="140" w:firstLine="656"/>
        <w:spacing w:after="0" w:line="264" w:lineRule="auto"/>
        <w:tabs>
          <w:tab w:leader="none" w:pos="107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xml:space="preserve"> This letter agreement sets forth the entire agreement of the parties hereto in respect of the subject matter contained herein and supersedes all prior agreements, promises, covenants, arrangements, communications, representations or warranties, whether oral or written, by any officer, employee or representative of any party hereto. None of the parties will be liable or bound to any other party in any manner by any representations and warranties or covenants relating to such subject matter except as specifically set forth herein.</w:t>
      </w:r>
    </w:p>
    <w:p>
      <w:pPr>
        <w:spacing w:after="0" w:line="169" w:lineRule="exact"/>
        <w:rPr>
          <w:rFonts w:ascii="Arial" w:cs="Arial" w:eastAsia="Arial" w:hAnsi="Arial"/>
          <w:sz w:val="18"/>
          <w:szCs w:val="18"/>
          <w:color w:val="auto"/>
        </w:rPr>
      </w:pPr>
    </w:p>
    <w:p>
      <w:pPr>
        <w:ind w:left="-20" w:right="160" w:firstLine="656"/>
        <w:spacing w:after="0" w:line="264" w:lineRule="auto"/>
        <w:tabs>
          <w:tab w:leader="none" w:pos="107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Governing Law; Waiver of Jury Trial.</w:t>
      </w:r>
      <w:r>
        <w:rPr>
          <w:rFonts w:ascii="Arial" w:cs="Arial" w:eastAsia="Arial" w:hAnsi="Arial"/>
          <w:sz w:val="18"/>
          <w:szCs w:val="18"/>
          <w:color w:val="auto"/>
        </w:rPr>
        <w:t xml:space="preserve"> The validity, interpretation, construction and performance of this letter agreement will be governed by the laws of the State of New York (without giving effect to any otherwise applicable conflicts of law principles). EACH PARTY HERETO IRREVOCABLY AGREES TO WAIVE TRIAL BY JURY IN ANY ACTION, PROCEEDING, CLAIM OR COUNTERCLAIM BROUGHT BY OR ON BEHALF OF ANY PARTY RELATED TO OR ARISING OUT OF THIS LETTER AGREEMENT.</w:t>
      </w:r>
    </w:p>
    <w:p>
      <w:pPr>
        <w:spacing w:after="0" w:line="169" w:lineRule="exact"/>
        <w:rPr>
          <w:rFonts w:ascii="Arial" w:cs="Arial" w:eastAsia="Arial" w:hAnsi="Arial"/>
          <w:sz w:val="18"/>
          <w:szCs w:val="18"/>
          <w:color w:val="auto"/>
        </w:rPr>
      </w:pPr>
    </w:p>
    <w:p>
      <w:pPr>
        <w:ind w:left="-20" w:right="120" w:firstLine="656"/>
        <w:spacing w:after="0" w:line="256" w:lineRule="auto"/>
        <w:tabs>
          <w:tab w:leader="none" w:pos="107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Section 409A Compliance.</w:t>
      </w:r>
      <w:r>
        <w:rPr>
          <w:rFonts w:ascii="Arial" w:cs="Arial" w:eastAsia="Arial" w:hAnsi="Arial"/>
          <w:sz w:val="18"/>
          <w:szCs w:val="18"/>
          <w:color w:val="auto"/>
        </w:rPr>
        <w:t xml:space="preserve"> It is intended that the provisions of this letter agreement comply with, or are exempt from, Section 409A of the Internal Revenue Code of 1986, as amended, and the regulations promulgated thereunder (“</w:t>
      </w:r>
      <w:r>
        <w:rPr>
          <w:rFonts w:ascii="Arial" w:cs="Arial" w:eastAsia="Arial" w:hAnsi="Arial"/>
          <w:sz w:val="18"/>
          <w:szCs w:val="18"/>
          <w:u w:val="single" w:color="auto"/>
          <w:color w:val="auto"/>
        </w:rPr>
        <w:t>Section 409A</w:t>
      </w:r>
      <w:r>
        <w:rPr>
          <w:rFonts w:ascii="Arial" w:cs="Arial" w:eastAsia="Arial" w:hAnsi="Arial"/>
          <w:sz w:val="18"/>
          <w:szCs w:val="18"/>
          <w:color w:val="auto"/>
        </w:rPr>
        <w:t>”), and all provisions of this letter agreement will be construed and interpreted in a manner consistent with the requirements for avoiding taxes or penalties under Section 409A. In the event Parent determines the payments to which you could become entitled under this letter agreement constitute “nonqualified deferred compensation” under Section 409A and that the terms of this letter agreement do not comply with Section 409A, Parent will negotiate with you reasonably and in good faith to amend the terms of this letter agreement such that they comply (in a manner that attempts to minimize the economic impact of such amendment on you and Parent) within the time period permitted by the applicable Treasury Regulations.</w:t>
      </w:r>
    </w:p>
    <w:p>
      <w:pPr>
        <w:spacing w:after="0" w:line="178" w:lineRule="exact"/>
        <w:rPr>
          <w:rFonts w:ascii="Arial" w:cs="Arial" w:eastAsia="Arial" w:hAnsi="Arial"/>
          <w:sz w:val="18"/>
          <w:szCs w:val="18"/>
          <w:color w:val="auto"/>
        </w:rPr>
      </w:pPr>
    </w:p>
    <w:p>
      <w:pPr>
        <w:ind w:left="-20" w:right="120" w:firstLine="656"/>
        <w:spacing w:after="0" w:line="292" w:lineRule="auto"/>
        <w:tabs>
          <w:tab w:leader="none" w:pos="107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letter agreement may be executed in two or more counterparts (including by facsimile or PDF), each of which will be deemed an original but all of which together will constitute one and the same instrument.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the page intentionally left blank]</w:t>
      </w:r>
    </w:p>
    <w:p>
      <w:pPr>
        <w:sectPr>
          <w:pgSz w:w="11900" w:h="16838" w:orient="portrait"/>
          <w:cols w:equalWidth="0" w:num="1">
            <w:col w:w="11400"/>
          </w:cols>
          <w:pgMar w:left="260" w:top="360" w:right="239" w:bottom="1440" w:gutter="0" w:footer="0" w:header="0"/>
        </w:sectPr>
      </w:pPr>
    </w:p>
    <w:bookmarkStart w:id="144" w:name="page145"/>
    <w:bookmarkEnd w:id="144"/>
    <w:p>
      <w:pPr>
        <w:ind w:left="660"/>
        <w:spacing w:after="0"/>
        <w:rPr>
          <w:sz w:val="20"/>
          <w:szCs w:val="20"/>
          <w:color w:val="auto"/>
        </w:rPr>
      </w:pPr>
      <w:r>
        <w:rPr>
          <w:rFonts w:ascii="Arial" w:cs="Arial" w:eastAsia="Arial" w:hAnsi="Arial"/>
          <w:sz w:val="17"/>
          <w:szCs w:val="17"/>
          <w:color w:val="auto"/>
        </w:rPr>
        <w:t>IN WITNESS WHEREOF, the parties hereto have executed this letter agreement effective as of the day and year first written above.</w:t>
      </w:r>
    </w:p>
    <w:p>
      <w:pPr>
        <w:spacing w:after="0" w:line="23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Ann McDaniel</w:t>
      </w:r>
      <w:r>
        <w:rPr>
          <w:rFonts w:ascii="Arial" w:cs="Arial" w:eastAsia="Arial" w:hAnsi="Arial"/>
          <w:sz w:val="18"/>
          <w:szCs w:val="18"/>
          <w:color w:val="auto"/>
        </w:rPr>
        <w:t>____</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Name: Ann McDaniel</w:t>
      </w:r>
    </w:p>
    <w:p>
      <w:pPr>
        <w:spacing w:after="0" w:line="3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this 1st day of October, 2013: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__</w:t>
      </w:r>
      <w:r>
        <w:rPr>
          <w:rFonts w:ascii="Arial" w:cs="Arial" w:eastAsia="Arial" w:hAnsi="Arial"/>
          <w:sz w:val="18"/>
          <w:szCs w:val="18"/>
          <w:u w:val="single" w:color="auto"/>
          <w:color w:val="auto"/>
        </w:rPr>
        <w:t>/s/ Katharine Weymouth</w:t>
      </w:r>
      <w:r>
        <w:rPr>
          <w:rFonts w:ascii="Arial" w:cs="Arial" w:eastAsia="Arial" w:hAnsi="Arial"/>
          <w:sz w:val="18"/>
          <w:szCs w:val="18"/>
          <w:color w:val="auto"/>
        </w:rPr>
        <w:t>__</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Katharine Weymouth</w:t>
      </w:r>
    </w:p>
    <w:p>
      <w:pPr>
        <w:sectPr>
          <w:pgSz w:w="11900" w:h="16838" w:orient="portrait"/>
          <w:cols w:equalWidth="0" w:num="1">
            <w:col w:w="11120"/>
          </w:cols>
          <w:pgMar w:left="240" w:top="792" w:right="539" w:bottom="1440" w:gutter="0" w:footer="0" w:header="0"/>
        </w:sectPr>
      </w:pPr>
    </w:p>
    <w:bookmarkStart w:id="145" w:name="page146"/>
    <w:bookmarkEnd w:id="145"/>
    <w:p>
      <w:pPr>
        <w:ind w:left="5220"/>
        <w:spacing w:after="0"/>
        <w:rPr>
          <w:sz w:val="20"/>
          <w:szCs w:val="20"/>
          <w:color w:val="auto"/>
        </w:rPr>
      </w:pPr>
      <w:r>
        <w:rPr>
          <w:rFonts w:ascii="Arial" w:cs="Arial" w:eastAsia="Arial" w:hAnsi="Arial"/>
          <w:sz w:val="18"/>
          <w:szCs w:val="18"/>
          <w:b w:val="1"/>
          <w:bCs w:val="1"/>
          <w:color w:val="auto"/>
        </w:rPr>
        <w:t>Schedule 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Executive’s Special Award, the treatment of which is specified in Paragraph 6(b) of the letter agreement)</w:t>
      </w:r>
    </w:p>
    <w:p>
      <w:pPr>
        <w:spacing w:after="0" w:line="227" w:lineRule="exact"/>
        <w:rPr>
          <w:sz w:val="20"/>
          <w:szCs w:val="20"/>
          <w:color w:val="auto"/>
        </w:rPr>
      </w:pPr>
    </w:p>
    <w:p>
      <w:pPr>
        <w:ind w:left="260" w:hanging="252"/>
        <w:spacing w:after="0"/>
        <w:tabs>
          <w:tab w:leader="none" w:pos="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1,500 Restricted Shares scheduled to vest December 2013 – Vested at Closing</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5,000 Restricted Shares from 2011-14 cycle – 75% Vested at Closing (3,750). 25% Forfeited at Closing (1,250)</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2,500 Restricted Shares from 2013-16 cycle – Forfeited at Closing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27" w:lineRule="exact"/>
        <w:rPr>
          <w:sz w:val="20"/>
          <w:szCs w:val="20"/>
          <w:color w:val="auto"/>
        </w:rPr>
      </w:pPr>
    </w:p>
    <w:p>
      <w:pPr>
        <w:ind w:left="260" w:hanging="252"/>
        <w:spacing w:after="0"/>
        <w:tabs>
          <w:tab w:leader="none" w:pos="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6,000 previously vested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750 unvested options scheduled to vest December 2013 – Vested at Closing</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250 unvested options scheduled to vest December 2014 – Forfeited at Closing</w:t>
      </w:r>
    </w:p>
    <w:p>
      <w:pPr>
        <w:sectPr>
          <w:pgSz w:w="11900" w:h="16838" w:orient="portrait"/>
          <w:cols w:equalWidth="0" w:num="1">
            <w:col w:w="10800"/>
          </w:cols>
          <w:pgMar w:left="240" w:top="790" w:right="85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43"/>
        </w:trPr>
        <w:tc>
          <w:tcPr>
            <w:tcW w:w="676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EXHIBIT 21</w:t>
            </w:r>
          </w:p>
        </w:tc>
      </w:tr>
      <w:tr>
        <w:trPr>
          <w:trHeight w:val="523"/>
        </w:trPr>
        <w:tc>
          <w:tcPr>
            <w:tcW w:w="6760" w:type="dxa"/>
            <w:vAlign w:val="bottom"/>
          </w:tcPr>
          <w:p>
            <w:pPr>
              <w:spacing w:after="0"/>
              <w:rPr>
                <w:sz w:val="24"/>
                <w:szCs w:val="24"/>
                <w:color w:val="auto"/>
              </w:rPr>
            </w:pPr>
          </w:p>
        </w:tc>
        <w:tc>
          <w:tcPr>
            <w:tcW w:w="2860" w:type="dxa"/>
            <w:vAlign w:val="bottom"/>
          </w:tcPr>
          <w:p>
            <w:pPr>
              <w:jc w:val="center"/>
              <w:ind w:left="708"/>
              <w:spacing w:after="0"/>
              <w:rPr>
                <w:sz w:val="20"/>
                <w:szCs w:val="20"/>
                <w:color w:val="auto"/>
              </w:rPr>
            </w:pPr>
            <w:r>
              <w:rPr>
                <w:rFonts w:ascii="Arial" w:cs="Arial" w:eastAsia="Arial" w:hAnsi="Arial"/>
                <w:sz w:val="14"/>
                <w:szCs w:val="14"/>
                <w:color w:val="auto"/>
              </w:rPr>
              <w:t>Jurisdiction</w:t>
            </w:r>
          </w:p>
        </w:tc>
        <w:tc>
          <w:tcPr>
            <w:tcW w:w="1480" w:type="dxa"/>
            <w:vAlign w:val="bottom"/>
          </w:tcPr>
          <w:p>
            <w:pPr>
              <w:jc w:val="center"/>
              <w:ind w:right="68"/>
              <w:spacing w:after="0"/>
              <w:rPr>
                <w:sz w:val="20"/>
                <w:szCs w:val="20"/>
                <w:color w:val="auto"/>
              </w:rPr>
            </w:pPr>
            <w:r>
              <w:rPr>
                <w:rFonts w:ascii="Arial" w:cs="Arial" w:eastAsia="Arial" w:hAnsi="Arial"/>
                <w:sz w:val="14"/>
                <w:szCs w:val="14"/>
                <w:color w:val="auto"/>
              </w:rPr>
              <w:t>% of Voting</w:t>
            </w:r>
          </w:p>
        </w:tc>
        <w:tc>
          <w:tcPr>
            <w:tcW w:w="300" w:type="dxa"/>
            <w:vAlign w:val="bottom"/>
          </w:tcPr>
          <w:p>
            <w:pPr>
              <w:spacing w:after="0"/>
              <w:rPr>
                <w:sz w:val="24"/>
                <w:szCs w:val="24"/>
                <w:color w:val="auto"/>
              </w:rPr>
            </w:pPr>
          </w:p>
        </w:tc>
      </w:tr>
      <w:tr>
        <w:trPr>
          <w:trHeight w:val="162"/>
        </w:trPr>
        <w:tc>
          <w:tcPr>
            <w:tcW w:w="6760" w:type="dxa"/>
            <w:vAlign w:val="bottom"/>
          </w:tcPr>
          <w:p>
            <w:pPr>
              <w:spacing w:after="0"/>
              <w:rPr>
                <w:sz w:val="14"/>
                <w:szCs w:val="14"/>
                <w:color w:val="auto"/>
              </w:rPr>
            </w:pPr>
          </w:p>
        </w:tc>
        <w:tc>
          <w:tcPr>
            <w:tcW w:w="2860" w:type="dxa"/>
            <w:vAlign w:val="bottom"/>
          </w:tcPr>
          <w:p>
            <w:pPr>
              <w:jc w:val="center"/>
              <w:ind w:left="708"/>
              <w:spacing w:after="0"/>
              <w:rPr>
                <w:sz w:val="20"/>
                <w:szCs w:val="20"/>
                <w:color w:val="auto"/>
              </w:rPr>
            </w:pPr>
            <w:r>
              <w:rPr>
                <w:rFonts w:ascii="Arial" w:cs="Arial" w:eastAsia="Arial" w:hAnsi="Arial"/>
                <w:sz w:val="14"/>
                <w:szCs w:val="14"/>
                <w:color w:val="auto"/>
              </w:rPr>
              <w:t>of Incorporation</w:t>
            </w:r>
          </w:p>
        </w:tc>
        <w:tc>
          <w:tcPr>
            <w:tcW w:w="1480" w:type="dxa"/>
            <w:vAlign w:val="bottom"/>
          </w:tcPr>
          <w:p>
            <w:pPr>
              <w:jc w:val="center"/>
              <w:ind w:right="68"/>
              <w:spacing w:after="0"/>
              <w:rPr>
                <w:sz w:val="20"/>
                <w:szCs w:val="20"/>
                <w:color w:val="auto"/>
              </w:rPr>
            </w:pPr>
            <w:r>
              <w:rPr>
                <w:rFonts w:ascii="Arial" w:cs="Arial" w:eastAsia="Arial" w:hAnsi="Arial"/>
                <w:sz w:val="14"/>
                <w:szCs w:val="14"/>
                <w:color w:val="auto"/>
              </w:rPr>
              <w:t>Equity Owned</w:t>
            </w:r>
          </w:p>
        </w:tc>
        <w:tc>
          <w:tcPr>
            <w:tcW w:w="300" w:type="dxa"/>
            <w:vAlign w:val="bottom"/>
          </w:tcPr>
          <w:p>
            <w:pPr>
              <w:spacing w:after="0"/>
              <w:rPr>
                <w:sz w:val="14"/>
                <w:szCs w:val="14"/>
                <w:color w:val="auto"/>
              </w:rPr>
            </w:pPr>
          </w:p>
        </w:tc>
      </w:tr>
      <w:tr>
        <w:trPr>
          <w:trHeight w:val="198"/>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Name of Subsidiary</w:t>
            </w:r>
          </w:p>
        </w:tc>
        <w:tc>
          <w:tcPr>
            <w:tcW w:w="286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color w:val="auto"/>
              </w:rPr>
              <w:t>or Organization</w:t>
            </w:r>
          </w:p>
        </w:tc>
        <w:tc>
          <w:tcPr>
            <w:tcW w:w="14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by Parent</w:t>
            </w:r>
          </w:p>
        </w:tc>
        <w:tc>
          <w:tcPr>
            <w:tcW w:w="300" w:type="dxa"/>
            <w:vAlign w:val="bottom"/>
            <w:tcBorders>
              <w:bottom w:val="single" w:sz="8" w:color="auto"/>
            </w:tcBorders>
          </w:tcPr>
          <w:p>
            <w:pPr>
              <w:spacing w:after="0"/>
              <w:rPr>
                <w:sz w:val="17"/>
                <w:szCs w:val="17"/>
                <w:color w:val="auto"/>
              </w:rPr>
            </w:pPr>
          </w:p>
        </w:tc>
      </w:tr>
      <w:tr>
        <w:trPr>
          <w:trHeight w:val="530"/>
        </w:trPr>
        <w:tc>
          <w:tcPr>
            <w:tcW w:w="6760" w:type="dxa"/>
            <w:vAlign w:val="bottom"/>
          </w:tcPr>
          <w:p>
            <w:pPr>
              <w:ind w:left="20"/>
              <w:spacing w:after="0"/>
              <w:rPr>
                <w:sz w:val="20"/>
                <w:szCs w:val="20"/>
                <w:color w:val="auto"/>
              </w:rPr>
            </w:pPr>
            <w:r>
              <w:rPr>
                <w:rFonts w:ascii="Arial" w:cs="Arial" w:eastAsia="Arial" w:hAnsi="Arial"/>
                <w:sz w:val="14"/>
                <w:szCs w:val="14"/>
                <w:color w:val="auto"/>
              </w:rPr>
              <w:t>Cable One, Inc.</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4"/>
                <w:szCs w:val="24"/>
                <w:color w:val="auto"/>
              </w:rPr>
            </w:pPr>
          </w:p>
        </w:tc>
      </w:tr>
      <w:tr>
        <w:trPr>
          <w:trHeight w:val="270"/>
        </w:trPr>
        <w:tc>
          <w:tcPr>
            <w:tcW w:w="6760" w:type="dxa"/>
            <w:vAlign w:val="bottom"/>
          </w:tcPr>
          <w:p>
            <w:pPr>
              <w:ind w:left="20"/>
              <w:spacing w:after="0"/>
              <w:rPr>
                <w:sz w:val="20"/>
                <w:szCs w:val="20"/>
                <w:color w:val="auto"/>
              </w:rPr>
            </w:pPr>
            <w:r>
              <w:rPr>
                <w:rFonts w:ascii="Arial" w:cs="Arial" w:eastAsia="Arial" w:hAnsi="Arial"/>
                <w:sz w:val="14"/>
                <w:szCs w:val="14"/>
                <w:color w:val="auto"/>
              </w:rPr>
              <w:t>The Daily Herald Company</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Washington</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20"/>
              <w:spacing w:after="0"/>
              <w:rPr>
                <w:sz w:val="20"/>
                <w:szCs w:val="20"/>
                <w:color w:val="auto"/>
              </w:rPr>
            </w:pPr>
            <w:r>
              <w:rPr>
                <w:rFonts w:ascii="Arial" w:cs="Arial" w:eastAsia="Arial" w:hAnsi="Arial"/>
                <w:sz w:val="14"/>
                <w:szCs w:val="14"/>
                <w:color w:val="auto"/>
              </w:rPr>
              <w:t>Forney Corporation</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260"/>
              <w:spacing w:after="0"/>
              <w:rPr>
                <w:sz w:val="20"/>
                <w:szCs w:val="20"/>
                <w:color w:val="auto"/>
              </w:rPr>
            </w:pPr>
            <w:r>
              <w:rPr>
                <w:rFonts w:ascii="Arial" w:cs="Arial" w:eastAsia="Arial" w:hAnsi="Arial"/>
                <w:sz w:val="14"/>
                <w:szCs w:val="14"/>
                <w:color w:val="auto"/>
              </w:rPr>
              <w:t>Forney Maquila, LLC</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460"/>
              <w:spacing w:after="0"/>
              <w:rPr>
                <w:sz w:val="20"/>
                <w:szCs w:val="20"/>
                <w:color w:val="auto"/>
              </w:rPr>
            </w:pPr>
            <w:r>
              <w:rPr>
                <w:rFonts w:ascii="Arial" w:cs="Arial" w:eastAsia="Arial" w:hAnsi="Arial"/>
                <w:sz w:val="14"/>
                <w:szCs w:val="14"/>
                <w:color w:val="auto"/>
              </w:rPr>
              <w:t>FMMX S. de R.L. de C.V.</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Mexico</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jc w:val="right"/>
              <w:spacing w:after="0"/>
              <w:rPr>
                <w:sz w:val="20"/>
                <w:szCs w:val="20"/>
                <w:color w:val="auto"/>
              </w:rPr>
            </w:pPr>
            <w:r>
              <w:rPr>
                <w:rFonts w:ascii="Arial" w:cs="Arial" w:eastAsia="Arial" w:hAnsi="Arial"/>
                <w:sz w:val="14"/>
                <w:szCs w:val="14"/>
                <w:color w:val="auto"/>
              </w:rPr>
              <w:t>(a)</w:t>
            </w:r>
          </w:p>
        </w:tc>
      </w:tr>
      <w:tr>
        <w:trPr>
          <w:trHeight w:val="270"/>
        </w:trPr>
        <w:tc>
          <w:tcPr>
            <w:tcW w:w="6760" w:type="dxa"/>
            <w:vAlign w:val="bottom"/>
          </w:tcPr>
          <w:p>
            <w:pPr>
              <w:ind w:left="940"/>
              <w:spacing w:after="0"/>
              <w:rPr>
                <w:sz w:val="20"/>
                <w:szCs w:val="20"/>
                <w:color w:val="auto"/>
              </w:rPr>
            </w:pPr>
            <w:r>
              <w:rPr>
                <w:rFonts w:ascii="Arial" w:cs="Arial" w:eastAsia="Arial" w:hAnsi="Arial"/>
                <w:sz w:val="14"/>
                <w:szCs w:val="14"/>
                <w:color w:val="auto"/>
              </w:rPr>
              <w:t>FSM S. de R.L. de C.V.</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Mexico</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jc w:val="right"/>
              <w:spacing w:after="0"/>
              <w:rPr>
                <w:sz w:val="20"/>
                <w:szCs w:val="20"/>
                <w:color w:val="auto"/>
              </w:rPr>
            </w:pPr>
            <w:r>
              <w:rPr>
                <w:rFonts w:ascii="Arial" w:cs="Arial" w:eastAsia="Arial" w:hAnsi="Arial"/>
                <w:sz w:val="14"/>
                <w:szCs w:val="14"/>
                <w:color w:val="auto"/>
              </w:rPr>
              <w:t>(b)</w:t>
            </w:r>
          </w:p>
        </w:tc>
      </w:tr>
      <w:tr>
        <w:trPr>
          <w:trHeight w:val="270"/>
        </w:trPr>
        <w:tc>
          <w:tcPr>
            <w:tcW w:w="6760" w:type="dxa"/>
            <w:vAlign w:val="bottom"/>
          </w:tcPr>
          <w:p>
            <w:pPr>
              <w:ind w:left="20"/>
              <w:spacing w:after="0"/>
              <w:rPr>
                <w:sz w:val="20"/>
                <w:szCs w:val="20"/>
                <w:color w:val="auto"/>
              </w:rPr>
            </w:pPr>
            <w:r>
              <w:rPr>
                <w:rFonts w:ascii="Arial" w:cs="Arial" w:eastAsia="Arial" w:hAnsi="Arial"/>
                <w:sz w:val="14"/>
                <w:szCs w:val="14"/>
                <w:color w:val="auto"/>
              </w:rPr>
              <w:t>Kaplan, Inc.</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99.44%</w:t>
            </w:r>
          </w:p>
        </w:tc>
        <w:tc>
          <w:tcPr>
            <w:tcW w:w="300" w:type="dxa"/>
            <w:vAlign w:val="bottom"/>
          </w:tcPr>
          <w:p>
            <w:pPr>
              <w:spacing w:after="0"/>
              <w:rPr>
                <w:sz w:val="23"/>
                <w:szCs w:val="23"/>
                <w:color w:val="auto"/>
              </w:rPr>
            </w:pPr>
          </w:p>
        </w:tc>
      </w:tr>
      <w:tr>
        <w:trPr>
          <w:trHeight w:val="270"/>
        </w:trPr>
        <w:tc>
          <w:tcPr>
            <w:tcW w:w="6760" w:type="dxa"/>
            <w:vAlign w:val="bottom"/>
          </w:tcPr>
          <w:p>
            <w:pPr>
              <w:ind w:left="260"/>
              <w:spacing w:after="0"/>
              <w:rPr>
                <w:sz w:val="20"/>
                <w:szCs w:val="20"/>
                <w:color w:val="auto"/>
              </w:rPr>
            </w:pPr>
            <w:r>
              <w:rPr>
                <w:rFonts w:ascii="Arial" w:cs="Arial" w:eastAsia="Arial" w:hAnsi="Arial"/>
                <w:sz w:val="14"/>
                <w:szCs w:val="14"/>
                <w:color w:val="auto"/>
              </w:rPr>
              <w:t>Kaplan Netherlands B.V.</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The Netherlands</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480"/>
              <w:spacing w:after="0"/>
              <w:rPr>
                <w:sz w:val="20"/>
                <w:szCs w:val="20"/>
                <w:color w:val="auto"/>
              </w:rPr>
            </w:pPr>
            <w:r>
              <w:rPr>
                <w:rFonts w:ascii="Arial" w:cs="Arial" w:eastAsia="Arial" w:hAnsi="Arial"/>
                <w:sz w:val="14"/>
                <w:szCs w:val="14"/>
                <w:color w:val="auto"/>
              </w:rPr>
              <w:t>Kaplan Holdings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Hong Kong</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700"/>
              <w:spacing w:after="0"/>
              <w:rPr>
                <w:sz w:val="20"/>
                <w:szCs w:val="20"/>
                <w:color w:val="auto"/>
              </w:rPr>
            </w:pPr>
            <w:r>
              <w:rPr>
                <w:rFonts w:ascii="Arial" w:cs="Arial" w:eastAsia="Arial" w:hAnsi="Arial"/>
                <w:sz w:val="14"/>
                <w:szCs w:val="14"/>
                <w:color w:val="auto"/>
              </w:rPr>
              <w:t>Kaplan Financial (HK)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Hong Kong</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920"/>
              <w:spacing w:after="0"/>
              <w:rPr>
                <w:sz w:val="20"/>
                <w:szCs w:val="20"/>
                <w:color w:val="auto"/>
              </w:rPr>
            </w:pPr>
            <w:r>
              <w:rPr>
                <w:rFonts w:ascii="Arial" w:cs="Arial" w:eastAsia="Arial" w:hAnsi="Arial"/>
                <w:sz w:val="14"/>
                <w:szCs w:val="14"/>
                <w:color w:val="auto"/>
              </w:rPr>
              <w:t>Kaplan Language Training (HK)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Hong Kong</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700"/>
              <w:spacing w:after="0"/>
              <w:rPr>
                <w:sz w:val="20"/>
                <w:szCs w:val="20"/>
                <w:color w:val="auto"/>
              </w:rPr>
            </w:pPr>
            <w:r>
              <w:rPr>
                <w:rFonts w:ascii="Arial" w:cs="Arial" w:eastAsia="Arial" w:hAnsi="Arial"/>
                <w:sz w:val="14"/>
                <w:szCs w:val="14"/>
                <w:color w:val="auto"/>
              </w:rPr>
              <w:t>Kaplan Institute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Hong Kong</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780"/>
              <w:spacing w:after="0"/>
              <w:rPr>
                <w:sz w:val="20"/>
                <w:szCs w:val="20"/>
                <w:color w:val="auto"/>
              </w:rPr>
            </w:pPr>
            <w:r>
              <w:rPr>
                <w:rFonts w:ascii="Arial" w:cs="Arial" w:eastAsia="Arial" w:hAnsi="Arial"/>
                <w:sz w:val="14"/>
                <w:szCs w:val="14"/>
                <w:color w:val="auto"/>
              </w:rPr>
              <w:t>Shanghai Kaplan Education Investment Consulting Co. Ltd.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480"/>
              <w:spacing w:after="0"/>
              <w:rPr>
                <w:sz w:val="20"/>
                <w:szCs w:val="20"/>
                <w:color w:val="auto"/>
              </w:rPr>
            </w:pPr>
            <w:r>
              <w:rPr>
                <w:rFonts w:ascii="Arial" w:cs="Arial" w:eastAsia="Arial" w:hAnsi="Arial"/>
                <w:sz w:val="14"/>
                <w:szCs w:val="14"/>
                <w:color w:val="auto"/>
              </w:rPr>
              <w:t>Kaplan Singapore Pte. Ltd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Singapore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700"/>
              <w:spacing w:after="0"/>
              <w:rPr>
                <w:sz w:val="20"/>
                <w:szCs w:val="20"/>
                <w:color w:val="auto"/>
              </w:rPr>
            </w:pPr>
            <w:r>
              <w:rPr>
                <w:rFonts w:ascii="Arial" w:cs="Arial" w:eastAsia="Arial" w:hAnsi="Arial"/>
                <w:sz w:val="14"/>
                <w:szCs w:val="14"/>
                <w:color w:val="auto"/>
              </w:rPr>
              <w:t>Kaplan Professional Learning Pte. Ltd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Singapore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700"/>
              <w:spacing w:after="0"/>
              <w:rPr>
                <w:sz w:val="20"/>
                <w:szCs w:val="20"/>
                <w:color w:val="auto"/>
              </w:rPr>
            </w:pPr>
            <w:r>
              <w:rPr>
                <w:rFonts w:ascii="Arial" w:cs="Arial" w:eastAsia="Arial" w:hAnsi="Arial"/>
                <w:sz w:val="14"/>
                <w:szCs w:val="14"/>
                <w:color w:val="auto"/>
              </w:rPr>
              <w:t>Kaplan Learning Institute Pte. Ltd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Singapore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700"/>
              <w:spacing w:after="0"/>
              <w:rPr>
                <w:sz w:val="20"/>
                <w:szCs w:val="20"/>
                <w:color w:val="auto"/>
              </w:rPr>
            </w:pPr>
            <w:r>
              <w:rPr>
                <w:rFonts w:ascii="Arial" w:cs="Arial" w:eastAsia="Arial" w:hAnsi="Arial"/>
                <w:sz w:val="14"/>
                <w:szCs w:val="14"/>
                <w:color w:val="auto"/>
              </w:rPr>
              <w:t>Kaplan Higher Education Institute Pte. Ltd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Singapore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700"/>
              <w:spacing w:after="0"/>
              <w:rPr>
                <w:sz w:val="20"/>
                <w:szCs w:val="20"/>
                <w:color w:val="auto"/>
              </w:rPr>
            </w:pPr>
            <w:r>
              <w:rPr>
                <w:rFonts w:ascii="Arial" w:cs="Arial" w:eastAsia="Arial" w:hAnsi="Arial"/>
                <w:sz w:val="14"/>
                <w:szCs w:val="14"/>
                <w:color w:val="auto"/>
              </w:rPr>
              <w:t>Kaplan Higher Education (HK)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Hong Kong</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700"/>
              <w:spacing w:after="0"/>
              <w:rPr>
                <w:sz w:val="20"/>
                <w:szCs w:val="20"/>
                <w:color w:val="auto"/>
              </w:rPr>
            </w:pPr>
            <w:r>
              <w:rPr>
                <w:rFonts w:ascii="Arial" w:cs="Arial" w:eastAsia="Arial" w:hAnsi="Arial"/>
                <w:sz w:val="14"/>
                <w:szCs w:val="14"/>
                <w:color w:val="auto"/>
              </w:rPr>
              <w:t>Kaplan Higher Education Academy Pte. Ltd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Singapore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700"/>
              <w:spacing w:after="0"/>
              <w:rPr>
                <w:sz w:val="20"/>
                <w:szCs w:val="20"/>
                <w:color w:val="auto"/>
              </w:rPr>
            </w:pPr>
            <w:r>
              <w:rPr>
                <w:rFonts w:ascii="Arial" w:cs="Arial" w:eastAsia="Arial" w:hAnsi="Arial"/>
                <w:sz w:val="14"/>
                <w:szCs w:val="14"/>
                <w:color w:val="auto"/>
              </w:rPr>
              <w:t>Lotus Advertising Pte Ltd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Singapore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700"/>
              <w:spacing w:after="0"/>
              <w:rPr>
                <w:sz w:val="20"/>
                <w:szCs w:val="20"/>
                <w:color w:val="auto"/>
              </w:rPr>
            </w:pPr>
            <w:r>
              <w:rPr>
                <w:rFonts w:ascii="Arial" w:cs="Arial" w:eastAsia="Arial" w:hAnsi="Arial"/>
                <w:sz w:val="14"/>
                <w:szCs w:val="14"/>
                <w:color w:val="auto"/>
              </w:rPr>
              <w:t>Brightstar Investment and Education Joint Stock Company</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Vietnam</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300" w:type="dxa"/>
            <w:vAlign w:val="bottom"/>
          </w:tcPr>
          <w:p>
            <w:pPr>
              <w:spacing w:after="0"/>
              <w:rPr>
                <w:sz w:val="23"/>
                <w:szCs w:val="23"/>
                <w:color w:val="auto"/>
              </w:rPr>
            </w:pPr>
          </w:p>
        </w:tc>
      </w:tr>
      <w:tr>
        <w:trPr>
          <w:trHeight w:val="270"/>
        </w:trPr>
        <w:tc>
          <w:tcPr>
            <w:tcW w:w="6760" w:type="dxa"/>
            <w:vAlign w:val="bottom"/>
          </w:tcPr>
          <w:p>
            <w:pPr>
              <w:ind w:left="480"/>
              <w:spacing w:after="0"/>
              <w:rPr>
                <w:sz w:val="20"/>
                <w:szCs w:val="20"/>
                <w:color w:val="auto"/>
              </w:rPr>
            </w:pPr>
            <w:r>
              <w:rPr>
                <w:rFonts w:ascii="Arial" w:cs="Arial" w:eastAsia="Arial" w:hAnsi="Arial"/>
                <w:sz w:val="14"/>
                <w:szCs w:val="14"/>
                <w:color w:val="auto"/>
              </w:rPr>
              <w:t>The Financial Training (Shanghai) Co., Ltd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700"/>
              <w:spacing w:after="0"/>
              <w:rPr>
                <w:sz w:val="20"/>
                <w:szCs w:val="20"/>
                <w:color w:val="auto"/>
              </w:rPr>
            </w:pPr>
            <w:r>
              <w:rPr>
                <w:rFonts w:ascii="Arial" w:cs="Arial" w:eastAsia="Arial" w:hAnsi="Arial"/>
                <w:sz w:val="14"/>
                <w:szCs w:val="14"/>
                <w:color w:val="auto"/>
              </w:rPr>
              <w:t>Shanghai Kai Bo Education Investment Management Co.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920"/>
              <w:spacing w:after="0"/>
              <w:rPr>
                <w:sz w:val="20"/>
                <w:szCs w:val="20"/>
                <w:color w:val="auto"/>
              </w:rPr>
            </w:pPr>
            <w:r>
              <w:rPr>
                <w:rFonts w:ascii="Arial" w:cs="Arial" w:eastAsia="Arial" w:hAnsi="Arial"/>
                <w:sz w:val="14"/>
                <w:szCs w:val="14"/>
                <w:color w:val="auto"/>
              </w:rPr>
              <w:t>Shanghai Kai Chuang Educational Consulting Co. Ltd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300" w:type="dxa"/>
            <w:vAlign w:val="bottom"/>
          </w:tcPr>
          <w:p>
            <w:pPr>
              <w:spacing w:after="0"/>
              <w:rPr>
                <w:sz w:val="23"/>
                <w:szCs w:val="23"/>
                <w:color w:val="auto"/>
              </w:rPr>
            </w:pPr>
          </w:p>
        </w:tc>
      </w:tr>
      <w:tr>
        <w:trPr>
          <w:trHeight w:val="270"/>
        </w:trPr>
        <w:tc>
          <w:tcPr>
            <w:tcW w:w="6760" w:type="dxa"/>
            <w:vAlign w:val="bottom"/>
          </w:tcPr>
          <w:p>
            <w:pPr>
              <w:ind w:left="1120"/>
              <w:spacing w:after="0"/>
              <w:rPr>
                <w:sz w:val="20"/>
                <w:szCs w:val="20"/>
                <w:color w:val="auto"/>
              </w:rPr>
            </w:pPr>
            <w:r>
              <w:rPr>
                <w:rFonts w:ascii="Arial" w:cs="Arial" w:eastAsia="Arial" w:hAnsi="Arial"/>
                <w:sz w:val="14"/>
                <w:szCs w:val="14"/>
                <w:color w:val="auto"/>
              </w:rPr>
              <w:t>Shanghai Kai Bo School</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920"/>
              <w:spacing w:after="0"/>
              <w:rPr>
                <w:sz w:val="20"/>
                <w:szCs w:val="20"/>
                <w:color w:val="auto"/>
              </w:rPr>
            </w:pPr>
            <w:r>
              <w:rPr>
                <w:rFonts w:ascii="Arial" w:cs="Arial" w:eastAsia="Arial" w:hAnsi="Arial"/>
                <w:sz w:val="14"/>
                <w:szCs w:val="14"/>
                <w:color w:val="auto"/>
              </w:rPr>
              <w:t>Zhejiang Kaplan Shinyway Education Investment Management Co. Ltd.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42.5%</w:t>
            </w:r>
          </w:p>
        </w:tc>
        <w:tc>
          <w:tcPr>
            <w:tcW w:w="300" w:type="dxa"/>
            <w:vAlign w:val="bottom"/>
          </w:tcPr>
          <w:p>
            <w:pPr>
              <w:spacing w:after="0"/>
              <w:rPr>
                <w:sz w:val="23"/>
                <w:szCs w:val="23"/>
                <w:color w:val="auto"/>
              </w:rPr>
            </w:pPr>
          </w:p>
        </w:tc>
      </w:tr>
      <w:tr>
        <w:trPr>
          <w:trHeight w:val="270"/>
        </w:trPr>
        <w:tc>
          <w:tcPr>
            <w:tcW w:w="6760" w:type="dxa"/>
            <w:vAlign w:val="bottom"/>
          </w:tcPr>
          <w:p>
            <w:pPr>
              <w:ind w:left="920"/>
              <w:spacing w:after="0"/>
              <w:rPr>
                <w:sz w:val="20"/>
                <w:szCs w:val="20"/>
                <w:color w:val="auto"/>
              </w:rPr>
            </w:pPr>
            <w:r>
              <w:rPr>
                <w:rFonts w:ascii="Arial" w:cs="Arial" w:eastAsia="Arial" w:hAnsi="Arial"/>
                <w:sz w:val="14"/>
                <w:szCs w:val="14"/>
                <w:color w:val="auto"/>
              </w:rPr>
              <w:t>Suzhou Overseas Education Training Centre</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59.5%</w:t>
            </w:r>
          </w:p>
        </w:tc>
        <w:tc>
          <w:tcPr>
            <w:tcW w:w="300" w:type="dxa"/>
            <w:vAlign w:val="bottom"/>
          </w:tcPr>
          <w:p>
            <w:pPr>
              <w:spacing w:after="0"/>
              <w:rPr>
                <w:sz w:val="23"/>
                <w:szCs w:val="23"/>
                <w:color w:val="auto"/>
              </w:rPr>
            </w:pPr>
          </w:p>
        </w:tc>
      </w:tr>
      <w:tr>
        <w:trPr>
          <w:trHeight w:val="270"/>
        </w:trPr>
        <w:tc>
          <w:tcPr>
            <w:tcW w:w="6760" w:type="dxa"/>
            <w:vAlign w:val="bottom"/>
          </w:tcPr>
          <w:p>
            <w:pPr>
              <w:ind w:left="920"/>
              <w:spacing w:after="0"/>
              <w:rPr>
                <w:sz w:val="20"/>
                <w:szCs w:val="20"/>
                <w:color w:val="auto"/>
              </w:rPr>
            </w:pPr>
            <w:r>
              <w:rPr>
                <w:rFonts w:ascii="Arial" w:cs="Arial" w:eastAsia="Arial" w:hAnsi="Arial"/>
                <w:sz w:val="14"/>
                <w:szCs w:val="14"/>
                <w:color w:val="auto"/>
              </w:rPr>
              <w:t>Chongqing Shapingpa Kai Bo Education Training School</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920"/>
              <w:spacing w:after="0"/>
              <w:rPr>
                <w:sz w:val="20"/>
                <w:szCs w:val="20"/>
                <w:color w:val="auto"/>
              </w:rPr>
            </w:pPr>
            <w:r>
              <w:rPr>
                <w:rFonts w:ascii="Arial" w:cs="Arial" w:eastAsia="Arial" w:hAnsi="Arial"/>
                <w:sz w:val="14"/>
                <w:szCs w:val="14"/>
                <w:color w:val="auto"/>
              </w:rPr>
              <w:t>Chengdu Kai Bo Training School</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920"/>
              <w:spacing w:after="0"/>
              <w:rPr>
                <w:sz w:val="20"/>
                <w:szCs w:val="20"/>
                <w:color w:val="auto"/>
              </w:rPr>
            </w:pPr>
            <w:r>
              <w:rPr>
                <w:rFonts w:ascii="Arial" w:cs="Arial" w:eastAsia="Arial" w:hAnsi="Arial"/>
                <w:sz w:val="14"/>
                <w:szCs w:val="14"/>
                <w:color w:val="auto"/>
              </w:rPr>
              <w:t>Qingdao Kai Bo Education Investment Consulting Company</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1120"/>
              <w:spacing w:after="0"/>
              <w:rPr>
                <w:sz w:val="20"/>
                <w:szCs w:val="20"/>
                <w:color w:val="auto"/>
              </w:rPr>
            </w:pPr>
            <w:r>
              <w:rPr>
                <w:rFonts w:ascii="Arial" w:cs="Arial" w:eastAsia="Arial" w:hAnsi="Arial"/>
                <w:sz w:val="14"/>
                <w:szCs w:val="14"/>
                <w:color w:val="auto"/>
              </w:rPr>
              <w:t>Qingdao Kai Bo Foundation Education School</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1120"/>
              <w:spacing w:after="0"/>
              <w:rPr>
                <w:sz w:val="20"/>
                <w:szCs w:val="20"/>
                <w:color w:val="auto"/>
              </w:rPr>
            </w:pPr>
            <w:r>
              <w:rPr>
                <w:rFonts w:ascii="Arial" w:cs="Arial" w:eastAsia="Arial" w:hAnsi="Arial"/>
                <w:sz w:val="14"/>
                <w:szCs w:val="14"/>
                <w:color w:val="auto"/>
              </w:rPr>
              <w:t>Qingdao Kai Bo International Education Exchange</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China (PR)</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260"/>
              <w:spacing w:after="0"/>
              <w:rPr>
                <w:sz w:val="20"/>
                <w:szCs w:val="20"/>
                <w:color w:val="auto"/>
              </w:rPr>
            </w:pPr>
            <w:r>
              <w:rPr>
                <w:rFonts w:ascii="Arial" w:cs="Arial" w:eastAsia="Arial" w:hAnsi="Arial"/>
                <w:sz w:val="14"/>
                <w:szCs w:val="14"/>
                <w:color w:val="auto"/>
              </w:rPr>
              <w:t>Coxcourt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480"/>
              <w:spacing w:after="0"/>
              <w:rPr>
                <w:sz w:val="20"/>
                <w:szCs w:val="20"/>
                <w:color w:val="auto"/>
              </w:rPr>
            </w:pPr>
            <w:r>
              <w:rPr>
                <w:rFonts w:ascii="Arial" w:cs="Arial" w:eastAsia="Arial" w:hAnsi="Arial"/>
                <w:sz w:val="14"/>
                <w:szCs w:val="14"/>
                <w:color w:val="auto"/>
              </w:rPr>
              <w:t>Accountancy &amp; Business College Holdings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jc w:val="right"/>
              <w:spacing w:after="0"/>
              <w:rPr>
                <w:sz w:val="20"/>
                <w:szCs w:val="20"/>
                <w:color w:val="auto"/>
              </w:rPr>
            </w:pPr>
            <w:r>
              <w:rPr>
                <w:rFonts w:ascii="Arial" w:cs="Arial" w:eastAsia="Arial" w:hAnsi="Arial"/>
                <w:sz w:val="14"/>
                <w:szCs w:val="14"/>
                <w:color w:val="auto"/>
              </w:rPr>
              <w:t>(c)</w:t>
            </w:r>
          </w:p>
        </w:tc>
      </w:tr>
      <w:tr>
        <w:trPr>
          <w:trHeight w:val="270"/>
        </w:trPr>
        <w:tc>
          <w:tcPr>
            <w:tcW w:w="6760" w:type="dxa"/>
            <w:vAlign w:val="bottom"/>
          </w:tcPr>
          <w:p>
            <w:pPr>
              <w:ind w:left="700"/>
              <w:spacing w:after="0"/>
              <w:rPr>
                <w:sz w:val="20"/>
                <w:szCs w:val="20"/>
                <w:color w:val="auto"/>
              </w:rPr>
            </w:pPr>
            <w:r>
              <w:rPr>
                <w:rFonts w:ascii="Arial" w:cs="Arial" w:eastAsia="Arial" w:hAnsi="Arial"/>
                <w:sz w:val="14"/>
                <w:szCs w:val="14"/>
                <w:color w:val="auto"/>
              </w:rPr>
              <w:t>Accountancy &amp; Business College (Ireland)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920"/>
              <w:spacing w:after="0"/>
              <w:rPr>
                <w:sz w:val="20"/>
                <w:szCs w:val="20"/>
                <w:color w:val="auto"/>
              </w:rPr>
            </w:pPr>
            <w:r>
              <w:rPr>
                <w:rFonts w:ascii="Arial" w:cs="Arial" w:eastAsia="Arial" w:hAnsi="Arial"/>
                <w:sz w:val="14"/>
                <w:szCs w:val="14"/>
                <w:color w:val="auto"/>
              </w:rPr>
              <w:t>Methley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1120"/>
              <w:spacing w:after="0"/>
              <w:rPr>
                <w:sz w:val="20"/>
                <w:szCs w:val="20"/>
                <w:color w:val="auto"/>
              </w:rPr>
            </w:pPr>
            <w:r>
              <w:rPr>
                <w:rFonts w:ascii="Arial" w:cs="Arial" w:eastAsia="Arial" w:hAnsi="Arial"/>
                <w:sz w:val="14"/>
                <w:szCs w:val="14"/>
                <w:color w:val="auto"/>
              </w:rPr>
              <w:t>Kitagarth Services</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700"/>
              <w:spacing w:after="0"/>
              <w:rPr>
                <w:sz w:val="20"/>
                <w:szCs w:val="20"/>
                <w:color w:val="auto"/>
              </w:rPr>
            </w:pPr>
            <w:r>
              <w:rPr>
                <w:rFonts w:ascii="Arial" w:cs="Arial" w:eastAsia="Arial" w:hAnsi="Arial"/>
                <w:sz w:val="14"/>
                <w:szCs w:val="14"/>
                <w:color w:val="auto"/>
              </w:rPr>
              <w:t>European Business School (Ireland)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700"/>
              <w:spacing w:after="0"/>
              <w:rPr>
                <w:sz w:val="20"/>
                <w:szCs w:val="20"/>
                <w:color w:val="auto"/>
              </w:rPr>
            </w:pPr>
            <w:r>
              <w:rPr>
                <w:rFonts w:ascii="Arial" w:cs="Arial" w:eastAsia="Arial" w:hAnsi="Arial"/>
                <w:sz w:val="14"/>
                <w:szCs w:val="14"/>
                <w:color w:val="auto"/>
              </w:rPr>
              <w:t>LSB College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700"/>
              <w:spacing w:after="0"/>
              <w:rPr>
                <w:sz w:val="20"/>
                <w:szCs w:val="20"/>
                <w:color w:val="auto"/>
              </w:rPr>
            </w:pPr>
            <w:r>
              <w:rPr>
                <w:rFonts w:ascii="Arial" w:cs="Arial" w:eastAsia="Arial" w:hAnsi="Arial"/>
                <w:sz w:val="14"/>
                <w:szCs w:val="14"/>
                <w:color w:val="auto"/>
              </w:rPr>
              <w:t>The Dublin Business School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Ireland</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260"/>
              <w:spacing w:after="0"/>
              <w:rPr>
                <w:sz w:val="20"/>
                <w:szCs w:val="20"/>
                <w:color w:val="auto"/>
              </w:rPr>
            </w:pPr>
            <w:r>
              <w:rPr>
                <w:rFonts w:ascii="Arial" w:cs="Arial" w:eastAsia="Arial" w:hAnsi="Arial"/>
                <w:sz w:val="14"/>
                <w:szCs w:val="14"/>
                <w:color w:val="auto"/>
              </w:rPr>
              <w:t>Kaplan International, Inc.</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260"/>
              <w:spacing w:after="0"/>
              <w:rPr>
                <w:sz w:val="20"/>
                <w:szCs w:val="20"/>
                <w:color w:val="auto"/>
              </w:rPr>
            </w:pPr>
            <w:r>
              <w:rPr>
                <w:rFonts w:ascii="Arial" w:cs="Arial" w:eastAsia="Arial" w:hAnsi="Arial"/>
                <w:sz w:val="14"/>
                <w:szCs w:val="14"/>
                <w:color w:val="auto"/>
              </w:rPr>
              <w:t>KPE, LLC</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260"/>
              <w:spacing w:after="0"/>
              <w:rPr>
                <w:sz w:val="20"/>
                <w:szCs w:val="20"/>
                <w:color w:val="auto"/>
              </w:rPr>
            </w:pPr>
            <w:r>
              <w:rPr>
                <w:rFonts w:ascii="Arial" w:cs="Arial" w:eastAsia="Arial" w:hAnsi="Arial"/>
                <w:sz w:val="14"/>
                <w:szCs w:val="14"/>
                <w:color w:val="auto"/>
              </w:rPr>
              <w:t>Kaplan Test Prep and Admissions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England &amp; Wales</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260"/>
              <w:spacing w:after="0"/>
              <w:rPr>
                <w:sz w:val="20"/>
                <w:szCs w:val="20"/>
                <w:color w:val="auto"/>
              </w:rPr>
            </w:pPr>
            <w:r>
              <w:rPr>
                <w:rFonts w:ascii="Arial" w:cs="Arial" w:eastAsia="Arial" w:hAnsi="Arial"/>
                <w:sz w:val="14"/>
                <w:szCs w:val="14"/>
                <w:color w:val="auto"/>
              </w:rPr>
              <w:t>Kaplan (Canada) Ltd.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Ontario</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480"/>
              <w:spacing w:after="0"/>
              <w:rPr>
                <w:sz w:val="20"/>
                <w:szCs w:val="20"/>
                <w:color w:val="auto"/>
              </w:rPr>
            </w:pPr>
            <w:r>
              <w:rPr>
                <w:rFonts w:ascii="Arial" w:cs="Arial" w:eastAsia="Arial" w:hAnsi="Arial"/>
                <w:sz w:val="14"/>
                <w:szCs w:val="14"/>
                <w:color w:val="auto"/>
              </w:rPr>
              <w:t>U.S. CPA ExamPrep, Inc.</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Ontario</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260"/>
              <w:spacing w:after="0"/>
              <w:rPr>
                <w:sz w:val="20"/>
                <w:szCs w:val="20"/>
                <w:color w:val="auto"/>
              </w:rPr>
            </w:pPr>
            <w:r>
              <w:rPr>
                <w:rFonts w:ascii="Arial" w:cs="Arial" w:eastAsia="Arial" w:hAnsi="Arial"/>
                <w:sz w:val="14"/>
                <w:szCs w:val="14"/>
                <w:color w:val="auto"/>
              </w:rPr>
              <w:t>Kaplan Educational Services de Mexico, S. de R.L. de C.V.</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Mexico</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jc w:val="right"/>
              <w:spacing w:after="0"/>
              <w:rPr>
                <w:sz w:val="20"/>
                <w:szCs w:val="20"/>
                <w:color w:val="auto"/>
              </w:rPr>
            </w:pPr>
            <w:r>
              <w:rPr>
                <w:rFonts w:ascii="Arial" w:cs="Arial" w:eastAsia="Arial" w:hAnsi="Arial"/>
                <w:sz w:val="14"/>
                <w:szCs w:val="14"/>
                <w:color w:val="auto"/>
              </w:rPr>
              <w:t>(d)</w:t>
            </w:r>
          </w:p>
        </w:tc>
      </w:tr>
      <w:tr>
        <w:trPr>
          <w:trHeight w:val="270"/>
        </w:trPr>
        <w:tc>
          <w:tcPr>
            <w:tcW w:w="6760" w:type="dxa"/>
            <w:vAlign w:val="bottom"/>
          </w:tcPr>
          <w:p>
            <w:pPr>
              <w:ind w:left="260"/>
              <w:spacing w:after="0"/>
              <w:rPr>
                <w:sz w:val="20"/>
                <w:szCs w:val="20"/>
                <w:color w:val="auto"/>
              </w:rPr>
            </w:pPr>
            <w:r>
              <w:rPr>
                <w:rFonts w:ascii="Arial" w:cs="Arial" w:eastAsia="Arial" w:hAnsi="Arial"/>
                <w:sz w:val="14"/>
                <w:szCs w:val="14"/>
                <w:color w:val="auto"/>
              </w:rPr>
              <w:t>Education HR Services Mexico, S. de R.L. de C.V.</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Mexico</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jc w:val="right"/>
              <w:spacing w:after="0"/>
              <w:rPr>
                <w:sz w:val="20"/>
                <w:szCs w:val="20"/>
                <w:color w:val="auto"/>
              </w:rPr>
            </w:pPr>
            <w:r>
              <w:rPr>
                <w:rFonts w:ascii="Arial" w:cs="Arial" w:eastAsia="Arial" w:hAnsi="Arial"/>
                <w:sz w:val="14"/>
                <w:szCs w:val="14"/>
                <w:color w:val="auto"/>
              </w:rPr>
              <w:t>(d)</w:t>
            </w:r>
          </w:p>
        </w:tc>
      </w:tr>
      <w:tr>
        <w:trPr>
          <w:trHeight w:val="270"/>
        </w:trPr>
        <w:tc>
          <w:tcPr>
            <w:tcW w:w="6760" w:type="dxa"/>
            <w:vAlign w:val="bottom"/>
          </w:tcPr>
          <w:p>
            <w:pPr>
              <w:ind w:left="260"/>
              <w:spacing w:after="0"/>
              <w:rPr>
                <w:sz w:val="20"/>
                <w:szCs w:val="20"/>
                <w:color w:val="auto"/>
              </w:rPr>
            </w:pPr>
            <w:r>
              <w:rPr>
                <w:rFonts w:ascii="Arial" w:cs="Arial" w:eastAsia="Arial" w:hAnsi="Arial"/>
                <w:sz w:val="14"/>
                <w:szCs w:val="14"/>
                <w:color w:val="auto"/>
              </w:rPr>
              <w:t>Kaplan English Colleges Pty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Australia</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480"/>
              <w:spacing w:after="0"/>
              <w:rPr>
                <w:sz w:val="20"/>
                <w:szCs w:val="20"/>
                <w:color w:val="auto"/>
              </w:rPr>
            </w:pPr>
            <w:r>
              <w:rPr>
                <w:rFonts w:ascii="Arial" w:cs="Arial" w:eastAsia="Arial" w:hAnsi="Arial"/>
                <w:sz w:val="14"/>
                <w:szCs w:val="14"/>
                <w:color w:val="auto"/>
              </w:rPr>
              <w:t>Kaplan Aspect Cairns Pty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Australia</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480"/>
              <w:spacing w:after="0"/>
              <w:rPr>
                <w:sz w:val="20"/>
                <w:szCs w:val="20"/>
                <w:color w:val="auto"/>
              </w:rPr>
            </w:pPr>
            <w:r>
              <w:rPr>
                <w:rFonts w:ascii="Arial" w:cs="Arial" w:eastAsia="Arial" w:hAnsi="Arial"/>
                <w:sz w:val="14"/>
                <w:szCs w:val="14"/>
                <w:color w:val="auto"/>
              </w:rPr>
              <w:t>Access Learning Institutes Pty Limited</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Australia</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260"/>
              <w:spacing w:after="0"/>
              <w:rPr>
                <w:sz w:val="20"/>
                <w:szCs w:val="20"/>
                <w:color w:val="auto"/>
              </w:rPr>
            </w:pPr>
            <w:r>
              <w:rPr>
                <w:rFonts w:ascii="Arial" w:cs="Arial" w:eastAsia="Arial" w:hAnsi="Arial"/>
                <w:sz w:val="14"/>
                <w:szCs w:val="14"/>
                <w:color w:val="auto"/>
              </w:rPr>
              <w:t>Kaplan Higher Education, LLC</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Delaware</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r>
        <w:trPr>
          <w:trHeight w:val="270"/>
        </w:trPr>
        <w:tc>
          <w:tcPr>
            <w:tcW w:w="6760" w:type="dxa"/>
            <w:vAlign w:val="bottom"/>
          </w:tcPr>
          <w:p>
            <w:pPr>
              <w:ind w:left="480"/>
              <w:spacing w:after="0"/>
              <w:rPr>
                <w:sz w:val="20"/>
                <w:szCs w:val="20"/>
                <w:color w:val="auto"/>
              </w:rPr>
            </w:pPr>
            <w:r>
              <w:rPr>
                <w:rFonts w:ascii="Arial" w:cs="Arial" w:eastAsia="Arial" w:hAnsi="Arial"/>
                <w:sz w:val="14"/>
                <w:szCs w:val="14"/>
                <w:color w:val="auto"/>
              </w:rPr>
              <w:t>Andon Colleges, Inc.</w:t>
            </w:r>
          </w:p>
        </w:tc>
        <w:tc>
          <w:tcPr>
            <w:tcW w:w="2860" w:type="dxa"/>
            <w:vAlign w:val="bottom"/>
          </w:tcPr>
          <w:p>
            <w:pPr>
              <w:jc w:val="right"/>
              <w:ind w:right="148"/>
              <w:spacing w:after="0"/>
              <w:rPr>
                <w:sz w:val="20"/>
                <w:szCs w:val="20"/>
                <w:color w:val="auto"/>
              </w:rPr>
            </w:pPr>
            <w:r>
              <w:rPr>
                <w:rFonts w:ascii="Arial" w:cs="Arial" w:eastAsia="Arial" w:hAnsi="Arial"/>
                <w:sz w:val="14"/>
                <w:szCs w:val="14"/>
                <w:color w:val="auto"/>
              </w:rPr>
              <w:t>California</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300" w:type="dxa"/>
            <w:vAlign w:val="bottom"/>
          </w:tcPr>
          <w:p>
            <w:pPr>
              <w:spacing w:after="0"/>
              <w:rPr>
                <w:sz w:val="23"/>
                <w:szCs w:val="23"/>
                <w:color w:val="auto"/>
              </w:rPr>
            </w:pPr>
          </w:p>
        </w:tc>
      </w:tr>
    </w:tbl>
    <w:p>
      <w:pPr>
        <w:sectPr>
          <w:pgSz w:w="11900" w:h="16838" w:orient="portrait"/>
          <w:cols w:equalWidth="0" w:num="1">
            <w:col w:w="11400"/>
          </w:cols>
          <w:pgMar w:left="260" w:top="576" w:right="239" w:bottom="246"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ind w:left="440"/>
              <w:spacing w:after="0"/>
              <w:rPr>
                <w:sz w:val="20"/>
                <w:szCs w:val="20"/>
                <w:color w:val="auto"/>
              </w:rPr>
            </w:pPr>
            <w:r>
              <w:rPr>
                <w:rFonts w:ascii="Arial" w:cs="Arial" w:eastAsia="Arial" w:hAnsi="Arial"/>
                <w:sz w:val="14"/>
                <w:szCs w:val="14"/>
                <w:color w:val="auto"/>
              </w:rPr>
              <w:t>DEST Education Corporation</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California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16"/>
                <w:szCs w:val="16"/>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California Academy of Merchandising, Art &amp; Design,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CHI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Computer Hardware Service Company,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Pennsylvania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Denver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500"/>
              <w:spacing w:after="0"/>
              <w:rPr>
                <w:sz w:val="20"/>
                <w:szCs w:val="20"/>
                <w:color w:val="auto"/>
              </w:rPr>
            </w:pPr>
            <w:r>
              <w:rPr>
                <w:rFonts w:ascii="Arial" w:cs="Arial" w:eastAsia="Arial" w:hAnsi="Arial"/>
                <w:sz w:val="14"/>
                <w:szCs w:val="14"/>
                <w:color w:val="auto"/>
              </w:rPr>
              <w:t>J.Y. Monk Real Estate Training Center,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North Carolina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Educational Ventures (Texas),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Texas Educational Ventures, LP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Texas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(e)</w:t>
            </w: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Heritage-KHEC,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Nevada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ICM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Iowa College Acquisition,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DF Institute,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Illinois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Insight Schools,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Oregon</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Kaplan University PTY LTD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MTSX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Maric Learning Systems</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California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New Hampshire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Hesser,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New Hampshire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OIOPT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Palo Vista College of Nursing &amp; Allied Health Sciences,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California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Quest Ventures,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RETS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Massachusetts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SACMD Acquisition Corp.</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Sawyer-KHEC,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Indiana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Sawyer College,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Indiana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00"/>
              <w:spacing w:after="0"/>
              <w:rPr>
                <w:sz w:val="20"/>
                <w:szCs w:val="20"/>
                <w:color w:val="auto"/>
              </w:rPr>
            </w:pPr>
            <w:r>
              <w:rPr>
                <w:rFonts w:ascii="Arial" w:cs="Arial" w:eastAsia="Arial" w:hAnsi="Arial"/>
                <w:sz w:val="14"/>
                <w:szCs w:val="14"/>
                <w:color w:val="auto"/>
              </w:rPr>
              <w:t>Scottsdale Educational Center for Allied Health Careers, Incorporated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Arizona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StudentAdvisor,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Tesst-Kap,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Thompson Education,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Kaplan Lifelong Learning,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KV EdTech Partners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Kaplan Mexico Holdings,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Kaplan (India) Private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India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(f)</w:t>
            </w: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Kaplan (PR)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Puerto Rico</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Learningpod,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MG Prep,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New York</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Manhattan GMAT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Kaplan K12 Learning Services,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Kaplan Test Prep International,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California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80"/>
              <w:spacing w:after="0"/>
              <w:rPr>
                <w:sz w:val="20"/>
                <w:szCs w:val="20"/>
                <w:color w:val="auto"/>
              </w:rPr>
            </w:pPr>
            <w:r>
              <w:rPr>
                <w:rFonts w:ascii="Arial" w:cs="Arial" w:eastAsia="Arial" w:hAnsi="Arial"/>
                <w:sz w:val="14"/>
                <w:szCs w:val="14"/>
                <w:color w:val="auto"/>
              </w:rPr>
              <w:t>Kaplan International North America,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California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220"/>
              <w:spacing w:after="0"/>
              <w:rPr>
                <w:sz w:val="20"/>
                <w:szCs w:val="20"/>
                <w:color w:val="auto"/>
              </w:rPr>
            </w:pPr>
            <w:r>
              <w:rPr>
                <w:rFonts w:ascii="Arial" w:cs="Arial" w:eastAsia="Arial" w:hAnsi="Arial"/>
                <w:sz w:val="14"/>
                <w:szCs w:val="14"/>
                <w:color w:val="auto"/>
              </w:rPr>
              <w:t>Kaplan Global Solutions, LLC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Delaware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Aspect Education Sydney Pty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300"/>
              <w:spacing w:after="0"/>
              <w:rPr>
                <w:sz w:val="20"/>
                <w:szCs w:val="20"/>
                <w:color w:val="auto"/>
              </w:rPr>
            </w:pPr>
            <w:r>
              <w:rPr>
                <w:rFonts w:ascii="Arial" w:cs="Arial" w:eastAsia="Arial" w:hAnsi="Arial"/>
                <w:sz w:val="14"/>
                <w:szCs w:val="14"/>
                <w:color w:val="auto"/>
              </w:rPr>
              <w:t>Aspect ILA Sydney Pty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International Language Academies Education (NZ)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New Zealand</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300"/>
              <w:spacing w:after="0"/>
              <w:rPr>
                <w:sz w:val="20"/>
                <w:szCs w:val="20"/>
                <w:color w:val="auto"/>
              </w:rPr>
            </w:pPr>
            <w:r>
              <w:rPr>
                <w:rFonts w:ascii="Arial" w:cs="Arial" w:eastAsia="Arial" w:hAnsi="Arial"/>
                <w:sz w:val="14"/>
                <w:szCs w:val="14"/>
                <w:color w:val="auto"/>
              </w:rPr>
              <w:t>ILA South Pacific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New Zealand</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Hands On Consulting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Hong Kong</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Hands On Education Consultants Co., Ltd.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Thailand</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(g)</w:t>
            </w:r>
          </w:p>
        </w:tc>
      </w:tr>
      <w:tr>
        <w:trPr>
          <w:trHeight w:val="270"/>
        </w:trPr>
        <w:tc>
          <w:tcPr>
            <w:tcW w:w="6340" w:type="dxa"/>
            <w:vAlign w:val="bottom"/>
          </w:tcPr>
          <w:p>
            <w:pPr>
              <w:spacing w:after="0"/>
              <w:rPr>
                <w:sz w:val="20"/>
                <w:szCs w:val="20"/>
                <w:color w:val="auto"/>
              </w:rPr>
            </w:pPr>
            <w:r>
              <w:rPr>
                <w:rFonts w:ascii="Arial" w:cs="Arial" w:eastAsia="Arial" w:hAnsi="Arial"/>
                <w:sz w:val="14"/>
                <w:szCs w:val="14"/>
                <w:color w:val="auto"/>
              </w:rPr>
              <w:t>Kaplan U.K.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300"/>
              <w:spacing w:after="0"/>
              <w:rPr>
                <w:sz w:val="20"/>
                <w:szCs w:val="20"/>
                <w:color w:val="auto"/>
              </w:rPr>
            </w:pPr>
            <w:r>
              <w:rPr>
                <w:rFonts w:ascii="Arial" w:cs="Arial" w:eastAsia="Arial" w:hAnsi="Arial"/>
                <w:sz w:val="14"/>
                <w:szCs w:val="14"/>
                <w:color w:val="auto"/>
              </w:rPr>
              <w:t>Aspect Education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20"/>
              <w:spacing w:after="0"/>
              <w:rPr>
                <w:sz w:val="20"/>
                <w:szCs w:val="20"/>
                <w:color w:val="auto"/>
              </w:rPr>
            </w:pPr>
            <w:r>
              <w:rPr>
                <w:rFonts w:ascii="Arial" w:cs="Arial" w:eastAsia="Arial" w:hAnsi="Arial"/>
                <w:sz w:val="14"/>
                <w:szCs w:val="14"/>
                <w:color w:val="auto"/>
              </w:rPr>
              <w:t>Aspect ILA Perth Pty Ltd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BEO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Hong Kong</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660"/>
              <w:spacing w:after="0"/>
              <w:rPr>
                <w:sz w:val="20"/>
                <w:szCs w:val="20"/>
                <w:color w:val="auto"/>
              </w:rPr>
            </w:pPr>
            <w:r>
              <w:rPr>
                <w:rFonts w:ascii="Arial" w:cs="Arial" w:eastAsia="Arial" w:hAnsi="Arial"/>
                <w:sz w:val="14"/>
                <w:szCs w:val="14"/>
                <w:color w:val="auto"/>
              </w:rPr>
              <w:t>BEO KK</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Japan</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660"/>
              <w:spacing w:after="0"/>
              <w:rPr>
                <w:sz w:val="20"/>
                <w:szCs w:val="20"/>
                <w:color w:val="auto"/>
              </w:rPr>
            </w:pPr>
            <w:r>
              <w:rPr>
                <w:rFonts w:ascii="Arial" w:cs="Arial" w:eastAsia="Arial" w:hAnsi="Arial"/>
                <w:sz w:val="14"/>
                <w:szCs w:val="14"/>
                <w:color w:val="auto"/>
              </w:rPr>
              <w:t>BEO UK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Aspect (Beijing) Education Information Consulting Co. Ltd.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China (PR)</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Pacific Language Institute, Inc.</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British Columbia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Aspect Education UK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Aspect Educational Services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340" w:type="dxa"/>
            <w:vAlign w:val="bottom"/>
          </w:tcPr>
          <w:p>
            <w:pPr>
              <w:ind w:left="440"/>
              <w:spacing w:after="0"/>
              <w:rPr>
                <w:sz w:val="20"/>
                <w:szCs w:val="20"/>
                <w:color w:val="auto"/>
              </w:rPr>
            </w:pPr>
            <w:r>
              <w:rPr>
                <w:rFonts w:ascii="Arial" w:cs="Arial" w:eastAsia="Arial" w:hAnsi="Arial"/>
                <w:sz w:val="14"/>
                <w:szCs w:val="14"/>
                <w:color w:val="auto"/>
              </w:rPr>
              <w:t>Aspect International Language Academies Limited</w:t>
            </w:r>
          </w:p>
        </w:tc>
        <w:tc>
          <w:tcPr>
            <w:tcW w:w="342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bl>
    <w:p>
      <w:pPr>
        <w:sectPr>
          <w:pgSz w:w="11900" w:h="16838" w:orient="portrait"/>
          <w:cols w:equalWidth="0" w:num="1">
            <w:col w:w="11100"/>
          </w:cols>
          <w:pgMar w:left="520" w:top="801" w:right="279" w:bottom="0" w:gutter="0" w:footer="0" w:header="0"/>
        </w:sectPr>
      </w:pPr>
    </w:p>
    <w:bookmarkStart w:id="148" w:name="page149"/>
    <w:bookmarkEnd w:id="1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94"/>
        </w:trPr>
        <w:tc>
          <w:tcPr>
            <w:tcW w:w="6780" w:type="dxa"/>
            <w:vAlign w:val="bottom"/>
          </w:tcPr>
          <w:p>
            <w:pPr>
              <w:ind w:left="440"/>
              <w:spacing w:after="0"/>
              <w:rPr>
                <w:sz w:val="20"/>
                <w:szCs w:val="20"/>
                <w:color w:val="auto"/>
              </w:rPr>
            </w:pPr>
            <w:r>
              <w:rPr>
                <w:rFonts w:ascii="Arial" w:cs="Arial" w:eastAsia="Arial" w:hAnsi="Arial"/>
                <w:sz w:val="14"/>
                <w:szCs w:val="14"/>
                <w:color w:val="auto"/>
              </w:rPr>
              <w:t>Aspect International Language Schools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Ireland</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16"/>
                <w:szCs w:val="16"/>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Internationale Sprachschule GmbH</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Germany</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Language Schools Limitada</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Columbia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Language Schools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Switzerland</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S.A.R.L. France</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France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Aspect Education (Hong Kong)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Hong Kong</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International Colleges, C.A.</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Venezuela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(h)</w:t>
            </w: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Pro Linguis</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Switzerland</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West of England Language Services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The Salisbury School of English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WELS (Australia) Pty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220"/>
              <w:spacing w:after="0"/>
              <w:rPr>
                <w:sz w:val="20"/>
                <w:szCs w:val="20"/>
                <w:color w:val="auto"/>
              </w:rPr>
            </w:pPr>
            <w:r>
              <w:rPr>
                <w:rFonts w:ascii="Arial" w:cs="Arial" w:eastAsia="Arial" w:hAnsi="Arial"/>
                <w:sz w:val="14"/>
                <w:szCs w:val="14"/>
                <w:color w:val="auto"/>
              </w:rPr>
              <w:t>Kaplan International Holdings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Higher Education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Tecnologias Servicios Logisticos y Aplicaciones, S.A.U.</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Spain</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Soluciones Integrales de Formacion y Gestion Structuralia, S.A.U.</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Spain</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860"/>
              <w:spacing w:after="0"/>
              <w:rPr>
                <w:sz w:val="20"/>
                <w:szCs w:val="20"/>
                <w:color w:val="auto"/>
              </w:rPr>
            </w:pPr>
            <w:r>
              <w:rPr>
                <w:rFonts w:ascii="Arial" w:cs="Arial" w:eastAsia="Arial" w:hAnsi="Arial"/>
                <w:sz w:val="14"/>
                <w:szCs w:val="14"/>
                <w:color w:val="auto"/>
              </w:rPr>
              <w:t>Sociedad de Capacitacion Structuralia Chile Limitada</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Chile</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(i)</w:t>
            </w:r>
          </w:p>
        </w:tc>
      </w:tr>
      <w:tr>
        <w:trPr>
          <w:trHeight w:val="270"/>
        </w:trPr>
        <w:tc>
          <w:tcPr>
            <w:tcW w:w="6780" w:type="dxa"/>
            <w:vAlign w:val="bottom"/>
          </w:tcPr>
          <w:p>
            <w:pPr>
              <w:ind w:left="860"/>
              <w:spacing w:after="0"/>
              <w:rPr>
                <w:sz w:val="20"/>
                <w:szCs w:val="20"/>
                <w:color w:val="auto"/>
              </w:rPr>
            </w:pPr>
            <w:r>
              <w:rPr>
                <w:rFonts w:ascii="Arial" w:cs="Arial" w:eastAsia="Arial" w:hAnsi="Arial"/>
                <w:sz w:val="14"/>
                <w:szCs w:val="14"/>
                <w:color w:val="auto"/>
              </w:rPr>
              <w:t>Soluciones de Formacion en Infraestructuras e Ingenieria, Sociedad Civil</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Mexico</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jc w:val="right"/>
              <w:spacing w:after="0"/>
              <w:rPr>
                <w:sz w:val="20"/>
                <w:szCs w:val="20"/>
                <w:color w:val="auto"/>
              </w:rPr>
            </w:pPr>
            <w:r>
              <w:rPr>
                <w:rFonts w:ascii="Arial" w:cs="Arial" w:eastAsia="Arial" w:hAnsi="Arial"/>
                <w:sz w:val="14"/>
                <w:szCs w:val="14"/>
                <w:color w:val="auto"/>
              </w:rPr>
              <w:t>(j)</w:t>
            </w: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Financial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Altior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860"/>
              <w:spacing w:after="0"/>
              <w:rPr>
                <w:sz w:val="20"/>
                <w:szCs w:val="20"/>
                <w:color w:val="auto"/>
              </w:rPr>
            </w:pPr>
            <w:r>
              <w:rPr>
                <w:rFonts w:ascii="Arial" w:cs="Arial" w:eastAsia="Arial" w:hAnsi="Arial"/>
                <w:sz w:val="14"/>
                <w:szCs w:val="14"/>
                <w:color w:val="auto"/>
              </w:rPr>
              <w:t>Altior Consulting &amp; Training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Hawksmere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Holborn College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International Colleges U.K.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Colleges Private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India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International Colleges (Private)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Pakistan</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Glasgow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International Colleges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Nigeria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70%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Liverpool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NT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US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International College London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Brighton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UWE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Bournemouth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SHU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Law School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Open Learning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Open Learning (Essex)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Publishing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Professional Awards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England &amp; Wales</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4"/>
                <w:szCs w:val="14"/>
                <w:color w:val="auto"/>
              </w:rPr>
              <w:t>Kaplan Australia Holdings Pty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220"/>
              <w:spacing w:after="0"/>
              <w:rPr>
                <w:sz w:val="20"/>
                <w:szCs w:val="20"/>
                <w:color w:val="auto"/>
              </w:rPr>
            </w:pPr>
            <w:r>
              <w:rPr>
                <w:rFonts w:ascii="Arial" w:cs="Arial" w:eastAsia="Arial" w:hAnsi="Arial"/>
                <w:sz w:val="14"/>
                <w:szCs w:val="14"/>
                <w:color w:val="auto"/>
              </w:rPr>
              <w:t>Kaplan Australia Pty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00"/>
              <w:spacing w:after="0"/>
              <w:rPr>
                <w:sz w:val="20"/>
                <w:szCs w:val="20"/>
                <w:color w:val="auto"/>
              </w:rPr>
            </w:pPr>
            <w:r>
              <w:rPr>
                <w:rFonts w:ascii="Arial" w:cs="Arial" w:eastAsia="Arial" w:hAnsi="Arial"/>
                <w:sz w:val="14"/>
                <w:szCs w:val="14"/>
                <w:color w:val="auto"/>
              </w:rPr>
              <w:t>Kaplan Carrick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540"/>
              <w:spacing w:after="0"/>
              <w:rPr>
                <w:sz w:val="20"/>
                <w:szCs w:val="20"/>
                <w:color w:val="auto"/>
              </w:rPr>
            </w:pPr>
            <w:r>
              <w:rPr>
                <w:rFonts w:ascii="Arial" w:cs="Arial" w:eastAsia="Arial" w:hAnsi="Arial"/>
                <w:sz w:val="14"/>
                <w:szCs w:val="14"/>
                <w:color w:val="auto"/>
              </w:rPr>
              <w:t>Carrick Institute of Education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760"/>
              <w:spacing w:after="0"/>
              <w:rPr>
                <w:sz w:val="20"/>
                <w:szCs w:val="20"/>
                <w:color w:val="auto"/>
              </w:rPr>
            </w:pPr>
            <w:r>
              <w:rPr>
                <w:rFonts w:ascii="Arial" w:cs="Arial" w:eastAsia="Arial" w:hAnsi="Arial"/>
                <w:sz w:val="14"/>
                <w:szCs w:val="14"/>
                <w:color w:val="auto"/>
              </w:rPr>
              <w:t>Carrick Higher Education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980"/>
              <w:spacing w:after="0"/>
              <w:rPr>
                <w:sz w:val="20"/>
                <w:szCs w:val="20"/>
                <w:color w:val="auto"/>
              </w:rPr>
            </w:pPr>
            <w:r>
              <w:rPr>
                <w:rFonts w:ascii="Arial" w:cs="Arial" w:eastAsia="Arial" w:hAnsi="Arial"/>
                <w:sz w:val="14"/>
                <w:szCs w:val="14"/>
                <w:color w:val="auto"/>
              </w:rPr>
              <w:t>CMC – Training at Work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760"/>
              <w:spacing w:after="0"/>
              <w:rPr>
                <w:sz w:val="20"/>
                <w:szCs w:val="20"/>
                <w:color w:val="auto"/>
              </w:rPr>
            </w:pPr>
            <w:r>
              <w:rPr>
                <w:rFonts w:ascii="Arial" w:cs="Arial" w:eastAsia="Arial" w:hAnsi="Arial"/>
                <w:sz w:val="14"/>
                <w:szCs w:val="14"/>
                <w:color w:val="auto"/>
              </w:rPr>
              <w:t>Carrick Education Group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Asia Pacific Finance Institute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Kaplan Higher Education Pty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AUFP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Business School Pty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860"/>
              <w:spacing w:after="0"/>
              <w:rPr>
                <w:sz w:val="20"/>
                <w:szCs w:val="20"/>
                <w:color w:val="auto"/>
              </w:rPr>
            </w:pPr>
            <w:r>
              <w:rPr>
                <w:rFonts w:ascii="Arial" w:cs="Arial" w:eastAsia="Arial" w:hAnsi="Arial"/>
                <w:sz w:val="14"/>
                <w:szCs w:val="14"/>
                <w:color w:val="auto"/>
              </w:rPr>
              <w:t>Bradford College Australia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Tribeca Learning Pty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Kaplan Education Pty Limited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440"/>
              <w:spacing w:after="0"/>
              <w:rPr>
                <w:sz w:val="20"/>
                <w:szCs w:val="20"/>
                <w:color w:val="auto"/>
              </w:rPr>
            </w:pPr>
            <w:r>
              <w:rPr>
                <w:rFonts w:ascii="Arial" w:cs="Arial" w:eastAsia="Arial" w:hAnsi="Arial"/>
                <w:sz w:val="14"/>
                <w:szCs w:val="14"/>
                <w:color w:val="auto"/>
              </w:rPr>
              <w:t>Franklyn Scholar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Franklyn Scholar (Victoria)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Franklyn Scholar (Australia)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r>
        <w:trPr>
          <w:trHeight w:val="270"/>
        </w:trPr>
        <w:tc>
          <w:tcPr>
            <w:tcW w:w="6780" w:type="dxa"/>
            <w:vAlign w:val="bottom"/>
          </w:tcPr>
          <w:p>
            <w:pPr>
              <w:ind w:left="660"/>
              <w:spacing w:after="0"/>
              <w:rPr>
                <w:sz w:val="20"/>
                <w:szCs w:val="20"/>
                <w:color w:val="auto"/>
              </w:rPr>
            </w:pPr>
            <w:r>
              <w:rPr>
                <w:rFonts w:ascii="Arial" w:cs="Arial" w:eastAsia="Arial" w:hAnsi="Arial"/>
                <w:sz w:val="14"/>
                <w:szCs w:val="14"/>
                <w:color w:val="auto"/>
              </w:rPr>
              <w:t>Academy Holdings Nominees Pty Ltd.</w:t>
            </w:r>
          </w:p>
        </w:tc>
        <w:tc>
          <w:tcPr>
            <w:tcW w:w="2980" w:type="dxa"/>
            <w:vAlign w:val="bottom"/>
          </w:tcPr>
          <w:p>
            <w:pPr>
              <w:jc w:val="right"/>
              <w:ind w:right="548"/>
              <w:spacing w:after="0"/>
              <w:rPr>
                <w:sz w:val="20"/>
                <w:szCs w:val="20"/>
                <w:color w:val="auto"/>
              </w:rPr>
            </w:pPr>
            <w:r>
              <w:rPr>
                <w:rFonts w:ascii="Arial" w:cs="Arial" w:eastAsia="Arial" w:hAnsi="Arial"/>
                <w:sz w:val="14"/>
                <w:szCs w:val="14"/>
                <w:color w:val="auto"/>
              </w:rPr>
              <w:t>Australia</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100%</w:t>
            </w:r>
          </w:p>
        </w:tc>
        <w:tc>
          <w:tcPr>
            <w:tcW w:w="260" w:type="dxa"/>
            <w:vAlign w:val="bottom"/>
          </w:tcPr>
          <w:p>
            <w:pPr>
              <w:spacing w:after="0"/>
              <w:rPr>
                <w:sz w:val="23"/>
                <w:szCs w:val="23"/>
                <w:color w:val="auto"/>
              </w:rPr>
            </w:pPr>
          </w:p>
        </w:tc>
      </w:tr>
    </w:tbl>
    <w:p>
      <w:pPr>
        <w:sectPr>
          <w:pgSz w:w="11900" w:h="16838" w:orient="portrait"/>
          <w:cols w:equalWidth="0" w:num="1">
            <w:col w:w="11100"/>
          </w:cols>
          <w:pgMar w:left="520" w:top="802" w:right="279" w:bottom="0" w:gutter="0" w:footer="0" w:header="0"/>
        </w:sectPr>
      </w:pPr>
    </w:p>
    <w:bookmarkStart w:id="150" w:name="page151"/>
    <w:bookmarkEnd w:id="1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94"/>
        </w:trPr>
        <w:tc>
          <w:tcPr>
            <w:tcW w:w="6300" w:type="dxa"/>
            <w:vAlign w:val="bottom"/>
          </w:tcPr>
          <w:p>
            <w:pPr>
              <w:ind w:left="1100"/>
              <w:spacing w:after="0"/>
              <w:rPr>
                <w:sz w:val="20"/>
                <w:szCs w:val="20"/>
                <w:color w:val="auto"/>
              </w:rPr>
            </w:pPr>
            <w:r>
              <w:rPr>
                <w:rFonts w:ascii="Arial" w:cs="Arial" w:eastAsia="Arial" w:hAnsi="Arial"/>
                <w:sz w:val="14"/>
                <w:szCs w:val="14"/>
                <w:color w:val="auto"/>
              </w:rPr>
              <w:t>Academy Blue Pty Ltd.</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ind w:left="1100"/>
              <w:spacing w:after="0"/>
              <w:rPr>
                <w:sz w:val="20"/>
                <w:szCs w:val="20"/>
                <w:color w:val="auto"/>
              </w:rPr>
            </w:pPr>
            <w:r>
              <w:rPr>
                <w:rFonts w:ascii="Arial" w:cs="Arial" w:eastAsia="Arial" w:hAnsi="Arial"/>
                <w:sz w:val="14"/>
                <w:szCs w:val="14"/>
                <w:color w:val="auto"/>
              </w:rPr>
              <w:t>Sustainable Learning Australasia Pty Ltd.</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ind w:left="1100"/>
              <w:spacing w:after="0"/>
              <w:rPr>
                <w:sz w:val="20"/>
                <w:szCs w:val="20"/>
                <w:color w:val="auto"/>
              </w:rPr>
            </w:pPr>
            <w:r>
              <w:rPr>
                <w:rFonts w:ascii="Arial" w:cs="Arial" w:eastAsia="Arial" w:hAnsi="Arial"/>
                <w:sz w:val="14"/>
                <w:szCs w:val="14"/>
                <w:color w:val="auto"/>
              </w:rPr>
              <w:t>Academy Holdings Pty Ltd.</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Australia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ind w:left="240"/>
              <w:spacing w:after="0"/>
              <w:rPr>
                <w:sz w:val="20"/>
                <w:szCs w:val="20"/>
                <w:color w:val="auto"/>
              </w:rPr>
            </w:pPr>
            <w:r>
              <w:rPr>
                <w:rFonts w:ascii="Arial" w:cs="Arial" w:eastAsia="Arial" w:hAnsi="Arial"/>
                <w:sz w:val="14"/>
                <w:szCs w:val="14"/>
                <w:color w:val="auto"/>
              </w:rPr>
              <w:t>Score! Learning,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95.85%</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eScore.com.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Score! Educational Centers,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California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ind w:left="240"/>
              <w:spacing w:after="0"/>
              <w:rPr>
                <w:sz w:val="20"/>
                <w:szCs w:val="20"/>
                <w:color w:val="auto"/>
              </w:rPr>
            </w:pPr>
            <w:r>
              <w:rPr>
                <w:rFonts w:ascii="Arial" w:cs="Arial" w:eastAsia="Arial" w:hAnsi="Arial"/>
                <w:sz w:val="14"/>
                <w:szCs w:val="14"/>
                <w:color w:val="auto"/>
              </w:rPr>
              <w:t>Washington Post/Kaplan IC Limited Company</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Cyprus</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ind w:left="240"/>
              <w:spacing w:after="0"/>
              <w:rPr>
                <w:sz w:val="20"/>
                <w:szCs w:val="20"/>
                <w:color w:val="auto"/>
              </w:rPr>
            </w:pPr>
            <w:r>
              <w:rPr>
                <w:rFonts w:ascii="Arial" w:cs="Arial" w:eastAsia="Arial" w:hAnsi="Arial"/>
                <w:sz w:val="14"/>
                <w:szCs w:val="14"/>
                <w:color w:val="auto"/>
              </w:rPr>
              <w:t>Wise Tactic Holdings Limited</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British Virgin Islands</w:t>
            </w:r>
          </w:p>
        </w:tc>
        <w:tc>
          <w:tcPr>
            <w:tcW w:w="106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PCH,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ind w:left="240"/>
              <w:spacing w:after="0"/>
              <w:rPr>
                <w:sz w:val="20"/>
                <w:szCs w:val="20"/>
                <w:color w:val="auto"/>
              </w:rPr>
            </w:pPr>
            <w:r>
              <w:rPr>
                <w:rFonts w:ascii="Arial" w:cs="Arial" w:eastAsia="Arial" w:hAnsi="Arial"/>
                <w:sz w:val="14"/>
                <w:szCs w:val="14"/>
                <w:color w:val="auto"/>
              </w:rPr>
              <w:t>Celtic Healthcare,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Nevada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Healthcare of Carlisle,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Healthcare of E. MO,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Healthcare of S. IL,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Living Assistance Services,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Homecare,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Support Services,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Rehabilitation Services,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Healthcare of NC PA,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Healthcare of NE PA,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Healthcare of Westmoreland,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Geriatric Care Management,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Hospice &amp; Palliative Care Services of Carlisle,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Hospice &amp; Palliative Care Services of E. MO,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Hospice &amp; Palliative Care Services of NC PA,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Hospice &amp; Palliative Care Services of S. IL,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Healthcare of NE Ohio,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Ohio</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Community Services of NE Ohio,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Ohio</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Healthcare of Maryland,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Maryland</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Hospice &amp; Palliative Care Services,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Hospice &amp; Palliative Care Services of Westmoreland,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0"/>
        </w:trPr>
        <w:tc>
          <w:tcPr>
            <w:tcW w:w="6300" w:type="dxa"/>
            <w:vAlign w:val="bottom"/>
          </w:tcPr>
          <w:p>
            <w:pPr>
              <w:ind w:left="460"/>
              <w:spacing w:after="0"/>
              <w:rPr>
                <w:sz w:val="20"/>
                <w:szCs w:val="20"/>
                <w:color w:val="auto"/>
              </w:rPr>
            </w:pPr>
            <w:r>
              <w:rPr>
                <w:rFonts w:ascii="Arial" w:cs="Arial" w:eastAsia="Arial" w:hAnsi="Arial"/>
                <w:sz w:val="14"/>
                <w:szCs w:val="14"/>
                <w:color w:val="auto"/>
              </w:rPr>
              <w:t>Celtic Private Care of IL &amp; MO,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Pennsylvania</w:t>
            </w:r>
          </w:p>
        </w:tc>
        <w:tc>
          <w:tcPr>
            <w:tcW w:w="106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00" w:type="dxa"/>
            <w:vAlign w:val="bottom"/>
          </w:tcPr>
          <w:p>
            <w:pPr>
              <w:ind w:left="940"/>
              <w:spacing w:after="0"/>
              <w:rPr>
                <w:sz w:val="20"/>
                <w:szCs w:val="20"/>
                <w:color w:val="auto"/>
              </w:rPr>
            </w:pPr>
            <w:r>
              <w:rPr>
                <w:rFonts w:ascii="Arial" w:cs="Arial" w:eastAsia="Arial" w:hAnsi="Arial"/>
                <w:sz w:val="14"/>
                <w:szCs w:val="14"/>
                <w:color w:val="auto"/>
              </w:rPr>
              <w:t>Post NW,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New York</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ind w:left="940"/>
              <w:spacing w:after="0"/>
              <w:rPr>
                <w:sz w:val="20"/>
                <w:szCs w:val="20"/>
                <w:color w:val="auto"/>
              </w:rPr>
            </w:pPr>
            <w:r>
              <w:rPr>
                <w:rFonts w:ascii="Arial" w:cs="Arial" w:eastAsia="Arial" w:hAnsi="Arial"/>
                <w:sz w:val="14"/>
                <w:szCs w:val="14"/>
                <w:color w:val="auto"/>
              </w:rPr>
              <w:t>Post-Newsweek Stations,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ind w:left="320"/>
              <w:spacing w:after="0"/>
              <w:rPr>
                <w:sz w:val="20"/>
                <w:szCs w:val="20"/>
                <w:color w:val="auto"/>
              </w:rPr>
            </w:pPr>
            <w:r>
              <w:rPr>
                <w:rFonts w:ascii="Arial" w:cs="Arial" w:eastAsia="Arial" w:hAnsi="Arial"/>
                <w:sz w:val="14"/>
                <w:szCs w:val="14"/>
                <w:color w:val="auto"/>
              </w:rPr>
              <w:t>Post-Newsweek Stations, Florida,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Florida</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ind w:left="320"/>
              <w:spacing w:after="0"/>
              <w:rPr>
                <w:sz w:val="20"/>
                <w:szCs w:val="20"/>
                <w:color w:val="auto"/>
              </w:rPr>
            </w:pPr>
            <w:r>
              <w:rPr>
                <w:rFonts w:ascii="Arial" w:cs="Arial" w:eastAsia="Arial" w:hAnsi="Arial"/>
                <w:sz w:val="14"/>
                <w:szCs w:val="14"/>
                <w:color w:val="auto"/>
              </w:rPr>
              <w:t>Post-Newsweek Stations, Houston GP,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ind w:left="320"/>
              <w:spacing w:after="0"/>
              <w:rPr>
                <w:sz w:val="20"/>
                <w:szCs w:val="20"/>
                <w:color w:val="auto"/>
              </w:rPr>
            </w:pPr>
            <w:r>
              <w:rPr>
                <w:rFonts w:ascii="Arial" w:cs="Arial" w:eastAsia="Arial" w:hAnsi="Arial"/>
                <w:sz w:val="14"/>
                <w:szCs w:val="14"/>
                <w:color w:val="auto"/>
              </w:rPr>
              <w:t>Post-Newsweek Stations, Michigan,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ind w:left="320"/>
              <w:spacing w:after="0"/>
              <w:rPr>
                <w:sz w:val="20"/>
                <w:szCs w:val="20"/>
                <w:color w:val="auto"/>
              </w:rPr>
            </w:pPr>
            <w:r>
              <w:rPr>
                <w:rFonts w:ascii="Arial" w:cs="Arial" w:eastAsia="Arial" w:hAnsi="Arial"/>
                <w:sz w:val="14"/>
                <w:szCs w:val="14"/>
                <w:color w:val="auto"/>
              </w:rPr>
              <w:t>Post-Newsweek Stations, Orlando,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ind w:left="320"/>
              <w:spacing w:after="0"/>
              <w:rPr>
                <w:sz w:val="20"/>
                <w:szCs w:val="20"/>
                <w:color w:val="auto"/>
              </w:rPr>
            </w:pPr>
            <w:r>
              <w:rPr>
                <w:rFonts w:ascii="Arial" w:cs="Arial" w:eastAsia="Arial" w:hAnsi="Arial"/>
                <w:sz w:val="14"/>
                <w:szCs w:val="14"/>
                <w:color w:val="auto"/>
              </w:rPr>
              <w:t>Post-Newsweek Stations, San Antonio GP, Inc.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Social Code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The Slate Group,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Tea Leaf Media, LLC</w:t>
            </w:r>
          </w:p>
        </w:tc>
        <w:tc>
          <w:tcPr>
            <w:tcW w:w="3640" w:type="dxa"/>
            <w:vAlign w:val="bottom"/>
          </w:tcPr>
          <w:p>
            <w:pPr>
              <w:jc w:val="right"/>
              <w:ind w:right="488"/>
              <w:spacing w:after="0"/>
              <w:rPr>
                <w:sz w:val="20"/>
                <w:szCs w:val="20"/>
                <w:color w:val="auto"/>
              </w:rPr>
            </w:pPr>
            <w:r>
              <w:rPr>
                <w:rFonts w:ascii="Arial" w:cs="Arial" w:eastAsia="Arial" w:hAnsi="Arial"/>
                <w:sz w:val="14"/>
                <w:szCs w:val="14"/>
                <w:color w:val="auto"/>
              </w:rPr>
              <w:t>Delaware</w:t>
            </w: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335280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20" w:right="460" w:hanging="328"/>
        <w:spacing w:after="0" w:line="255" w:lineRule="auto"/>
        <w:tabs>
          <w:tab w:leader="none" w:pos="592" w:val="left"/>
        </w:tabs>
        <w:numPr>
          <w:ilvl w:val="0"/>
          <w:numId w:val="170"/>
        </w:numPr>
        <w:rPr>
          <w:rFonts w:ascii="Arial" w:cs="Arial" w:eastAsia="Arial" w:hAnsi="Arial"/>
          <w:sz w:val="14"/>
          <w:szCs w:val="14"/>
          <w:color w:val="auto"/>
        </w:rPr>
      </w:pPr>
      <w:r>
        <w:rPr>
          <w:rFonts w:ascii="Arial" w:cs="Arial" w:eastAsia="Arial" w:hAnsi="Arial"/>
          <w:sz w:val="14"/>
          <w:szCs w:val="14"/>
          <w:color w:val="auto"/>
        </w:rPr>
        <w:t>Forney Corporation owns .03% and Forney Maquila, LLC owns 99.97% of FMMX S. de R.L. de C.V. The combined ownership of Forney Maquila, LLC and Forney Coporation in FMMX S. de R.L. de C.V. is 100%.</w:t>
      </w:r>
    </w:p>
    <w:p>
      <w:pPr>
        <w:ind w:left="620" w:right="160" w:hanging="328"/>
        <w:spacing w:after="0" w:line="241" w:lineRule="auto"/>
        <w:tabs>
          <w:tab w:leader="none" w:pos="512" w:val="left"/>
        </w:tabs>
        <w:numPr>
          <w:ilvl w:val="0"/>
          <w:numId w:val="170"/>
        </w:numPr>
        <w:rPr>
          <w:rFonts w:ascii="Arial" w:cs="Arial" w:eastAsia="Arial" w:hAnsi="Arial"/>
          <w:sz w:val="14"/>
          <w:szCs w:val="14"/>
          <w:color w:val="auto"/>
        </w:rPr>
      </w:pPr>
      <w:r>
        <w:rPr>
          <w:rFonts w:ascii="Arial" w:cs="Arial" w:eastAsia="Arial" w:hAnsi="Arial"/>
          <w:sz w:val="14"/>
          <w:szCs w:val="14"/>
          <w:color w:val="auto"/>
        </w:rPr>
        <w:t>Forney Maquila, LLC owns .03% and FMMX s. de R.L. de C.V. owns 99.97% of FSM S. de R.L. de C.V. The combined ownership of Forney Maquila, LLC and FMMX S. de R.L. de C.V. in FSM S. de R.L. de C.V. is 100%.</w:t>
      </w:r>
    </w:p>
    <w:p>
      <w:pPr>
        <w:ind w:left="620" w:right="180" w:hanging="328"/>
        <w:spacing w:after="0" w:line="241" w:lineRule="auto"/>
        <w:tabs>
          <w:tab w:leader="none" w:pos="584" w:val="left"/>
        </w:tabs>
        <w:numPr>
          <w:ilvl w:val="0"/>
          <w:numId w:val="170"/>
        </w:numPr>
        <w:rPr>
          <w:rFonts w:ascii="Arial" w:cs="Arial" w:eastAsia="Arial" w:hAnsi="Arial"/>
          <w:sz w:val="14"/>
          <w:szCs w:val="14"/>
          <w:color w:val="auto"/>
        </w:rPr>
      </w:pPr>
      <w:r>
        <w:rPr>
          <w:rFonts w:ascii="Arial" w:cs="Arial" w:eastAsia="Arial" w:hAnsi="Arial"/>
          <w:sz w:val="14"/>
          <w:szCs w:val="14"/>
          <w:color w:val="auto"/>
        </w:rPr>
        <w:t>Coxcourt Limited also owns 43.11% voting stock in Accountancy &amp; Business College Holdings Limited. The combined stock ownership of Kaplan Netherlands B.V. and Coxcourt Limited in Accountancy &amp; Business College Holdings Limited is 100%.</w:t>
      </w:r>
    </w:p>
    <w:p>
      <w:pPr>
        <w:ind w:left="620" w:right="120" w:hanging="328"/>
        <w:spacing w:after="0" w:line="241" w:lineRule="auto"/>
        <w:tabs>
          <w:tab w:leader="none" w:pos="592" w:val="left"/>
        </w:tabs>
        <w:numPr>
          <w:ilvl w:val="0"/>
          <w:numId w:val="170"/>
        </w:numPr>
        <w:rPr>
          <w:rFonts w:ascii="Arial" w:cs="Arial" w:eastAsia="Arial" w:hAnsi="Arial"/>
          <w:sz w:val="14"/>
          <w:szCs w:val="14"/>
          <w:color w:val="auto"/>
        </w:rPr>
      </w:pPr>
      <w:r>
        <w:rPr>
          <w:rFonts w:ascii="Arial" w:cs="Arial" w:eastAsia="Arial" w:hAnsi="Arial"/>
          <w:sz w:val="14"/>
          <w:szCs w:val="14"/>
          <w:color w:val="auto"/>
        </w:rPr>
        <w:t>Kaplan Mexico Holdings, LLC also owns 1% stock in Kaplan Educational Services de Mexico, S. de R.L. de C.V. and Education HR Services Mexico, S. de R.L. de C.V. The combined ownership of Kaplan, Inc. and Kaplan Mexico Holdings, LLC in Kaplan Educational Services de Mexico, S. de R.L. de C.V. and Education HR Services Mexico, S. de R.L. de C.V. is 100%.</w:t>
      </w:r>
    </w:p>
    <w:p>
      <w:pPr>
        <w:spacing w:after="0" w:line="1" w:lineRule="exact"/>
        <w:rPr>
          <w:rFonts w:ascii="Arial" w:cs="Arial" w:eastAsia="Arial" w:hAnsi="Arial"/>
          <w:sz w:val="14"/>
          <w:szCs w:val="14"/>
          <w:color w:val="auto"/>
        </w:rPr>
      </w:pPr>
    </w:p>
    <w:p>
      <w:pPr>
        <w:ind w:left="620" w:right="60" w:hanging="328"/>
        <w:spacing w:after="0" w:line="241" w:lineRule="auto"/>
        <w:tabs>
          <w:tab w:leader="none" w:pos="592" w:val="left"/>
        </w:tabs>
        <w:numPr>
          <w:ilvl w:val="0"/>
          <w:numId w:val="170"/>
        </w:numPr>
        <w:rPr>
          <w:rFonts w:ascii="Arial" w:cs="Arial" w:eastAsia="Arial" w:hAnsi="Arial"/>
          <w:sz w:val="14"/>
          <w:szCs w:val="14"/>
          <w:color w:val="auto"/>
        </w:rPr>
      </w:pPr>
      <w:r>
        <w:rPr>
          <w:rFonts w:ascii="Arial" w:cs="Arial" w:eastAsia="Arial" w:hAnsi="Arial"/>
          <w:sz w:val="14"/>
          <w:szCs w:val="14"/>
          <w:color w:val="auto"/>
        </w:rPr>
        <w:t>Quest Ventures, LLC is a Limited Partner of Texas Educational Ventures, LP. The combined ownership of Educational Ventures (Texas), Inc. and Quest Ventures, LLC in Texas Educational Ventures, LP is 100%.</w:t>
      </w:r>
    </w:p>
    <w:p>
      <w:pPr>
        <w:ind w:left="620" w:right="40" w:hanging="328"/>
        <w:spacing w:after="0" w:line="241" w:lineRule="auto"/>
        <w:tabs>
          <w:tab w:leader="none" w:pos="552" w:val="left"/>
        </w:tabs>
        <w:numPr>
          <w:ilvl w:val="0"/>
          <w:numId w:val="170"/>
        </w:numPr>
        <w:rPr>
          <w:rFonts w:ascii="Arial" w:cs="Arial" w:eastAsia="Arial" w:hAnsi="Arial"/>
          <w:sz w:val="14"/>
          <w:szCs w:val="14"/>
          <w:color w:val="auto"/>
        </w:rPr>
      </w:pPr>
      <w:r>
        <w:rPr>
          <w:rFonts w:ascii="Arial" w:cs="Arial" w:eastAsia="Arial" w:hAnsi="Arial"/>
          <w:sz w:val="14"/>
          <w:szCs w:val="14"/>
          <w:color w:val="auto"/>
        </w:rPr>
        <w:t>Kaplan Colleges Private Limited also owns 4.35% stock in Kaplan (India) Private Limited. The combined ownership of Kaplan Mexico Holdings, LLC and Kaplan Colleges Private Limited in Kaplan (India) Private Limited is 100%.</w:t>
      </w:r>
    </w:p>
    <w:p>
      <w:pPr>
        <w:ind w:left="620" w:hanging="328"/>
        <w:spacing w:after="0" w:line="241" w:lineRule="auto"/>
        <w:tabs>
          <w:tab w:leader="none" w:pos="512" w:val="left"/>
        </w:tabs>
        <w:numPr>
          <w:ilvl w:val="0"/>
          <w:numId w:val="170"/>
        </w:numPr>
        <w:rPr>
          <w:rFonts w:ascii="Arial" w:cs="Arial" w:eastAsia="Arial" w:hAnsi="Arial"/>
          <w:sz w:val="14"/>
          <w:szCs w:val="14"/>
          <w:color w:val="auto"/>
        </w:rPr>
      </w:pPr>
      <w:r>
        <w:rPr>
          <w:rFonts w:ascii="Arial" w:cs="Arial" w:eastAsia="Arial" w:hAnsi="Arial"/>
          <w:sz w:val="14"/>
          <w:szCs w:val="14"/>
          <w:color w:val="auto"/>
        </w:rPr>
        <w:t>Hands On Consulting Limited owns 49% stock and Kaplan International, Inc. and Kaplan Test Prep International, Inc. each own 0.002% stock of Hands On Education Consultants Co., Ltd. The combined ownership of Kaplan, Inc., Hands On Consulting Limited, Kaplan International, Inc. and Kaplan Test Prep International, Inc. in Hands On Education Consultants Co., Ltd. is 100%.</w:t>
      </w:r>
    </w:p>
    <w:p>
      <w:pPr>
        <w:spacing w:after="0" w:line="1" w:lineRule="exact"/>
        <w:rPr>
          <w:rFonts w:ascii="Arial" w:cs="Arial" w:eastAsia="Arial" w:hAnsi="Arial"/>
          <w:sz w:val="14"/>
          <w:szCs w:val="14"/>
          <w:color w:val="auto"/>
        </w:rPr>
      </w:pPr>
    </w:p>
    <w:p>
      <w:pPr>
        <w:ind w:left="620" w:right="260" w:hanging="328"/>
        <w:spacing w:after="0" w:line="264" w:lineRule="auto"/>
        <w:tabs>
          <w:tab w:leader="none" w:pos="584" w:val="left"/>
        </w:tabs>
        <w:numPr>
          <w:ilvl w:val="0"/>
          <w:numId w:val="170"/>
        </w:numPr>
        <w:rPr>
          <w:rFonts w:ascii="Arial" w:cs="Arial" w:eastAsia="Arial" w:hAnsi="Arial"/>
          <w:sz w:val="14"/>
          <w:szCs w:val="14"/>
          <w:color w:val="auto"/>
        </w:rPr>
      </w:pPr>
      <w:r>
        <w:rPr>
          <w:rFonts w:ascii="Arial" w:cs="Arial" w:eastAsia="Arial" w:hAnsi="Arial"/>
          <w:sz w:val="14"/>
          <w:szCs w:val="14"/>
          <w:color w:val="auto"/>
        </w:rPr>
        <w:t>Aspect Educational Services Limited also owns 5% stock in Kaplan International Colleges, C.A. The combined ownership of Aspect Educational Services Limited and Aspect Education Limited in Kaplan International Colleges, C.A. is 100%.</w:t>
      </w:r>
    </w:p>
    <w:p>
      <w:pPr>
        <w:sectPr>
          <w:pgSz w:w="11900" w:h="16838" w:orient="portrait"/>
          <w:cols w:equalWidth="0" w:num="1">
            <w:col w:w="11360"/>
          </w:cols>
          <w:pgMar w:left="280" w:top="801" w:right="259" w:bottom="838" w:gutter="0" w:footer="0" w:header="0"/>
        </w:sectPr>
      </w:pPr>
    </w:p>
    <w:bookmarkStart w:id="152" w:name="page153"/>
    <w:bookmarkEnd w:id="152"/>
    <w:p>
      <w:pPr>
        <w:ind w:left="660" w:right="40" w:hanging="328"/>
        <w:spacing w:after="0" w:line="250" w:lineRule="auto"/>
        <w:tabs>
          <w:tab w:leader="none" w:pos="504"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Tecnologias Servicios Logisticos y Aplicaciones, S.A.U. owns 1% equity in Sociedad de Capacitacion Structuralia Chile Limitada. The combined ownership of Soluciones Integrales de Formacion y Gestion Structuralia, S.A.U. and Tecnologias Servicios Logisticos y Aplicaciones, S.A.U. in Sociedad de Capacitation Structuralia Chile Limitada is 100%</w:t>
      </w:r>
    </w:p>
    <w:p>
      <w:pPr>
        <w:spacing w:after="0" w:line="1" w:lineRule="exact"/>
        <w:rPr>
          <w:rFonts w:ascii="Arial" w:cs="Arial" w:eastAsia="Arial" w:hAnsi="Arial"/>
          <w:sz w:val="14"/>
          <w:szCs w:val="14"/>
          <w:color w:val="auto"/>
        </w:rPr>
      </w:pPr>
    </w:p>
    <w:p>
      <w:pPr>
        <w:ind w:left="660" w:hanging="328"/>
        <w:spacing w:after="0" w:line="252" w:lineRule="auto"/>
        <w:tabs>
          <w:tab w:leader="none" w:pos="504" w:val="left"/>
        </w:tabs>
        <w:numPr>
          <w:ilvl w:val="0"/>
          <w:numId w:val="171"/>
        </w:numPr>
        <w:rPr>
          <w:rFonts w:ascii="Arial" w:cs="Arial" w:eastAsia="Arial" w:hAnsi="Arial"/>
          <w:sz w:val="14"/>
          <w:szCs w:val="14"/>
          <w:color w:val="auto"/>
        </w:rPr>
      </w:pPr>
      <w:r>
        <w:rPr>
          <w:rFonts w:ascii="Arial" w:cs="Arial" w:eastAsia="Arial" w:hAnsi="Arial"/>
          <w:sz w:val="14"/>
          <w:szCs w:val="14"/>
          <w:color w:val="auto"/>
        </w:rPr>
        <w:t>Tecnologias Servicios Logisticos y Aplicaciones, S.A.U. also owns $1 (pesos mexicanos) equity in Soluciones de Formacion en Infraestructuras e Ingenieria, Sociedad Civil. The combined ownership of Soluciones Integrales de Formacion y Gestion Structuralia, S.A.U. and Tecnologias Servicios y Aplicaciones, S.A.U. in Soluciones de Formacion en Infrastructuras de Ingenieria, Sociedad Civil is 100%.</w:t>
      </w:r>
    </w:p>
    <w:p>
      <w:pPr>
        <w:spacing w:after="0" w:line="191"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1280"/>
          </w:cols>
          <w:pgMar w:left="240" w:top="585" w:right="37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hereby consent to the incorporation by reference in the Registration Statements on Form S-3 (Registration No. 333-155374) and Form S-8 (Registration No. 333-189559 and 33-54295) of Graham Holdings Company, of our report dated February 27, 2014 relating to the financial statements and the effectiveness of internal control over financial reporting, which appears in the Form 10-K.</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ectPr>
          <w:pgSz w:w="11900" w:h="16838" w:orient="portrait"/>
          <w:cols w:equalWidth="0" w:num="1">
            <w:col w:w="11420"/>
          </w:cols>
          <w:pgMar w:left="240" w:top="576"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03" w:lineRule="exact"/>
        <w:rPr>
          <w:sz w:val="20"/>
          <w:szCs w:val="20"/>
          <w:color w:val="auto"/>
        </w:rPr>
      </w:pPr>
    </w:p>
    <w:p>
      <w:pPr>
        <w:ind w:left="9840"/>
        <w:spacing w:after="0"/>
        <w:rPr>
          <w:sz w:val="20"/>
          <w:szCs w:val="20"/>
          <w:color w:val="auto"/>
        </w:rPr>
      </w:pPr>
      <w:r>
        <w:rPr>
          <w:rFonts w:ascii="Arial" w:cs="Arial" w:eastAsia="Arial" w:hAnsi="Arial"/>
          <w:sz w:val="18"/>
          <w:szCs w:val="18"/>
          <w:color w:val="auto"/>
        </w:rPr>
        <w:t>February 20, 2014</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KNOW ALL MEN BY THESE PRESENTS that each of the undersigned directors and officers of Graham Holdings Company, a Delaware corporation (hereinafter called the "Company"), hereby constitutes and appoints DONALD E. GRAHAM, HAL S. JONES and VERONICA DILLON,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31, 2013,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601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right="280"/>
        <w:spacing w:after="0" w:line="266" w:lineRule="auto"/>
        <w:rPr>
          <w:sz w:val="20"/>
          <w:szCs w:val="20"/>
          <w:color w:val="auto"/>
        </w:rPr>
      </w:pPr>
      <w:r>
        <w:rPr>
          <w:rFonts w:ascii="Arial" w:cs="Arial" w:eastAsia="Arial" w:hAnsi="Arial"/>
          <w:sz w:val="18"/>
          <w:szCs w:val="18"/>
          <w:color w:val="auto"/>
        </w:rPr>
        <w:t>Donald E. Graham, Chairman of the Board and Chief Executive Officer (Principal Executive Officer) and Director</w:t>
      </w:r>
    </w:p>
    <w:p>
      <w:pPr>
        <w:ind w:left="40"/>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601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right="100"/>
        <w:spacing w:after="0" w:line="266" w:lineRule="auto"/>
        <w:rPr>
          <w:sz w:val="20"/>
          <w:szCs w:val="20"/>
          <w:color w:val="auto"/>
        </w:rPr>
      </w:pPr>
      <w:r>
        <w:rPr>
          <w:rFonts w:ascii="Arial" w:cs="Arial" w:eastAsia="Arial" w:hAnsi="Arial"/>
          <w:sz w:val="18"/>
          <w:szCs w:val="18"/>
          <w:color w:val="auto"/>
        </w:rPr>
        <w:t>Hal S. Jones, Senior Vice President - Finance (Principal Financial Officer)</w:t>
      </w: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601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line="266" w:lineRule="auto"/>
        <w:rPr>
          <w:sz w:val="20"/>
          <w:szCs w:val="20"/>
          <w:color w:val="auto"/>
        </w:rPr>
      </w:pPr>
      <w:r>
        <w:rPr>
          <w:rFonts w:ascii="Arial" w:cs="Arial" w:eastAsia="Arial" w:hAnsi="Arial"/>
          <w:sz w:val="18"/>
          <w:szCs w:val="18"/>
          <w:color w:val="auto"/>
        </w:rPr>
        <w:t>Wallace R. Cooney, Vice President - Finance (Principal Accounting Officer)</w:t>
      </w:r>
    </w:p>
    <w:p>
      <w:pPr>
        <w:ind w:left="40"/>
        <w:spacing w:after="0"/>
        <w:rPr>
          <w:sz w:val="20"/>
          <w:szCs w:val="20"/>
          <w:color w:val="auto"/>
        </w:rPr>
      </w:pPr>
      <w:r>
        <w:rPr>
          <w:rFonts w:ascii="Arial" w:cs="Arial" w:eastAsia="Arial" w:hAnsi="Arial"/>
          <w:sz w:val="18"/>
          <w:szCs w:val="18"/>
          <w:color w:val="auto"/>
        </w:rPr>
        <w:t>/s/ Lee C. Bollinger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6017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Lee C. Bollinger, Director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6017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Christopher C. Davis, Director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6017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Barry Diller, Director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6017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S. Gayner,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 David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3542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David Goldberg,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3542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Anne M. Mulcahy,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Ronald L.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3542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Ronald L. Olson,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Larry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3542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Larry D. Thompson,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3542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G. Richard Wagoner, Jr., Director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3542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Katharine Weymouth, Director</w:t>
      </w:r>
    </w:p>
    <w:p>
      <w:pPr>
        <w:sectPr>
          <w:pgSz w:w="11900" w:h="16838" w:orient="portrait"/>
          <w:cols w:equalWidth="0" w:num="2">
            <w:col w:w="5360" w:space="500"/>
            <w:col w:w="5560"/>
          </w:cols>
          <w:pgMar w:left="240" w:top="576" w:right="239" w:bottom="1440" w:gutter="0" w:footer="0" w:header="0"/>
          <w:type w:val="continuous"/>
        </w:sectPr>
      </w:pPr>
    </w:p>
    <w:bookmarkStart w:id="155" w:name="page156"/>
    <w:bookmarkEnd w:id="155"/>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25" w:lineRule="exact"/>
        <w:rPr>
          <w:rFonts w:ascii="Arial" w:cs="Arial" w:eastAsia="Arial" w:hAnsi="Arial"/>
          <w:sz w:val="18"/>
          <w:szCs w:val="18"/>
          <w:color w:val="auto"/>
        </w:rPr>
      </w:pPr>
    </w:p>
    <w:p>
      <w:pPr>
        <w:ind w:right="280" w:firstLine="8"/>
        <w:spacing w:after="0" w:line="271" w:lineRule="auto"/>
        <w:tabs>
          <w:tab w:leader="none" w:pos="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right="20" w:firstLine="8"/>
        <w:spacing w:after="0" w:line="292" w:lineRule="auto"/>
        <w:tabs>
          <w:tab w:leader="none" w:pos="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ind w:right="40" w:firstLine="8"/>
        <w:spacing w:after="0" w:line="263" w:lineRule="auto"/>
        <w:tabs>
          <w:tab w:leader="none" w:pos="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03" w:lineRule="exact"/>
        <w:rPr>
          <w:rFonts w:ascii="Arial" w:cs="Arial" w:eastAsia="Arial" w:hAnsi="Arial"/>
          <w:sz w:val="18"/>
          <w:szCs w:val="18"/>
          <w:color w:val="auto"/>
        </w:rPr>
      </w:pPr>
    </w:p>
    <w:p>
      <w:pPr>
        <w:ind w:left="820" w:hanging="407"/>
        <w:spacing w:after="0" w:line="271" w:lineRule="auto"/>
        <w:tabs>
          <w:tab w:leader="none" w:pos="83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820" w:right="140" w:hanging="407"/>
        <w:spacing w:after="0" w:line="271" w:lineRule="auto"/>
        <w:tabs>
          <w:tab w:leader="none" w:pos="83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ind w:left="820" w:right="20" w:hanging="407"/>
        <w:spacing w:after="0" w:line="271" w:lineRule="auto"/>
        <w:tabs>
          <w:tab w:leader="none" w:pos="82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820" w:right="240" w:hanging="407"/>
        <w:spacing w:after="0" w:line="271" w:lineRule="auto"/>
        <w:tabs>
          <w:tab w:leader="none" w:pos="83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quarter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right="80" w:firstLine="8"/>
        <w:spacing w:after="0" w:line="292" w:lineRule="auto"/>
        <w:tabs>
          <w:tab w:leader="none" w:pos="2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4" w:lineRule="exact"/>
        <w:rPr>
          <w:rFonts w:ascii="Arial" w:cs="Arial" w:eastAsia="Arial" w:hAnsi="Arial"/>
          <w:sz w:val="18"/>
          <w:szCs w:val="18"/>
          <w:color w:val="auto"/>
        </w:rPr>
      </w:pPr>
    </w:p>
    <w:p>
      <w:pPr>
        <w:ind w:left="820" w:right="260" w:hanging="407"/>
        <w:spacing w:after="0" w:line="292" w:lineRule="auto"/>
        <w:tabs>
          <w:tab w:leader="none" w:pos="83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820" w:right="420" w:hanging="407"/>
        <w:spacing w:after="0" w:line="292" w:lineRule="auto"/>
        <w:tabs>
          <w:tab w:leader="none" w:pos="835"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1944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9443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ectPr>
          <w:pgSz w:w="11900" w:h="16838" w:orient="portrait"/>
          <w:cols w:equalWidth="0" w:num="1">
            <w:col w:w="11420"/>
          </w:cols>
          <w:pgMar w:left="240" w:top="576"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25" w:lineRule="exact"/>
        <w:rPr>
          <w:rFonts w:ascii="Arial" w:cs="Arial" w:eastAsia="Arial" w:hAnsi="Arial"/>
          <w:sz w:val="18"/>
          <w:szCs w:val="18"/>
          <w:color w:val="auto"/>
        </w:rPr>
      </w:pPr>
    </w:p>
    <w:p>
      <w:pPr>
        <w:ind w:right="280" w:firstLine="8"/>
        <w:spacing w:after="0" w:line="271" w:lineRule="auto"/>
        <w:tabs>
          <w:tab w:leader="none" w:pos="2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right="20" w:firstLine="8"/>
        <w:spacing w:after="0" w:line="292" w:lineRule="auto"/>
        <w:tabs>
          <w:tab w:leader="none" w:pos="2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ind w:right="40" w:firstLine="8"/>
        <w:spacing w:after="0" w:line="263" w:lineRule="auto"/>
        <w:tabs>
          <w:tab w:leader="none" w:pos="2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03" w:lineRule="exact"/>
        <w:rPr>
          <w:rFonts w:ascii="Arial" w:cs="Arial" w:eastAsia="Arial" w:hAnsi="Arial"/>
          <w:sz w:val="18"/>
          <w:szCs w:val="18"/>
          <w:color w:val="auto"/>
        </w:rPr>
      </w:pPr>
    </w:p>
    <w:p>
      <w:pPr>
        <w:ind w:left="820" w:hanging="407"/>
        <w:spacing w:after="0" w:line="271" w:lineRule="auto"/>
        <w:tabs>
          <w:tab w:leader="none" w:pos="83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820" w:right="140" w:hanging="407"/>
        <w:spacing w:after="0" w:line="271" w:lineRule="auto"/>
        <w:tabs>
          <w:tab w:leader="none" w:pos="83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ind w:left="820" w:right="20" w:hanging="407"/>
        <w:spacing w:after="0" w:line="271" w:lineRule="auto"/>
        <w:tabs>
          <w:tab w:leader="none" w:pos="82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820" w:right="240" w:hanging="407"/>
        <w:spacing w:after="0" w:line="271" w:lineRule="auto"/>
        <w:tabs>
          <w:tab w:leader="none" w:pos="83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quarter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right="80" w:firstLine="8"/>
        <w:spacing w:after="0" w:line="292" w:lineRule="auto"/>
        <w:tabs>
          <w:tab w:leader="none" w:pos="2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4" w:lineRule="exact"/>
        <w:rPr>
          <w:rFonts w:ascii="Arial" w:cs="Arial" w:eastAsia="Arial" w:hAnsi="Arial"/>
          <w:sz w:val="18"/>
          <w:szCs w:val="18"/>
          <w:color w:val="auto"/>
        </w:rPr>
      </w:pPr>
    </w:p>
    <w:p>
      <w:pPr>
        <w:ind w:left="820" w:right="260" w:hanging="407"/>
        <w:spacing w:after="0" w:line="292" w:lineRule="auto"/>
        <w:tabs>
          <w:tab w:leader="none" w:pos="83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820" w:right="420" w:hanging="407"/>
        <w:spacing w:after="0" w:line="292" w:lineRule="auto"/>
        <w:tabs>
          <w:tab w:leader="none" w:pos="835"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5303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3035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ectPr>
          <w:pgSz w:w="11900" w:h="16838" w:orient="portrait"/>
          <w:cols w:equalWidth="0" w:num="1">
            <w:col w:w="11420"/>
          </w:cols>
          <w:pgMar w:left="240" w:top="576"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0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connection with the Annual Report of Graham Holdings Company (the “Company”) on Form 10-K for the fiscal year ended December 31, 2013 (the “Report”), Donald E. Graham, Chief Executive Officer (principal executive officer) of the Company and Hal S. Jones, Senior Vice President–Finance (principal financial officer) of the Company, each hereby certifies, pursuant to 18 U.S.C. § 1350, as adopted pursuant to § 906 of the Sarbanes-Oxley Act of 2002, that:</w:t>
      </w:r>
    </w:p>
    <w:p>
      <w:pPr>
        <w:spacing w:after="0" w:line="170" w:lineRule="exact"/>
        <w:rPr>
          <w:sz w:val="20"/>
          <w:szCs w:val="20"/>
          <w:color w:val="auto"/>
        </w:rPr>
      </w:pPr>
    </w:p>
    <w:p>
      <w:pPr>
        <w:ind w:left="280" w:hanging="272"/>
        <w:spacing w:after="0"/>
        <w:tabs>
          <w:tab w:leader="none" w:pos="2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60" w:firstLine="8"/>
        <w:spacing w:after="0" w:line="292" w:lineRule="auto"/>
        <w:tabs>
          <w:tab w:leader="none" w:pos="27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5436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5627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62735"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2014</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1)"/>
      <w:numFmt w:val="lowerLetter"/>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
      <w:numFmt w:val="bullet"/>
      <w:start w:val="1"/>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
      <w:numFmt w:val="bullet"/>
      <w:start w:val="1"/>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
      <w:numFmt w:val="bullet"/>
      <w:start w:val="1"/>
    </w:lvl>
  </w:abstractNum>
  <w:abstractNum w:abstractNumId="25">
    <w:nsid w:val="6A5F7029"/>
    <w:multiLevelType w:val="hybridMultilevel"/>
    <w:lvl w:ilvl="0">
      <w:lvlJc w:val="left"/>
      <w:lvlText w:val="•"/>
      <w:numFmt w:val="bullet"/>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
      <w:numFmt w:val="bullet"/>
      <w:start w:val="1"/>
    </w:lvl>
  </w:abstractNum>
  <w:abstractNum w:abstractNumId="28">
    <w:nsid w:val="73A1821B"/>
    <w:multiLevelType w:val="hybridMultilevel"/>
    <w:lvl w:ilvl="0">
      <w:lvlJc w:val="left"/>
      <w:lvlText w:val="•"/>
      <w:numFmt w:val="bullet"/>
      <w:start w:val="1"/>
    </w:lvl>
  </w:abstractNum>
  <w:abstractNum w:abstractNumId="29">
    <w:nsid w:val="7DE67713"/>
    <w:multiLevelType w:val="hybridMultilevel"/>
    <w:lvl w:ilvl="0">
      <w:lvlJc w:val="left"/>
      <w:lvlText w:val="•"/>
      <w:numFmt w:val="bullet"/>
      <w:start w:val="1"/>
    </w:lvl>
  </w:abstractNum>
  <w:abstractNum w:abstractNumId="30">
    <w:nsid w:val="555C55B5"/>
    <w:multiLevelType w:val="hybridMultilevel"/>
    <w:lvl w:ilvl="0">
      <w:lvlJc w:val="left"/>
      <w:lvlText w:val="•"/>
      <w:numFmt w:val="bullet"/>
      <w:start w:val="1"/>
    </w:lvl>
  </w:abstractNum>
  <w:abstractNum w:abstractNumId="31">
    <w:nsid w:val="3FA62ACA"/>
    <w:multiLevelType w:val="hybridMultilevel"/>
    <w:lvl w:ilvl="0">
      <w:lvlJc w:val="left"/>
      <w:lvlText w:val="•"/>
      <w:numFmt w:val="bullet"/>
      <w:start w:val="1"/>
    </w:lvl>
  </w:abstractNum>
  <w:abstractNum w:abstractNumId="32">
    <w:nsid w:val="14FCE74E"/>
    <w:multiLevelType w:val="hybridMultilevel"/>
    <w:lvl w:ilvl="0">
      <w:lvlJc w:val="left"/>
      <w:lvlText w:val="•"/>
      <w:numFmt w:val="bullet"/>
      <w:start w:val="1"/>
    </w:lvl>
  </w:abstractNum>
  <w:abstractNum w:abstractNumId="33">
    <w:nsid w:val="6A3DD3E8"/>
    <w:multiLevelType w:val="hybridMultilevel"/>
    <w:lvl w:ilvl="0">
      <w:lvlJc w:val="left"/>
      <w:lvlText w:val="•"/>
      <w:numFmt w:val="bullet"/>
      <w:start w:val="1"/>
    </w:lvl>
  </w:abstractNum>
  <w:abstractNum w:abstractNumId="34">
    <w:nsid w:val="71C91298"/>
    <w:multiLevelType w:val="hybridMultilevel"/>
    <w:lvl w:ilvl="0">
      <w:lvlJc w:val="left"/>
      <w:lvlText w:val="%1"/>
      <w:numFmt w:val="decimal"/>
      <w:start w:val="1"/>
    </w:lvl>
    <w:lvl w:ilvl="1">
      <w:lvlJc w:val="left"/>
      <w:lvlText w:val="%2."/>
      <w:numFmt w:val="decimal"/>
      <w:start w:val="1"/>
    </w:lvl>
  </w:abstractNum>
  <w:abstractNum w:abstractNumId="35">
    <w:nsid w:val="9DAF632"/>
    <w:multiLevelType w:val="hybridMultilevel"/>
    <w:lvl w:ilvl="0">
      <w:lvlJc w:val="left"/>
      <w:lvlText w:val="%1."/>
      <w:numFmt w:val="decimal"/>
      <w:start w:val="2"/>
    </w:lvl>
    <w:lvl w:ilvl="1">
      <w:lvlJc w:val="left"/>
      <w:lvlText w:val="%2"/>
      <w:numFmt w:val="decimal"/>
      <w:start w:val="1"/>
    </w:lvl>
  </w:abstractNum>
  <w:abstractNum w:abstractNumId="36">
    <w:nsid w:val="53299938"/>
    <w:multiLevelType w:val="hybridMultilevel"/>
    <w:lvl w:ilvl="0">
      <w:lvlJc w:val="left"/>
      <w:lvlText w:val="•"/>
      <w:numFmt w:val="bullet"/>
      <w:start w:val="1"/>
    </w:lvl>
  </w:abstractNum>
  <w:abstractNum w:abstractNumId="37">
    <w:nsid w:val="1FBFE8E0"/>
    <w:multiLevelType w:val="hybridMultilevel"/>
    <w:lvl w:ilvl="0">
      <w:lvlJc w:val="left"/>
      <w:lvlText w:val="•"/>
      <w:numFmt w:val="bullet"/>
      <w:start w:val="1"/>
    </w:lvl>
  </w:abstractNum>
  <w:abstractNum w:abstractNumId="38">
    <w:nsid w:val="5092CA79"/>
    <w:multiLevelType w:val="hybridMultilevel"/>
    <w:lvl w:ilvl="0">
      <w:lvlJc w:val="left"/>
      <w:lvlText w:val="•"/>
      <w:numFmt w:val="bullet"/>
      <w:start w:val="1"/>
    </w:lvl>
  </w:abstractNum>
  <w:abstractNum w:abstractNumId="39">
    <w:nsid w:val="1D545C4D"/>
    <w:multiLevelType w:val="hybridMultilevel"/>
    <w:lvl w:ilvl="0">
      <w:lvlJc w:val="left"/>
      <w:lvlText w:val="•"/>
      <w:numFmt w:val="bullet"/>
      <w:start w:val="1"/>
    </w:lvl>
  </w:abstractNum>
  <w:abstractNum w:abstractNumId="40">
    <w:nsid w:val="59ADEA3D"/>
    <w:multiLevelType w:val="hybridMultilevel"/>
    <w:lvl w:ilvl="0">
      <w:lvlJc w:val="left"/>
      <w:lvlText w:val="(%1)"/>
      <w:numFmt w:val="decimal"/>
      <w:start w:val="1"/>
    </w:lvl>
  </w:abstractNum>
  <w:abstractNum w:abstractNumId="41">
    <w:nsid w:val="288F1A34"/>
    <w:multiLevelType w:val="hybridMultilevel"/>
    <w:lvl w:ilvl="0">
      <w:lvlJc w:val="left"/>
      <w:lvlText w:val="•"/>
      <w:numFmt w:val="bullet"/>
      <w:start w:val="1"/>
    </w:lvl>
  </w:abstractNum>
  <w:abstractNum w:abstractNumId="42">
    <w:nsid w:val="2A155DBC"/>
    <w:multiLevelType w:val="hybridMultilevel"/>
    <w:lvl w:ilvl="0">
      <w:lvlJc w:val="left"/>
      <w:lvlText w:val="•"/>
      <w:numFmt w:val="bullet"/>
      <w:start w:val="1"/>
    </w:lvl>
  </w:abstractNum>
  <w:abstractNum w:abstractNumId="43">
    <w:nsid w:val="1D9F6E5F"/>
    <w:multiLevelType w:val="hybridMultilevel"/>
    <w:lvl w:ilvl="0">
      <w:lvlJc w:val="left"/>
      <w:lvlText w:val="•"/>
      <w:numFmt w:val="bullet"/>
      <w:start w:val="1"/>
    </w:lvl>
  </w:abstractNum>
  <w:abstractNum w:abstractNumId="44">
    <w:nsid w:val="97E1B4E"/>
    <w:multiLevelType w:val="hybridMultilevel"/>
    <w:lvl w:ilvl="0">
      <w:lvlJc w:val="left"/>
      <w:lvlText w:val="•"/>
      <w:numFmt w:val="bullet"/>
      <w:start w:val="1"/>
    </w:lvl>
  </w:abstractNum>
  <w:abstractNum w:abstractNumId="45">
    <w:nsid w:val="51088277"/>
    <w:multiLevelType w:val="hybridMultilevel"/>
    <w:lvl w:ilvl="0">
      <w:lvlJc w:val="left"/>
      <w:lvlText w:val="%1."/>
      <w:numFmt w:val="decimal"/>
      <w:start w:val="1"/>
    </w:lvl>
  </w:abstractNum>
  <w:abstractNum w:abstractNumId="46">
    <w:nsid w:val="1CA0C5FA"/>
    <w:multiLevelType w:val="hybridMultilevel"/>
    <w:lvl w:ilvl="0">
      <w:lvlJc w:val="left"/>
      <w:lvlText w:val="%1."/>
      <w:numFmt w:val="decimal"/>
      <w:start w:val="2"/>
    </w:lvl>
  </w:abstractNum>
  <w:abstractNum w:abstractNumId="47">
    <w:nsid w:val="53584BCB"/>
    <w:multiLevelType w:val="hybridMultilevel"/>
    <w:lvl w:ilvl="0">
      <w:lvlJc w:val="left"/>
      <w:lvlText w:val="(%1)"/>
      <w:numFmt w:val="lowerRoman"/>
      <w:start w:val="1"/>
    </w:lvl>
  </w:abstractNum>
  <w:abstractNum w:abstractNumId="48">
    <w:nsid w:val="415E286C"/>
    <w:multiLevelType w:val="hybridMultilevel"/>
    <w:lvl w:ilvl="0">
      <w:lvlJc w:val="left"/>
      <w:lvlText w:val="%1."/>
      <w:numFmt w:val="decimal"/>
      <w:start w:val="3"/>
    </w:lvl>
  </w:abstractNum>
  <w:abstractNum w:abstractNumId="49">
    <w:nsid w:val="7C58FD05"/>
    <w:multiLevelType w:val="hybridMultilevel"/>
    <w:lvl w:ilvl="0">
      <w:lvlJc w:val="left"/>
      <w:lvlText w:val="%1."/>
      <w:numFmt w:val="decimal"/>
      <w:start w:val="4"/>
    </w:lvl>
  </w:abstractNum>
  <w:abstractNum w:abstractNumId="50">
    <w:nsid w:val="23D86AAC"/>
    <w:multiLevelType w:val="hybridMultilevel"/>
    <w:lvl w:ilvl="0">
      <w:lvlJc w:val="left"/>
      <w:lvlText w:val="%1."/>
      <w:numFmt w:val="decimal"/>
      <w:start w:val="5"/>
    </w:lvl>
  </w:abstractNum>
  <w:abstractNum w:abstractNumId="51">
    <w:nsid w:val="45E6D486"/>
    <w:multiLevelType w:val="hybridMultilevel"/>
    <w:lvl w:ilvl="0">
      <w:lvlJc w:val="left"/>
      <w:lvlText w:val="%1."/>
      <w:numFmt w:val="decimal"/>
      <w:start w:val="7"/>
    </w:lvl>
  </w:abstractNum>
  <w:abstractNum w:abstractNumId="52">
    <w:nsid w:val="5C10FE21"/>
    <w:multiLevelType w:val="hybridMultilevel"/>
    <w:lvl w:ilvl="0">
      <w:lvlJc w:val="left"/>
      <w:lvlText w:val="%1."/>
      <w:numFmt w:val="decimal"/>
      <w:start w:val="8"/>
    </w:lvl>
  </w:abstractNum>
  <w:abstractNum w:abstractNumId="53">
    <w:nsid w:val="E7FFA2B"/>
    <w:multiLevelType w:val="hybridMultilevel"/>
    <w:lvl w:ilvl="0">
      <w:lvlJc w:val="left"/>
      <w:lvlText w:val="%1."/>
      <w:numFmt w:val="decimal"/>
      <w:start w:val="9"/>
    </w:lvl>
  </w:abstractNum>
  <w:abstractNum w:abstractNumId="54">
    <w:nsid w:val="3C5991AA"/>
    <w:multiLevelType w:val="hybridMultilevel"/>
    <w:lvl w:ilvl="0">
      <w:lvlJc w:val="left"/>
      <w:lvlText w:val="%1."/>
      <w:numFmt w:val="decimal"/>
      <w:start w:val="10"/>
    </w:lvl>
  </w:abstractNum>
  <w:abstractNum w:abstractNumId="55">
    <w:nsid w:val="4BD8591A"/>
    <w:multiLevelType w:val="hybridMultilevel"/>
    <w:lvl w:ilvl="0">
      <w:lvlJc w:val="left"/>
      <w:lvlText w:val="%1."/>
      <w:numFmt w:val="decimal"/>
      <w:start w:val="11"/>
    </w:lvl>
  </w:abstractNum>
  <w:abstractNum w:abstractNumId="56">
    <w:nsid w:val="78DF6A55"/>
    <w:multiLevelType w:val="hybridMultilevel"/>
    <w:lvl w:ilvl="0">
      <w:lvlJc w:val="left"/>
      <w:lvlText w:val="(%1)"/>
      <w:numFmt w:val="decimal"/>
      <w:start w:val="1"/>
    </w:lvl>
  </w:abstractNum>
  <w:abstractNum w:abstractNumId="57">
    <w:nsid w:val="39B7AAA2"/>
    <w:multiLevelType w:val="hybridMultilevel"/>
    <w:lvl w:ilvl="0">
      <w:lvlJc w:val="left"/>
      <w:lvlText w:val="(%1)"/>
      <w:numFmt w:val="decimal"/>
      <w:start w:val="1"/>
    </w:lvl>
  </w:abstractNum>
  <w:abstractNum w:abstractNumId="58">
    <w:nsid w:val="2B0D8DBE"/>
    <w:multiLevelType w:val="hybridMultilevel"/>
    <w:lvl w:ilvl="0">
      <w:lvlJc w:val="left"/>
      <w:lvlText w:val="%1."/>
      <w:numFmt w:val="decimal"/>
      <w:start w:val="12"/>
    </w:lvl>
  </w:abstractNum>
  <w:abstractNum w:abstractNumId="59">
    <w:nsid w:val="6C80EC70"/>
    <w:multiLevelType w:val="hybridMultilevel"/>
    <w:lvl w:ilvl="0">
      <w:lvlJc w:val="left"/>
      <w:lvlText w:val="%1."/>
      <w:numFmt w:val="decimal"/>
      <w:start w:val="13"/>
    </w:lvl>
  </w:abstractNum>
  <w:abstractNum w:abstractNumId="60">
    <w:nsid w:val="379E21B5"/>
    <w:multiLevelType w:val="hybridMultilevel"/>
    <w:lvl w:ilvl="0">
      <w:lvlJc w:val="left"/>
      <w:lvlText w:val="%1."/>
      <w:numFmt w:val="decimal"/>
      <w:start w:val="14"/>
    </w:lvl>
  </w:abstractNum>
  <w:abstractNum w:abstractNumId="61">
    <w:nsid w:val="69E373"/>
    <w:multiLevelType w:val="hybridMultilevel"/>
    <w:lvl w:ilvl="0">
      <w:lvlJc w:val="left"/>
      <w:lvlText w:val="$"/>
      <w:numFmt w:val="bullet"/>
      <w:start w:val="1"/>
    </w:lvl>
  </w:abstractNum>
  <w:abstractNum w:abstractNumId="62">
    <w:nsid w:val="2C27173B"/>
    <w:multiLevelType w:val="hybridMultilevel"/>
    <w:lvl w:ilvl="0">
      <w:lvlJc w:val="left"/>
      <w:lvlText w:val="%1."/>
      <w:numFmt w:val="decimal"/>
      <w:start w:val="15"/>
    </w:lvl>
  </w:abstractNum>
  <w:abstractNum w:abstractNumId="63">
    <w:nsid w:val="4C9B0904"/>
    <w:multiLevelType w:val="hybridMultilevel"/>
    <w:lvl w:ilvl="0">
      <w:lvlJc w:val="left"/>
      <w:lvlText w:val="%1."/>
      <w:numFmt w:val="decimal"/>
      <w:start w:val="16"/>
    </w:lvl>
  </w:abstractNum>
  <w:abstractNum w:abstractNumId="64">
    <w:nsid w:val="6AA7B75C"/>
    <w:multiLevelType w:val="hybridMultilevel"/>
    <w:lvl w:ilvl="0">
      <w:lvlJc w:val="left"/>
      <w:lvlText w:val="(%1)"/>
      <w:numFmt w:val="decimal"/>
      <w:start w:val="1"/>
    </w:lvl>
  </w:abstractNum>
  <w:abstractNum w:abstractNumId="65">
    <w:nsid w:val="1DF029D3"/>
    <w:multiLevelType w:val="hybridMultilevel"/>
    <w:lvl w:ilvl="0">
      <w:lvlJc w:val="left"/>
      <w:lvlText w:val="%1."/>
      <w:numFmt w:val="decimal"/>
      <w:start w:val="17"/>
    </w:lvl>
  </w:abstractNum>
  <w:abstractNum w:abstractNumId="66">
    <w:nsid w:val="5675FF36"/>
    <w:multiLevelType w:val="hybridMultilevel"/>
    <w:lvl w:ilvl="0">
      <w:lvlJc w:val="left"/>
      <w:lvlText w:val="%1."/>
      <w:numFmt w:val="decimal"/>
      <w:start w:val="18"/>
    </w:lvl>
  </w:abstractNum>
  <w:abstractNum w:abstractNumId="67">
    <w:nsid w:val="3DD15094"/>
    <w:multiLevelType w:val="hybridMultilevel"/>
    <w:lvl w:ilvl="0">
      <w:lvlJc w:val="left"/>
      <w:lvlText w:val="%1."/>
      <w:numFmt w:val="decimal"/>
      <w:start w:val="19"/>
    </w:lvl>
  </w:abstractNum>
  <w:abstractNum w:abstractNumId="68">
    <w:nsid w:val="3DB012B3"/>
    <w:multiLevelType w:val="hybridMultilevel"/>
    <w:lvl w:ilvl="0">
      <w:lvlJc w:val="left"/>
      <w:lvlText w:val="%1."/>
      <w:numFmt w:val="decimal"/>
      <w:start w:val="20"/>
    </w:lvl>
  </w:abstractNum>
  <w:abstractNum w:abstractNumId="69">
    <w:nsid w:val="2708C9AF"/>
    <w:multiLevelType w:val="hybridMultilevel"/>
    <w:lvl w:ilvl="0">
      <w:lvlJc w:val="left"/>
      <w:lvlText w:val="(%1)"/>
      <w:numFmt w:val="decimal"/>
      <w:start w:val="1"/>
    </w:lvl>
  </w:abstractNum>
  <w:abstractNum w:abstractNumId="70">
    <w:nsid w:val="5B25ACE2"/>
    <w:multiLevelType w:val="hybridMultilevel"/>
    <w:lvl w:ilvl="0">
      <w:lvlJc w:val="left"/>
      <w:lvlText w:val="•"/>
      <w:numFmt w:val="bullet"/>
      <w:start w:val="1"/>
    </w:lvl>
  </w:abstractNum>
  <w:abstractNum w:abstractNumId="71">
    <w:nsid w:val="175DFCF0"/>
    <w:multiLevelType w:val="hybridMultilevel"/>
    <w:lvl w:ilvl="0">
      <w:lvlJc w:val="left"/>
      <w:lvlText w:val="•"/>
      <w:numFmt w:val="bullet"/>
      <w:start w:val="1"/>
    </w:lvl>
  </w:abstractNum>
  <w:abstractNum w:abstractNumId="72">
    <w:nsid w:val="4F97E3E4"/>
    <w:multiLevelType w:val="hybridMultilevel"/>
    <w:lvl w:ilvl="0">
      <w:lvlJc w:val="left"/>
      <w:lvlText w:val="•"/>
      <w:numFmt w:val="bullet"/>
      <w:start w:val="1"/>
    </w:lvl>
  </w:abstractNum>
  <w:abstractNum w:abstractNumId="73">
    <w:nsid w:val="53B0A9E"/>
    <w:multiLevelType w:val="hybridMultilevel"/>
    <w:lvl w:ilvl="0">
      <w:lvlJc w:val="left"/>
      <w:lvlText w:val="•"/>
      <w:numFmt w:val="bullet"/>
      <w:start w:val="1"/>
    </w:lvl>
  </w:abstractNum>
  <w:abstractNum w:abstractNumId="74">
    <w:nsid w:val="34FD6B4F"/>
    <w:multiLevelType w:val="hybridMultilevel"/>
    <w:lvl w:ilvl="0">
      <w:lvlJc w:val="left"/>
      <w:lvlText w:val="•"/>
      <w:numFmt w:val="bullet"/>
      <w:start w:val="1"/>
    </w:lvl>
  </w:abstractNum>
  <w:abstractNum w:abstractNumId="75">
    <w:nsid w:val="5915FF32"/>
    <w:multiLevelType w:val="hybridMultilevel"/>
    <w:lvl w:ilvl="0">
      <w:lvlJc w:val="left"/>
      <w:lvlText w:val="%1"/>
      <w:numFmt w:val="decimal"/>
      <w:start w:val="23"/>
    </w:lvl>
  </w:abstractNum>
  <w:abstractNum w:abstractNumId="76">
    <w:nsid w:val="56438D15"/>
    <w:multiLevelType w:val="hybridMultilevel"/>
    <w:lvl w:ilvl="0">
      <w:lvlJc w:val="left"/>
      <w:lvlText w:val="%1"/>
      <w:numFmt w:val="decimal"/>
      <w:start w:val="101"/>
    </w:lvl>
  </w:abstractNum>
  <w:abstractNum w:abstractNumId="77">
    <w:nsid w:val="519E3149"/>
    <w:multiLevelType w:val="hybridMultilevel"/>
    <w:lvl w:ilvl="0">
      <w:lvlJc w:val="left"/>
      <w:lvlText w:val="%1."/>
      <w:numFmt w:val="decimal"/>
      <w:start w:val="1"/>
    </w:lvl>
  </w:abstractNum>
  <w:abstractNum w:abstractNumId="78">
    <w:nsid w:val="2C6E4AFD"/>
    <w:multiLevelType w:val="hybridMultilevel"/>
    <w:lvl w:ilvl="0">
      <w:lvlJc w:val="left"/>
      <w:lvlText w:val="%1."/>
      <w:numFmt w:val="decimal"/>
      <w:start w:val="2"/>
    </w:lvl>
  </w:abstractNum>
  <w:abstractNum w:abstractNumId="79">
    <w:nsid w:val="17A1B582"/>
    <w:multiLevelType w:val="hybridMultilevel"/>
    <w:lvl w:ilvl="0">
      <w:lvlJc w:val="left"/>
      <w:lvlText w:val="(%1)"/>
      <w:numFmt w:val="lowerLetter"/>
      <w:start w:val="1"/>
    </w:lvl>
  </w:abstractNum>
  <w:abstractNum w:abstractNumId="80">
    <w:nsid w:val="4DF72E4E"/>
    <w:multiLevelType w:val="hybridMultilevel"/>
    <w:lvl w:ilvl="0">
      <w:lvlJc w:val="left"/>
      <w:lvlText w:val="(%1)"/>
      <w:numFmt w:val="lowerLetter"/>
      <w:start w:val="11"/>
    </w:lvl>
  </w:abstractNum>
  <w:abstractNum w:abstractNumId="81">
    <w:nsid w:val="5046B5A9"/>
    <w:multiLevelType w:val="hybridMultilevel"/>
    <w:lvl w:ilvl="0">
      <w:lvlJc w:val="left"/>
      <w:lvlText w:val="(%1)"/>
      <w:numFmt w:val="lowerLetter"/>
      <w:start w:val="23"/>
    </w:lvl>
  </w:abstractNum>
  <w:abstractNum w:abstractNumId="82">
    <w:nsid w:val="5D888A08"/>
    <w:multiLevelType w:val="hybridMultilevel"/>
    <w:lvl w:ilvl="0">
      <w:lvlJc w:val="left"/>
      <w:lvlText w:val="%1"/>
      <w:numFmt w:val="decimal"/>
      <w:start w:val="1"/>
    </w:lvl>
    <w:lvl w:ilvl="1">
      <w:lvlJc w:val="left"/>
      <w:lvlText w:val="(%2)"/>
      <w:numFmt w:val="lowerLetter"/>
      <w:start w:val="27"/>
    </w:lvl>
  </w:abstractNum>
  <w:abstractNum w:abstractNumId="83">
    <w:nsid w:val="2A082C70"/>
    <w:multiLevelType w:val="hybridMultilevel"/>
    <w:lvl w:ilvl="0">
      <w:lvlJc w:val="left"/>
      <w:lvlText w:val="%1."/>
      <w:numFmt w:val="decimal"/>
      <w:start w:val="3"/>
    </w:lvl>
    <w:lvl w:ilvl="1">
      <w:lvlJc w:val="left"/>
      <w:lvlText w:val="(%2)"/>
      <w:numFmt w:val="lowerLetter"/>
      <w:start w:val="1"/>
    </w:lvl>
  </w:abstractNum>
  <w:abstractNum w:abstractNumId="84">
    <w:nsid w:val="5EC6AFD4"/>
    <w:multiLevelType w:val="hybridMultilevel"/>
    <w:lvl w:ilvl="0">
      <w:lvlJc w:val="left"/>
      <w:lvlText w:val="(%1)"/>
      <w:numFmt w:val="lowerLetter"/>
      <w:start w:val="2"/>
    </w:lvl>
  </w:abstractNum>
  <w:abstractNum w:abstractNumId="85">
    <w:nsid w:val="19E21BB2"/>
    <w:multiLevelType w:val="hybridMultilevel"/>
    <w:lvl w:ilvl="0">
      <w:lvlJc w:val="left"/>
      <w:lvlText w:val="%1."/>
      <w:numFmt w:val="decimal"/>
      <w:start w:val="4"/>
    </w:lvl>
  </w:abstractNum>
  <w:abstractNum w:abstractNumId="86">
    <w:nsid w:val="75E0858A"/>
    <w:multiLevelType w:val="hybridMultilevel"/>
    <w:lvl w:ilvl="0">
      <w:lvlJc w:val="left"/>
      <w:lvlText w:val="(%1)"/>
      <w:numFmt w:val="lowerRoman"/>
      <w:start w:val="4"/>
    </w:lvl>
  </w:abstractNum>
  <w:abstractNum w:abstractNumId="87">
    <w:nsid w:val="57A61A29"/>
    <w:multiLevelType w:val="hybridMultilevel"/>
    <w:lvl w:ilvl="0">
      <w:lvlJc w:val="left"/>
      <w:lvlText w:val="%1."/>
      <w:numFmt w:val="decimal"/>
      <w:start w:val="5"/>
    </w:lvl>
  </w:abstractNum>
  <w:abstractNum w:abstractNumId="88">
    <w:nsid w:val="5399C654"/>
    <w:multiLevelType w:val="hybridMultilevel"/>
    <w:lvl w:ilvl="0">
      <w:lvlJc w:val="left"/>
      <w:lvlText w:val="%1."/>
      <w:numFmt w:val="decimal"/>
      <w:start w:val="6"/>
    </w:lvl>
    <w:lvl w:ilvl="1">
      <w:lvlJc w:val="left"/>
      <w:lvlText w:val="(%2)"/>
      <w:numFmt w:val="lowerLetter"/>
      <w:start w:val="1"/>
    </w:lvl>
  </w:abstractNum>
  <w:abstractNum w:abstractNumId="89">
    <w:nsid w:val="20EE1348"/>
    <w:multiLevelType w:val="hybridMultilevel"/>
    <w:lvl w:ilvl="0">
      <w:lvlJc w:val="left"/>
      <w:lvlText w:val="%1"/>
      <w:numFmt w:val="decimal"/>
      <w:start w:val="1"/>
    </w:lvl>
    <w:lvl w:ilvl="1">
      <w:lvlJc w:val="left"/>
      <w:lvlText w:val="(%2)"/>
      <w:numFmt w:val="lowerLetter"/>
      <w:start w:val="2"/>
    </w:lvl>
  </w:abstractNum>
  <w:abstractNum w:abstractNumId="90">
    <w:nsid w:val="4427069A"/>
    <w:multiLevelType w:val="hybridMultilevel"/>
    <w:lvl w:ilvl="0">
      <w:lvlJc w:val="left"/>
      <w:lvlText w:val="(%1)"/>
      <w:numFmt w:val="decimal"/>
      <w:start w:val="1"/>
    </w:lvl>
    <w:lvl w:ilvl="1">
      <w:lvlJc w:val="left"/>
      <w:lvlText w:val="%2"/>
      <w:numFmt w:val="lowerLetter"/>
      <w:start w:val="1"/>
    </w:lvl>
  </w:abstractNum>
  <w:abstractNum w:abstractNumId="91">
    <w:nsid w:val="B37E80A"/>
    <w:multiLevelType w:val="hybridMultilevel"/>
    <w:lvl w:ilvl="0">
      <w:lvlJc w:val="left"/>
      <w:lvlText w:val="(%1)"/>
      <w:numFmt w:val="lowerLetter"/>
      <w:start w:val="3"/>
    </w:lvl>
  </w:abstractNum>
  <w:abstractNum w:abstractNumId="92">
    <w:nsid w:val="2157F6BC"/>
    <w:multiLevelType w:val="hybridMultilevel"/>
    <w:lvl w:ilvl="0">
      <w:lvlJc w:val="left"/>
      <w:lvlText w:val="%1."/>
      <w:numFmt w:val="decimal"/>
      <w:start w:val="7"/>
    </w:lvl>
  </w:abstractNum>
  <w:abstractNum w:abstractNumId="93">
    <w:nsid w:val="704E1DD5"/>
    <w:multiLevelType w:val="hybridMultilevel"/>
    <w:lvl w:ilvl="0">
      <w:lvlJc w:val="left"/>
      <w:lvlText w:val="%1."/>
      <w:numFmt w:val="decimal"/>
      <w:start w:val="8"/>
    </w:lvl>
  </w:abstractNum>
  <w:abstractNum w:abstractNumId="94">
    <w:nsid w:val="57D2F10E"/>
    <w:multiLevelType w:val="hybridMultilevel"/>
    <w:lvl w:ilvl="0">
      <w:lvlJc w:val="left"/>
      <w:lvlText w:val="%1."/>
      <w:numFmt w:val="decimal"/>
      <w:start w:val="9"/>
    </w:lvl>
    <w:lvl w:ilvl="1">
      <w:lvlJc w:val="left"/>
      <w:lvlText w:val="(%2)"/>
      <w:numFmt w:val="lowerLetter"/>
      <w:start w:val="1"/>
    </w:lvl>
  </w:abstractNum>
  <w:abstractNum w:abstractNumId="95">
    <w:nsid w:val="BFFAE18"/>
    <w:multiLevelType w:val="hybridMultilevel"/>
    <w:lvl w:ilvl="0">
      <w:lvlJc w:val="left"/>
      <w:lvlText w:val="(%1)"/>
      <w:numFmt w:val="lowerLetter"/>
      <w:start w:val="2"/>
    </w:lvl>
  </w:abstractNum>
  <w:abstractNum w:abstractNumId="96">
    <w:nsid w:val="E3E47A8"/>
    <w:multiLevelType w:val="hybridMultilevel"/>
    <w:lvl w:ilvl="0">
      <w:lvlJc w:val="left"/>
      <w:lvlText w:val="(%1)"/>
      <w:numFmt w:val="lowerLetter"/>
      <w:start w:val="3"/>
    </w:lvl>
  </w:abstractNum>
  <w:abstractNum w:abstractNumId="97">
    <w:nsid w:val="2E48F044"/>
    <w:multiLevelType w:val="hybridMultilevel"/>
    <w:lvl w:ilvl="0">
      <w:lvlJc w:val="left"/>
      <w:lvlText w:val="(%1)"/>
      <w:numFmt w:val="lowerLetter"/>
      <w:start w:val="4"/>
    </w:lvl>
  </w:abstractNum>
  <w:abstractNum w:abstractNumId="98">
    <w:nsid w:val="49D0FEAC"/>
    <w:multiLevelType w:val="hybridMultilevel"/>
    <w:lvl w:ilvl="0">
      <w:lvlJc w:val="left"/>
      <w:lvlText w:val="(%1)"/>
      <w:numFmt w:val="lowerLetter"/>
      <w:start w:val="5"/>
    </w:lvl>
  </w:abstractNum>
  <w:abstractNum w:abstractNumId="99">
    <w:nsid w:val="4BEE5A5B"/>
    <w:multiLevelType w:val="hybridMultilevel"/>
    <w:lvl w:ilvl="0">
      <w:lvlJc w:val="left"/>
      <w:lvlText w:val="(%1)"/>
      <w:numFmt w:val="lowerLetter"/>
      <w:start w:val="6"/>
    </w:lvl>
  </w:abstractNum>
  <w:abstractNum w:abstractNumId="100">
    <w:nsid w:val="5551B9F3"/>
    <w:multiLevelType w:val="hybridMultilevel"/>
    <w:lvl w:ilvl="0">
      <w:lvlJc w:val="left"/>
      <w:lvlText w:val="%1."/>
      <w:numFmt w:val="decimal"/>
      <w:start w:val="10"/>
    </w:lvl>
  </w:abstractNum>
  <w:abstractNum w:abstractNumId="101">
    <w:nsid w:val="24F6AB8E"/>
    <w:multiLevelType w:val="hybridMultilevel"/>
    <w:lvl w:ilvl="0">
      <w:lvlJc w:val="left"/>
      <w:lvlText w:val="(%1)"/>
      <w:numFmt w:val="lowerLetter"/>
      <w:start w:val="1"/>
    </w:lvl>
  </w:abstractNum>
  <w:abstractNum w:abstractNumId="102">
    <w:nsid w:val="634C574C"/>
    <w:multiLevelType w:val="hybridMultilevel"/>
    <w:lvl w:ilvl="0">
      <w:lvlJc w:val="left"/>
      <w:lvlText w:val="(%1)"/>
      <w:numFmt w:val="lowerLetter"/>
      <w:start w:val="2"/>
    </w:lvl>
  </w:abstractNum>
  <w:abstractNum w:abstractNumId="103">
    <w:nsid w:val="24E99DD7"/>
    <w:multiLevelType w:val="hybridMultilevel"/>
    <w:lvl w:ilvl="0">
      <w:lvlJc w:val="left"/>
      <w:lvlText w:val="(%1)"/>
      <w:numFmt w:val="lowerLetter"/>
      <w:start w:val="3"/>
    </w:lvl>
  </w:abstractNum>
  <w:abstractNum w:abstractNumId="104">
    <w:nsid w:val="2A31B62D"/>
    <w:multiLevelType w:val="hybridMultilevel"/>
    <w:lvl w:ilvl="0">
      <w:lvlJc w:val="left"/>
      <w:lvlText w:val="(%1)"/>
      <w:numFmt w:val="lowerLetter"/>
      <w:start w:val="4"/>
    </w:lvl>
  </w:abstractNum>
  <w:abstractNum w:abstractNumId="105">
    <w:nsid w:val="1849C29B"/>
    <w:multiLevelType w:val="hybridMultilevel"/>
    <w:lvl w:ilvl="0">
      <w:lvlJc w:val="left"/>
      <w:lvlText w:val="(%1)"/>
      <w:numFmt w:val="lowerRoman"/>
      <w:start w:val="1"/>
    </w:lvl>
  </w:abstractNum>
  <w:abstractNum w:abstractNumId="106">
    <w:nsid w:val="7DFF9D09"/>
    <w:multiLevelType w:val="hybridMultilevel"/>
    <w:lvl w:ilvl="0">
      <w:lvlJc w:val="left"/>
      <w:lvlText w:val="%1"/>
      <w:numFmt w:val="lowerLetter"/>
      <w:start w:val="1"/>
    </w:lvl>
    <w:lvl w:ilvl="1">
      <w:lvlJc w:val="left"/>
      <w:lvlText w:val="(%2)"/>
      <w:numFmt w:val="lowerLetter"/>
      <w:start w:val="35"/>
    </w:lvl>
  </w:abstractNum>
  <w:abstractNum w:abstractNumId="107">
    <w:nsid w:val="754342"/>
    <w:multiLevelType w:val="hybridMultilevel"/>
    <w:lvl w:ilvl="0">
      <w:lvlJc w:val="left"/>
      <w:lvlText w:val="(%1)"/>
      <w:numFmt w:val="lowerLetter"/>
      <w:start w:val="5"/>
    </w:lvl>
    <w:lvl w:ilvl="1">
      <w:lvlJc w:val="left"/>
      <w:lvlText w:val="%2"/>
      <w:numFmt w:val="lowerLetter"/>
      <w:start w:val="1"/>
    </w:lvl>
  </w:abstractNum>
  <w:abstractNum w:abstractNumId="108">
    <w:nsid w:val="69E7F3E5"/>
    <w:multiLevelType w:val="hybridMultilevel"/>
    <w:lvl w:ilvl="0">
      <w:lvlJc w:val="left"/>
      <w:lvlText w:val="(%1)"/>
      <w:numFmt w:val="lowerLetter"/>
      <w:start w:val="6"/>
    </w:lvl>
  </w:abstractNum>
  <w:abstractNum w:abstractNumId="109">
    <w:nsid w:val="2A6DE806"/>
    <w:multiLevelType w:val="hybridMultilevel"/>
    <w:lvl w:ilvl="0">
      <w:lvlJc w:val="left"/>
      <w:lvlText w:val="(%1)"/>
      <w:numFmt w:val="lowerLetter"/>
      <w:start w:val="7"/>
    </w:lvl>
  </w:abstractNum>
  <w:abstractNum w:abstractNumId="110">
    <w:nsid w:val="1816F8C4"/>
    <w:multiLevelType w:val="hybridMultilevel"/>
    <w:lvl w:ilvl="0">
      <w:lvlJc w:val="left"/>
      <w:lvlText w:val="(%1)"/>
      <w:numFmt w:val="lowerLetter"/>
      <w:start w:val="8"/>
    </w:lvl>
  </w:abstractNum>
  <w:abstractNum w:abstractNumId="111">
    <w:nsid w:val="37DF2233"/>
    <w:multiLevelType w:val="hybridMultilevel"/>
    <w:lvl w:ilvl="0">
      <w:lvlJc w:val="left"/>
      <w:lvlText w:val="%1."/>
      <w:numFmt w:val="decimal"/>
      <w:start w:val="11"/>
    </w:lvl>
  </w:abstractNum>
  <w:abstractNum w:abstractNumId="112">
    <w:nsid w:val="7AB49DAF"/>
    <w:multiLevelType w:val="hybridMultilevel"/>
    <w:lvl w:ilvl="0">
      <w:lvlJc w:val="left"/>
      <w:lvlText w:val="%1."/>
      <w:numFmt w:val="decimal"/>
      <w:start w:val="12"/>
    </w:lvl>
    <w:lvl w:ilvl="1">
      <w:lvlJc w:val="left"/>
      <w:lvlText w:val="(%2)"/>
      <w:numFmt w:val="lowerLetter"/>
      <w:start w:val="1"/>
    </w:lvl>
  </w:abstractNum>
  <w:abstractNum w:abstractNumId="113">
    <w:nsid w:val="759F82CD"/>
    <w:multiLevelType w:val="hybridMultilevel"/>
    <w:lvl w:ilvl="0">
      <w:lvlJc w:val="left"/>
      <w:lvlText w:val="%1."/>
      <w:numFmt w:val="decimal"/>
      <w:start w:val="14"/>
    </w:lvl>
    <w:lvl w:ilvl="1">
      <w:lvlJc w:val="left"/>
      <w:lvlText w:val="(%2)"/>
      <w:numFmt w:val="lowerLetter"/>
      <w:start w:val="1"/>
    </w:lvl>
  </w:abstractNum>
  <w:abstractNum w:abstractNumId="114">
    <w:nsid w:val="61E74EA3"/>
    <w:multiLevelType w:val="hybridMultilevel"/>
    <w:lvl w:ilvl="0">
      <w:lvlJc w:val="left"/>
      <w:lvlText w:val="(%1)"/>
      <w:numFmt w:val="lowerLetter"/>
      <w:start w:val="2"/>
    </w:lvl>
  </w:abstractNum>
  <w:abstractNum w:abstractNumId="115">
    <w:nsid w:val="597B4D84"/>
    <w:multiLevelType w:val="hybridMultilevel"/>
    <w:lvl w:ilvl="0">
      <w:lvlJc w:val="left"/>
      <w:lvlText w:val="(%1)"/>
      <w:numFmt w:val="lowerLetter"/>
      <w:start w:val="3"/>
    </w:lvl>
  </w:abstractNum>
  <w:abstractNum w:abstractNumId="116">
    <w:nsid w:val="F819E7F"/>
    <w:multiLevelType w:val="hybridMultilevel"/>
    <w:lvl w:ilvl="0">
      <w:lvlJc w:val="left"/>
      <w:lvlText w:val="%1."/>
      <w:numFmt w:val="decimal"/>
      <w:start w:val="15"/>
    </w:lvl>
  </w:abstractNum>
  <w:abstractNum w:abstractNumId="117">
    <w:nsid w:val="57C7D42D"/>
    <w:multiLevelType w:val="hybridMultilevel"/>
    <w:lvl w:ilvl="0">
      <w:lvlJc w:val="left"/>
      <w:lvlText w:val="%1."/>
      <w:numFmt w:val="decimal"/>
      <w:start w:val="16"/>
    </w:lvl>
  </w:abstractNum>
  <w:abstractNum w:abstractNumId="118">
    <w:nsid w:val="312167AD"/>
    <w:multiLevelType w:val="hybridMultilevel"/>
    <w:lvl w:ilvl="0">
      <w:lvlJc w:val="left"/>
      <w:lvlText w:val="%1."/>
      <w:numFmt w:val="decimal"/>
      <w:start w:val="18"/>
    </w:lvl>
  </w:abstractNum>
  <w:abstractNum w:abstractNumId="119">
    <w:nsid w:val="631B64D4"/>
    <w:multiLevelType w:val="hybridMultilevel"/>
    <w:lvl w:ilvl="0">
      <w:lvlJc w:val="left"/>
      <w:lvlText w:val="%1."/>
      <w:numFmt w:val="decimal"/>
      <w:start w:val="19"/>
    </w:lvl>
  </w:abstractNum>
  <w:abstractNum w:abstractNumId="120">
    <w:nsid w:val="78B5E776"/>
    <w:multiLevelType w:val="hybridMultilevel"/>
    <w:lvl w:ilvl="0">
      <w:lvlJc w:val="left"/>
      <w:lvlText w:val="%1."/>
      <w:numFmt w:val="decimal"/>
      <w:start w:val="20"/>
    </w:lvl>
  </w:abstractNum>
  <w:abstractNum w:abstractNumId="121">
    <w:nsid w:val="75486E47"/>
    <w:multiLevelType w:val="hybridMultilevel"/>
    <w:lvl w:ilvl="0">
      <w:lvlJc w:val="left"/>
      <w:lvlText w:val="(%1)"/>
      <w:numFmt w:val="lowerRoman"/>
      <w:start w:val="1"/>
    </w:lvl>
  </w:abstractNum>
  <w:abstractNum w:abstractNumId="122">
    <w:nsid w:val="6E534CDE"/>
    <w:multiLevelType w:val="hybridMultilevel"/>
    <w:lvl w:ilvl="0">
      <w:lvlJc w:val="left"/>
      <w:lvlText w:val="(%1)"/>
      <w:numFmt w:val="lowerLetter"/>
      <w:start w:val="1"/>
    </w:lvl>
  </w:abstractNum>
  <w:abstractNum w:abstractNumId="123">
    <w:nsid w:val="1A0DDE32"/>
    <w:multiLevelType w:val="hybridMultilevel"/>
    <w:lvl w:ilvl="0">
      <w:lvlJc w:val="left"/>
      <w:lvlText w:val="(%1)"/>
      <w:numFmt w:val="lowerRoman"/>
      <w:start w:val="2"/>
    </w:lvl>
  </w:abstractNum>
  <w:abstractNum w:abstractNumId="124">
    <w:nsid w:val="65968C1C"/>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abstractNum w:abstractNumId="125">
    <w:nsid w:val="46263DEC"/>
    <w:multiLevelType w:val="hybridMultilevel"/>
    <w:lvl w:ilvl="0">
      <w:lvlJc w:val="left"/>
      <w:lvlText w:val="%1"/>
      <w:numFmt w:val="lowerRoman"/>
      <w:start w:val="1"/>
    </w:lvl>
    <w:lvl w:ilvl="1">
      <w:lvlJc w:val="left"/>
      <w:lvlText w:val="(%2)"/>
      <w:numFmt w:val="lowerRoman"/>
      <w:start w:val="4"/>
    </w:lvl>
    <w:lvl w:ilvl="2">
      <w:lvlJc w:val="left"/>
      <w:lvlText w:val="%3"/>
      <w:numFmt w:val="lowerRoman"/>
      <w:start w:val="1"/>
    </w:lvl>
  </w:abstractNum>
  <w:abstractNum w:abstractNumId="126">
    <w:nsid w:val="260D8C4A"/>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abstractNum>
  <w:abstractNum w:abstractNumId="127">
    <w:nsid w:val="73D4D3C4"/>
    <w:multiLevelType w:val="hybridMultilevel"/>
    <w:lvl w:ilvl="0">
      <w:lvlJc w:val="left"/>
      <w:lvlText w:val="%1"/>
      <w:numFmt w:val="lowerRoman"/>
      <w:start w:val="1"/>
    </w:lvl>
    <w:lvl w:ilvl="1">
      <w:lvlJc w:val="left"/>
      <w:lvlText w:val="(%2)"/>
      <w:numFmt w:val="decimal"/>
      <w:start w:val="1"/>
    </w:lvl>
  </w:abstractNum>
  <w:abstractNum w:abstractNumId="128">
    <w:nsid w:val="746F2E30"/>
    <w:multiLevelType w:val="hybridMultilevel"/>
    <w:lvl w:ilvl="0">
      <w:lvlJc w:val="left"/>
      <w:lvlText w:val="(%1)"/>
      <w:numFmt w:val="lowerRoman"/>
      <w:start w:val="7"/>
    </w:lvl>
    <w:lvl w:ilvl="1">
      <w:lvlJc w:val="left"/>
      <w:lvlText w:val="(%2)"/>
      <w:numFmt w:val="decimal"/>
      <w:start w:val="1"/>
    </w:lvl>
  </w:abstractNum>
  <w:abstractNum w:abstractNumId="129">
    <w:nsid w:val="6FDE8AF6"/>
    <w:multiLevelType w:val="hybridMultilevel"/>
    <w:lvl w:ilvl="0">
      <w:lvlJc w:val="left"/>
      <w:lvlText w:val="%1"/>
      <w:numFmt w:val="lowerRoman"/>
      <w:start w:val="1"/>
    </w:lvl>
    <w:lvl w:ilvl="1">
      <w:lvlJc w:val="left"/>
      <w:lvlText w:val="(%2)"/>
      <w:numFmt w:val="decimal"/>
      <w:start w:val="2"/>
    </w:lvl>
  </w:abstractNum>
  <w:abstractNum w:abstractNumId="130">
    <w:nsid w:val="3FC32E20"/>
    <w:multiLevelType w:val="hybridMultilevel"/>
    <w:lvl w:ilvl="0">
      <w:lvlJc w:val="left"/>
      <w:lvlText w:val="(%1)"/>
      <w:numFmt w:val="lowerRoman"/>
      <w:start w:val="8"/>
    </w:lvl>
    <w:lvl w:ilvl="1">
      <w:lvlJc w:val="left"/>
      <w:lvlText w:val="(%2)"/>
      <w:numFmt w:val="decimal"/>
      <w:start w:val="1"/>
    </w:lvl>
  </w:abstractNum>
  <w:abstractNum w:abstractNumId="131">
    <w:nsid w:val="49C0E823"/>
    <w:multiLevelType w:val="hybridMultilevel"/>
    <w:lvl w:ilvl="0">
      <w:lvlJc w:val="left"/>
      <w:lvlText w:val="(%1)"/>
      <w:numFmt w:val="lowerLetter"/>
      <w:start w:val="2"/>
    </w:lvl>
    <w:lvl w:ilvl="1">
      <w:lvlJc w:val="left"/>
      <w:lvlText w:val="(%2)"/>
      <w:numFmt w:val="lowerLetter"/>
      <w:start w:val="9"/>
    </w:lvl>
  </w:abstractNum>
  <w:abstractNum w:abstractNumId="132">
    <w:nsid w:val="14D53685"/>
    <w:multiLevelType w:val="hybridMultilevel"/>
    <w:lvl w:ilvl="0">
      <w:lvlJc w:val="left"/>
      <w:lvlText w:val="(%1)"/>
      <w:numFmt w:val="lowerRoman"/>
      <w:start w:val="2"/>
    </w:lvl>
  </w:abstractNum>
  <w:abstractNum w:abstractNumId="133">
    <w:nsid w:val="230F856C"/>
    <w:multiLevelType w:val="hybridMultilevel"/>
    <w:lvl w:ilvl="0">
      <w:lvlJc w:val="left"/>
      <w:lvlText w:val="(%1)"/>
      <w:numFmt w:val="lowerLetter"/>
      <w:start w:val="3"/>
    </w:lvl>
  </w:abstractNum>
  <w:abstractNum w:abstractNumId="134">
    <w:nsid w:val="6EAA85F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35">
    <w:nsid w:val="3F06ECB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136">
    <w:nsid w:val="3B594807"/>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37">
    <w:nsid w:val="6CAA2304"/>
    <w:multiLevelType w:val="hybridMultilevel"/>
    <w:lvl w:ilvl="0">
      <w:lvlJc w:val="left"/>
      <w:lvlText w:val="(%1)"/>
      <w:numFmt w:val="lowerLetter"/>
      <w:start w:val="4"/>
    </w:lvl>
  </w:abstractNum>
  <w:abstractNum w:abstractNumId="138">
    <w:nsid w:val="3F7C2FF4"/>
    <w:multiLevelType w:val="hybridMultilevel"/>
    <w:lvl w:ilvl="0">
      <w:lvlJc w:val="left"/>
      <w:lvlText w:val="(%1)"/>
      <w:numFmt w:val="lowerLetter"/>
      <w:start w:val="1"/>
    </w:lvl>
  </w:abstractNum>
  <w:abstractNum w:abstractNumId="139">
    <w:nsid w:val="25413BEC"/>
    <w:multiLevelType w:val="hybridMultilevel"/>
    <w:lvl w:ilvl="0">
      <w:lvlJc w:val="left"/>
      <w:lvlText w:val="▪"/>
      <w:numFmt w:val="bullet"/>
      <w:start w:val="1"/>
    </w:lvl>
  </w:abstractNum>
  <w:abstractNum w:abstractNumId="140">
    <w:nsid w:val="17180B0B"/>
    <w:multiLevelType w:val="hybridMultilevel"/>
    <w:lvl w:ilvl="0">
      <w:lvlJc w:val="left"/>
      <w:lvlText w:val="▪"/>
      <w:numFmt w:val="bullet"/>
      <w:start w:val="1"/>
    </w:lvl>
  </w:abstractNum>
  <w:abstractNum w:abstractNumId="141">
    <w:nsid w:val="579328B9"/>
    <w:multiLevelType w:val="hybridMultilevel"/>
    <w:lvl w:ilvl="0">
      <w:lvlJc w:val="left"/>
      <w:lvlText w:val="▪"/>
      <w:numFmt w:val="bullet"/>
      <w:start w:val="1"/>
    </w:lvl>
  </w:abstractNum>
  <w:abstractNum w:abstractNumId="142">
    <w:nsid w:val="5D205E20"/>
    <w:multiLevelType w:val="hybridMultilevel"/>
    <w:lvl w:ilvl="0">
      <w:lvlJc w:val="left"/>
      <w:lvlText w:val="(%1)"/>
      <w:numFmt w:val="lowerLetter"/>
      <w:start w:val="3"/>
    </w:lvl>
  </w:abstractNum>
  <w:abstractNum w:abstractNumId="143">
    <w:nsid w:val="11CCA8BA"/>
    <w:multiLevelType w:val="hybridMultilevel"/>
    <w:lvl w:ilvl="0">
      <w:lvlJc w:val="left"/>
      <w:lvlText w:val="(%1)"/>
      <w:numFmt w:val="lowerLetter"/>
      <w:start w:val="1"/>
    </w:lvl>
  </w:abstractNum>
  <w:abstractNum w:abstractNumId="144">
    <w:nsid w:val="4D32AB86"/>
    <w:multiLevelType w:val="hybridMultilevel"/>
    <w:lvl w:ilvl="0">
      <w:lvlJc w:val="left"/>
      <w:lvlText w:val="(%1)"/>
      <w:numFmt w:val="lowerLetter"/>
      <w:start w:val="4"/>
    </w:lvl>
    <w:lvl w:ilvl="1">
      <w:lvlJc w:val="left"/>
      <w:lvlText w:val="(%2)"/>
      <w:numFmt w:val="upperLetter"/>
      <w:start w:val="9"/>
    </w:lvl>
  </w:abstractNum>
  <w:abstractNum w:abstractNumId="145">
    <w:nsid w:val="3F07ACC3"/>
    <w:multiLevelType w:val="hybridMultilevel"/>
    <w:lvl w:ilvl="0">
      <w:lvlJc w:val="left"/>
      <w:lvlText w:val="(%1)"/>
      <w:numFmt w:val="upperLetter"/>
      <w:start w:val="35"/>
    </w:lvl>
  </w:abstractNum>
  <w:abstractNum w:abstractNumId="146">
    <w:nsid w:val="6B47F63E"/>
    <w:multiLevelType w:val="hybridMultilevel"/>
    <w:lvl w:ilvl="0">
      <w:lvlJc w:val="left"/>
      <w:lvlText w:val="(%1)"/>
      <w:numFmt w:val="lowerLetter"/>
      <w:start w:val="9"/>
    </w:lvl>
  </w:abstractNum>
  <w:abstractNum w:abstractNumId="147">
    <w:nsid w:val="5CB44A05"/>
    <w:multiLevelType w:val="hybridMultilevel"/>
    <w:lvl w:ilvl="0">
      <w:lvlJc w:val="left"/>
      <w:lvlText w:val="(%1)"/>
      <w:numFmt w:val="lowerLetter"/>
      <w:start w:val="13"/>
    </w:lvl>
  </w:abstractNum>
  <w:abstractNum w:abstractNumId="148">
    <w:nsid w:val="16CF80F1"/>
    <w:multiLevelType w:val="hybridMultilevel"/>
    <w:lvl w:ilvl="0">
      <w:lvlJc w:val="left"/>
      <w:lvlText w:val="(%1)"/>
      <w:numFmt w:val="lowerLetter"/>
      <w:start w:val="20"/>
    </w:lvl>
  </w:abstractNum>
  <w:abstractNum w:abstractNumId="149">
    <w:nsid w:val="1C695DEC"/>
    <w:multiLevelType w:val="hybridMultilevel"/>
    <w:lvl w:ilvl="0">
      <w:lvlJc w:val="left"/>
      <w:lvlText w:val="(%1)"/>
      <w:numFmt w:val="lowerLetter"/>
      <w:start w:val="1"/>
    </w:lvl>
    <w:lvl w:ilvl="1">
      <w:lvlJc w:val="left"/>
      <w:lvlText w:val="(%2)"/>
      <w:numFmt w:val="upperLetter"/>
      <w:start w:val="9"/>
    </w:lvl>
  </w:abstractNum>
  <w:abstractNum w:abstractNumId="150">
    <w:nsid w:val="3FCFAED9"/>
    <w:multiLevelType w:val="hybridMultilevel"/>
    <w:lvl w:ilvl="0">
      <w:lvlJc w:val="left"/>
      <w:lvlText w:val="%1"/>
      <w:numFmt w:val="lowerLetter"/>
      <w:start w:val="1"/>
    </w:lvl>
    <w:lvl w:ilvl="1">
      <w:lvlJc w:val="left"/>
      <w:lvlText w:val="(%2)"/>
      <w:numFmt w:val="upperLetter"/>
      <w:start w:val="35"/>
    </w:lvl>
  </w:abstractNum>
  <w:abstractNum w:abstractNumId="151">
    <w:nsid w:val="F856867"/>
    <w:multiLevelType w:val="hybridMultilevel"/>
    <w:lvl w:ilvl="0">
      <w:lvlJc w:val="left"/>
      <w:lvlText w:val="(%1)"/>
      <w:numFmt w:val="lowerLetter"/>
      <w:start w:val="4"/>
    </w:lvl>
    <w:lvl w:ilvl="1">
      <w:lvlJc w:val="left"/>
      <w:lvlText w:val="%2"/>
      <w:numFmt w:val="upperLetter"/>
      <w:start w:val="1"/>
    </w:lvl>
  </w:abstractNum>
  <w:abstractNum w:abstractNumId="152">
    <w:nsid w:val="11B1CC33"/>
    <w:multiLevelType w:val="hybridMultilevel"/>
    <w:lvl w:ilvl="0">
      <w:lvlJc w:val="left"/>
      <w:lvlText w:val="(%1)"/>
      <w:numFmt w:val="lowerLetter"/>
      <w:start w:val="1"/>
    </w:lvl>
  </w:abstractNum>
  <w:abstractNum w:abstractNumId="153">
    <w:nsid w:val="2E22FBB7"/>
    <w:multiLevelType w:val="hybridMultilevel"/>
    <w:lvl w:ilvl="0">
      <w:lvlJc w:val="left"/>
      <w:lvlText w:val="(%1)"/>
      <w:numFmt w:val="lowerLetter"/>
      <w:start w:val="1"/>
    </w:lvl>
  </w:abstractNum>
  <w:abstractNum w:abstractNumId="154">
    <w:nsid w:val="29934699"/>
    <w:multiLevelType w:val="hybridMultilevel"/>
    <w:lvl w:ilvl="0">
      <w:lvlJc w:val="left"/>
      <w:lvlText w:val="(%1)"/>
      <w:numFmt w:val="lowerLetter"/>
      <w:start w:val="1"/>
    </w:lvl>
  </w:abstractNum>
  <w:abstractNum w:abstractNumId="155">
    <w:nsid w:val="77485850"/>
    <w:multiLevelType w:val="hybridMultilevel"/>
    <w:lvl w:ilvl="0">
      <w:lvlJc w:val="left"/>
      <w:lvlText w:val="(%1)"/>
      <w:numFmt w:val="lowerLetter"/>
      <w:start w:val="2"/>
    </w:lvl>
  </w:abstractNum>
  <w:abstractNum w:abstractNumId="156">
    <w:nsid w:val="744939A3"/>
    <w:multiLevelType w:val="hybridMultilevel"/>
    <w:lvl w:ilvl="0">
      <w:lvlJc w:val="left"/>
      <w:lvlText w:val="•"/>
      <w:numFmt w:val="bullet"/>
      <w:start w:val="1"/>
    </w:lvl>
  </w:abstractNum>
  <w:abstractNum w:abstractNumId="157">
    <w:nsid w:val="4FA0D2E3"/>
    <w:multiLevelType w:val="hybridMultilevel"/>
    <w:lvl w:ilvl="0">
      <w:lvlJc w:val="left"/>
      <w:lvlText w:val="•"/>
      <w:numFmt w:val="bullet"/>
      <w:start w:val="1"/>
    </w:lvl>
  </w:abstractNum>
  <w:abstractNum w:abstractNumId="158">
    <w:nsid w:val="6B1D2C14"/>
    <w:multiLevelType w:val="hybridMultilevel"/>
    <w:lvl w:ilvl="0">
      <w:lvlJc w:val="left"/>
      <w:lvlText w:val="%1."/>
      <w:numFmt w:val="decimal"/>
      <w:start w:val="1"/>
    </w:lvl>
  </w:abstractNum>
  <w:abstractNum w:abstractNumId="159">
    <w:nsid w:val="68B867D3"/>
    <w:multiLevelType w:val="hybridMultilevel"/>
    <w:lvl w:ilvl="0">
      <w:lvlJc w:val="left"/>
      <w:lvlText w:val="%1"/>
      <w:numFmt w:val="lowerRoman"/>
      <w:start w:val="1"/>
    </w:lvl>
    <w:lvl w:ilvl="1">
      <w:lvlJc w:val="left"/>
      <w:lvlText w:val="(%2)"/>
      <w:numFmt w:val="lowerLetter"/>
      <w:start w:val="1"/>
    </w:lvl>
  </w:abstractNum>
  <w:abstractNum w:abstractNumId="160">
    <w:nsid w:val="3F7F5DD9"/>
    <w:multiLevelType w:val="hybridMultilevel"/>
    <w:lvl w:ilvl="0">
      <w:lvlJc w:val="left"/>
      <w:lvlText w:val="%1."/>
      <w:numFmt w:val="lowerRoman"/>
      <w:start w:val="1"/>
    </w:lvl>
    <w:lvl w:ilvl="1">
      <w:lvlJc w:val="left"/>
      <w:lvlText w:val="(%2)"/>
      <w:numFmt w:val="lowerLetter"/>
      <w:start w:val="2"/>
    </w:lvl>
  </w:abstractNum>
  <w:abstractNum w:abstractNumId="161">
    <w:nsid w:val="2AE05A34"/>
    <w:multiLevelType w:val="hybridMultilevel"/>
    <w:lvl w:ilvl="0">
      <w:lvlJc w:val="left"/>
      <w:lvlText w:val="%1."/>
      <w:numFmt w:val="decimal"/>
      <w:start w:val="4"/>
    </w:lvl>
  </w:abstractNum>
  <w:abstractNum w:abstractNumId="162">
    <w:nsid w:val="32794FF7"/>
    <w:multiLevelType w:val="hybridMultilevel"/>
    <w:lvl w:ilvl="0">
      <w:lvlJc w:val="left"/>
      <w:lvlText w:val="%1"/>
      <w:numFmt w:val="decimal"/>
      <w:start w:val="1"/>
    </w:lvl>
    <w:lvl w:ilvl="1">
      <w:lvlJc w:val="left"/>
      <w:lvlText w:val="(%2)"/>
      <w:numFmt w:val="lowerLetter"/>
      <w:start w:val="1"/>
    </w:lvl>
  </w:abstractNum>
  <w:abstractNum w:abstractNumId="163">
    <w:nsid w:val="5454945E"/>
    <w:multiLevelType w:val="hybridMultilevel"/>
    <w:lvl w:ilvl="0">
      <w:lvlJc w:val="left"/>
      <w:lvlText w:val="%1."/>
      <w:numFmt w:val="decimal"/>
      <w:start w:val="5"/>
    </w:lvl>
    <w:lvl w:ilvl="1">
      <w:lvlJc w:val="left"/>
      <w:lvlText w:val="%2"/>
      <w:numFmt w:val="lowerLetter"/>
      <w:start w:val="1"/>
    </w:lvl>
  </w:abstractNum>
  <w:abstractNum w:abstractNumId="164">
    <w:nsid w:val="4DEFDFA0"/>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65">
    <w:nsid w:val="2123D5F2"/>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166">
    <w:nsid w:val="135B8110"/>
    <w:multiLevelType w:val="hybridMultilevel"/>
    <w:lvl w:ilvl="0">
      <w:lvlJc w:val="left"/>
      <w:lvlText w:val="%1."/>
      <w:numFmt w:val="decimal"/>
      <w:start w:val="11"/>
    </w:lvl>
  </w:abstractNum>
  <w:abstractNum w:abstractNumId="167">
    <w:nsid w:val="94927A8"/>
    <w:multiLevelType w:val="hybridMultilevel"/>
    <w:lvl w:ilvl="0">
      <w:lvlJc w:val="left"/>
      <w:lvlText w:val="%1."/>
      <w:numFmt w:val="decimal"/>
      <w:start w:val="1"/>
    </w:lvl>
  </w:abstractNum>
  <w:abstractNum w:abstractNumId="168">
    <w:nsid w:val="DCDF8F6"/>
    <w:multiLevelType w:val="hybridMultilevel"/>
    <w:lvl w:ilvl="0">
      <w:lvlJc w:val="left"/>
      <w:lvlText w:val="%1."/>
      <w:numFmt w:val="decimal"/>
      <w:start w:val="1"/>
    </w:lvl>
  </w:abstractNum>
  <w:abstractNum w:abstractNumId="169">
    <w:nsid w:val="52D7B105"/>
    <w:multiLevelType w:val="hybridMultilevel"/>
    <w:lvl w:ilvl="0">
      <w:lvlJc w:val="left"/>
      <w:lvlText w:val="(%1)"/>
      <w:numFmt w:val="lowerLetter"/>
      <w:start w:val="1"/>
    </w:lvl>
  </w:abstractNum>
  <w:abstractNum w:abstractNumId="170">
    <w:nsid w:val="2E8A6394"/>
    <w:multiLevelType w:val="hybridMultilevel"/>
    <w:lvl w:ilvl="0">
      <w:lvlJc w:val="left"/>
      <w:lvlText w:val="(%1)"/>
      <w:numFmt w:val="lowerLetter"/>
      <w:start w:val="9"/>
    </w:lvl>
  </w:abstractNum>
  <w:abstractNum w:abstractNumId="171">
    <w:nsid w:val="24E60401"/>
    <w:multiLevelType w:val="hybridMultilevel"/>
    <w:lvl w:ilvl="0">
      <w:lvlJc w:val="left"/>
      <w:lvlText w:val="%1."/>
      <w:numFmt w:val="decimal"/>
      <w:start w:val="1"/>
    </w:lvl>
    <w:lvl w:ilvl="1">
      <w:lvlJc w:val="left"/>
      <w:lvlText w:val="(%2)"/>
      <w:numFmt w:val="lowerLetter"/>
      <w:start w:val="1"/>
    </w:lvl>
  </w:abstractNum>
  <w:abstractNum w:abstractNumId="172">
    <w:nsid w:val="2A6AD9BE"/>
    <w:multiLevelType w:val="hybridMultilevel"/>
    <w:lvl w:ilvl="0">
      <w:lvlJc w:val="left"/>
      <w:lvlText w:val="%1."/>
      <w:numFmt w:val="decimal"/>
      <w:start w:val="1"/>
    </w:lvl>
    <w:lvl w:ilvl="1">
      <w:lvlJc w:val="left"/>
      <w:lvlText w:val="(%2)"/>
      <w:numFmt w:val="lowerLetter"/>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2019-12-05T15:59:57Z</dcterms:created>
  <dcterms:modified xsi:type="dcterms:W3CDTF">2019-12-05T15:59:57Z</dcterms:modified>
</cp:coreProperties>
</file>