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374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37413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91"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0" w:type="dxa"/>
            <w:vAlign w:val="bottom"/>
            <w:gridSpan w:val="2"/>
            <w:vMerge w:val="restart"/>
          </w:tcPr>
          <w:p>
            <w:pPr>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O'Shaughnessy Laura</w:t>
              </w:r>
            </w:hyperlink>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Graham Holdings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0" w:type="dxa"/>
            <w:vAlign w:val="bottom"/>
            <w:tcBorders>
              <w:bottom w:val="single" w:sz="8" w:color="0000EE"/>
            </w:tcBorders>
            <w:gridSpan w:val="2"/>
            <w:vMerge w:val="continue"/>
          </w:tcPr>
          <w:p>
            <w:pPr>
              <w:spacing w:after="0"/>
              <w:rPr>
                <w:sz w:val="5"/>
                <w:szCs w:val="5"/>
                <w:color w:val="auto"/>
              </w:rPr>
            </w:pPr>
          </w:p>
        </w:tc>
        <w:tc>
          <w:tcPr>
            <w:tcW w:w="18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2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8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8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840" w:type="dxa"/>
            <w:vAlign w:val="bottom"/>
            <w:vMerge w:val="restart"/>
          </w:tcPr>
          <w:p>
            <w:pPr>
              <w:ind w:left="6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840" w:type="dxa"/>
            <w:vAlign w:val="bottom"/>
            <w:vMerge w:val="continue"/>
          </w:tcPr>
          <w:p>
            <w:pPr>
              <w:spacing w:after="0"/>
              <w:rPr>
                <w:sz w:val="8"/>
                <w:szCs w:val="8"/>
                <w:color w:val="auto"/>
              </w:rPr>
            </w:pPr>
          </w:p>
        </w:tc>
        <w:tc>
          <w:tcPr>
            <w:tcW w:w="1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08/20/2025</w:t>
            </w:r>
          </w:p>
        </w:tc>
        <w:tc>
          <w:tcPr>
            <w:tcW w:w="20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GRAHAM HOLDINGS COMPANY</w:t>
            </w:r>
          </w:p>
        </w:tc>
        <w:tc>
          <w:tcPr>
            <w:tcW w:w="1920" w:type="dxa"/>
            <w:vAlign w:val="bottom"/>
            <w:gridSpan w:val="3"/>
            <w:vMerge w:val="continue"/>
          </w:tcPr>
          <w:p>
            <w:pPr>
              <w:spacing w:after="0"/>
              <w:rPr>
                <w:sz w:val="10"/>
                <w:szCs w:val="10"/>
                <w:color w:val="auto"/>
              </w:rPr>
            </w:pPr>
          </w:p>
        </w:tc>
        <w:tc>
          <w:tcPr>
            <w:tcW w:w="2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1812 NORTH MOORE STREET, SUITE 2100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91"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ARLINGTON</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VA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22209</w:t>
            </w:r>
          </w:p>
        </w:tc>
      </w:tr>
      <w:tr>
        <w:trPr>
          <w:trHeight w:val="151"/>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9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6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ind w:left="5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4,099</w:t>
            </w:r>
          </w:p>
        </w:tc>
        <w:tc>
          <w:tcPr>
            <w:tcW w:w="280" w:type="dxa"/>
            <w:vAlign w:val="bottom"/>
          </w:tcPr>
          <w:p>
            <w:pPr>
              <w:spacing w:after="0"/>
              <w:rPr>
                <w:sz w:val="22"/>
                <w:szCs w:val="22"/>
                <w:color w:val="auto"/>
              </w:rPr>
            </w:pPr>
          </w:p>
        </w:tc>
        <w:tc>
          <w:tcPr>
            <w:tcW w:w="680" w:type="dxa"/>
            <w:vAlign w:val="bottom"/>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2,700</w:t>
            </w:r>
          </w:p>
        </w:tc>
        <w:tc>
          <w:tcPr>
            <w:tcW w:w="280" w:type="dxa"/>
            <w:vAlign w:val="bottom"/>
          </w:tcPr>
          <w:p>
            <w:pPr>
              <w:spacing w:after="0"/>
              <w:rPr>
                <w:sz w:val="22"/>
                <w:szCs w:val="22"/>
                <w:color w:val="auto"/>
              </w:rPr>
            </w:pPr>
          </w:p>
        </w:tc>
        <w:tc>
          <w:tcPr>
            <w:tcW w:w="680" w:type="dxa"/>
            <w:vAlign w:val="bottom"/>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54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08/20/2025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jc w:val="right"/>
              <w:ind w:right="56"/>
              <w:spacing w:after="0"/>
              <w:rPr>
                <w:sz w:val="20"/>
                <w:szCs w:val="20"/>
                <w:color w:val="auto"/>
              </w:rPr>
            </w:pPr>
            <w:r>
              <w:rPr>
                <w:rFonts w:ascii="Times New Roman" w:cs="Times New Roman" w:eastAsia="Times New Roman" w:hAnsi="Times New Roman"/>
                <w:sz w:val="17"/>
                <w:szCs w:val="17"/>
                <w:color w:val="0000FF"/>
              </w:rPr>
              <w:t>7,580</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872.01</w:t>
            </w: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28,605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1"/>
                <w:szCs w:val="21"/>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54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08/20/2025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6,878</w:t>
            </w:r>
            <w:r>
              <w:rPr>
                <w:rFonts w:ascii="Times New Roman" w:cs="Times New Roman" w:eastAsia="Times New Roman" w:hAnsi="Times New Roman"/>
                <w:sz w:val="21"/>
                <w:szCs w:val="21"/>
                <w:color w:val="008000"/>
                <w:vertAlign w:val="superscript"/>
              </w:rPr>
              <w:t>(2)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1,070.83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21,727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Spouse</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1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5,600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140" w:type="dxa"/>
            <w:vAlign w:val="bottom"/>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780" w:type="dxa"/>
            <w:vAlign w:val="bottom"/>
            <w:vMerge w:val="restart"/>
          </w:tcPr>
          <w:p>
            <w:pPr>
              <w:jc w:val="right"/>
              <w:ind w:right="262"/>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right"/>
              <w:ind w:right="236"/>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B</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2,700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0000FF"/>
              </w:rPr>
              <w:t>2,700</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spacing w:after="0"/>
              <w:rPr>
                <w:sz w:val="12"/>
                <w:szCs w:val="12"/>
                <w:color w:val="auto"/>
              </w:rPr>
            </w:pPr>
          </w:p>
        </w:tc>
        <w:tc>
          <w:tcPr>
            <w:tcW w:w="66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Class B</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7,580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gridSpan w:val="2"/>
            <w:vMerge w:val="restart"/>
          </w:tcPr>
          <w:p>
            <w:pPr>
              <w:jc w:val="center"/>
              <w:ind w:right="142"/>
              <w:spacing w:after="0"/>
              <w:rPr>
                <w:sz w:val="20"/>
                <w:szCs w:val="20"/>
                <w:color w:val="auto"/>
              </w:rPr>
            </w:pPr>
            <w:r>
              <w:rPr>
                <w:rFonts w:ascii="Times New Roman" w:cs="Times New Roman" w:eastAsia="Times New Roman" w:hAnsi="Times New Roman"/>
                <w:sz w:val="13"/>
                <w:szCs w:val="13"/>
                <w:color w:val="0000FF"/>
              </w:rPr>
              <w:t>15,162</w:t>
            </w:r>
            <w:r>
              <w:rPr>
                <w:rFonts w:ascii="Times New Roman" w:cs="Times New Roman" w:eastAsia="Times New Roman" w:hAnsi="Times New Roman"/>
                <w:sz w:val="21"/>
                <w:szCs w:val="21"/>
                <w:color w:val="008000"/>
                <w:vertAlign w:val="superscript"/>
              </w:rPr>
              <w:t>(5)</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872.01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08/20/2025</w:t>
            </w:r>
          </w:p>
        </w:tc>
        <w:tc>
          <w:tcPr>
            <w:tcW w:w="1100" w:type="dxa"/>
            <w:vAlign w:val="bottom"/>
          </w:tcPr>
          <w:p>
            <w:pPr>
              <w:spacing w:after="0"/>
              <w:rPr>
                <w:sz w:val="12"/>
                <w:szCs w:val="12"/>
                <w:color w:val="auto"/>
              </w:rPr>
            </w:pPr>
          </w:p>
        </w:tc>
        <w:tc>
          <w:tcPr>
            <w:tcW w:w="4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70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7,580</w:t>
            </w:r>
          </w:p>
        </w:tc>
        <w:tc>
          <w:tcPr>
            <w:tcW w:w="780" w:type="dxa"/>
            <w:vAlign w:val="bottom"/>
            <w:vMerge w:val="continue"/>
          </w:tcPr>
          <w:p>
            <w:pPr>
              <w:spacing w:after="0"/>
              <w:rPr>
                <w:sz w:val="12"/>
                <w:szCs w:val="12"/>
                <w:color w:val="auto"/>
              </w:rPr>
            </w:pPr>
          </w:p>
        </w:tc>
        <w:tc>
          <w:tcPr>
            <w:tcW w:w="7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0000FF"/>
              </w:rPr>
              <w:t>11/12/2025</w:t>
            </w:r>
          </w:p>
        </w:tc>
        <w:tc>
          <w:tcPr>
            <w:tcW w:w="6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gridSpan w:val="2"/>
            <w:vMerge w:val="continue"/>
          </w:tcPr>
          <w:p>
            <w:pPr>
              <w:spacing w:after="0"/>
              <w:rPr>
                <w:sz w:val="12"/>
                <w:szCs w:val="12"/>
                <w:color w:val="auto"/>
              </w:rPr>
            </w:pPr>
          </w:p>
        </w:tc>
        <w:tc>
          <w:tcPr>
            <w:tcW w:w="68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gridSpan w:val="3"/>
          </w:tcPr>
          <w:p>
            <w:pPr>
              <w:ind w:left="140"/>
              <w:spacing w:after="0" w:line="143" w:lineRule="exact"/>
              <w:rPr>
                <w:sz w:val="20"/>
                <w:szCs w:val="20"/>
                <w:color w:val="auto"/>
              </w:rPr>
            </w:pPr>
            <w:r>
              <w:rPr>
                <w:rFonts w:ascii="Times New Roman" w:cs="Times New Roman" w:eastAsia="Times New Roman" w:hAnsi="Times New Roman"/>
                <w:sz w:val="13"/>
                <w:szCs w:val="13"/>
                <w:color w:val="0000FF"/>
              </w:rPr>
              <w:t>Spouse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no voting or investment power with respect to such shares. The reporting person disclaims beneficial ownership of the reported securities.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exercise was executed in anticipation of the November 12, 2025 expiration date on a net settlement basis.</w:t>
      </w:r>
    </w:p>
    <w:p>
      <w:pPr>
        <w:spacing w:after="0" w:line="45" w:lineRule="exact"/>
        <w:rPr>
          <w:rFonts w:ascii="Times New Roman" w:cs="Times New Roman" w:eastAsia="Times New Roman" w:hAnsi="Times New Roman"/>
          <w:sz w:val="13"/>
          <w:szCs w:val="13"/>
          <w:color w:val="008000"/>
        </w:rPr>
      </w:pPr>
    </w:p>
    <w:p>
      <w:pPr>
        <w:ind w:left="40" w:right="1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spouse is a trustee of the trust that owns the reported securities. The reporting person is a beneficiary of such trust but has no voting or investment power with respect to the shares held in such trust. The reporting person disclaims beneficial ownership of the reported securities.</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Class A Common Stock are convertible into shares of Class B Common Stock at any time on a one-for-one basis and have no expiration date.</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After this exercise of 7,580 options, the reporting person's spouse has 15,162 vested and exercisable options remaining. The reporting person disclaims beneficial ownership of the reported securities.</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Nicole Maddrey, attorney-</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08/22/2025</w:t>
            </w:r>
          </w:p>
        </w:tc>
        <w:tc>
          <w:tcPr>
            <w:tcW w:w="0" w:type="dxa"/>
            <w:vAlign w:val="bottom"/>
          </w:tcPr>
          <w:p>
            <w:pPr>
              <w:spacing w:after="0"/>
              <w:rPr>
                <w:sz w:val="1"/>
                <w:szCs w:val="1"/>
                <w:color w:val="auto"/>
              </w:rPr>
            </w:pPr>
          </w:p>
        </w:tc>
      </w:tr>
      <w:tr>
        <w:trPr>
          <w:trHeight w:val="84"/>
        </w:trPr>
        <w:tc>
          <w:tcPr>
            <w:tcW w:w="1980" w:type="dxa"/>
            <w:vAlign w:val="bottom"/>
            <w:tcBorders>
              <w:top w:val="single" w:sz="8" w:color="auto"/>
            </w:tcBorders>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13477" TargetMode="External"/><Relationship Id="rId14"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2025-08-22T15:32:38Z</dcterms:created>
  <dcterms:modified xsi:type="dcterms:W3CDTF">2025-08-22T15:32:38Z</dcterms:modified>
</cp:coreProperties>
</file>