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46355</wp:posOffset>
            </wp:positionV>
            <wp:extent cx="6080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60" w:lineRule="exact"/>
        <w:rPr>
          <w:rFonts w:ascii="MS PGothic" w:cs="MS PGothic" w:eastAsia="MS PGothic" w:hAnsi="MS PGothic"/>
          <w:sz w:val="18"/>
          <w:szCs w:val="18"/>
          <w:color w:val="auto"/>
        </w:rPr>
      </w:pPr>
    </w:p>
    <w:p>
      <w:pPr>
        <w:ind w:left="35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September 30, 2018</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6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60"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1-671</w:t>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-305435</wp:posOffset>
            </wp:positionV>
            <wp:extent cx="6080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28575</wp:posOffset>
            </wp:positionV>
            <wp:extent cx="6080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340" w:lineRule="exact"/>
        <w:rPr>
          <w:sz w:val="24"/>
          <w:szCs w:val="24"/>
          <w:color w:val="auto"/>
        </w:rPr>
      </w:pPr>
    </w:p>
    <w:tbl>
      <w:tblPr>
        <w:tblLayout w:type="fixed"/>
        <w:tblInd w:w="1080" w:type="dxa"/>
        <w:tblCellMar>
          <w:top w:w="0" w:type="dxa"/>
          <w:left w:w="0" w:type="dxa"/>
          <w:bottom w:w="0" w:type="dxa"/>
          <w:right w:w="0" w:type="dxa"/>
        </w:tblCellMar>
      </w:tblPr>
      <w:tr>
        <w:trPr>
          <w:trHeight w:val="239"/>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rPr>
              <w:t>Delaware</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(State or other jurisdiction of</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incorporation or organization)</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Identification No.)</w:t>
            </w:r>
          </w:p>
        </w:tc>
      </w:tr>
      <w:tr>
        <w:trPr>
          <w:trHeight w:val="377"/>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14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8"/>
        </w:trPr>
        <w:tc>
          <w:tcPr>
            <w:tcW w:w="6660" w:type="dxa"/>
            <w:vAlign w:val="bottom"/>
          </w:tcPr>
          <w:p>
            <w:pPr>
              <w:jc w:val="center"/>
              <w:ind w:right="3020"/>
              <w:spacing w:after="0"/>
              <w:rPr>
                <w:sz w:val="20"/>
                <w:szCs w:val="20"/>
                <w:color w:val="auto"/>
              </w:rPr>
            </w:pPr>
            <w:r>
              <w:rPr>
                <w:rFonts w:ascii="Arial" w:cs="Arial" w:eastAsia="Arial" w:hAnsi="Arial"/>
                <w:sz w:val="14"/>
                <w:szCs w:val="14"/>
                <w:b w:val="1"/>
                <w:bCs w:val="1"/>
                <w:color w:val="auto"/>
              </w:rPr>
              <w:t>(Address of principal executive offices)</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(Zip Code)</w:t>
            </w:r>
          </w:p>
        </w:tc>
      </w:tr>
      <w:tr>
        <w:trPr>
          <w:trHeight w:val="552"/>
        </w:trPr>
        <w:tc>
          <w:tcPr>
            <w:tcW w:w="6660" w:type="dxa"/>
            <w:vAlign w:val="bottom"/>
          </w:tcPr>
          <w:p>
            <w:pPr>
              <w:jc w:val="right"/>
              <w:ind w:right="1340"/>
              <w:spacing w:after="0"/>
              <w:rPr>
                <w:sz w:val="20"/>
                <w:szCs w:val="20"/>
                <w:color w:val="auto"/>
              </w:rPr>
            </w:pPr>
            <w:r>
              <w:rPr>
                <w:rFonts w:ascii="Arial" w:cs="Arial" w:eastAsia="Arial" w:hAnsi="Arial"/>
                <w:sz w:val="18"/>
                <w:szCs w:val="18"/>
                <w:b w:val="1"/>
                <w:bCs w:val="1"/>
                <w:color w:val="auto"/>
              </w:rPr>
              <w:t>(703) 345-6300</w:t>
            </w:r>
          </w:p>
        </w:tc>
        <w:tc>
          <w:tcPr>
            <w:tcW w:w="1440" w:type="dxa"/>
            <w:vAlign w:val="bottom"/>
          </w:tcPr>
          <w:p>
            <w:pPr>
              <w:spacing w:after="0"/>
              <w:rPr>
                <w:sz w:val="24"/>
                <w:szCs w:val="24"/>
                <w:color w:val="auto"/>
              </w:rPr>
            </w:pPr>
          </w:p>
        </w:tc>
      </w:tr>
      <w:tr>
        <w:trPr>
          <w:trHeight w:val="231"/>
        </w:trPr>
        <w:tc>
          <w:tcPr>
            <w:tcW w:w="6660" w:type="dxa"/>
            <w:vAlign w:val="bottom"/>
          </w:tcPr>
          <w:p>
            <w:pPr>
              <w:jc w:val="center"/>
              <w:ind w:left="254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4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1171575</wp:posOffset>
            </wp:positionH>
            <wp:positionV relativeFrom="paragraph">
              <wp:posOffset>153670</wp:posOffset>
            </wp:positionV>
            <wp:extent cx="4913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275" w:lineRule="exact"/>
        <w:rPr>
          <w:sz w:val="24"/>
          <w:szCs w:val="24"/>
          <w:color w:val="auto"/>
        </w:rPr>
      </w:pPr>
    </w:p>
    <w:p>
      <w:pPr>
        <w:ind w:right="80"/>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62" w:lineRule="exact"/>
        <w:rPr>
          <w:sz w:val="24"/>
          <w:szCs w:val="24"/>
          <w:color w:val="auto"/>
        </w:rPr>
      </w:pPr>
    </w:p>
    <w:p>
      <w:pPr>
        <w:ind w:right="60"/>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6" w:lineRule="exact"/>
        <w:rPr>
          <w:sz w:val="24"/>
          <w:szCs w:val="24"/>
          <w:color w:val="auto"/>
        </w:rPr>
      </w:pPr>
    </w:p>
    <w:p>
      <w:pPr>
        <w:ind w:right="20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80" w:type="dxa"/>
        <w:tblCellMar>
          <w:top w:w="0" w:type="dxa"/>
          <w:left w:w="0" w:type="dxa"/>
          <w:bottom w:w="0" w:type="dxa"/>
          <w:right w:w="0" w:type="dxa"/>
        </w:tblCellMar>
      </w:tblPr>
      <w:tr>
        <w:trPr>
          <w:trHeight w:val="189"/>
        </w:trPr>
        <w:tc>
          <w:tcPr>
            <w:tcW w:w="1500" w:type="dxa"/>
            <w:vAlign w:val="bottom"/>
          </w:tcPr>
          <w:p>
            <w:pPr>
              <w:jc w:val="center"/>
              <w:ind w:right="119"/>
              <w:spacing w:after="0"/>
              <w:rPr>
                <w:sz w:val="20"/>
                <w:szCs w:val="20"/>
                <w:color w:val="auto"/>
              </w:rPr>
            </w:pPr>
            <w:r>
              <w:rPr>
                <w:rFonts w:ascii="Arial" w:cs="Arial" w:eastAsia="Arial" w:hAnsi="Arial"/>
                <w:sz w:val="16"/>
                <w:szCs w:val="16"/>
                <w:color w:val="auto"/>
              </w:rPr>
              <w:t>Large accelerated</w:t>
            </w:r>
          </w:p>
        </w:tc>
        <w:tc>
          <w:tcPr>
            <w:tcW w:w="7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2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62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3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07"/>
        </w:trPr>
        <w:tc>
          <w:tcPr>
            <w:tcW w:w="1500" w:type="dxa"/>
            <w:vAlign w:val="bottom"/>
          </w:tcPr>
          <w:p>
            <w:pPr>
              <w:jc w:val="center"/>
              <w:ind w:right="119"/>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filer</w:t>
            </w:r>
          </w:p>
        </w:tc>
        <w:tc>
          <w:tcPr>
            <w:tcW w:w="72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filer</w:t>
            </w:r>
          </w:p>
        </w:tc>
        <w:tc>
          <w:tcPr>
            <w:tcW w:w="62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600" w:type="dxa"/>
            <w:vAlign w:val="bottom"/>
            <w:vMerge w:val="continue"/>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company</w:t>
            </w:r>
          </w:p>
        </w:tc>
        <w:tc>
          <w:tcPr>
            <w:tcW w:w="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14"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October 26, 2018:</w:t>
      </w:r>
    </w:p>
    <w:p>
      <w:pPr>
        <w:spacing w:after="0" w:line="158"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9"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4,337,758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p>
        </w:tc>
        <w:tc>
          <w:tcPr>
            <w:tcW w:w="10340" w:type="dxa"/>
            <w:vAlign w:val="bottom"/>
          </w:tcPr>
          <w:p>
            <w:pPr>
              <w:ind w:left="3460"/>
              <w:spacing w:after="0"/>
              <w:rPr>
                <w:sz w:val="20"/>
                <w:szCs w:val="20"/>
                <w:color w:val="auto"/>
              </w:rPr>
            </w:pPr>
            <w:r>
              <w:rPr>
                <w:rFonts w:ascii="Arial" w:cs="Arial" w:eastAsia="Arial" w:hAnsi="Arial"/>
                <w:sz w:val="18"/>
                <w:szCs w:val="18"/>
                <w:b w:val="1"/>
                <w:bCs w:val="1"/>
                <w:color w:val="auto"/>
              </w:rPr>
              <w:t>GRAHAM HOLDINGS COMPANY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7"/>
        </w:trPr>
        <w:tc>
          <w:tcPr>
            <w:tcW w:w="840" w:type="dxa"/>
            <w:vAlign w:val="bottom"/>
          </w:tcPr>
          <w:p>
            <w:pPr>
              <w:spacing w:after="0"/>
              <w:rPr>
                <w:sz w:val="24"/>
                <w:szCs w:val="24"/>
                <w:color w:val="auto"/>
              </w:rPr>
            </w:pPr>
          </w:p>
        </w:tc>
        <w:tc>
          <w:tcPr>
            <w:tcW w:w="10340" w:type="dxa"/>
            <w:vAlign w:val="bottom"/>
          </w:tcPr>
          <w:p>
            <w:pPr>
              <w:ind w:left="4020"/>
              <w:spacing w:after="0"/>
              <w:rPr>
                <w:sz w:val="20"/>
                <w:szCs w:val="20"/>
                <w:color w:val="auto"/>
              </w:rPr>
            </w:pPr>
            <w:r>
              <w:rPr>
                <w:rFonts w:ascii="Arial" w:cs="Arial" w:eastAsia="Arial" w:hAnsi="Arial"/>
                <w:sz w:val="18"/>
                <w:szCs w:val="18"/>
                <w:b w:val="1"/>
                <w:bCs w:val="1"/>
                <w:color w:val="auto"/>
              </w:rPr>
              <w:t>Index to 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8"/>
        </w:trPr>
        <w:tc>
          <w:tcPr>
            <w:tcW w:w="11180" w:type="dxa"/>
            <w:vAlign w:val="bottom"/>
            <w:gridSpan w:val="2"/>
          </w:tcPr>
          <w:p>
            <w:pPr>
              <w:spacing w:after="0"/>
              <w:rPr>
                <w:sz w:val="20"/>
                <w:szCs w:val="20"/>
                <w:color w:val="auto"/>
              </w:rPr>
            </w:pPr>
            <w:r>
              <w:rPr>
                <w:rFonts w:ascii="Arial" w:cs="Arial" w:eastAsia="Arial" w:hAnsi="Arial"/>
                <w:sz w:val="16"/>
                <w:szCs w:val="16"/>
                <w:color w:val="auto"/>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840" w:type="dxa"/>
            <w:vAlign w:val="bottom"/>
          </w:tcPr>
          <w:p>
            <w:pPr>
              <w:spacing w:after="0"/>
              <w:rPr>
                <w:sz w:val="20"/>
                <w:szCs w:val="20"/>
                <w:color w:val="auto"/>
              </w:rPr>
            </w:pPr>
            <w:r>
              <w:rPr>
                <w:rFonts w:ascii="Arial" w:cs="Arial" w:eastAsia="Arial" w:hAnsi="Arial"/>
                <w:sz w:val="16"/>
                <w:szCs w:val="16"/>
                <w:color w:val="auto"/>
              </w:rPr>
              <w:t>Item 1.</w:t>
            </w:r>
          </w:p>
        </w:tc>
        <w:tc>
          <w:tcPr>
            <w:tcW w:w="10340" w:type="dxa"/>
            <w:vAlign w:val="bottom"/>
          </w:tcPr>
          <w:p>
            <w:pPr>
              <w:ind w:left="80"/>
              <w:spacing w:after="0"/>
              <w:rPr>
                <w:sz w:val="20"/>
                <w:szCs w:val="20"/>
                <w:color w:val="auto"/>
              </w:rPr>
            </w:pPr>
            <w:r>
              <w:rPr>
                <w:rFonts w:ascii="Arial" w:cs="Arial" w:eastAsia="Arial" w:hAnsi="Arial"/>
                <w:sz w:val="16"/>
                <w:szCs w:val="16"/>
                <w:color w:val="auto"/>
              </w:rPr>
              <w:t>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1"/>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a. Condensed Consolidated Statements of Operations (Unaudited) for the Three and Nine Months Ended September 30, 2018 and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840" w:type="dxa"/>
            <w:vAlign w:val="bottom"/>
          </w:tcPr>
          <w:p>
            <w:pPr>
              <w:spacing w:after="0"/>
              <w:rPr>
                <w:sz w:val="13"/>
                <w:szCs w:val="13"/>
                <w:color w:val="auto"/>
              </w:rPr>
            </w:pPr>
          </w:p>
        </w:tc>
        <w:tc>
          <w:tcPr>
            <w:tcW w:w="10340" w:type="dxa"/>
            <w:vAlign w:val="bottom"/>
          </w:tcPr>
          <w:p>
            <w:pPr>
              <w:ind w:left="80"/>
              <w:spacing w:after="0" w:line="160" w:lineRule="exact"/>
              <w:rPr>
                <w:sz w:val="20"/>
                <w:szCs w:val="20"/>
                <w:color w:val="auto"/>
              </w:rPr>
            </w:pPr>
            <w:r>
              <w:rPr>
                <w:rFonts w:ascii="Arial" w:cs="Arial" w:eastAsia="Arial" w:hAnsi="Arial"/>
                <w:sz w:val="16"/>
                <w:szCs w:val="16"/>
                <w:color w:val="auto"/>
              </w:rPr>
              <w:t>2017</w:t>
            </w:r>
          </w:p>
        </w:tc>
        <w:tc>
          <w:tcPr>
            <w:tcW w:w="180" w:type="dxa"/>
            <w:vAlign w:val="bottom"/>
            <w:gridSpan w:val="2"/>
          </w:tcPr>
          <w:p>
            <w:pPr>
              <w:jc w:val="right"/>
              <w:spacing w:after="0" w:line="160" w:lineRule="exact"/>
              <w:rPr>
                <w:rFonts w:ascii="Arial" w:cs="Arial" w:eastAsia="Arial" w:hAnsi="Arial"/>
                <w:sz w:val="16"/>
                <w:szCs w:val="16"/>
                <w:color w:val="0000EE"/>
              </w:rPr>
            </w:pPr>
            <w:hyperlink w:anchor="page3">
              <w:r>
                <w:rPr>
                  <w:rFonts w:ascii="Arial" w:cs="Arial" w:eastAsia="Arial" w:hAnsi="Arial"/>
                  <w:sz w:val="16"/>
                  <w:szCs w:val="16"/>
                  <w:color w:val="0000EE"/>
                </w:rPr>
                <w:t>1</w:t>
              </w:r>
            </w:hyperlink>
          </w:p>
        </w:tc>
      </w:tr>
      <w:tr>
        <w:trPr>
          <w:trHeight w:val="495"/>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b. Condensed Consolidated Statements of Comprehensive Income (Unaudited) for the Three and Nine Months Ended September 30,</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60"/>
        </w:trPr>
        <w:tc>
          <w:tcPr>
            <w:tcW w:w="840" w:type="dxa"/>
            <w:vAlign w:val="bottom"/>
          </w:tcPr>
          <w:p>
            <w:pPr>
              <w:spacing w:after="0"/>
              <w:rPr>
                <w:sz w:val="13"/>
                <w:szCs w:val="13"/>
                <w:color w:val="auto"/>
              </w:rPr>
            </w:pPr>
          </w:p>
        </w:tc>
        <w:tc>
          <w:tcPr>
            <w:tcW w:w="10340" w:type="dxa"/>
            <w:vAlign w:val="bottom"/>
          </w:tcPr>
          <w:p>
            <w:pPr>
              <w:ind w:left="80"/>
              <w:spacing w:after="0" w:line="160" w:lineRule="exact"/>
              <w:rPr>
                <w:sz w:val="20"/>
                <w:szCs w:val="20"/>
                <w:color w:val="auto"/>
              </w:rPr>
            </w:pPr>
            <w:r>
              <w:rPr>
                <w:rFonts w:ascii="Arial" w:cs="Arial" w:eastAsia="Arial" w:hAnsi="Arial"/>
                <w:sz w:val="16"/>
                <w:szCs w:val="16"/>
                <w:color w:val="auto"/>
              </w:rPr>
              <w:t>2018 and 2017</w:t>
            </w:r>
          </w:p>
        </w:tc>
        <w:tc>
          <w:tcPr>
            <w:tcW w:w="80" w:type="dxa"/>
            <w:vAlign w:val="bottom"/>
          </w:tcPr>
          <w:p>
            <w:pPr>
              <w:spacing w:after="0"/>
              <w:rPr>
                <w:sz w:val="13"/>
                <w:szCs w:val="13"/>
                <w:color w:val="auto"/>
              </w:rPr>
            </w:pPr>
          </w:p>
        </w:tc>
        <w:tc>
          <w:tcPr>
            <w:tcW w:w="100" w:type="dxa"/>
            <w:vAlign w:val="bottom"/>
            <w:tcBorders>
              <w:bottom w:val="single" w:sz="8" w:color="0000EE"/>
            </w:tcBorders>
          </w:tcPr>
          <w:p>
            <w:pPr>
              <w:jc w:val="right"/>
              <w:spacing w:after="0" w:line="160" w:lineRule="exact"/>
              <w:rPr>
                <w:rFonts w:ascii="Arial" w:cs="Arial" w:eastAsia="Arial" w:hAnsi="Arial"/>
                <w:sz w:val="16"/>
                <w:szCs w:val="16"/>
                <w:color w:val="0000EE"/>
                <w:w w:val="89"/>
              </w:rPr>
            </w:pPr>
            <w:hyperlink w:anchor="page4">
              <w:r>
                <w:rPr>
                  <w:rFonts w:ascii="Arial" w:cs="Arial" w:eastAsia="Arial" w:hAnsi="Arial"/>
                  <w:sz w:val="16"/>
                  <w:szCs w:val="16"/>
                  <w:color w:val="0000EE"/>
                  <w:w w:val="89"/>
                </w:rPr>
                <w:t>2</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c. Condensed Consolidated Balance Sheets at September 30, 2018 (Unaudited) and December 31, 2017</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3</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d. Condensed Consolidated Statements of Cash Flows (Unaudited) for the Nine Months Ended September 30, 2018 and 2017</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4</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e. Notes to Condensed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8">
              <w:r>
                <w:rPr>
                  <w:rFonts w:ascii="Arial" w:cs="Arial" w:eastAsia="Arial" w:hAnsi="Arial"/>
                  <w:sz w:val="16"/>
                  <w:szCs w:val="16"/>
                  <w:color w:val="0000EE"/>
                  <w:w w:val="89"/>
                </w:rPr>
                <w:t>5</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2.</w:t>
            </w:r>
          </w:p>
        </w:tc>
        <w:tc>
          <w:tcPr>
            <w:tcW w:w="10340" w:type="dxa"/>
            <w:vAlign w:val="bottom"/>
          </w:tcPr>
          <w:p>
            <w:pPr>
              <w:ind w:left="80"/>
              <w:spacing w:after="0"/>
              <w:rPr>
                <w:sz w:val="20"/>
                <w:szCs w:val="20"/>
                <w:color w:val="auto"/>
              </w:rPr>
            </w:pPr>
            <w:r>
              <w:rPr>
                <w:rFonts w:ascii="Arial" w:cs="Arial" w:eastAsia="Arial" w:hAnsi="Arial"/>
                <w:sz w:val="16"/>
                <w:szCs w:val="16"/>
                <w:color w:val="auto"/>
              </w:rPr>
              <w:t>Management’s Discussion and Analysis of Results of Operations and Financial Condition</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3">
              <w:r>
                <w:rPr>
                  <w:rFonts w:ascii="Arial" w:cs="Arial" w:eastAsia="Arial" w:hAnsi="Arial"/>
                  <w:sz w:val="16"/>
                  <w:szCs w:val="16"/>
                  <w:color w:val="0000EE"/>
                  <w:w w:val="89"/>
                </w:rPr>
                <w:t>30</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3.</w:t>
            </w:r>
          </w:p>
        </w:tc>
        <w:tc>
          <w:tcPr>
            <w:tcW w:w="10340" w:type="dxa"/>
            <w:vAlign w:val="bottom"/>
          </w:tcPr>
          <w:p>
            <w:pPr>
              <w:ind w:left="80"/>
              <w:spacing w:after="0"/>
              <w:rPr>
                <w:sz w:val="20"/>
                <w:szCs w:val="20"/>
                <w:color w:val="auto"/>
              </w:rPr>
            </w:pPr>
            <w:r>
              <w:rPr>
                <w:rFonts w:ascii="Arial" w:cs="Arial" w:eastAsia="Arial" w:hAnsi="Arial"/>
                <w:sz w:val="16"/>
                <w:szCs w:val="16"/>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3">
              <w:r>
                <w:rPr>
                  <w:rFonts w:ascii="Arial" w:cs="Arial" w:eastAsia="Arial" w:hAnsi="Arial"/>
                  <w:sz w:val="16"/>
                  <w:szCs w:val="16"/>
                  <w:color w:val="0000EE"/>
                  <w:w w:val="89"/>
                </w:rPr>
                <w:t>40</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4.</w:t>
            </w:r>
          </w:p>
        </w:tc>
        <w:tc>
          <w:tcPr>
            <w:tcW w:w="10340" w:type="dxa"/>
            <w:vAlign w:val="bottom"/>
          </w:tcPr>
          <w:p>
            <w:pPr>
              <w:ind w:left="80"/>
              <w:spacing w:after="0"/>
              <w:rPr>
                <w:sz w:val="20"/>
                <w:szCs w:val="20"/>
                <w:color w:val="auto"/>
              </w:rPr>
            </w:pPr>
            <w:r>
              <w:rPr>
                <w:rFonts w:ascii="Arial" w:cs="Arial" w:eastAsia="Arial" w:hAnsi="Arial"/>
                <w:sz w:val="16"/>
                <w:szCs w:val="16"/>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3">
              <w:r>
                <w:rPr>
                  <w:rFonts w:ascii="Arial" w:cs="Arial" w:eastAsia="Arial" w:hAnsi="Arial"/>
                  <w:sz w:val="16"/>
                  <w:szCs w:val="16"/>
                  <w:color w:val="0000EE"/>
                  <w:w w:val="89"/>
                </w:rPr>
                <w:t>40</w:t>
              </w:r>
            </w:hyperlink>
          </w:p>
        </w:tc>
      </w:tr>
      <w:tr>
        <w:trPr>
          <w:trHeight w:val="501"/>
        </w:trPr>
        <w:tc>
          <w:tcPr>
            <w:tcW w:w="11180" w:type="dxa"/>
            <w:vAlign w:val="bottom"/>
            <w:gridSpan w:val="2"/>
          </w:tcPr>
          <w:p>
            <w:pPr>
              <w:spacing w:after="0"/>
              <w:rPr>
                <w:sz w:val="20"/>
                <w:szCs w:val="20"/>
                <w:color w:val="auto"/>
              </w:rPr>
            </w:pPr>
            <w:r>
              <w:rPr>
                <w:rFonts w:ascii="Arial" w:cs="Arial" w:eastAsia="Arial" w:hAnsi="Arial"/>
                <w:sz w:val="16"/>
                <w:szCs w:val="16"/>
                <w:color w:val="auto"/>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6"/>
        </w:trPr>
        <w:tc>
          <w:tcPr>
            <w:tcW w:w="840" w:type="dxa"/>
            <w:vAlign w:val="bottom"/>
          </w:tcPr>
          <w:p>
            <w:pPr>
              <w:spacing w:after="0"/>
              <w:rPr>
                <w:sz w:val="20"/>
                <w:szCs w:val="20"/>
                <w:color w:val="auto"/>
              </w:rPr>
            </w:pPr>
            <w:r>
              <w:rPr>
                <w:rFonts w:ascii="Arial" w:cs="Arial" w:eastAsia="Arial" w:hAnsi="Arial"/>
                <w:sz w:val="16"/>
                <w:szCs w:val="16"/>
                <w:color w:val="auto"/>
              </w:rPr>
              <w:t>Item 1A.</w:t>
            </w:r>
          </w:p>
        </w:tc>
        <w:tc>
          <w:tcPr>
            <w:tcW w:w="10340" w:type="dxa"/>
            <w:vAlign w:val="bottom"/>
          </w:tcPr>
          <w:p>
            <w:pPr>
              <w:ind w:left="80"/>
              <w:spacing w:after="0"/>
              <w:rPr>
                <w:sz w:val="20"/>
                <w:szCs w:val="20"/>
                <w:color w:val="auto"/>
              </w:rPr>
            </w:pPr>
            <w:r>
              <w:rPr>
                <w:rFonts w:ascii="Arial" w:cs="Arial" w:eastAsia="Arial" w:hAnsi="Arial"/>
                <w:sz w:val="16"/>
                <w:szCs w:val="16"/>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4">
              <w:r>
                <w:rPr>
                  <w:rFonts w:ascii="Arial" w:cs="Arial" w:eastAsia="Arial" w:hAnsi="Arial"/>
                  <w:sz w:val="16"/>
                  <w:szCs w:val="16"/>
                  <w:color w:val="0000EE"/>
                  <w:w w:val="89"/>
                </w:rPr>
                <w:t>41</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2.</w:t>
            </w:r>
          </w:p>
        </w:tc>
        <w:tc>
          <w:tcPr>
            <w:tcW w:w="10340" w:type="dxa"/>
            <w:vAlign w:val="bottom"/>
          </w:tcPr>
          <w:p>
            <w:pPr>
              <w:ind w:left="80"/>
              <w:spacing w:after="0"/>
              <w:rPr>
                <w:sz w:val="20"/>
                <w:szCs w:val="20"/>
                <w:color w:val="auto"/>
              </w:rPr>
            </w:pPr>
            <w:r>
              <w:rPr>
                <w:rFonts w:ascii="Arial" w:cs="Arial" w:eastAsia="Arial" w:hAnsi="Arial"/>
                <w:sz w:val="16"/>
                <w:szCs w:val="16"/>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4">
              <w:r>
                <w:rPr>
                  <w:rFonts w:ascii="Arial" w:cs="Arial" w:eastAsia="Arial" w:hAnsi="Arial"/>
                  <w:sz w:val="16"/>
                  <w:szCs w:val="16"/>
                  <w:color w:val="0000EE"/>
                  <w:w w:val="89"/>
                </w:rPr>
                <w:t>41</w:t>
              </w:r>
            </w:hyperlink>
          </w:p>
        </w:tc>
      </w:tr>
      <w:tr>
        <w:trPr>
          <w:trHeight w:val="520"/>
        </w:trPr>
        <w:tc>
          <w:tcPr>
            <w:tcW w:w="840" w:type="dxa"/>
            <w:vAlign w:val="bottom"/>
          </w:tcPr>
          <w:p>
            <w:pPr>
              <w:spacing w:after="0"/>
              <w:rPr>
                <w:sz w:val="20"/>
                <w:szCs w:val="20"/>
                <w:color w:val="auto"/>
              </w:rPr>
            </w:pPr>
            <w:r>
              <w:rPr>
                <w:rFonts w:ascii="Arial" w:cs="Arial" w:eastAsia="Arial" w:hAnsi="Arial"/>
                <w:sz w:val="16"/>
                <w:szCs w:val="16"/>
                <w:color w:val="auto"/>
              </w:rPr>
              <w:t>Item 6.</w:t>
            </w:r>
          </w:p>
        </w:tc>
        <w:tc>
          <w:tcPr>
            <w:tcW w:w="10340" w:type="dxa"/>
            <w:vAlign w:val="bottom"/>
          </w:tcPr>
          <w:p>
            <w:pPr>
              <w:ind w:left="80"/>
              <w:spacing w:after="0"/>
              <w:rPr>
                <w:sz w:val="20"/>
                <w:szCs w:val="20"/>
                <w:color w:val="auto"/>
              </w:rPr>
            </w:pPr>
            <w:r>
              <w:rPr>
                <w:rFonts w:ascii="Arial" w:cs="Arial" w:eastAsia="Arial" w:hAnsi="Arial"/>
                <w:sz w:val="16"/>
                <w:szCs w:val="16"/>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5">
              <w:r>
                <w:rPr>
                  <w:rFonts w:ascii="Arial" w:cs="Arial" w:eastAsia="Arial" w:hAnsi="Arial"/>
                  <w:sz w:val="16"/>
                  <w:szCs w:val="16"/>
                  <w:color w:val="0000EE"/>
                  <w:w w:val="89"/>
                </w:rPr>
                <w:t>42</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Signatures</w:t>
            </w:r>
          </w:p>
        </w:tc>
        <w:tc>
          <w:tcPr>
            <w:tcW w:w="103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6">
              <w:r>
                <w:rPr>
                  <w:rFonts w:ascii="Arial" w:cs="Arial" w:eastAsia="Arial" w:hAnsi="Arial"/>
                  <w:sz w:val="16"/>
                  <w:szCs w:val="16"/>
                  <w:color w:val="0000EE"/>
                  <w:w w:val="89"/>
                </w:rPr>
                <w:t>43</w:t>
              </w:r>
            </w:hyperlink>
          </w:p>
        </w:tc>
      </w:tr>
    </w:tbl>
    <w:p>
      <w:pPr>
        <w:sectPr>
          <w:pgSz w:w="11900" w:h="16838" w:orient="portrait"/>
          <w:cols w:equalWidth="0" w:num="1">
            <w:col w:w="11360"/>
          </w:cols>
          <w:pgMar w:left="280" w:top="71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34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w w:val="96"/>
              </w:rPr>
              <w:t>2017</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674,766</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657,225</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2,006,879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1,916,029</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448,920</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374,987</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1,254,726</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1,082,421</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131,081</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228,051</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497,504</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662,313</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13,648</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16,002</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41,909</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46,525</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12,269</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10,923</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34,052</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28,290</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Impairment of goodwill and other long-lived assets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8,109</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312</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8,109</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9,536</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614,027</w:t>
            </w: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630,275</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1,836,300</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1,829,085</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60,739</w:t>
            </w:r>
          </w:p>
        </w:tc>
        <w:tc>
          <w:tcPr>
            <w:tcW w:w="54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26,950</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170,579</w:t>
            </w:r>
          </w:p>
        </w:tc>
        <w:tc>
          <w:tcPr>
            <w:tcW w:w="3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86,944</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Equity in earnings (losses) of affiliates, net</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9,537</w:t>
            </w:r>
          </w:p>
        </w:tc>
        <w:tc>
          <w:tcPr>
            <w:tcW w:w="5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(532)</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13,047</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1,448</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611</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861</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3,884</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3,397</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(6,135)</w:t>
            </w:r>
          </w:p>
        </w:tc>
        <w:tc>
          <w:tcPr>
            <w:tcW w:w="5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(8,619)</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(31,371)</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(25,783)</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Debt extinguishment costs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(11,378)</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22,214</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17,621</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66,641</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55,042</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Gain on marketable equity securities, net</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44,962</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28,306</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3,142</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1,963</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14,662</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6,881</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135,070</w:t>
            </w:r>
          </w:p>
        </w:tc>
        <w:tc>
          <w:tcPr>
            <w:tcW w:w="54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38,244</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254,370</w:t>
            </w:r>
          </w:p>
        </w:tc>
        <w:tc>
          <w:tcPr>
            <w:tcW w:w="3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127,929</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10,000</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13,400</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39,700</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40,000</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125,070</w:t>
            </w:r>
          </w:p>
        </w:tc>
        <w:tc>
          <w:tcPr>
            <w:tcW w:w="54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24,844</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214,670</w:t>
            </w:r>
          </w:p>
        </w:tc>
        <w:tc>
          <w:tcPr>
            <w:tcW w:w="3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87,929</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(149)</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8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125,064</w:t>
            </w: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214,521</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00"/>
              <w:spacing w:after="0"/>
              <w:rPr>
                <w:sz w:val="20"/>
                <w:szCs w:val="20"/>
                <w:color w:val="auto"/>
              </w:rPr>
            </w:pPr>
            <w:r>
              <w:rPr>
                <w:rFonts w:ascii="Arial" w:cs="Arial" w:eastAsia="Arial" w:hAnsi="Arial"/>
                <w:sz w:val="16"/>
                <w:szCs w:val="16"/>
                <w:b w:val="1"/>
                <w:bCs w:val="1"/>
                <w:color w:val="auto"/>
              </w:rPr>
              <w:t>Stockholders</w:t>
            </w:r>
          </w:p>
        </w:tc>
        <w:tc>
          <w:tcPr>
            <w:tcW w:w="3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24,784</w:t>
            </w:r>
          </w:p>
        </w:tc>
        <w:tc>
          <w:tcPr>
            <w:tcW w:w="3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87,866</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0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00"/>
              <w:spacing w:after="0"/>
              <w:rPr>
                <w:sz w:val="20"/>
                <w:szCs w:val="20"/>
                <w:color w:val="auto"/>
              </w:rPr>
            </w:pPr>
            <w:r>
              <w:rPr>
                <w:rFonts w:ascii="Arial" w:cs="Arial" w:eastAsia="Arial" w:hAnsi="Arial"/>
                <w:sz w:val="16"/>
                <w:szCs w:val="16"/>
                <w:b w:val="1"/>
                <w:bCs w:val="1"/>
                <w:color w:val="auto"/>
              </w:rPr>
              <w:t>Stockholders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23.43</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4.45</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39.81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15.74</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5,302</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5,518</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5,354</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5,530</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23.28</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4.42</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39.54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15.64</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5,337</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5,554</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5,390</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5,567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9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9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2017</w:t>
            </w:r>
          </w:p>
        </w:tc>
      </w:tr>
      <w:tr>
        <w:trPr>
          <w:trHeight w:val="25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1"/>
              <w:spacing w:after="0"/>
              <w:rPr>
                <w:sz w:val="20"/>
                <w:szCs w:val="20"/>
                <w:color w:val="auto"/>
              </w:rPr>
            </w:pPr>
            <w:r>
              <w:rPr>
                <w:rFonts w:ascii="Arial" w:cs="Arial" w:eastAsia="Arial" w:hAnsi="Arial"/>
                <w:sz w:val="16"/>
                <w:szCs w:val="16"/>
                <w:b w:val="1"/>
                <w:bCs w:val="1"/>
                <w:color w:val="auto"/>
              </w:rPr>
              <w:t>125,070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24,844</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1"/>
              <w:spacing w:after="0"/>
              <w:rPr>
                <w:sz w:val="20"/>
                <w:szCs w:val="20"/>
                <w:color w:val="auto"/>
              </w:rPr>
            </w:pPr>
            <w:r>
              <w:rPr>
                <w:rFonts w:ascii="Arial" w:cs="Arial" w:eastAsia="Arial" w:hAnsi="Arial"/>
                <w:sz w:val="16"/>
                <w:szCs w:val="16"/>
                <w:b w:val="1"/>
                <w:bCs w:val="1"/>
                <w:color w:val="auto"/>
              </w:rPr>
              <w:t>214,670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87,929</w:t>
            </w: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Income, Before Tax</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698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Translation adjustments arising during the period</w:t>
            </w:r>
          </w:p>
        </w:tc>
        <w:tc>
          <w:tcPr>
            <w:tcW w:w="22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b w:val="1"/>
                <w:bCs w:val="1"/>
                <w:color w:val="auto"/>
              </w:rPr>
              <w:t>(2,844)</w:t>
            </w:r>
          </w:p>
        </w:tc>
        <w:tc>
          <w:tcPr>
            <w:tcW w:w="30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11,470</w:t>
            </w:r>
          </w:p>
        </w:tc>
        <w:tc>
          <w:tcPr>
            <w:tcW w:w="280" w:type="dxa"/>
            <w:vAlign w:val="bottom"/>
          </w:tcPr>
          <w:p>
            <w:pPr>
              <w:spacing w:after="0"/>
              <w:rPr>
                <w:sz w:val="23"/>
                <w:szCs w:val="23"/>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(22,447)</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34,776</w:t>
            </w:r>
          </w:p>
        </w:tc>
      </w:tr>
      <w:tr>
        <w:trPr>
          <w:trHeight w:val="270"/>
        </w:trPr>
        <w:tc>
          <w:tcPr>
            <w:tcW w:w="6980" w:type="dxa"/>
            <w:vAlign w:val="bottom"/>
          </w:tcPr>
          <w:p>
            <w:pPr>
              <w:ind w:left="180"/>
              <w:spacing w:after="0"/>
              <w:rPr>
                <w:sz w:val="20"/>
                <w:szCs w:val="20"/>
                <w:color w:val="auto"/>
              </w:rPr>
            </w:pPr>
            <w:r>
              <w:rPr>
                <w:rFonts w:ascii="Arial" w:cs="Arial" w:eastAsia="Arial" w:hAnsi="Arial"/>
                <w:sz w:val="16"/>
                <w:szCs w:val="16"/>
                <w:color w:val="auto"/>
              </w:rPr>
              <w:t>Unrealized gains on available-for-sale securities:</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Unrealized gains for the period, net</w:t>
            </w:r>
          </w:p>
        </w:tc>
        <w:tc>
          <w:tcPr>
            <w:tcW w:w="220" w:type="dxa"/>
            <w:vAlign w:val="bottom"/>
          </w:tcPr>
          <w:p>
            <w:pPr>
              <w:spacing w:after="0"/>
              <w:rPr>
                <w:sz w:val="23"/>
                <w:szCs w:val="23"/>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47,836</w:t>
            </w:r>
          </w:p>
        </w:tc>
        <w:tc>
          <w:tcPr>
            <w:tcW w:w="280" w:type="dxa"/>
            <w:vAlign w:val="bottom"/>
          </w:tcPr>
          <w:p>
            <w:pPr>
              <w:spacing w:after="0"/>
              <w:rPr>
                <w:sz w:val="23"/>
                <w:szCs w:val="23"/>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71,370</w:t>
            </w:r>
          </w:p>
        </w:tc>
      </w:tr>
      <w:tr>
        <w:trPr>
          <w:trHeight w:val="270"/>
        </w:trPr>
        <w:tc>
          <w:tcPr>
            <w:tcW w:w="6980" w:type="dxa"/>
            <w:vAlign w:val="bottom"/>
          </w:tcPr>
          <w:p>
            <w:pPr>
              <w:ind w:left="180"/>
              <w:spacing w:after="0"/>
              <w:rPr>
                <w:sz w:val="20"/>
                <w:szCs w:val="20"/>
                <w:color w:val="auto"/>
              </w:rPr>
            </w:pPr>
            <w:r>
              <w:rPr>
                <w:rFonts w:ascii="Arial" w:cs="Arial" w:eastAsia="Arial" w:hAnsi="Arial"/>
                <w:sz w:val="16"/>
                <w:szCs w:val="16"/>
                <w:color w:val="auto"/>
              </w:rPr>
              <w:t>Pension and other postretirement plans:</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Amortization of net prior service cost included in net income</w:t>
            </w:r>
          </w:p>
        </w:tc>
        <w:tc>
          <w:tcPr>
            <w:tcW w:w="220" w:type="dxa"/>
            <w:vAlign w:val="bottom"/>
          </w:tcPr>
          <w:p>
            <w:pPr>
              <w:spacing w:after="0"/>
              <w:rPr>
                <w:sz w:val="23"/>
                <w:szCs w:val="23"/>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b w:val="1"/>
                <w:bCs w:val="1"/>
                <w:color w:val="auto"/>
              </w:rPr>
              <w:t>69</w:t>
            </w:r>
          </w:p>
        </w:tc>
        <w:tc>
          <w:tcPr>
            <w:tcW w:w="30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118</w:t>
            </w:r>
          </w:p>
        </w:tc>
        <w:tc>
          <w:tcPr>
            <w:tcW w:w="280" w:type="dxa"/>
            <w:vAlign w:val="bottom"/>
          </w:tcPr>
          <w:p>
            <w:pPr>
              <w:spacing w:after="0"/>
              <w:rPr>
                <w:sz w:val="23"/>
                <w:szCs w:val="23"/>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b w:val="1"/>
                <w:bCs w:val="1"/>
                <w:color w:val="auto"/>
              </w:rPr>
              <w:t>215</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358</w:t>
            </w: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Amortization of net actuarial gain included in net income</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(3,295)</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(1,567)</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(7,956)</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(4,958)</w:t>
            </w:r>
          </w:p>
        </w:tc>
      </w:tr>
      <w:tr>
        <w:trPr>
          <w:trHeight w:val="251"/>
        </w:trPr>
        <w:tc>
          <w:tcPr>
            <w:tcW w:w="6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b w:val="1"/>
                <w:bCs w:val="1"/>
                <w:color w:val="auto"/>
              </w:rPr>
              <w:t>(3,226)</w:t>
            </w:r>
          </w:p>
        </w:tc>
        <w:tc>
          <w:tcPr>
            <w:tcW w:w="30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(1,449)</w:t>
            </w:r>
          </w:p>
        </w:tc>
        <w:tc>
          <w:tcPr>
            <w:tcW w:w="280" w:type="dxa"/>
            <w:vAlign w:val="bottom"/>
          </w:tcPr>
          <w:p>
            <w:pPr>
              <w:spacing w:after="0"/>
              <w:rPr>
                <w:sz w:val="21"/>
                <w:szCs w:val="21"/>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(7,741)</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(4,600)</w:t>
            </w:r>
          </w:p>
        </w:tc>
      </w:tr>
      <w:tr>
        <w:trPr>
          <w:trHeight w:val="283"/>
        </w:trPr>
        <w:tc>
          <w:tcPr>
            <w:tcW w:w="6980" w:type="dxa"/>
            <w:vAlign w:val="bottom"/>
          </w:tcPr>
          <w:p>
            <w:pPr>
              <w:ind w:left="180"/>
              <w:spacing w:after="0"/>
              <w:rPr>
                <w:sz w:val="20"/>
                <w:szCs w:val="20"/>
                <w:color w:val="auto"/>
              </w:rPr>
            </w:pPr>
            <w:r>
              <w:rPr>
                <w:rFonts w:ascii="Arial" w:cs="Arial" w:eastAsia="Arial" w:hAnsi="Arial"/>
                <w:sz w:val="16"/>
                <w:szCs w:val="16"/>
                <w:color w:val="auto"/>
              </w:rPr>
              <w:t>Cash flow hedge (loss) gain</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601</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Income, Before Tax</w:t>
            </w:r>
          </w:p>
        </w:tc>
        <w:tc>
          <w:tcPr>
            <w:tcW w:w="220" w:type="dxa"/>
            <w:vAlign w:val="bottom"/>
          </w:tcPr>
          <w:p>
            <w:pPr>
              <w:spacing w:after="0"/>
              <w:rPr>
                <w:sz w:val="21"/>
                <w:szCs w:val="21"/>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b w:val="1"/>
                <w:bCs w:val="1"/>
                <w:color w:val="auto"/>
              </w:rPr>
              <w:t>(6,076)</w:t>
            </w:r>
          </w:p>
        </w:tc>
        <w:tc>
          <w:tcPr>
            <w:tcW w:w="30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57,785</w:t>
            </w:r>
          </w:p>
        </w:tc>
        <w:tc>
          <w:tcPr>
            <w:tcW w:w="280" w:type="dxa"/>
            <w:vAlign w:val="bottom"/>
          </w:tcPr>
          <w:p>
            <w:pPr>
              <w:spacing w:after="0"/>
              <w:rPr>
                <w:sz w:val="21"/>
                <w:szCs w:val="21"/>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(29,587)</w:t>
            </w:r>
          </w:p>
        </w:tc>
        <w:tc>
          <w:tcPr>
            <w:tcW w:w="30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101,331</w:t>
            </w:r>
          </w:p>
        </w:tc>
      </w:tr>
      <w:tr>
        <w:trPr>
          <w:trHeight w:val="283"/>
        </w:trPr>
        <w:tc>
          <w:tcPr>
            <w:tcW w:w="6980" w:type="dxa"/>
            <w:vAlign w:val="bottom"/>
          </w:tcPr>
          <w:p>
            <w:pPr>
              <w:ind w:left="180"/>
              <w:spacing w:after="0"/>
              <w:rPr>
                <w:sz w:val="20"/>
                <w:szCs w:val="20"/>
                <w:color w:val="auto"/>
              </w:rPr>
            </w:pPr>
            <w:r>
              <w:rPr>
                <w:rFonts w:ascii="Arial" w:cs="Arial" w:eastAsia="Arial" w:hAnsi="Arial"/>
                <w:sz w:val="16"/>
                <w:szCs w:val="16"/>
                <w:color w:val="auto"/>
              </w:rPr>
              <w:t>Income tax benefit (expense) related to items of other comprehensive (loss) income</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874</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(18,540)</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1,976</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(26,665)</w:t>
            </w:r>
          </w:p>
        </w:tc>
      </w:tr>
      <w:tr>
        <w:trPr>
          <w:trHeight w:val="264"/>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Income, Net of Tax</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(5,202)</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39,245</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(27,611)</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74,666</w:t>
            </w: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220" w:type="dxa"/>
            <w:vAlign w:val="bottom"/>
          </w:tcPr>
          <w:p>
            <w:pPr>
              <w:spacing w:after="0"/>
              <w:rPr>
                <w:sz w:val="21"/>
                <w:szCs w:val="21"/>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b w:val="1"/>
                <w:bCs w:val="1"/>
                <w:color w:val="auto"/>
              </w:rPr>
              <w:t>119,868</w:t>
            </w:r>
          </w:p>
        </w:tc>
        <w:tc>
          <w:tcPr>
            <w:tcW w:w="30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64,089</w:t>
            </w:r>
          </w:p>
        </w:tc>
        <w:tc>
          <w:tcPr>
            <w:tcW w:w="280" w:type="dxa"/>
            <w:vAlign w:val="bottom"/>
          </w:tcPr>
          <w:p>
            <w:pPr>
              <w:spacing w:after="0"/>
              <w:rPr>
                <w:sz w:val="21"/>
                <w:szCs w:val="21"/>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b w:val="1"/>
                <w:bCs w:val="1"/>
                <w:color w:val="auto"/>
              </w:rPr>
              <w:t>187,059</w:t>
            </w:r>
          </w:p>
        </w:tc>
        <w:tc>
          <w:tcPr>
            <w:tcW w:w="30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162,595</w:t>
            </w:r>
          </w:p>
        </w:tc>
      </w:tr>
      <w:tr>
        <w:trPr>
          <w:trHeight w:val="283"/>
        </w:trPr>
        <w:tc>
          <w:tcPr>
            <w:tcW w:w="6980" w:type="dxa"/>
            <w:vAlign w:val="bottom"/>
          </w:tcPr>
          <w:p>
            <w:pPr>
              <w:ind w:left="180"/>
              <w:spacing w:after="0"/>
              <w:rPr>
                <w:sz w:val="20"/>
                <w:szCs w:val="20"/>
                <w:color w:val="auto"/>
              </w:rPr>
            </w:pPr>
            <w:r>
              <w:rPr>
                <w:rFonts w:ascii="Arial" w:cs="Arial" w:eastAsia="Arial" w:hAnsi="Arial"/>
                <w:sz w:val="16"/>
                <w:szCs w:val="16"/>
                <w:color w:val="auto"/>
              </w:rPr>
              <w:t>Comprehensive income attributable to noncontrolling interests</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(149)</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r>
      <w:tr>
        <w:trPr>
          <w:trHeight w:val="267"/>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119,862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64,029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186,910</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162,532</w:t>
            </w: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11"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1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5"/>
                <w:szCs w:val="15"/>
                <w:color w:val="auto"/>
              </w:rPr>
            </w:pPr>
          </w:p>
        </w:tc>
        <w:tc>
          <w:tcPr>
            <w:tcW w:w="1260" w:type="dxa"/>
            <w:vAlign w:val="bottom"/>
          </w:tcPr>
          <w:p>
            <w:pPr>
              <w:jc w:val="right"/>
              <w:ind w:right="21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8"/>
        </w:trPr>
        <w:tc>
          <w:tcPr>
            <w:tcW w:w="8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center"/>
              <w:ind w:right="14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265,159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390,014</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11,576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17,552</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517,927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557,153</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589,645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620,319</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Income taxes receivable</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23,901</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Inventories and contracts in progress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73,696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60,612</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77,864</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66,253</w:t>
            </w:r>
          </w:p>
        </w:tc>
        <w:tc>
          <w:tcPr>
            <w:tcW w:w="0" w:type="dxa"/>
            <w:vAlign w:val="bottom"/>
          </w:tcPr>
          <w:p>
            <w:pPr>
              <w:spacing w:after="0"/>
              <w:rPr>
                <w:sz w:val="1"/>
                <w:szCs w:val="1"/>
                <w:color w:val="auto"/>
              </w:rPr>
            </w:pPr>
          </w:p>
        </w:tc>
      </w:tr>
      <w:tr>
        <w:trPr>
          <w:trHeight w:val="251"/>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Pr>
          <w:p>
            <w:pPr>
              <w:spacing w:after="0"/>
              <w:rPr>
                <w:sz w:val="21"/>
                <w:szCs w:val="21"/>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1,535,867</w:t>
            </w:r>
          </w:p>
        </w:tc>
        <w:tc>
          <w:tcPr>
            <w:tcW w:w="28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1,735,804</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271,560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259,358</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142,756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128,590</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1,310,075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1,299,710</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114,752</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102,195</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260,055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237,976</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1,106,162</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1,056,777</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15,367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15,367</w:t>
            </w:r>
          </w:p>
        </w:tc>
        <w:tc>
          <w:tcPr>
            <w:tcW w:w="0" w:type="dxa"/>
            <w:vAlign w:val="bottom"/>
          </w:tcPr>
          <w:p>
            <w:pPr>
              <w:spacing w:after="0"/>
              <w:rPr>
                <w:sz w:val="1"/>
                <w:szCs w:val="1"/>
                <w:color w:val="auto"/>
              </w:rPr>
            </w:pPr>
          </w:p>
        </w:tc>
      </w:tr>
      <w:tr>
        <w:trPr>
          <w:trHeight w:val="28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117,149</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102,046</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4,873,743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4,937,823</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448,240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526,323</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335,086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339,454</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7,235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6,109</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6,568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6,726</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Dividends declared</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7,071</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tcPr>
          <w:p>
            <w:pPr>
              <w:spacing w:after="0"/>
              <w:rPr>
                <w:sz w:val="21"/>
                <w:szCs w:val="21"/>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804,200</w:t>
            </w:r>
          </w:p>
        </w:tc>
        <w:tc>
          <w:tcPr>
            <w:tcW w:w="28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878,612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Postretirement Benefits Other Than Pensions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21,607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20,865</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179,887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193,024</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59,264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65,977</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355,662</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362,701</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Mandatorily Redeemable Noncontrolling Interest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10,331</w:t>
            </w:r>
          </w:p>
        </w:tc>
        <w:tc>
          <w:tcPr>
            <w:tcW w:w="0" w:type="dxa"/>
            <w:vAlign w:val="bottom"/>
          </w:tcPr>
          <w:p>
            <w:pPr>
              <w:spacing w:after="0"/>
              <w:rPr>
                <w:sz w:val="1"/>
                <w:szCs w:val="1"/>
                <w:color w:val="auto"/>
              </w:rPr>
            </w:pPr>
          </w:p>
        </w:tc>
      </w:tr>
      <w:tr>
        <w:trPr>
          <w:trHeight w:val="28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473,060</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486,561</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1,893,680</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2,018,071</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4,706</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4,607</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20,000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Capital in excess of par value</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376,412</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370,700</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6,179,948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5,791,724</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(loss), net of tax</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Cumulative foreign currency translation adjustment</w:t>
            </w: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(16,133)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6,314</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Unrealized gain on available-for-sale securities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194,889</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Unrealized gain on pensions and other postretirement plans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328,885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334,536</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Cash flow hedge</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303</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Cost of Class B common stock held in treasury</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(3,914,058)</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(3,802,834)</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2,975,357</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2,915,145</w:t>
            </w:r>
          </w:p>
        </w:tc>
        <w:tc>
          <w:tcPr>
            <w:tcW w:w="0" w:type="dxa"/>
            <w:vAlign w:val="bottom"/>
          </w:tcPr>
          <w:p>
            <w:pPr>
              <w:spacing w:after="0"/>
              <w:rPr>
                <w:sz w:val="1"/>
                <w:szCs w:val="1"/>
                <w:color w:val="auto"/>
              </w:rPr>
            </w:pPr>
          </w:p>
        </w:tc>
      </w:tr>
      <w:tr>
        <w:trPr>
          <w:trHeight w:val="267"/>
        </w:trPr>
        <w:tc>
          <w:tcPr>
            <w:tcW w:w="8320" w:type="dxa"/>
            <w:vAlign w:val="bottom"/>
          </w:tcPr>
          <w:p>
            <w:pPr>
              <w:ind w:left="700"/>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4,873,743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4,937,823</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697" w:right="259" w:bottom="0" w:gutter="0" w:footer="0" w:header="0"/>
        </w:sect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00"/>
          </w:cols>
          <w:pgMar w:left="240" w:top="697" w:right="259"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368"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9" w:lineRule="exact"/>
        <w:rPr>
          <w:sz w:val="20"/>
          <w:szCs w:val="20"/>
          <w:color w:val="auto"/>
        </w:rPr>
      </w:pPr>
    </w:p>
    <w:p>
      <w:pPr>
        <w:ind w:left="954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September 30</w:t>
            </w:r>
          </w:p>
        </w:tc>
      </w:tr>
      <w:tr>
        <w:trPr>
          <w:trHeight w:val="258"/>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2017</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214,670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87,929</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Depreciation, amortization and goodwill and other long-lived asset impairment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84,070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84,351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pension benefit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(55,458)</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(44,281)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Early retirement program expense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932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Gain on marketable equity securities and cost method investments, net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(36,793)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Stock-based compensation expense, net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5,172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7,528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(Gain) loss on disposition of businesses, property, plant and equipment and investments, net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(13,379)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Debt extinguishment costs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10,563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Foreign exchange loss (gain)</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2,205</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(6,608)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Write-down of cost method investments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2,500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Equity in earnings of affiliates, net of distributions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(10,294)</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(Benefit) provision for deferred income taxes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(10,867)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16,306</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55,200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106,230</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(95,100)</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(63,255)</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38,148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27,254</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Income taxes receivable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23,073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14,477</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Other assets and other liabilities, net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(23,757)</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(9,795)</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1,905</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519</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191,858</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220,857</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certain businesses, net of cash acquired</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(111,451)</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(299,938)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Proceeds from sales of marketable equity securities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66,741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(58,850)</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(43,863)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Advance related to Kaplan University transaction and loan to affiliate</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(28,061)</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(6,771)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(payments) proceeds from disposition of businesses, property, plant and equipment and investments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(13,483)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2,672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equity affiliates, cost method and other investments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(10,679)</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(66,097)</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Return of investment in equity affiliates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4,521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3,527</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(151,262)</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(410,470)</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Repayments of borrowings and early redemption premium</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(417,112)</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(7,712)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Issuance of borrowings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400,000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(110,848)</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(35,394)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(21,564)</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(21,304)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 of noncontrolling interest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(16,500)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Payments of debt financing costs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(6,490)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Deferred payments of acquisition and noncontrolling interest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(5,187)</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5,303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(4,962)</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(167,211)</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(74,559)</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(4,216)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9,768</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Decrease in Cash and Cash Equivalents and Restricted Cash</w:t>
            </w:r>
          </w:p>
        </w:tc>
        <w:tc>
          <w:tcPr>
            <w:tcW w:w="2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(130,831)</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(254,404)</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Beginning Cash and Cash Equivalents and Restricted Cash</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407,566</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670,816</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Ending Cash and Cash Equivalents and Restricted Cash</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276,735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416,412</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20"/>
          </w:cols>
          <w:pgMar w:left="240" w:top="711"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11" w:right="239" w:bottom="1440" w:gutter="0" w:footer="0" w:header="0"/>
          <w:type w:val="continuous"/>
        </w:sectPr>
      </w:pPr>
    </w:p>
    <w:bookmarkStart w:id="7" w:name="page8"/>
    <w:bookmarkEnd w:id="7"/>
    <w:p>
      <w:pPr>
        <w:ind w:left="4340"/>
        <w:spacing w:after="0"/>
        <w:rPr>
          <w:sz w:val="20"/>
          <w:szCs w:val="20"/>
          <w:color w:val="auto"/>
        </w:rPr>
      </w:pPr>
      <w:r>
        <w:rPr>
          <w:rFonts w:ascii="Arial" w:cs="Arial" w:eastAsia="Arial" w:hAnsi="Arial"/>
          <w:sz w:val="18"/>
          <w:szCs w:val="18"/>
          <w:b w:val="1"/>
          <w:bCs w:val="1"/>
          <w:color w:val="auto"/>
        </w:rPr>
        <w:t>GRAHAM HOLDINGS COMPANY</w:t>
      </w:r>
    </w:p>
    <w:p>
      <w:pPr>
        <w:spacing w:after="0" w:line="144"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seven television broadcasting stations, several websites and print publications, and a marketing solutions provider. The Company’s other business operations include manufacturing and home health and hospice services.</w:t>
      </w:r>
    </w:p>
    <w:p>
      <w:pPr>
        <w:spacing w:after="0" w:line="135" w:lineRule="exact"/>
        <w:rPr>
          <w:sz w:val="20"/>
          <w:szCs w:val="20"/>
          <w:color w:val="auto"/>
        </w:rPr>
      </w:pPr>
    </w:p>
    <w:p>
      <w:pPr>
        <w:jc w:val="both"/>
        <w:ind w:right="320"/>
        <w:spacing w:after="0" w:line="229" w:lineRule="auto"/>
        <w:rPr>
          <w:sz w:val="20"/>
          <w:szCs w:val="20"/>
          <w:color w:val="auto"/>
        </w:rPr>
      </w:pPr>
      <w:r>
        <w:rPr>
          <w:rFonts w:ascii="Arial" w:cs="Arial" w:eastAsia="Arial" w:hAnsi="Arial"/>
          <w:sz w:val="18"/>
          <w:szCs w:val="18"/>
          <w:color w:val="auto"/>
        </w:rPr>
        <w:t>On March 22, 2018, Kaplan completed the sale of the institutional assets and operations of Kaplan University (KU) to an Indiana non-profit, public-benefit corporation that is a subsidiary affiliated with Purdue University (Purdue) (see Note 2). The gain on the sale of the institutional assets of KU is included in other income, net, in the Condensed Consolidated Statement of Operations.</w:t>
      </w:r>
    </w:p>
    <w:p>
      <w:pPr>
        <w:spacing w:after="0" w:line="137"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As a result of the transaction, Kaplan reorganized its higher education operations into the following two operating segments for the purpose of making operating decisions and assessing performance: Higher Education and Professional (U.S.) (see Note 16). The higher education segment comprises the historical KU for-profit postsecondary education business and the current non-academic operations support services provided to the new university, Purdue University Global. The Professional (U.S.) segment comprises the KU School of Professional and Continuing Education, which provides professional training and exam preparation for professional certifications and licensures.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ind w:left="220" w:hanging="212"/>
        <w:spacing w:after="0" w:line="223"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w:t>
      </w:r>
    </w:p>
    <w:p>
      <w:pPr>
        <w:ind w:right="200"/>
        <w:spacing w:after="0" w:line="222" w:lineRule="auto"/>
        <w:rPr>
          <w:rFonts w:ascii="Arial" w:cs="Arial" w:eastAsia="Arial" w:hAnsi="Arial"/>
          <w:sz w:val="18"/>
          <w:szCs w:val="18"/>
          <w:color w:val="auto"/>
        </w:rPr>
      </w:pPr>
      <w:r>
        <w:rPr>
          <w:rFonts w:ascii="Arial" w:cs="Arial" w:eastAsia="Arial" w:hAnsi="Arial"/>
          <w:sz w:val="18"/>
          <w:szCs w:val="18"/>
          <w:color w:val="auto"/>
        </w:rPr>
        <w:t>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and nine months ended September 30, 2018 and 2017 may not be indicative of the Company’s future results. These condensed consolidated financial statements are unaudited and should be read in conjunction with the Company’s audited consolidated financial statements and the notes thereto included in the Company’s Current Report on Form 8-K filed on May 21, 2018.</w:t>
      </w:r>
    </w:p>
    <w:p>
      <w:pPr>
        <w:spacing w:after="0" w:line="13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13"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16"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May 2014, the Financial Accounting Standards Board (FASB) issued</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new guidance that supersedes all existing revenue recognition guidance. In August 2015, the FASB issued an amendment to the guidance that defers the effective date by one year. The new guidance requires revenue to be recognized when the Company transfers promised goods or services to customers in an amount that reflects the consideration to which the Company expects to be entitled in exchange for those goods or services. The new guidance also significantly expands the disclosure requirements for revenue recognition. The guidance is effective for interim and fiscal years beginning after December 15, 2017. The standard permits two implementation approaches, full retrospective, requiring retrospective application of the new guidance with a restatement of prior years, or modified retrospective, requiring prospective application of the new guidance with disclosure of results under the old guidance in the first year of adoption. The Company adopted the new guidance on January 1, 2018 using the modified retrospective approach for contracts not completed as of the adoption date.</w:t>
      </w:r>
    </w:p>
    <w:p>
      <w:pPr>
        <w:spacing w:after="0" w:line="139"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Upon adoption of the new guidance, the Company recorded a net increase to the opening balance of retained earnings of $7.4 million. This adjustment was driven by changes in the timing of recognition of both revenues and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97" w:right="239" w:bottom="1440" w:gutter="0" w:footer="0" w:header="0"/>
        </w:sectPr>
      </w:pPr>
    </w:p>
    <w:bookmarkStart w:id="8" w:name="page9"/>
    <w:bookmarkEnd w:id="8"/>
    <w:p>
      <w:pPr>
        <w:ind w:right="100"/>
        <w:spacing w:after="0" w:line="224" w:lineRule="auto"/>
        <w:rPr>
          <w:sz w:val="20"/>
          <w:szCs w:val="20"/>
          <w:color w:val="auto"/>
        </w:rPr>
      </w:pPr>
      <w:r>
        <w:rPr>
          <w:rFonts w:ascii="Arial" w:cs="Arial" w:eastAsia="Arial" w:hAnsi="Arial"/>
          <w:sz w:val="18"/>
          <w:szCs w:val="18"/>
          <w:color w:val="auto"/>
        </w:rPr>
        <w:t>expenses. A change in revenue recognition at a manufacturing business resulted in the acceleration of revenue and associated expenses as revenue is now recognized over time versus at a point in time. A change in the contract term at an education business resulted in a different revenue recognition pattern from previous recognition. Finally, the Company’s treatment of certain commissions paid to employees and agents at its education division changed. The Company previously expensed such commissions as incurred. Upon adoption of the new guidance, the Company capitalizes certain commission costs as an incremental cost of obtaining a contract and subsequently amortizes the cost as the tuition services are delivered to students.</w:t>
      </w:r>
    </w:p>
    <w:p>
      <w:pPr>
        <w:spacing w:after="0" w:line="13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cumulative effect of the changes to the Company’s Condensed Consolidated Balance Sheet as a result of adopting the new guidance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318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 as of December</w:t>
            </w: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 as of January 1,</w:t>
            </w:r>
          </w:p>
        </w:tc>
      </w:tr>
      <w:tr>
        <w:trPr>
          <w:trHeight w:val="196"/>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7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31, 2017</w:t>
            </w: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2018</w:t>
            </w:r>
          </w:p>
        </w:tc>
      </w:tr>
      <w:tr>
        <w:trPr>
          <w:trHeight w:val="250"/>
        </w:trPr>
        <w:tc>
          <w:tcPr>
            <w:tcW w:w="456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7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17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620,319</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2,142</w:t>
            </w:r>
          </w:p>
        </w:tc>
        <w:tc>
          <w:tcPr>
            <w:tcW w:w="46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622,461</w:t>
            </w: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Inventories and contracts in progress</w:t>
            </w:r>
          </w:p>
        </w:tc>
        <w:tc>
          <w:tcPr>
            <w:tcW w:w="17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60,612</w:t>
            </w:r>
          </w:p>
        </w:tc>
        <w:tc>
          <w:tcPr>
            <w:tcW w:w="34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903</w:t>
            </w:r>
          </w:p>
        </w:tc>
        <w:tc>
          <w:tcPr>
            <w:tcW w:w="4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61,515</w:t>
            </w: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17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66,253</w:t>
            </w:r>
          </w:p>
        </w:tc>
        <w:tc>
          <w:tcPr>
            <w:tcW w:w="34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6,343</w:t>
            </w:r>
          </w:p>
        </w:tc>
        <w:tc>
          <w:tcPr>
            <w:tcW w:w="4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72,596</w:t>
            </w:r>
          </w:p>
        </w:tc>
      </w:tr>
      <w:tr>
        <w:trPr>
          <w:trHeight w:val="270"/>
        </w:trPr>
        <w:tc>
          <w:tcPr>
            <w:tcW w:w="456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1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7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526,323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88</w:t>
            </w:r>
          </w:p>
        </w:tc>
        <w:tc>
          <w:tcPr>
            <w:tcW w:w="46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526,411</w:t>
            </w: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17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339,454</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(346)</w:t>
            </w:r>
          </w:p>
        </w:tc>
        <w:tc>
          <w:tcPr>
            <w:tcW w:w="4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339,108</w:t>
            </w: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17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362,701</w:t>
            </w:r>
          </w:p>
        </w:tc>
        <w:tc>
          <w:tcPr>
            <w:tcW w:w="34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2,197</w:t>
            </w:r>
          </w:p>
        </w:tc>
        <w:tc>
          <w:tcPr>
            <w:tcW w:w="4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364,898</w:t>
            </w:r>
          </w:p>
        </w:tc>
      </w:tr>
      <w:tr>
        <w:trPr>
          <w:trHeight w:val="270"/>
        </w:trPr>
        <w:tc>
          <w:tcPr>
            <w:tcW w:w="4560" w:type="dxa"/>
            <w:vAlign w:val="bottom"/>
          </w:tcPr>
          <w:p>
            <w:pPr>
              <w:ind w:left="40"/>
              <w:spacing w:after="0"/>
              <w:rPr>
                <w:sz w:val="20"/>
                <w:szCs w:val="20"/>
                <w:color w:val="auto"/>
              </w:rPr>
            </w:pPr>
            <w:r>
              <w:rPr>
                <w:rFonts w:ascii="Arial" w:cs="Arial" w:eastAsia="Arial" w:hAnsi="Arial"/>
                <w:sz w:val="16"/>
                <w:szCs w:val="16"/>
                <w:b w:val="1"/>
                <w:bCs w:val="1"/>
                <w:color w:val="auto"/>
              </w:rPr>
              <w:t>Equity</w:t>
            </w:r>
          </w:p>
        </w:tc>
        <w:tc>
          <w:tcPr>
            <w:tcW w:w="1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17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5,791,724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7,449</w:t>
            </w:r>
          </w:p>
        </w:tc>
        <w:tc>
          <w:tcPr>
            <w:tcW w:w="46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5,799,173</w:t>
            </w:r>
          </w:p>
        </w:tc>
      </w:tr>
    </w:tbl>
    <w:p>
      <w:pPr>
        <w:spacing w:after="0" w:line="16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Under the modified retrospective method of adoption, the Company is required to disclose the impact the adoption of the revenue guidance had on its Condensed Consolidated Statement of Operations. Under the previous guidance, KU’s fee revenue with Purdue University Global is not fixed and determinable until the end of Purdue University Global’s fiscal year (see Note 2). As a result, the Company would report $4.5 million less revenue and operating income. If the company continued to follow its accounting policies under the previous guidance for all other revenue streams, revenue would be $0.1 million higher and expenses would be $1.8 million lower for the quarter ended September 30, 2018. For the nine months ended September 30, 2018, revenue and expenses would be $1.2 million and $2.6 million lower, respectively. This is primarily due to the net impact of the change in the timing of the recognition of revenue and costs to obtain a contract.</w:t>
      </w:r>
    </w:p>
    <w:p>
      <w:pPr>
        <w:spacing w:after="0" w:line="139"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In January 2016, the FASB issued new guidance that substantially revises the recognition, measurement and presentation of financial assets and financial liabilities. The new guidance, among other things, requires, (i) equity investments (except those accounted for under the equity method of accounting or those that result in consolidation of the investee) to be measured at fair value with changes in fair value recognized in net income, with some exceptions, (ii) simplifies the impairment assessment of equity investments without readily determinable fair values by requiring a qualitative assessment to identify impairment, (iii) requires public business entities to use the exit price notion when measuring the fair value of financial instruments for disclosure purposes, (iv) requires separate presentation of financial assets and financial liabilities by measurement category and form of financial asset on the balance sheet or the accompanying notes to the financial statements, and (v) clarifies that an entity should evaluate the need for a valuation allowance on a deferred tax asset related to available-for-sale securities in combination with the entity’s other deferred tax assets. The guidance is effective for interim and fiscal years beginning after December 15, 2017.</w:t>
      </w:r>
    </w:p>
    <w:p>
      <w:pPr>
        <w:spacing w:after="0" w:line="14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Company adopted this guidance in the first quarter of 2018 and recorded a cumulative adjustment of $194.9 million to retained earnings on its Condensed Consolidated Balance Sheet related to unrealized gains of available-for-sale securities, net of tax, previously classified within accumulated other comprehensive income. Results for reporting periods beginning after January 1, 2018 are presented under this new guidance, with any changes in fair value recognized in net income. In addition, the Company elected the measurement alternative to measure cost method investments that do not have a readily determinable fair value at cost less impairment, adjusted by observable price changes with any fair value changes recognized in net income.</w:t>
      </w:r>
    </w:p>
    <w:p>
      <w:pPr>
        <w:spacing w:after="0" w:line="13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In February 2016, the FASB issued new guidance that requires, among other things, a lessee to recognize a right-of-use asset representing an entity’s right to use the underlying asset for the lease term and a liability for lease payments on its balance sheet, regardless of classification of a lease as operating or financing. For leases with a term of twelve months or less, a lessee is permitted to make an accounting policy election by class of underlying asset not to recognize lease assets and liabilities and account for the lease similar to existing guidance for operating leases today. This new guidance supersedes all prior guidance. The guidance is effective for interim and fiscal years beginning after December 15, 2018. Early adoption is permitted. The standard provides two methods of adoption. Using a modified retrospective approach, lessees and lessors are required to recognize and measure leases at either the beginning of the earliest period presented or in the period of adoption. The Company will adopt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19" w:right="239" w:bottom="1440" w:gutter="0" w:footer="0" w:header="0"/>
        </w:sectPr>
      </w:pPr>
    </w:p>
    <w:bookmarkStart w:id="9" w:name="page10"/>
    <w:bookmarkEnd w:id="9"/>
    <w:p>
      <w:pPr>
        <w:jc w:val="both"/>
        <w:ind w:right="300"/>
        <w:spacing w:after="0" w:line="229" w:lineRule="auto"/>
        <w:rPr>
          <w:sz w:val="20"/>
          <w:szCs w:val="20"/>
          <w:color w:val="auto"/>
        </w:rPr>
      </w:pPr>
      <w:r>
        <w:rPr>
          <w:rFonts w:ascii="Arial" w:cs="Arial" w:eastAsia="Arial" w:hAnsi="Arial"/>
          <w:sz w:val="18"/>
          <w:szCs w:val="18"/>
          <w:color w:val="auto"/>
        </w:rPr>
        <w:t>the new guidance on January 1, 2019 and will recognize and measure leases at that date. The Company is in the process of evaluating the impact of this new guidance on its Condensed Consolidated Financial Statements; however, the recognition of right-of-use assets and lease liabilities is expected to have a material effect on its Condensed Consolidated Balance Sheet.</w:t>
      </w:r>
    </w:p>
    <w:p>
      <w:pPr>
        <w:spacing w:after="0" w:line="137"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In March 2017, the FASB issued new guidance that changes the presentation of net periodic pension cost and net periodic postretirement benefit cost for defined benefit plans. The guidance requires an issuer to disaggregate the service cost component of net periodic pension and postretirement benefit cost from other components. Under the new guidance, service cost will be included in the same line item(s) as other compensation costs arising from services rendered by employees during the period, while the other components will be recognized after income from operations. The guidance is effective for interim and fiscal years beginning after December 15, 2017. The guidance must be applied retrospectively; however, a practical expedient is available which permits an employer to use amounts previously disclosed in its pension and postretirement plans footnote for the prior comparative periods.</w:t>
      </w:r>
    </w:p>
    <w:p>
      <w:pPr>
        <w:spacing w:after="0" w:line="139"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The Company adopted the new standard in the first quarter of 2018. In combination with the presentation change to net periodic pension cost and net periodic postretirement benefit cost, the Company allocated its costs associated with fringe benefits between operating expenses and selling, general and administrative expenses. Previously, costs related to fringe benefits were generally classified as selling, general and administrative expenses. The amounts in the previously issued financial statements have been reclassified to conform to the reclassified presentation. The effect of these changes to the Condensed Consolidated Statement of Operations for the three and nine months ended September 30, 2017 is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jc w:val="right"/>
              <w:ind w:right="280"/>
              <w:spacing w:after="0"/>
              <w:rPr>
                <w:sz w:val="20"/>
                <w:szCs w:val="20"/>
                <w:color w:val="auto"/>
              </w:rPr>
            </w:pPr>
            <w:r>
              <w:rPr>
                <w:rFonts w:ascii="Arial" w:cs="Arial" w:eastAsia="Arial" w:hAnsi="Arial"/>
                <w:sz w:val="14"/>
                <w:szCs w:val="14"/>
                <w:b w:val="1"/>
                <w:bCs w:val="1"/>
                <w:color w:val="auto"/>
              </w:rPr>
              <w:t>As Previously</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6"/>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Reported</w:t>
            </w: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Upon Adoption</w:t>
            </w:r>
          </w:p>
        </w:tc>
      </w:tr>
      <w:tr>
        <w:trPr>
          <w:trHeight w:val="250"/>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Three Months Ended September 30, 2017</w:t>
            </w:r>
          </w:p>
        </w:tc>
        <w:tc>
          <w:tcPr>
            <w:tcW w:w="1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Operating expenses</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352,635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22,352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374,987</w:t>
            </w: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Selling, general and administrative expenses</w:t>
            </w:r>
          </w:p>
        </w:tc>
        <w:tc>
          <w:tcPr>
            <w:tcW w:w="1120" w:type="dxa"/>
            <w:vAlign w:val="bottom"/>
          </w:tcPr>
          <w:p>
            <w:pPr>
              <w:spacing w:after="0"/>
              <w:rPr>
                <w:sz w:val="23"/>
                <w:szCs w:val="23"/>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232,782</w:t>
            </w:r>
          </w:p>
        </w:tc>
        <w:tc>
          <w:tcPr>
            <w:tcW w:w="34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(4,731)</w:t>
            </w:r>
          </w:p>
        </w:tc>
        <w:tc>
          <w:tcPr>
            <w:tcW w:w="26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228,051</w:t>
            </w: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Income from Operations</w:t>
            </w:r>
          </w:p>
        </w:tc>
        <w:tc>
          <w:tcPr>
            <w:tcW w:w="1120" w:type="dxa"/>
            <w:vAlign w:val="bottom"/>
          </w:tcPr>
          <w:p>
            <w:pPr>
              <w:spacing w:after="0"/>
              <w:rPr>
                <w:sz w:val="23"/>
                <w:szCs w:val="23"/>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44,571</w:t>
            </w:r>
          </w:p>
        </w:tc>
        <w:tc>
          <w:tcPr>
            <w:tcW w:w="34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(17,621)</w:t>
            </w:r>
          </w:p>
        </w:tc>
        <w:tc>
          <w:tcPr>
            <w:tcW w:w="26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26,950</w:t>
            </w: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Non-operating pension and postretirement benefit income, net</w:t>
            </w:r>
          </w:p>
        </w:tc>
        <w:tc>
          <w:tcPr>
            <w:tcW w:w="1120" w:type="dxa"/>
            <w:vAlign w:val="bottom"/>
          </w:tcPr>
          <w:p>
            <w:pPr>
              <w:spacing w:after="0"/>
              <w:rPr>
                <w:sz w:val="23"/>
                <w:szCs w:val="23"/>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17,621</w:t>
            </w:r>
          </w:p>
        </w:tc>
        <w:tc>
          <w:tcPr>
            <w:tcW w:w="26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17,621</w:t>
            </w: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Income Before Income Taxes</w:t>
            </w:r>
          </w:p>
        </w:tc>
        <w:tc>
          <w:tcPr>
            <w:tcW w:w="1120" w:type="dxa"/>
            <w:vAlign w:val="bottom"/>
          </w:tcPr>
          <w:p>
            <w:pPr>
              <w:spacing w:after="0"/>
              <w:rPr>
                <w:sz w:val="23"/>
                <w:szCs w:val="23"/>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38,244</w:t>
            </w:r>
          </w:p>
        </w:tc>
        <w:tc>
          <w:tcPr>
            <w:tcW w:w="340" w:type="dxa"/>
            <w:vAlign w:val="bottom"/>
          </w:tcPr>
          <w:p>
            <w:pPr>
              <w:spacing w:after="0"/>
              <w:rPr>
                <w:sz w:val="23"/>
                <w:szCs w:val="23"/>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38,244</w:t>
            </w:r>
          </w:p>
        </w:tc>
      </w:tr>
      <w:tr>
        <w:trPr>
          <w:trHeight w:val="270"/>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Nine Months Ended September 30, 2017</w:t>
            </w:r>
          </w:p>
        </w:tc>
        <w:tc>
          <w:tcPr>
            <w:tcW w:w="1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Operating expenses</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1,011,553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70,868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1,082,421</w:t>
            </w: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Selling, general and administrative expenses</w:t>
            </w:r>
          </w:p>
        </w:tc>
        <w:tc>
          <w:tcPr>
            <w:tcW w:w="1120" w:type="dxa"/>
            <w:vAlign w:val="bottom"/>
          </w:tcPr>
          <w:p>
            <w:pPr>
              <w:spacing w:after="0"/>
              <w:rPr>
                <w:sz w:val="23"/>
                <w:szCs w:val="23"/>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678,139</w:t>
            </w:r>
          </w:p>
        </w:tc>
        <w:tc>
          <w:tcPr>
            <w:tcW w:w="34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(15,826)</w:t>
            </w:r>
          </w:p>
        </w:tc>
        <w:tc>
          <w:tcPr>
            <w:tcW w:w="26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662,313</w:t>
            </w: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Income from Operations</w:t>
            </w:r>
          </w:p>
        </w:tc>
        <w:tc>
          <w:tcPr>
            <w:tcW w:w="1120" w:type="dxa"/>
            <w:vAlign w:val="bottom"/>
          </w:tcPr>
          <w:p>
            <w:pPr>
              <w:spacing w:after="0"/>
              <w:rPr>
                <w:sz w:val="23"/>
                <w:szCs w:val="23"/>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141,986</w:t>
            </w:r>
          </w:p>
        </w:tc>
        <w:tc>
          <w:tcPr>
            <w:tcW w:w="34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(55,042)</w:t>
            </w:r>
          </w:p>
        </w:tc>
        <w:tc>
          <w:tcPr>
            <w:tcW w:w="26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86,944</w:t>
            </w: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Non-operating pension and postretirement benefit income, net</w:t>
            </w:r>
          </w:p>
        </w:tc>
        <w:tc>
          <w:tcPr>
            <w:tcW w:w="1120" w:type="dxa"/>
            <w:vAlign w:val="bottom"/>
          </w:tcPr>
          <w:p>
            <w:pPr>
              <w:spacing w:after="0"/>
              <w:rPr>
                <w:sz w:val="23"/>
                <w:szCs w:val="23"/>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55,042</w:t>
            </w:r>
          </w:p>
        </w:tc>
        <w:tc>
          <w:tcPr>
            <w:tcW w:w="26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55,042</w:t>
            </w: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Income Before Income Taxes</w:t>
            </w:r>
          </w:p>
        </w:tc>
        <w:tc>
          <w:tcPr>
            <w:tcW w:w="1120" w:type="dxa"/>
            <w:vAlign w:val="bottom"/>
          </w:tcPr>
          <w:p>
            <w:pPr>
              <w:spacing w:after="0"/>
              <w:rPr>
                <w:sz w:val="23"/>
                <w:szCs w:val="23"/>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127,929</w:t>
            </w:r>
          </w:p>
        </w:tc>
        <w:tc>
          <w:tcPr>
            <w:tcW w:w="340" w:type="dxa"/>
            <w:vAlign w:val="bottom"/>
          </w:tcPr>
          <w:p>
            <w:pPr>
              <w:spacing w:after="0"/>
              <w:rPr>
                <w:sz w:val="23"/>
                <w:szCs w:val="23"/>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127,929</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DISPOSITIONS OF BUSINESSES</w:t>
      </w:r>
    </w:p>
    <w:p>
      <w:pPr>
        <w:spacing w:after="0" w:line="144"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In the first nine months of 2018, the Company acquired eight businesses, five in its education division, one in its healthcare</w:t>
      </w:r>
      <w:r>
        <w:rPr>
          <w:rFonts w:ascii="Arial" w:cs="Arial" w:eastAsia="Arial" w:hAnsi="Arial"/>
          <w:sz w:val="18"/>
          <w:szCs w:val="18"/>
          <w:b w:val="1"/>
          <w:bCs w:val="1"/>
          <w:color w:val="auto"/>
        </w:rPr>
        <w:t xml:space="preserve"> </w:t>
      </w:r>
      <w:r>
        <w:rPr>
          <w:rFonts w:ascii="Arial" w:cs="Arial" w:eastAsia="Arial" w:hAnsi="Arial"/>
          <w:sz w:val="18"/>
          <w:szCs w:val="18"/>
          <w:color w:val="auto"/>
        </w:rPr>
        <w:t>division, and two in other businesses for $120.9 million in cash and contingent consideration.</w:t>
      </w:r>
    </w:p>
    <w:p>
      <w:pPr>
        <w:spacing w:after="0" w:line="121"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September 2018, Graham Healthcare Group (GHG) acquired the assets of a small business and Kaplan acquired the test preparation and study guide assets of Barron’s Educational Series, a New York-based education publishing company. The acquisitions are expected to complement the healthcare and test preparation services currently offered by GHG and Kaplan, respectively. GHG is included in the healthcare division. The Barron’s Educational Series acquisition is included in the test preparation division.</w:t>
      </w:r>
    </w:p>
    <w:p>
      <w:pPr>
        <w:spacing w:after="0" w:line="135"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In August 2018, SocialCode acquired 100% of the membership interests of Marketplace Strategy (MPS), a Cleveland-based digital marketing agency that provides strategy consulting, optimization services, advertising management and creative solutions on online marketplaces including Amazon. SocialCode’s primary reason for the acquisition is to expand its platform offerings. The acquisition is included in other businesses.</w:t>
      </w:r>
    </w:p>
    <w:p>
      <w:pPr>
        <w:spacing w:after="0" w:line="135"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On July 31, 2018, Dekko acquired 100% of the issued and outstanding shares of Furnlite, Inc., a Fallston, NC-based manufacturer of power and data solutions for the hospitality and residential furniture industry. Dekko’s primary reasons for the acquisition are to complement existing product offerings and to provide potential synergies across the businesses. The acquisition is included in other businesses.</w:t>
      </w:r>
    </w:p>
    <w:p>
      <w:pPr>
        <w:spacing w:after="0" w:line="137"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On July 12, 2018, Kaplan acquired 100% of the issued and outstanding shares of the College for Financial Planning (CFFP), a provider of financial education and training to individuals pursuing the Certified Financial Planner certification, a Master of Science in Personal Financial Planning, or a Master of Science in Finance. The acquisition is expected to expand Kaplan’s financial education product offerings and is included in the Professional (U.S.) division.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19" w:right="239" w:bottom="1440" w:gutter="0" w:footer="0" w:header="0"/>
        </w:sectPr>
      </w:pPr>
    </w:p>
    <w:bookmarkStart w:id="10" w:name="page11"/>
    <w:bookmarkEnd w:id="10"/>
    <w:p>
      <w:pPr>
        <w:ind w:right="40"/>
        <w:spacing w:after="0" w:line="227" w:lineRule="auto"/>
        <w:rPr>
          <w:sz w:val="20"/>
          <w:szCs w:val="20"/>
          <w:color w:val="auto"/>
        </w:rPr>
      </w:pPr>
      <w:r>
        <w:rPr>
          <w:rFonts w:ascii="Arial" w:cs="Arial" w:eastAsia="Arial" w:hAnsi="Arial"/>
          <w:sz w:val="18"/>
          <w:szCs w:val="18"/>
          <w:color w:val="auto"/>
        </w:rPr>
        <w:t>In May 2018, Kaplan acquired a 100% interest in Professional Publications, Inc. (PPI), an independent publisher of professional licensing exam review materials and a leader in engineering, surveying, architecture, and interior design licensure exam review, by purchasing all of its issued and outstanding shares. This acquisition is expected to provide certain strategic benefits in the future. This acquisition is included in the Professional (U.S.) division.</w:t>
      </w:r>
    </w:p>
    <w:p>
      <w:pPr>
        <w:spacing w:after="0" w:line="135"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In January and February 2018, Kaplan acquired the assets of i-Human Patients, Inc., a leader in cloud-based, interactive patient encounter simulations for medical and nursing professionals and educators, and another small business in its test preparation and international divisions, respectively. These acquisitions are expected to provide strategic benefits in the future.</w:t>
      </w:r>
    </w:p>
    <w:p>
      <w:pPr>
        <w:spacing w:after="0" w:line="137"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During 2017, the Company acquired six businesses, two in its education division, two in its television broadcasting division, one in its healthcare division and one in other businesses for $318.9 million in cash and contingent consideration, and the assumption of $59.1 million in certain pension and postretirement obligations.</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On January 17, 2017, the Company closed on its agreement with Nexstar Broadcasting Group, Inc. and Media General, Inc. to acquire the assets of WCWJ, a CW affiliate television station in Jacksonville, FL and WSLS, an NBC affiliate television station in Roanoke, VA, for cash and the assumption of certain pension obligations. The acquisition of WCWJ and WSLS will complement the other stations that GMG operates. Both of these acquisitions are included in television broadcasting.</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 February 2017, Kaplan acquired a 100% interest in Genesis Training Institute, a Dubai-based provider of professional development training in the United Arab Emirates, by purchasing all of its issued and outstanding shares. Additionally, Kaplan acquired a 100% interest in Red Marker Pty Ltd, an Australia-based regulatory technology company by purchasing all of its outstanding shares. These acquisitions are expected to provide certain strategic benefits in the future. Both of these acquisitions are included in Kaplan International.</w:t>
      </w:r>
    </w:p>
    <w:p>
      <w:pPr>
        <w:spacing w:after="0" w:line="135"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In April 2017, the Company acquired 97.72% of the issued and outstanding shares of Hoover Treated Wood Products, Inc., a Thomson, GA-based supplier of pressure impregnated kiln-dried lumber and plywood products for fire retardant and preservative applications for $206.8 million, net of cash acquired. The fair value of the redeemable noncontrolling interest in Hoover was $3.7 million at the acquisition date, determined using a market approach. The minority shareholders have an option to put some of their shares to the Company starting in 2019 and the remaining shares starting in 2021. The Company has an option to buy the shares of minority shareholders starting in 2027. This acquisition is consistent with the Company’s ongoing strategy of investing in companies with a history of profitability and strong management. Hoover is included in other businesses.</w:t>
      </w:r>
    </w:p>
    <w:p>
      <w:pPr>
        <w:spacing w:after="0" w:line="139"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At the end of June 2017, GHG acquired a 100% interest in Hometown Home Health and Hospice, a Lapeer, MI-based healthcare services provider by purchasing all of its issued and outstanding shares. This acquisition expands GHG’s service area in Michigan. GHG is included in healthcare.</w:t>
      </w:r>
    </w:p>
    <w:p>
      <w:pPr>
        <w:spacing w:after="0" w:line="137"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Acquisition-related costs for acquisitions that closed during 2018 were $1.2 million and were expensed as incurred. Acquisition-related costs for acquisitions that closed during the first nine months of 2017 were $4.1 million and were expensed as incurred. The aggregate purchase price of the 2018 and 2017 acquisitions was allocated as follows (2018 on a preliminary basis):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rPr>
              <w:t>Purchase Price Allocation</w:t>
            </w:r>
          </w:p>
        </w:tc>
      </w:tr>
      <w:tr>
        <w:trPr>
          <w:trHeight w:val="244"/>
        </w:trPr>
        <w:tc>
          <w:tcPr>
            <w:tcW w:w="6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321"/>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21"/>
                <w:szCs w:val="21"/>
                <w:color w:val="auto"/>
              </w:rPr>
            </w:pPr>
          </w:p>
        </w:tc>
        <w:tc>
          <w:tcPr>
            <w:tcW w:w="2020" w:type="dxa"/>
            <w:vAlign w:val="bottom"/>
          </w:tcPr>
          <w:p>
            <w:pPr>
              <w:jc w:val="right"/>
              <w:ind w:right="320"/>
              <w:spacing w:after="0"/>
              <w:rPr>
                <w:sz w:val="20"/>
                <w:szCs w:val="20"/>
                <w:color w:val="auto"/>
              </w:rPr>
            </w:pPr>
            <w:r>
              <w:rPr>
                <w:rFonts w:ascii="Arial" w:cs="Arial" w:eastAsia="Arial" w:hAnsi="Arial"/>
                <w:sz w:val="14"/>
                <w:szCs w:val="14"/>
                <w:b w:val="1"/>
                <w:bCs w:val="1"/>
                <w:color w:val="auto"/>
              </w:rPr>
              <w:t>Twelve Months Ended</w:t>
            </w:r>
          </w:p>
        </w:tc>
      </w:tr>
      <w:tr>
        <w:trPr>
          <w:trHeight w:val="276"/>
        </w:trPr>
        <w:tc>
          <w:tcPr>
            <w:tcW w:w="6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September 30, 2018</w:t>
            </w: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694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880" w:type="dxa"/>
            <w:vAlign w:val="bottom"/>
          </w:tcPr>
          <w:p>
            <w:pPr>
              <w:jc w:val="right"/>
              <w:ind w:right="21"/>
              <w:spacing w:after="0"/>
              <w:rPr>
                <w:sz w:val="20"/>
                <w:szCs w:val="20"/>
                <w:color w:val="auto"/>
              </w:rPr>
            </w:pPr>
            <w:r>
              <w:rPr>
                <w:rFonts w:ascii="Arial" w:cs="Arial" w:eastAsia="Arial" w:hAnsi="Arial"/>
                <w:sz w:val="16"/>
                <w:szCs w:val="16"/>
                <w:b w:val="1"/>
                <w:bCs w:val="1"/>
                <w:color w:val="auto"/>
              </w:rPr>
              <w:t>2,334</w:t>
            </w:r>
          </w:p>
        </w:tc>
        <w:tc>
          <w:tcPr>
            <w:tcW w:w="260" w:type="dxa"/>
            <w:vAlign w:val="bottom"/>
          </w:tcPr>
          <w:p>
            <w:pPr>
              <w:jc w:val="center"/>
              <w:ind w:right="19"/>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ind w:right="40"/>
              <w:spacing w:after="0"/>
              <w:rPr>
                <w:sz w:val="20"/>
                <w:szCs w:val="20"/>
                <w:color w:val="auto"/>
              </w:rPr>
            </w:pPr>
            <w:r>
              <w:rPr>
                <w:rFonts w:ascii="Arial" w:cs="Arial" w:eastAsia="Arial" w:hAnsi="Arial"/>
                <w:sz w:val="16"/>
                <w:szCs w:val="16"/>
                <w:color w:val="auto"/>
              </w:rPr>
              <w:t>12,502</w:t>
            </w:r>
          </w:p>
        </w:tc>
      </w:tr>
      <w:tr>
        <w:trPr>
          <w:trHeight w:val="270"/>
        </w:trPr>
        <w:tc>
          <w:tcPr>
            <w:tcW w:w="6940" w:type="dxa"/>
            <w:vAlign w:val="bottom"/>
          </w:tcPr>
          <w:p>
            <w:pPr>
              <w:ind w:left="40"/>
              <w:spacing w:after="0"/>
              <w:rPr>
                <w:sz w:val="20"/>
                <w:szCs w:val="20"/>
                <w:color w:val="auto"/>
              </w:rPr>
            </w:pPr>
            <w:r>
              <w:rPr>
                <w:rFonts w:ascii="Arial" w:cs="Arial" w:eastAsia="Arial" w:hAnsi="Arial"/>
                <w:sz w:val="16"/>
                <w:szCs w:val="16"/>
                <w:color w:val="auto"/>
              </w:rPr>
              <w:t>Inventory</w:t>
            </w:r>
          </w:p>
        </w:tc>
        <w:tc>
          <w:tcPr>
            <w:tcW w:w="260" w:type="dxa"/>
            <w:vAlign w:val="bottom"/>
          </w:tcPr>
          <w:p>
            <w:pPr>
              <w:spacing w:after="0"/>
              <w:rPr>
                <w:sz w:val="23"/>
                <w:szCs w:val="23"/>
                <w:color w:val="auto"/>
              </w:rPr>
            </w:pPr>
          </w:p>
        </w:tc>
        <w:tc>
          <w:tcPr>
            <w:tcW w:w="1880" w:type="dxa"/>
            <w:vAlign w:val="bottom"/>
          </w:tcPr>
          <w:p>
            <w:pPr>
              <w:jc w:val="right"/>
              <w:ind w:right="21"/>
              <w:spacing w:after="0"/>
              <w:rPr>
                <w:sz w:val="20"/>
                <w:szCs w:val="20"/>
                <w:color w:val="auto"/>
              </w:rPr>
            </w:pPr>
            <w:r>
              <w:rPr>
                <w:rFonts w:ascii="Arial" w:cs="Arial" w:eastAsia="Arial" w:hAnsi="Arial"/>
                <w:sz w:val="16"/>
                <w:szCs w:val="16"/>
                <w:b w:val="1"/>
                <w:bCs w:val="1"/>
                <w:color w:val="auto"/>
              </w:rPr>
              <w:t>1,268</w:t>
            </w:r>
          </w:p>
        </w:tc>
        <w:tc>
          <w:tcPr>
            <w:tcW w:w="260" w:type="dxa"/>
            <w:vAlign w:val="bottom"/>
          </w:tcPr>
          <w:p>
            <w:pPr>
              <w:spacing w:after="0"/>
              <w:rPr>
                <w:sz w:val="23"/>
                <w:szCs w:val="23"/>
                <w:color w:val="auto"/>
              </w:rPr>
            </w:pPr>
          </w:p>
        </w:tc>
        <w:tc>
          <w:tcPr>
            <w:tcW w:w="2020" w:type="dxa"/>
            <w:vAlign w:val="bottom"/>
          </w:tcPr>
          <w:p>
            <w:pPr>
              <w:jc w:val="right"/>
              <w:ind w:right="40"/>
              <w:spacing w:after="0"/>
              <w:rPr>
                <w:sz w:val="20"/>
                <w:szCs w:val="20"/>
                <w:color w:val="auto"/>
              </w:rPr>
            </w:pPr>
            <w:r>
              <w:rPr>
                <w:rFonts w:ascii="Arial" w:cs="Arial" w:eastAsia="Arial" w:hAnsi="Arial"/>
                <w:sz w:val="16"/>
                <w:szCs w:val="16"/>
                <w:color w:val="auto"/>
              </w:rPr>
              <w:t>25,253</w:t>
            </w:r>
          </w:p>
        </w:tc>
      </w:tr>
      <w:tr>
        <w:trPr>
          <w:trHeight w:val="270"/>
        </w:trPr>
        <w:tc>
          <w:tcPr>
            <w:tcW w:w="694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260" w:type="dxa"/>
            <w:vAlign w:val="bottom"/>
          </w:tcPr>
          <w:p>
            <w:pPr>
              <w:spacing w:after="0"/>
              <w:rPr>
                <w:sz w:val="23"/>
                <w:szCs w:val="23"/>
                <w:color w:val="auto"/>
              </w:rPr>
            </w:pPr>
          </w:p>
        </w:tc>
        <w:tc>
          <w:tcPr>
            <w:tcW w:w="1880" w:type="dxa"/>
            <w:vAlign w:val="bottom"/>
          </w:tcPr>
          <w:p>
            <w:pPr>
              <w:jc w:val="right"/>
              <w:ind w:right="21"/>
              <w:spacing w:after="0"/>
              <w:rPr>
                <w:sz w:val="20"/>
                <w:szCs w:val="20"/>
                <w:color w:val="auto"/>
              </w:rPr>
            </w:pPr>
            <w:r>
              <w:rPr>
                <w:rFonts w:ascii="Arial" w:cs="Arial" w:eastAsia="Arial" w:hAnsi="Arial"/>
                <w:sz w:val="16"/>
                <w:szCs w:val="16"/>
                <w:b w:val="1"/>
                <w:bCs w:val="1"/>
                <w:color w:val="auto"/>
              </w:rPr>
              <w:t>1,518</w:t>
            </w:r>
          </w:p>
        </w:tc>
        <w:tc>
          <w:tcPr>
            <w:tcW w:w="260" w:type="dxa"/>
            <w:vAlign w:val="bottom"/>
          </w:tcPr>
          <w:p>
            <w:pPr>
              <w:spacing w:after="0"/>
              <w:rPr>
                <w:sz w:val="23"/>
                <w:szCs w:val="23"/>
                <w:color w:val="auto"/>
              </w:rPr>
            </w:pPr>
          </w:p>
        </w:tc>
        <w:tc>
          <w:tcPr>
            <w:tcW w:w="2020" w:type="dxa"/>
            <w:vAlign w:val="bottom"/>
          </w:tcPr>
          <w:p>
            <w:pPr>
              <w:jc w:val="right"/>
              <w:ind w:right="40"/>
              <w:spacing w:after="0"/>
              <w:rPr>
                <w:sz w:val="20"/>
                <w:szCs w:val="20"/>
                <w:color w:val="auto"/>
              </w:rPr>
            </w:pPr>
            <w:r>
              <w:rPr>
                <w:rFonts w:ascii="Arial" w:cs="Arial" w:eastAsia="Arial" w:hAnsi="Arial"/>
                <w:sz w:val="16"/>
                <w:szCs w:val="16"/>
                <w:color w:val="auto"/>
              </w:rPr>
              <w:t>29,921</w:t>
            </w:r>
          </w:p>
        </w:tc>
      </w:tr>
      <w:tr>
        <w:trPr>
          <w:trHeight w:val="270"/>
        </w:trPr>
        <w:tc>
          <w:tcPr>
            <w:tcW w:w="69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3"/>
                <w:szCs w:val="23"/>
                <w:color w:val="auto"/>
              </w:rPr>
            </w:pPr>
          </w:p>
        </w:tc>
        <w:tc>
          <w:tcPr>
            <w:tcW w:w="1880" w:type="dxa"/>
            <w:vAlign w:val="bottom"/>
          </w:tcPr>
          <w:p>
            <w:pPr>
              <w:jc w:val="right"/>
              <w:ind w:right="21"/>
              <w:spacing w:after="0"/>
              <w:rPr>
                <w:sz w:val="20"/>
                <w:szCs w:val="20"/>
                <w:color w:val="auto"/>
              </w:rPr>
            </w:pPr>
            <w:r>
              <w:rPr>
                <w:rFonts w:ascii="Arial" w:cs="Arial" w:eastAsia="Arial" w:hAnsi="Arial"/>
                <w:sz w:val="16"/>
                <w:szCs w:val="16"/>
                <w:b w:val="1"/>
                <w:bCs w:val="1"/>
                <w:color w:val="auto"/>
              </w:rPr>
              <w:t>41,397</w:t>
            </w:r>
          </w:p>
        </w:tc>
        <w:tc>
          <w:tcPr>
            <w:tcW w:w="260" w:type="dxa"/>
            <w:vAlign w:val="bottom"/>
          </w:tcPr>
          <w:p>
            <w:pPr>
              <w:spacing w:after="0"/>
              <w:rPr>
                <w:sz w:val="23"/>
                <w:szCs w:val="23"/>
                <w:color w:val="auto"/>
              </w:rPr>
            </w:pPr>
          </w:p>
        </w:tc>
        <w:tc>
          <w:tcPr>
            <w:tcW w:w="2020" w:type="dxa"/>
            <w:vAlign w:val="bottom"/>
          </w:tcPr>
          <w:p>
            <w:pPr>
              <w:jc w:val="right"/>
              <w:ind w:right="40"/>
              <w:spacing w:after="0"/>
              <w:rPr>
                <w:sz w:val="20"/>
                <w:szCs w:val="20"/>
                <w:color w:val="auto"/>
              </w:rPr>
            </w:pPr>
            <w:r>
              <w:rPr>
                <w:rFonts w:ascii="Arial" w:cs="Arial" w:eastAsia="Arial" w:hAnsi="Arial"/>
                <w:sz w:val="16"/>
                <w:szCs w:val="16"/>
                <w:color w:val="auto"/>
              </w:rPr>
              <w:t>143,149</w:t>
            </w:r>
          </w:p>
        </w:tc>
      </w:tr>
      <w:tr>
        <w:trPr>
          <w:trHeight w:val="270"/>
        </w:trPr>
        <w:tc>
          <w:tcPr>
            <w:tcW w:w="694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260" w:type="dxa"/>
            <w:vAlign w:val="bottom"/>
          </w:tcPr>
          <w:p>
            <w:pPr>
              <w:spacing w:after="0"/>
              <w:rPr>
                <w:sz w:val="23"/>
                <w:szCs w:val="23"/>
                <w:color w:val="auto"/>
              </w:rPr>
            </w:pPr>
          </w:p>
        </w:tc>
        <w:tc>
          <w:tcPr>
            <w:tcW w:w="1880" w:type="dxa"/>
            <w:vAlign w:val="bottom"/>
          </w:tcPr>
          <w:p>
            <w:pPr>
              <w:jc w:val="right"/>
              <w:ind w:right="21"/>
              <w:spacing w:after="0"/>
              <w:rPr>
                <w:sz w:val="20"/>
                <w:szCs w:val="20"/>
                <w:color w:val="auto"/>
              </w:rPr>
            </w:pPr>
            <w:r>
              <w:rPr>
                <w:rFonts w:ascii="Arial" w:cs="Arial" w:eastAsia="Arial" w:hAnsi="Arial"/>
                <w:sz w:val="16"/>
                <w:szCs w:val="16"/>
                <w:b w:val="1"/>
                <w:bCs w:val="1"/>
                <w:color w:val="auto"/>
              </w:rPr>
              <w:t>14,200</w:t>
            </w:r>
          </w:p>
        </w:tc>
        <w:tc>
          <w:tcPr>
            <w:tcW w:w="260" w:type="dxa"/>
            <w:vAlign w:val="bottom"/>
          </w:tcPr>
          <w:p>
            <w:pPr>
              <w:spacing w:after="0"/>
              <w:rPr>
                <w:sz w:val="23"/>
                <w:szCs w:val="23"/>
                <w:color w:val="auto"/>
              </w:rPr>
            </w:pPr>
          </w:p>
        </w:tc>
        <w:tc>
          <w:tcPr>
            <w:tcW w:w="2020" w:type="dxa"/>
            <w:vAlign w:val="bottom"/>
          </w:tcPr>
          <w:p>
            <w:pPr>
              <w:jc w:val="right"/>
              <w:ind w:right="40"/>
              <w:spacing w:after="0"/>
              <w:rPr>
                <w:sz w:val="20"/>
                <w:szCs w:val="20"/>
                <w:color w:val="auto"/>
              </w:rPr>
            </w:pPr>
            <w:r>
              <w:rPr>
                <w:rFonts w:ascii="Arial" w:cs="Arial" w:eastAsia="Arial" w:hAnsi="Arial"/>
                <w:sz w:val="16"/>
                <w:szCs w:val="16"/>
                <w:color w:val="auto"/>
              </w:rPr>
              <w:t>33,800</w:t>
            </w:r>
          </w:p>
        </w:tc>
      </w:tr>
      <w:tr>
        <w:trPr>
          <w:trHeight w:val="270"/>
        </w:trPr>
        <w:tc>
          <w:tcPr>
            <w:tcW w:w="6940" w:type="dxa"/>
            <w:vAlign w:val="bottom"/>
          </w:tcPr>
          <w:p>
            <w:pPr>
              <w:ind w:left="40"/>
              <w:spacing w:after="0"/>
              <w:rPr>
                <w:sz w:val="20"/>
                <w:szCs w:val="20"/>
                <w:color w:val="auto"/>
              </w:rPr>
            </w:pPr>
            <w:r>
              <w:rPr>
                <w:rFonts w:ascii="Arial" w:cs="Arial" w:eastAsia="Arial" w:hAnsi="Arial"/>
                <w:sz w:val="16"/>
                <w:szCs w:val="16"/>
                <w:color w:val="auto"/>
              </w:rPr>
              <w:t>Amortized intangible assets</w:t>
            </w:r>
          </w:p>
        </w:tc>
        <w:tc>
          <w:tcPr>
            <w:tcW w:w="260" w:type="dxa"/>
            <w:vAlign w:val="bottom"/>
          </w:tcPr>
          <w:p>
            <w:pPr>
              <w:spacing w:after="0"/>
              <w:rPr>
                <w:sz w:val="23"/>
                <w:szCs w:val="23"/>
                <w:color w:val="auto"/>
              </w:rPr>
            </w:pPr>
          </w:p>
        </w:tc>
        <w:tc>
          <w:tcPr>
            <w:tcW w:w="1880" w:type="dxa"/>
            <w:vAlign w:val="bottom"/>
          </w:tcPr>
          <w:p>
            <w:pPr>
              <w:jc w:val="right"/>
              <w:ind w:right="21"/>
              <w:spacing w:after="0"/>
              <w:rPr>
                <w:sz w:val="20"/>
                <w:szCs w:val="20"/>
                <w:color w:val="auto"/>
              </w:rPr>
            </w:pPr>
            <w:r>
              <w:rPr>
                <w:rFonts w:ascii="Arial" w:cs="Arial" w:eastAsia="Arial" w:hAnsi="Arial"/>
                <w:sz w:val="16"/>
                <w:szCs w:val="16"/>
                <w:b w:val="1"/>
                <w:bCs w:val="1"/>
                <w:color w:val="auto"/>
              </w:rPr>
              <w:t>64,327</w:t>
            </w:r>
          </w:p>
        </w:tc>
        <w:tc>
          <w:tcPr>
            <w:tcW w:w="260" w:type="dxa"/>
            <w:vAlign w:val="bottom"/>
          </w:tcPr>
          <w:p>
            <w:pPr>
              <w:spacing w:after="0"/>
              <w:rPr>
                <w:sz w:val="23"/>
                <w:szCs w:val="23"/>
                <w:color w:val="auto"/>
              </w:rPr>
            </w:pPr>
          </w:p>
        </w:tc>
        <w:tc>
          <w:tcPr>
            <w:tcW w:w="2020" w:type="dxa"/>
            <w:vAlign w:val="bottom"/>
          </w:tcPr>
          <w:p>
            <w:pPr>
              <w:jc w:val="right"/>
              <w:ind w:right="40"/>
              <w:spacing w:after="0"/>
              <w:rPr>
                <w:sz w:val="20"/>
                <w:szCs w:val="20"/>
                <w:color w:val="auto"/>
              </w:rPr>
            </w:pPr>
            <w:r>
              <w:rPr>
                <w:rFonts w:ascii="Arial" w:cs="Arial" w:eastAsia="Arial" w:hAnsi="Arial"/>
                <w:sz w:val="16"/>
                <w:szCs w:val="16"/>
                <w:color w:val="auto"/>
              </w:rPr>
              <w:t>170,658</w:t>
            </w:r>
          </w:p>
        </w:tc>
      </w:tr>
      <w:tr>
        <w:trPr>
          <w:trHeight w:val="270"/>
        </w:trPr>
        <w:tc>
          <w:tcPr>
            <w:tcW w:w="69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3"/>
                <w:szCs w:val="23"/>
                <w:color w:val="auto"/>
              </w:rPr>
            </w:pPr>
          </w:p>
        </w:tc>
        <w:tc>
          <w:tcPr>
            <w:tcW w:w="1880" w:type="dxa"/>
            <w:vAlign w:val="bottom"/>
          </w:tcPr>
          <w:p>
            <w:pPr>
              <w:jc w:val="right"/>
              <w:ind w:right="21"/>
              <w:spacing w:after="0"/>
              <w:rPr>
                <w:sz w:val="20"/>
                <w:szCs w:val="20"/>
                <w:color w:val="auto"/>
              </w:rPr>
            </w:pPr>
            <w:r>
              <w:rPr>
                <w:rFonts w:ascii="Arial" w:cs="Arial" w:eastAsia="Arial" w:hAnsi="Arial"/>
                <w:sz w:val="16"/>
                <w:szCs w:val="16"/>
                <w:b w:val="1"/>
                <w:bCs w:val="1"/>
                <w:color w:val="auto"/>
              </w:rPr>
              <w:t>4,912</w:t>
            </w:r>
          </w:p>
        </w:tc>
        <w:tc>
          <w:tcPr>
            <w:tcW w:w="260" w:type="dxa"/>
            <w:vAlign w:val="bottom"/>
          </w:tcPr>
          <w:p>
            <w:pPr>
              <w:spacing w:after="0"/>
              <w:rPr>
                <w:sz w:val="23"/>
                <w:szCs w:val="23"/>
                <w:color w:val="auto"/>
              </w:rPr>
            </w:pPr>
          </w:p>
        </w:tc>
        <w:tc>
          <w:tcPr>
            <w:tcW w:w="2020" w:type="dxa"/>
            <w:vAlign w:val="bottom"/>
          </w:tcPr>
          <w:p>
            <w:pPr>
              <w:jc w:val="right"/>
              <w:ind w:right="40"/>
              <w:spacing w:after="0"/>
              <w:rPr>
                <w:sz w:val="20"/>
                <w:szCs w:val="20"/>
                <w:color w:val="auto"/>
              </w:rPr>
            </w:pPr>
            <w:r>
              <w:rPr>
                <w:rFonts w:ascii="Arial" w:cs="Arial" w:eastAsia="Arial" w:hAnsi="Arial"/>
                <w:sz w:val="16"/>
                <w:szCs w:val="16"/>
                <w:color w:val="auto"/>
              </w:rPr>
              <w:t>1,880</w:t>
            </w:r>
          </w:p>
        </w:tc>
      </w:tr>
      <w:tr>
        <w:trPr>
          <w:trHeight w:val="270"/>
        </w:trPr>
        <w:tc>
          <w:tcPr>
            <w:tcW w:w="6940" w:type="dxa"/>
            <w:vAlign w:val="bottom"/>
          </w:tcPr>
          <w:p>
            <w:pPr>
              <w:ind w:left="40"/>
              <w:spacing w:after="0"/>
              <w:rPr>
                <w:sz w:val="20"/>
                <w:szCs w:val="20"/>
                <w:color w:val="auto"/>
              </w:rPr>
            </w:pPr>
            <w:r>
              <w:rPr>
                <w:rFonts w:ascii="Arial" w:cs="Arial" w:eastAsia="Arial" w:hAnsi="Arial"/>
                <w:sz w:val="16"/>
                <w:szCs w:val="16"/>
                <w:color w:val="auto"/>
              </w:rPr>
              <w:t>Pension and other postretirement benefits liabilities</w:t>
            </w:r>
          </w:p>
        </w:tc>
        <w:tc>
          <w:tcPr>
            <w:tcW w:w="260" w:type="dxa"/>
            <w:vAlign w:val="bottom"/>
          </w:tcPr>
          <w:p>
            <w:pPr>
              <w:spacing w:after="0"/>
              <w:rPr>
                <w:sz w:val="23"/>
                <w:szCs w:val="23"/>
                <w:color w:val="auto"/>
              </w:rPr>
            </w:pPr>
          </w:p>
        </w:tc>
        <w:tc>
          <w:tcPr>
            <w:tcW w:w="188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(59,116)</w:t>
            </w:r>
          </w:p>
        </w:tc>
      </w:tr>
      <w:tr>
        <w:trPr>
          <w:trHeight w:val="270"/>
        </w:trPr>
        <w:tc>
          <w:tcPr>
            <w:tcW w:w="694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(7,575)</w:t>
            </w:r>
          </w:p>
        </w:tc>
        <w:tc>
          <w:tcPr>
            <w:tcW w:w="26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(12,177)</w:t>
            </w:r>
          </w:p>
        </w:tc>
      </w:tr>
      <w:tr>
        <w:trPr>
          <w:trHeight w:val="270"/>
        </w:trPr>
        <w:tc>
          <w:tcPr>
            <w:tcW w:w="69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(4,460)</w:t>
            </w:r>
          </w:p>
        </w:tc>
        <w:tc>
          <w:tcPr>
            <w:tcW w:w="26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(37,289)</w:t>
            </w:r>
          </w:p>
        </w:tc>
      </w:tr>
      <w:tr>
        <w:trPr>
          <w:trHeight w:val="283"/>
        </w:trPr>
        <w:tc>
          <w:tcPr>
            <w:tcW w:w="6940" w:type="dxa"/>
            <w:vAlign w:val="bottom"/>
          </w:tcPr>
          <w:p>
            <w:pPr>
              <w:ind w:left="40"/>
              <w:spacing w:after="0"/>
              <w:rPr>
                <w:sz w:val="20"/>
                <w:szCs w:val="20"/>
                <w:color w:val="auto"/>
              </w:rPr>
            </w:pPr>
            <w:r>
              <w:rPr>
                <w:rFonts w:ascii="Arial" w:cs="Arial" w:eastAsia="Arial" w:hAnsi="Arial"/>
                <w:sz w:val="16"/>
                <w:szCs w:val="16"/>
                <w:color w:val="auto"/>
              </w:rPr>
              <w:t>Redeemable noncontrolling interest</w:t>
            </w:r>
          </w:p>
        </w:tc>
        <w:tc>
          <w:tcPr>
            <w:tcW w:w="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(3,666)</w:t>
            </w:r>
          </w:p>
        </w:tc>
      </w:tr>
      <w:tr>
        <w:trPr>
          <w:trHeight w:val="240"/>
        </w:trPr>
        <w:tc>
          <w:tcPr>
            <w:tcW w:w="6940" w:type="dxa"/>
            <w:vAlign w:val="bottom"/>
          </w:tcPr>
          <w:p>
            <w:pPr>
              <w:ind w:left="40"/>
              <w:spacing w:after="0"/>
              <w:rPr>
                <w:sz w:val="20"/>
                <w:szCs w:val="20"/>
                <w:color w:val="auto"/>
              </w:rPr>
            </w:pPr>
            <w:r>
              <w:rPr>
                <w:rFonts w:ascii="Arial" w:cs="Arial" w:eastAsia="Arial" w:hAnsi="Arial"/>
                <w:sz w:val="16"/>
                <w:szCs w:val="16"/>
                <w:color w:val="auto"/>
              </w:rPr>
              <w:t>Aggregate purchase price, net of cash acquired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117,921</w:t>
            </w:r>
          </w:p>
        </w:tc>
        <w:tc>
          <w:tcPr>
            <w:tcW w:w="2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304,915</w:t>
            </w:r>
          </w:p>
        </w:tc>
      </w:tr>
      <w:tr>
        <w:trPr>
          <w:trHeight w:val="20"/>
        </w:trPr>
        <w:tc>
          <w:tcPr>
            <w:tcW w:w="6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60"/>
        <w:spacing w:after="0" w:line="229" w:lineRule="auto"/>
        <w:rPr>
          <w:sz w:val="20"/>
          <w:szCs w:val="20"/>
          <w:color w:val="auto"/>
        </w:rPr>
      </w:pPr>
      <w:r>
        <w:rPr>
          <w:rFonts w:ascii="Arial" w:cs="Arial" w:eastAsia="Arial" w:hAnsi="Arial"/>
          <w:sz w:val="18"/>
          <w:szCs w:val="18"/>
          <w:color w:val="auto"/>
        </w:rPr>
        <w:t>The 2018 fair values recorded were based upon preliminary valuations and the estimates and assumptions used in such valuations are subject to change within the measurement period (up to one year from the acquisition date). The recording of deferred tax assets or liabilities, working capital and the final amount of residual goodwill and other</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19" w:right="239" w:bottom="1440" w:gutter="0" w:footer="0" w:header="0"/>
        </w:sectPr>
      </w:pPr>
    </w:p>
    <w:bookmarkStart w:id="11" w:name="page12"/>
    <w:bookmarkEnd w:id="11"/>
    <w:p>
      <w:pPr>
        <w:ind w:right="80"/>
        <w:spacing w:after="0" w:line="224" w:lineRule="auto"/>
        <w:rPr>
          <w:sz w:val="20"/>
          <w:szCs w:val="20"/>
          <w:color w:val="auto"/>
        </w:rPr>
      </w:pPr>
      <w:r>
        <w:rPr>
          <w:rFonts w:ascii="Arial" w:cs="Arial" w:eastAsia="Arial" w:hAnsi="Arial"/>
          <w:sz w:val="18"/>
          <w:szCs w:val="18"/>
          <w:color w:val="auto"/>
        </w:rPr>
        <w:t>intangibles are not yet finalized. 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The Company expects to deduct $ 32.4 million of goodwill for income tax purposes for the acquisitions completed during the first nine months of 2018. The Company expects to deduct $11.0 million of goodwill for income tax purposes for the acquisitions completed in 2017.</w:t>
      </w:r>
    </w:p>
    <w:p>
      <w:pPr>
        <w:spacing w:after="0" w:line="137" w:lineRule="exact"/>
        <w:rPr>
          <w:sz w:val="20"/>
          <w:szCs w:val="20"/>
          <w:color w:val="auto"/>
        </w:rPr>
      </w:pPr>
    </w:p>
    <w:p>
      <w:pPr>
        <w:ind w:right="260"/>
        <w:spacing w:after="0" w:line="224"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Company’s Condensed Consolidated Statements of Operations include aggregate revenues for the companies acquired in 2018 of $10.2 million for the third quarter of 2018 and had no impact on operating income. The Company’s Condensed Consolidated Statements of Operations include aggregate revenues and operating losses of $12.6 million and $0.8 million, respectively, for the first nine months of 2018. The following unaudited pro forma financial information presents the Company’s results as if the 2018 acquisitions had occurred at the beginning of 2017. The unaudited pro forma information also includes the 2017 acquisitions as if they occurred at the beginning of 2016:</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3"/>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520" w:type="dxa"/>
            <w:vAlign w:val="bottom"/>
            <w:gridSpan w:val="3"/>
          </w:tcPr>
          <w:p>
            <w:pPr>
              <w:jc w:val="right"/>
              <w:ind w:right="68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2017</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2017</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ind w:left="380"/>
              <w:spacing w:after="0"/>
              <w:rPr>
                <w:sz w:val="20"/>
                <w:szCs w:val="20"/>
                <w:color w:val="auto"/>
              </w:rPr>
            </w:pPr>
            <w:r>
              <w:rPr>
                <w:rFonts w:ascii="Arial" w:cs="Arial" w:eastAsia="Arial" w:hAnsi="Arial"/>
                <w:sz w:val="16"/>
                <w:szCs w:val="16"/>
                <w:b w:val="1"/>
                <w:bCs w:val="1"/>
                <w:color w:val="auto"/>
              </w:rPr>
              <w:t>680,279</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674,991</w:t>
            </w:r>
          </w:p>
        </w:tc>
        <w:tc>
          <w:tcPr>
            <w:tcW w:w="4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2,046,792</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2,033,078</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spacing w:after="0"/>
              <w:rPr>
                <w:sz w:val="23"/>
                <w:szCs w:val="23"/>
                <w:color w:val="auto"/>
              </w:rPr>
            </w:pPr>
          </w:p>
        </w:tc>
        <w:tc>
          <w:tcPr>
            <w:tcW w:w="1080" w:type="dxa"/>
            <w:vAlign w:val="bottom"/>
          </w:tcPr>
          <w:p>
            <w:pPr>
              <w:ind w:left="380"/>
              <w:spacing w:after="0"/>
              <w:rPr>
                <w:sz w:val="20"/>
                <w:szCs w:val="20"/>
                <w:color w:val="auto"/>
              </w:rPr>
            </w:pPr>
            <w:r>
              <w:rPr>
                <w:rFonts w:ascii="Arial" w:cs="Arial" w:eastAsia="Arial" w:hAnsi="Arial"/>
                <w:sz w:val="16"/>
                <w:szCs w:val="16"/>
                <w:b w:val="1"/>
                <w:bCs w:val="1"/>
                <w:color w:val="auto"/>
              </w:rPr>
              <w:t>126,104</w:t>
            </w:r>
          </w:p>
        </w:tc>
        <w:tc>
          <w:tcPr>
            <w:tcW w:w="580" w:type="dxa"/>
            <w:vAlign w:val="bottom"/>
          </w:tcPr>
          <w:p>
            <w:pPr>
              <w:spacing w:after="0"/>
              <w:rPr>
                <w:sz w:val="23"/>
                <w:szCs w:val="23"/>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25,896</w:t>
            </w:r>
          </w:p>
        </w:tc>
        <w:tc>
          <w:tcPr>
            <w:tcW w:w="420" w:type="dxa"/>
            <w:vAlign w:val="bottom"/>
          </w:tcPr>
          <w:p>
            <w:pPr>
              <w:spacing w:after="0"/>
              <w:rPr>
                <w:sz w:val="23"/>
                <w:szCs w:val="23"/>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219,092</w:t>
            </w:r>
          </w:p>
        </w:tc>
        <w:tc>
          <w:tcPr>
            <w:tcW w:w="58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98,564</w:t>
            </w:r>
          </w:p>
        </w:tc>
      </w:tr>
    </w:tbl>
    <w:p>
      <w:pPr>
        <w:spacing w:after="0" w:line="167"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 related expenses incurred by the Company and the acquired entities. The 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spacing w:after="0" w:line="115"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b w:val="1"/>
          <w:bCs w:val="1"/>
          <w:color w:val="auto"/>
        </w:rPr>
        <w:t xml:space="preserve">Kaplan University Transaction. </w:t>
      </w:r>
      <w:r>
        <w:rPr>
          <w:rFonts w:ascii="Arial" w:cs="Arial" w:eastAsia="Arial" w:hAnsi="Arial"/>
          <w:sz w:val="18"/>
          <w:szCs w:val="18"/>
          <w:color w:val="auto"/>
        </w:rPr>
        <w:t>On April 27, 2017, certain subsidiaries of Kaplan entered into a Contribution and Transfer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contribute the institutional assets and operations of Kaplan University to an Indiana non-profit, public-benefit corporation that is a subsidiary affiliated with Purdue University. The closing of the transactions contemplated by the Transfer Agreement occurred on March 22, 2018. At the same time, the parties entered into a Transition and Operations Support Agreement (TOSA) pursuant to which Kaplan will provide key non-academic operations support to the new university.</w:t>
      </w:r>
    </w:p>
    <w:p>
      <w:pPr>
        <w:spacing w:after="0" w:line="138"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new university will operate largely online as a new Indiana public university affiliated with Purdue under the name Purdue University Global. As part of the transfer to Purdue University Global, KU transferred students, academic personnel, faculty and operations, property leases for KU’s campuses and learning centers, Kaplan-owned academic curricula and content related to KU courses. The operations support activities that Kaplan will provide to Purdue University Global will include technology support, help-desk functions, human resources support for transferred faculty and employees, admissions support, financial aid administration, marketing and advertising, back-office business functions, certain test preparation and domestic and international student recruiting services.</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The transfer of KU does not include any of the assets of the KU School of Professional and Continuing Education, which provides professional training and exam preparation for professional certifications and licensures, nor does it include the transfer of other Kaplan businesses such as Kaplan Test Preparation and Kaplan International. Those entities, programs and business lines will remain part of Kaplan. Kaplan received nominal cash consideration upon transfer of the institutional assets.</w:t>
      </w:r>
    </w:p>
    <w:p>
      <w:pPr>
        <w:spacing w:after="0" w:line="135"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Pursuant to the TOSA, Kaplan is not entitled to receive any reimbursement of costs incurred in providing support functions, or any fee, unless and until Purdue University Global has first covered all of its operating costs (subject to a cap). If Purdue University Global achieves cost efficiencies in its operations, then Purdue University Global may be entitled to an additional payment equal to 20 percent of such cost efficiencies (Purdue Efficiency Payment). In addition, during each of Purdue University Global’s first five years, prior to any payment to Kaplan, Purdue University Global is entitled to a priority payment of $10 million per year beyond costs. To the extent Purdue University Global’s revenue is insufficient to pay the $10 million per year priority payment, Kaplan is required to advance an amount to Purdue University Global to cover such insufficiency. At closing, Kaplan paid to Purdue University Global an advance in the amount of $20 million, representing, and in lieu of, priority payments for Purdue University Global’s fiscal years ending June 30, 2019 and June 30, 2020.</w:t>
      </w:r>
    </w:p>
    <w:p>
      <w:pPr>
        <w:spacing w:after="0" w:line="136"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To the extent that there are sufficient revenues to pay the Purdue Efficiency Payment, Purdue University Global is reimbursed for its operating costs (subject to a cap) and the priority payment to Purdue University Global is paid. To</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19" w:right="239" w:bottom="1440" w:gutter="0" w:footer="0" w:header="0"/>
        </w:sectPr>
      </w:pPr>
    </w:p>
    <w:bookmarkStart w:id="12" w:name="page13"/>
    <w:bookmarkEnd w:id="12"/>
    <w:p>
      <w:pPr>
        <w:ind w:right="80"/>
        <w:spacing w:after="0" w:line="223" w:lineRule="auto"/>
        <w:rPr>
          <w:sz w:val="20"/>
          <w:szCs w:val="20"/>
          <w:color w:val="auto"/>
        </w:rPr>
      </w:pPr>
      <w:r>
        <w:rPr>
          <w:rFonts w:ascii="Arial" w:cs="Arial" w:eastAsia="Arial" w:hAnsi="Arial"/>
          <w:sz w:val="18"/>
          <w:szCs w:val="18"/>
          <w:color w:val="auto"/>
        </w:rPr>
        <w:t>the extent there is remaining revenue, Kaplan will then receive reimbursement for its operating costs (subject to a cap) of providing the support activities. If Kaplan achieves cost efficiencies in its operations, then Kaplan may be entitled to an additional payment equal to 20 percent of such cost efficiencies (Kaplan Efficiency Payment). If there are sufficient revenues, Kaplan may also receive a fee equal to 12.5 percent of Purdue University Global’s revenue. The fee will increase to 13 percent beginning with Purdue University Global’s fiscal year ending June 30, 2023 and continuing through Purdue University Global’s fiscal year ending June 30, 2027, and then the fee will return to 12.5 percent thereafter. Subject to certain limitations, a portion of the fee that is earned by Kaplan in one year may be carried over and instead paid to Kaplan in subsequent years.</w:t>
      </w:r>
    </w:p>
    <w:p>
      <w:pPr>
        <w:spacing w:after="0" w:line="139" w:lineRule="exact"/>
        <w:rPr>
          <w:sz w:val="20"/>
          <w:szCs w:val="20"/>
          <w:color w:val="auto"/>
        </w:rPr>
      </w:pPr>
    </w:p>
    <w:p>
      <w:pPr>
        <w:ind w:right="140"/>
        <w:spacing w:after="0" w:line="221" w:lineRule="auto"/>
        <w:rPr>
          <w:sz w:val="20"/>
          <w:szCs w:val="20"/>
          <w:color w:val="auto"/>
        </w:rPr>
      </w:pPr>
      <w:r>
        <w:rPr>
          <w:rFonts w:ascii="Arial" w:cs="Arial" w:eastAsia="Arial" w:hAnsi="Arial"/>
          <w:sz w:val="18"/>
          <w:szCs w:val="18"/>
          <w:color w:val="auto"/>
        </w:rPr>
        <w:t>After the first five years of the TOSA, Kaplan and Purdue University Global will be entitled to payments in a manner consistent with the structure described above, except that (i) Purdue University Global will no longer be entitled to a priority payment and (ii) to the extent that there are sufficient revenues after payment of the Kaplan Efficiency Payment (if any), Purdue University Global will be entitled to an annual payment equal to 10 percent of the remaining revenue after the Kaplan Efficiency Payment (if any) is paid and subject to certain other adjustments. The TOSA has a 30-year initial term, which will automatically renew for five-year periods unless terminated. After the sixth year, Purdue University Global has the right to terminate the agreement upon payment of a termination fee equal to 1.25 times Purdue University Global’s revenue for the preceding 12-month period, which payment would be made pursuant to a 10-year note, and at the election of Purdue University Global, it may receive for no additional consideration certain assets used by Kaplan to provide the support activities pursuant to the TOSA. At the end of the 30-year term, if Purdue University Global does not renew the TOSA, Purdue University Global will be obligated to make a final payment of 75% of its total revenue earned during the preceding 12-month period, which payment will be made pursuant to a 10-year note, and at the election of Purdue University Global, it may receive for no additional consideration certain assets used by Kaplan to provide the support activities pursuant to the TOSA.</w:t>
      </w:r>
    </w:p>
    <w:p>
      <w:pPr>
        <w:spacing w:after="0" w:line="144"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Either party may terminate the TOSA at any time if Purdue University Global generates (i) $25 million in cash operating losses for three consecutive years or (ii) aggregate cash operating losses greater than $75 million at any point during the initial term. Operating loss is defined as the amount of revenue Purdue University Global generates minus the sum of (1) Purdue University Global’s and Kaplan’s respective costs in performing academic and support functions and (2) the $10 million priority payment to Purdue University Global in each of the first five years. Upon termination for any reason, Purdue University Global will retain the assets that Kaplan contributed pursuant to the Transfer Agreement. Each party also has certain termination rights in connection with a material default or material breach of the TOSA by the other party.</w:t>
      </w:r>
    </w:p>
    <w:p>
      <w:pPr>
        <w:spacing w:after="0" w:line="137"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Pursuant to the U.S. Department of Education (ED) requirements, Purdue assumes responsibility for any liability arising from the operation of the institution. This assumption will not limit Kaplan’s obligation to indemnify Purdue for pre-closing liabilities under the Transfer Agreement. As a result of the transfer of KU, Kaplan will no longer own or operate KU or any other institution participating in student financial aid programs that have been created under Title IV of the U.S. Federal Higher Education Act of 1965, as amended. Consequently, Kaplan is no longer responsible for operating KU. However, pursuant to the TOSA, Kaplan will be performing functions that fall within the ED's definition of a third-party servicer and will, therefore, assume certain regulatory responsibilities that require approval by the ED. The third-party servicer arrangement between Kaplan and Purdue University Global is also subject to information security requirements established by the Federal Trade Commission as well as all aspects of the Family Educational Rights and Privacy Act. As a third-party servicer, Kaplan may be required to undergo an annual compliance audit of its administration of the Title IV functions or services that it performs.</w:t>
      </w:r>
    </w:p>
    <w:p>
      <w:pPr>
        <w:spacing w:after="0" w:line="141"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As a result of the KU Transaction, the Company recorded a pre-tax gain of $4.3 million in the first quarter of 2018. For financial reporting purposes, Kaplan may receive payment of additional consideration for the sale of the institutional assets as part of the fee to the extent there are sufficient revenues available after paying all amounts required by the TOSA. The Company recorded a $0.5 million and $1.9 million contingent consideration gain related to the disposition in the three and nine months ended September 30, 2018,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revenue and operating income related to the KU business disposed of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2"/>
          </w:tcPr>
          <w:p>
            <w:pPr>
              <w:jc w:val="right"/>
              <w:ind w:right="66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520" w:type="dxa"/>
            <w:vAlign w:val="bottom"/>
            <w:gridSpan w:val="3"/>
          </w:tcPr>
          <w:p>
            <w:pPr>
              <w:jc w:val="right"/>
              <w:ind w:right="68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064"/>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2017</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2017</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Revenue</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Pr>
          <w:p>
            <w:pPr>
              <w:ind w:left="800"/>
              <w:spacing w:after="0"/>
              <w:rPr>
                <w:sz w:val="20"/>
                <w:szCs w:val="20"/>
                <w:color w:val="auto"/>
              </w:rPr>
            </w:pPr>
            <w:r>
              <w:rPr>
                <w:rFonts w:ascii="Arial" w:cs="Arial" w:eastAsia="Arial" w:hAnsi="Arial"/>
                <w:sz w:val="16"/>
                <w:szCs w:val="16"/>
                <w:b w:val="1"/>
                <w:bCs w:val="1"/>
                <w:color w:val="auto"/>
              </w:rPr>
              <w:t>—   $</w:t>
            </w:r>
          </w:p>
        </w:tc>
        <w:tc>
          <w:tcPr>
            <w:tcW w:w="880" w:type="dxa"/>
            <w:vAlign w:val="bottom"/>
          </w:tcPr>
          <w:p>
            <w:pPr>
              <w:jc w:val="right"/>
              <w:ind w:right="42"/>
              <w:spacing w:after="0"/>
              <w:rPr>
                <w:sz w:val="20"/>
                <w:szCs w:val="20"/>
                <w:color w:val="auto"/>
              </w:rPr>
            </w:pPr>
            <w:r>
              <w:rPr>
                <w:rFonts w:ascii="Arial" w:cs="Arial" w:eastAsia="Arial" w:hAnsi="Arial"/>
                <w:sz w:val="16"/>
                <w:szCs w:val="16"/>
                <w:b w:val="1"/>
                <w:bCs w:val="1"/>
                <w:color w:val="auto"/>
              </w:rPr>
              <w:t>105,036</w:t>
            </w:r>
          </w:p>
        </w:tc>
        <w:tc>
          <w:tcPr>
            <w:tcW w:w="4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91,526</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327,529</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320" w:type="dxa"/>
            <w:vAlign w:val="bottom"/>
          </w:tcPr>
          <w:p>
            <w:pPr>
              <w:spacing w:after="0"/>
              <w:rPr>
                <w:sz w:val="23"/>
                <w:szCs w:val="23"/>
                <w:color w:val="auto"/>
              </w:rPr>
            </w:pPr>
          </w:p>
        </w:tc>
        <w:tc>
          <w:tcPr>
            <w:tcW w:w="1660" w:type="dxa"/>
            <w:vAlign w:val="bottom"/>
          </w:tcPr>
          <w:p>
            <w:pPr>
              <w:ind w:left="80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b w:val="1"/>
                <w:bCs w:val="1"/>
                <w:color w:val="auto"/>
              </w:rPr>
              <w:t>1,785</w:t>
            </w:r>
          </w:p>
        </w:tc>
        <w:tc>
          <w:tcPr>
            <w:tcW w:w="420" w:type="dxa"/>
            <w:vAlign w:val="bottom"/>
          </w:tcPr>
          <w:p>
            <w:pPr>
              <w:spacing w:after="0"/>
              <w:rPr>
                <w:sz w:val="23"/>
                <w:szCs w:val="23"/>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213</w:t>
            </w:r>
          </w:p>
        </w:tc>
        <w:tc>
          <w:tcPr>
            <w:tcW w:w="58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18,582</w:t>
            </w:r>
          </w:p>
        </w:tc>
      </w:tr>
    </w:tbl>
    <w:p>
      <w:pPr>
        <w:spacing w:after="0" w:line="145"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September 2018, Kaplan Australia completed the sale of a small business which was included in Kaplan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In February 2018, Kaplan completed the sale of a small business which was included in Test Preparation. In February 2017, GHG completed the sale of Celtic Healthcare of Maryland. In the fourth quarter of 2017, Kaplan Australia completed the sale of a small business, which was included in Kaplan International. As a result of these sales, the Company reported gains (losses) in other non-operating income (see Note 13).</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19" w:right="239" w:bottom="1440" w:gutter="0" w:footer="0" w:header="0"/>
        </w:sectPr>
      </w:pPr>
    </w:p>
    <w:bookmarkStart w:id="13" w:name="page14"/>
    <w:bookmarkEnd w:id="13"/>
    <w:p>
      <w:pPr>
        <w:ind w:right="420"/>
        <w:spacing w:after="0" w:line="238"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June 2018, the Company incurred $6.2 million of interest expense related to the mandatorily redeemable</w:t>
      </w:r>
      <w:r>
        <w:rPr>
          <w:rFonts w:ascii="Arial" w:cs="Arial" w:eastAsia="Arial" w:hAnsi="Arial"/>
          <w:sz w:val="18"/>
          <w:szCs w:val="18"/>
          <w:b w:val="1"/>
          <w:bCs w:val="1"/>
          <w:color w:val="auto"/>
        </w:rPr>
        <w:t xml:space="preserve"> </w:t>
      </w:r>
      <w:r>
        <w:rPr>
          <w:rFonts w:ascii="Arial" w:cs="Arial" w:eastAsia="Arial" w:hAnsi="Arial"/>
          <w:sz w:val="18"/>
          <w:szCs w:val="18"/>
          <w:color w:val="auto"/>
        </w:rPr>
        <w:t>noncontrolling interest redemption settlement at GHG. The mandatorily redeemable noncontrolling interest was redeemed and paid in July 2018.</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66" w:lineRule="exact"/>
        <w:rPr>
          <w:sz w:val="20"/>
          <w:szCs w:val="20"/>
          <w:color w:val="auto"/>
        </w:rPr>
      </w:pPr>
    </w:p>
    <w:p>
      <w:pPr>
        <w:ind w:right="420"/>
        <w:spacing w:after="0" w:line="258" w:lineRule="auto"/>
        <w:rPr>
          <w:sz w:val="20"/>
          <w:szCs w:val="20"/>
          <w:color w:val="auto"/>
        </w:rPr>
      </w:pPr>
      <w:r>
        <w:rPr>
          <w:rFonts w:ascii="Arial" w:cs="Arial" w:eastAsia="Arial" w:hAnsi="Arial"/>
          <w:sz w:val="17"/>
          <w:szCs w:val="17"/>
          <w:color w:val="auto"/>
        </w:rPr>
        <w:t>As of September 30, 2018 and December 31, 2017, the Company had money market investments of $86.0 million and $217.6 million, respectively, that are classified as cash, cash equivalents and restricted cash in the Company’s Condensed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comprised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7"/>
        </w:trPr>
        <w:tc>
          <w:tcPr>
            <w:tcW w:w="8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143"/>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4"/>
                <w:szCs w:val="24"/>
                <w:color w:val="auto"/>
              </w:rPr>
            </w:pPr>
          </w:p>
        </w:tc>
        <w:tc>
          <w:tcPr>
            <w:tcW w:w="1200" w:type="dxa"/>
            <w:vAlign w:val="bottom"/>
          </w:tcPr>
          <w:p>
            <w:pPr>
              <w:jc w:val="right"/>
              <w:ind w:right="163"/>
              <w:spacing w:after="0"/>
              <w:rPr>
                <w:sz w:val="20"/>
                <w:szCs w:val="20"/>
                <w:color w:val="auto"/>
              </w:rPr>
            </w:pPr>
            <w:r>
              <w:rPr>
                <w:rFonts w:ascii="Arial" w:cs="Arial" w:eastAsia="Arial" w:hAnsi="Arial"/>
                <w:sz w:val="14"/>
                <w:szCs w:val="14"/>
                <w:color w:val="auto"/>
              </w:rPr>
              <w:t>December 31,</w:t>
            </w: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2017</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43"/>
              <w:spacing w:after="0"/>
              <w:rPr>
                <w:sz w:val="20"/>
                <w:szCs w:val="20"/>
                <w:color w:val="auto"/>
              </w:rPr>
            </w:pPr>
            <w:r>
              <w:rPr>
                <w:rFonts w:ascii="Arial" w:cs="Arial" w:eastAsia="Arial" w:hAnsi="Arial"/>
                <w:sz w:val="16"/>
                <w:szCs w:val="16"/>
                <w:b w:val="1"/>
                <w:bCs w:val="1"/>
                <w:color w:val="auto"/>
              </w:rPr>
              <w:t>239,904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269,343</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Gross unrealized gains</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257,975</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266,972</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497,879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536,315</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purchases of marketable equity securities during the first nine months of 2018 and 2017.</w:t>
      </w:r>
    </w:p>
    <w:p>
      <w:pPr>
        <w:spacing w:after="0" w:line="144"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During the first nine months of 2018, the gross cumulative realized gains from the sales of marketable equity securities were $37.3 million. The total proceeds from such sales were $66.7 million. There were no sales of marketable equity securities for the first nine months of 2017.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gain on marketable equity securities comprised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jc w:val="right"/>
              <w:ind w:right="203"/>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640" w:type="dxa"/>
            <w:vAlign w:val="bottom"/>
          </w:tcPr>
          <w:p>
            <w:pPr>
              <w:jc w:val="right"/>
              <w:ind w:right="163"/>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September 30, 2018</w:t>
            </w: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September 30, 2018</w:t>
            </w:r>
          </w:p>
        </w:tc>
      </w:tr>
      <w:tr>
        <w:trPr>
          <w:trHeight w:val="250"/>
        </w:trPr>
        <w:tc>
          <w:tcPr>
            <w:tcW w:w="7540" w:type="dxa"/>
            <w:vAlign w:val="bottom"/>
          </w:tcPr>
          <w:p>
            <w:pPr>
              <w:ind w:left="40"/>
              <w:spacing w:after="0"/>
              <w:rPr>
                <w:sz w:val="20"/>
                <w:szCs w:val="20"/>
                <w:color w:val="auto"/>
              </w:rPr>
            </w:pPr>
            <w:r>
              <w:rPr>
                <w:rFonts w:ascii="Arial" w:cs="Arial" w:eastAsia="Arial" w:hAnsi="Arial"/>
                <w:sz w:val="16"/>
                <w:szCs w:val="16"/>
                <w:color w:val="auto"/>
              </w:rPr>
              <w:t>Gain on marketable equity securities, net</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60" w:type="dxa"/>
            <w:vAlign w:val="bottom"/>
          </w:tcPr>
          <w:p>
            <w:pPr>
              <w:jc w:val="right"/>
              <w:ind w:right="43"/>
              <w:spacing w:after="0"/>
              <w:rPr>
                <w:sz w:val="20"/>
                <w:szCs w:val="20"/>
                <w:color w:val="auto"/>
              </w:rPr>
            </w:pPr>
            <w:r>
              <w:rPr>
                <w:rFonts w:ascii="Arial" w:cs="Arial" w:eastAsia="Arial" w:hAnsi="Arial"/>
                <w:sz w:val="16"/>
                <w:szCs w:val="16"/>
                <w:b w:val="1"/>
                <w:bCs w:val="1"/>
                <w:color w:val="auto"/>
              </w:rPr>
              <w:t>44,962</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ind w:right="23"/>
              <w:spacing w:after="0"/>
              <w:rPr>
                <w:sz w:val="20"/>
                <w:szCs w:val="20"/>
                <w:color w:val="auto"/>
              </w:rPr>
            </w:pPr>
            <w:r>
              <w:rPr>
                <w:rFonts w:ascii="Arial" w:cs="Arial" w:eastAsia="Arial" w:hAnsi="Arial"/>
                <w:sz w:val="16"/>
                <w:szCs w:val="16"/>
                <w:b w:val="1"/>
                <w:bCs w:val="1"/>
                <w:color w:val="auto"/>
              </w:rPr>
              <w:t>28,306</w:t>
            </w:r>
          </w:p>
        </w:tc>
      </w:tr>
      <w:tr>
        <w:trPr>
          <w:trHeight w:val="283"/>
        </w:trPr>
        <w:tc>
          <w:tcPr>
            <w:tcW w:w="7540" w:type="dxa"/>
            <w:vAlign w:val="bottom"/>
          </w:tcPr>
          <w:p>
            <w:pPr>
              <w:ind w:left="40"/>
              <w:spacing w:after="0"/>
              <w:rPr>
                <w:sz w:val="20"/>
                <w:szCs w:val="20"/>
                <w:color w:val="auto"/>
              </w:rPr>
            </w:pPr>
            <w:r>
              <w:rPr>
                <w:rFonts w:ascii="Arial" w:cs="Arial" w:eastAsia="Arial" w:hAnsi="Arial"/>
                <w:sz w:val="16"/>
                <w:szCs w:val="16"/>
                <w:color w:val="auto"/>
              </w:rPr>
              <w:t>Plus: Net losses in earnings from marketable equity securities sold</w:t>
            </w: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4,271</w:t>
            </w:r>
          </w:p>
        </w:tc>
      </w:tr>
      <w:tr>
        <w:trPr>
          <w:trHeight w:val="267"/>
        </w:trPr>
        <w:tc>
          <w:tcPr>
            <w:tcW w:w="7540" w:type="dxa"/>
            <w:vAlign w:val="bottom"/>
          </w:tcPr>
          <w:p>
            <w:pPr>
              <w:ind w:left="40"/>
              <w:spacing w:after="0"/>
              <w:rPr>
                <w:sz w:val="20"/>
                <w:szCs w:val="20"/>
                <w:color w:val="auto"/>
              </w:rPr>
            </w:pPr>
            <w:r>
              <w:rPr>
                <w:rFonts w:ascii="Arial" w:cs="Arial" w:eastAsia="Arial" w:hAnsi="Arial"/>
                <w:sz w:val="16"/>
                <w:szCs w:val="16"/>
                <w:color w:val="auto"/>
              </w:rPr>
              <w:t>Net unrealized gains in earnings from marketable equity securities still held at the end of the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44,962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32,577</w:t>
            </w:r>
          </w:p>
        </w:tc>
      </w:tr>
      <w:tr>
        <w:trPr>
          <w:trHeight w:val="20"/>
        </w:trPr>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As of September 30, 2018, the Company held an approximate 11% interest in Intersection Holdings, LLC, and in several other affiliates; GHG held a 40% interest in Residential Home Health Illinois, a 42.5% interest in Residential Hospice Illinois, a 40% interest in the joint venture formed between GHG and a Michigan hospital, and a 40% interest in the joint venture formed between GHG and Allegheny Health Network (AHN). For the three and nine months ended September 30, 2018, the Company recorded $ 2.5 million and $9.5 million, respectively, in revenue for services provided to the affiliates of GHG. For the three and nine months ended September 30, 2017, the Company recorded $4.5 million and $14.1 million, respectively, in revenue for services provided to the affiliates of GHG. In the third quarter of 2018, the Company recorded $7.9 million in gains in equity in earnings of affiliates related to two of its investments.</w:t>
      </w:r>
    </w:p>
    <w:p>
      <w:pPr>
        <w:spacing w:after="0" w:line="139"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Additionally, Kaplan International Holdings Limited (KIHL) held a 45% interest in a joint venture formed with York University. KIHL agreed to loan the joint venture £25 million, of which £16 million was advanced as of December 31, 2017. In the second quarter of 2018, KIHL advanced a final amount of £6 million in additional funding to the joint venture under this agreement, bringing the total amount advanced to £22 million. The loan will be repayable over 25 years at an interest rate of 7% and the loan is guaranteed by the University of York.</w:t>
      </w:r>
    </w:p>
    <w:p>
      <w:pPr>
        <w:spacing w:after="0" w:line="135"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The Company held investments without readily determinable fair values in a number of equity securities that are accounted for as cost method investments, which are recorded at cost, less impairment, and adjusted for observable price changes for identical or similar investments of the same issuer. The carrying value of these investments was $27.4 million and $19.9 million as of September 30, 2018 and December 31, 2017, respectively. During the three and nine months ended September 30, 2018, the Company recorded gains of $8.5 million to those equity securities based on observable transactions and an impairment loss of $2.5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7"/>
        </w:trPr>
        <w:tc>
          <w:tcPr>
            <w:tcW w:w="8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143"/>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4"/>
                <w:szCs w:val="24"/>
                <w:color w:val="auto"/>
              </w:rPr>
            </w:pPr>
          </w:p>
        </w:tc>
        <w:tc>
          <w:tcPr>
            <w:tcW w:w="1200" w:type="dxa"/>
            <w:vAlign w:val="bottom"/>
          </w:tcPr>
          <w:p>
            <w:pPr>
              <w:jc w:val="right"/>
              <w:ind w:right="163"/>
              <w:spacing w:after="0"/>
              <w:rPr>
                <w:sz w:val="20"/>
                <w:szCs w:val="20"/>
                <w:color w:val="auto"/>
              </w:rPr>
            </w:pPr>
            <w:r>
              <w:rPr>
                <w:rFonts w:ascii="Arial" w:cs="Arial" w:eastAsia="Arial" w:hAnsi="Arial"/>
                <w:sz w:val="14"/>
                <w:szCs w:val="14"/>
                <w:color w:val="auto"/>
              </w:rPr>
              <w:t>December 31,</w:t>
            </w: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2017</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Receivables from contracts with customers, less doubtful accounts of $14,453 and $22,975</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43"/>
              <w:spacing w:after="0"/>
              <w:rPr>
                <w:sz w:val="20"/>
                <w:szCs w:val="20"/>
                <w:color w:val="auto"/>
              </w:rPr>
            </w:pPr>
            <w:r>
              <w:rPr>
                <w:rFonts w:ascii="Arial" w:cs="Arial" w:eastAsia="Arial" w:hAnsi="Arial"/>
                <w:sz w:val="16"/>
                <w:szCs w:val="16"/>
                <w:b w:val="1"/>
                <w:bCs w:val="1"/>
                <w:color w:val="auto"/>
              </w:rPr>
              <w:t>544,487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600,215</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Other receivables</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45,158</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20,104</w:t>
            </w:r>
          </w:p>
        </w:tc>
      </w:tr>
      <w:tr>
        <w:trPr>
          <w:trHeight w:val="264"/>
        </w:trPr>
        <w:tc>
          <w:tcPr>
            <w:tcW w:w="85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589,645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620,319</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7" w:right="2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697" w:right="239" w:bottom="1440" w:gutter="0" w:footer="0" w:header="0"/>
          <w:type w:val="continuous"/>
        </w:sectPr>
      </w:pPr>
    </w:p>
    <w:bookmarkStart w:id="14" w:name="page15"/>
    <w:bookmarkEnd w:id="14"/>
    <w:p>
      <w:pPr>
        <w:ind w:right="220"/>
        <w:spacing w:after="0" w:line="235" w:lineRule="auto"/>
        <w:rPr>
          <w:sz w:val="20"/>
          <w:szCs w:val="20"/>
          <w:color w:val="auto"/>
        </w:rPr>
      </w:pPr>
      <w:r>
        <w:rPr>
          <w:rFonts w:ascii="Arial" w:cs="Arial" w:eastAsia="Arial" w:hAnsi="Arial"/>
          <w:sz w:val="18"/>
          <w:szCs w:val="18"/>
          <w:color w:val="auto"/>
        </w:rPr>
        <w:t>Bad debt expense was $1.8 million and $6.5 million for the three months ended September 30, 2018 and 2017, respectively; and $7.9 million and $18.7 million for the nine months ended September 30, 2018 and 2017, respectively.</w:t>
      </w:r>
    </w:p>
    <w:p>
      <w:pPr>
        <w:spacing w:after="0" w:line="113"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AND CONTRACTS IN PROGRESS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Inventories and contracts in progress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7"/>
        </w:trPr>
        <w:tc>
          <w:tcPr>
            <w:tcW w:w="8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142"/>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4"/>
                <w:szCs w:val="24"/>
                <w:color w:val="auto"/>
              </w:rPr>
            </w:pPr>
          </w:p>
        </w:tc>
        <w:tc>
          <w:tcPr>
            <w:tcW w:w="1200" w:type="dxa"/>
            <w:vAlign w:val="bottom"/>
          </w:tcPr>
          <w:p>
            <w:pPr>
              <w:jc w:val="right"/>
              <w:ind w:right="162"/>
              <w:spacing w:after="0"/>
              <w:rPr>
                <w:sz w:val="20"/>
                <w:szCs w:val="20"/>
                <w:color w:val="auto"/>
              </w:rPr>
            </w:pPr>
            <w:r>
              <w:rPr>
                <w:rFonts w:ascii="Arial" w:cs="Arial" w:eastAsia="Arial" w:hAnsi="Arial"/>
                <w:sz w:val="14"/>
                <w:szCs w:val="14"/>
                <w:color w:val="auto"/>
              </w:rPr>
              <w:t>December 31,</w:t>
            </w: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2017</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Raw materials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42"/>
              <w:spacing w:after="0"/>
              <w:rPr>
                <w:sz w:val="20"/>
                <w:szCs w:val="20"/>
                <w:color w:val="auto"/>
              </w:rPr>
            </w:pPr>
            <w:r>
              <w:rPr>
                <w:rFonts w:ascii="Arial" w:cs="Arial" w:eastAsia="Arial" w:hAnsi="Arial"/>
                <w:sz w:val="16"/>
                <w:szCs w:val="16"/>
                <w:b w:val="1"/>
                <w:bCs w:val="1"/>
                <w:color w:val="auto"/>
              </w:rPr>
              <w:t>37,300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30,429</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140" w:type="dxa"/>
            <w:vAlign w:val="bottom"/>
          </w:tcPr>
          <w:p>
            <w:pPr>
              <w:spacing w:after="0"/>
              <w:rPr>
                <w:sz w:val="23"/>
                <w:szCs w:val="23"/>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b w:val="1"/>
                <w:bCs w:val="1"/>
                <w:color w:val="auto"/>
              </w:rPr>
              <w:t>10,926</w:t>
            </w:r>
          </w:p>
        </w:tc>
        <w:tc>
          <w:tcPr>
            <w:tcW w:w="26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10,258</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Finished goods</w:t>
            </w:r>
          </w:p>
        </w:tc>
        <w:tc>
          <w:tcPr>
            <w:tcW w:w="140" w:type="dxa"/>
            <w:vAlign w:val="bottom"/>
          </w:tcPr>
          <w:p>
            <w:pPr>
              <w:spacing w:after="0"/>
              <w:rPr>
                <w:sz w:val="23"/>
                <w:szCs w:val="23"/>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b w:val="1"/>
                <w:bCs w:val="1"/>
                <w:color w:val="auto"/>
              </w:rPr>
              <w:t>18,506</w:t>
            </w:r>
          </w:p>
        </w:tc>
        <w:tc>
          <w:tcPr>
            <w:tcW w:w="26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18,851</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Contracts in progress</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6,964</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1,074</w:t>
            </w:r>
          </w:p>
        </w:tc>
      </w:tr>
      <w:tr>
        <w:trPr>
          <w:trHeight w:val="264"/>
        </w:trPr>
        <w:tc>
          <w:tcPr>
            <w:tcW w:w="85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73,696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60,612</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66"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The Company reorganized its operations in the first quarter of 2018 into the following six operating segments for the purpose of making operating decisions and assessing performance: Kaplan International, Higher Education, Test Preparation, Professional (U.S.), Television Broadcasting and Healthcare (see Note 16). The reorganization changed the composition of the reporting units within the education division, and resulted in the reassignment of the assets and liabilities to the reporting units affected. The goodwill was allocated to the affected reporting units using the relative fair value approach. As a result of the reassignment and allocation, the Company performed an interim review of the carrying value of goodwill at the education division for possible impairment on both a pre and post-reorganization basis. No impairment of goodwill was indicated at the pre- and post-reorganization reporting units.</w:t>
      </w:r>
    </w:p>
    <w:p>
      <w:pPr>
        <w:spacing w:after="0" w:line="139"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In the third quarter of 2018, the Healthcare business recorded an intangible asset impairment charge of $7.9 million following the decision to discontinue the use of the Celtic tradename. The fair value of the intangible asset was estimated using an income approach.</w:t>
      </w:r>
    </w:p>
    <w:p>
      <w:pPr>
        <w:spacing w:after="0" w:line="135"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In the second quarter of 2017, as a result of a challenging operating environment, the Forney reporting unit recorded a goodwill and other long-lived asset impairment charge of $9.2 million. The Company performed an interim review of the goodwill and other long-lived assets of the reporting unit by utilizing a discounted cash flow model to estimate the fair value. The carrying value of the reporting unit exceeded the estimated fair value, resulting in a goodwill impairment charge for the amount by which the carrying value exceeded the reporting unit’s estimated fair value. Forney is included in other businesses.</w:t>
      </w:r>
    </w:p>
    <w:p>
      <w:pPr>
        <w:spacing w:after="0" w:line="137"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Amortization of intangible assets for the three months ended September 30, 2018 and 2017 was $12.3 million and $10.9 million, respectively. Amortization of intangible assets for the nine months ended September 30, 2018 and 2017 was $34.1 million and $28.3 million, respectively. Amortization of intangible assets is estimated to be approximately $12 million for the remainder of 2018, $48 million in 2019, $45 million in 2020, $39 million in 2021, $33 million in 2022 and $83 million thereafter.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281"/>
              <w:spacing w:after="0"/>
              <w:rPr>
                <w:sz w:val="20"/>
                <w:szCs w:val="20"/>
                <w:color w:val="auto"/>
              </w:rPr>
            </w:pPr>
            <w:r>
              <w:rPr>
                <w:rFonts w:ascii="Arial" w:cs="Arial" w:eastAsia="Arial" w:hAnsi="Arial"/>
                <w:sz w:val="14"/>
                <w:szCs w:val="14"/>
                <w:b w:val="1"/>
                <w:bCs w:val="1"/>
                <w:color w:val="auto"/>
              </w:rPr>
              <w:t>Television</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441"/>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Education</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Broadcasting</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Healthcare</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Businesses</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Pr>
          <w:p>
            <w:pPr>
              <w:ind w:left="40"/>
              <w:spacing w:after="0"/>
              <w:rPr>
                <w:sz w:val="20"/>
                <w:szCs w:val="20"/>
                <w:color w:val="auto"/>
              </w:rPr>
            </w:pPr>
            <w:r>
              <w:rPr>
                <w:rFonts w:ascii="Arial" w:cs="Arial" w:eastAsia="Arial" w:hAnsi="Arial"/>
                <w:sz w:val="16"/>
                <w:szCs w:val="16"/>
                <w:color w:val="auto"/>
              </w:rPr>
              <w:t>Balance as of December 31, 2017</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1,171,812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190,815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69,409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233,825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1,665,861</w:t>
            </w:r>
          </w:p>
        </w:tc>
      </w:tr>
      <w:tr>
        <w:trPr>
          <w:trHeight w:val="283"/>
        </w:trPr>
        <w:tc>
          <w:tcPr>
            <w:tcW w:w="41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(350,850)</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(15,301)</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(366,151)</w:t>
            </w:r>
          </w:p>
        </w:tc>
      </w:tr>
      <w:tr>
        <w:trPr>
          <w:trHeight w:val="251"/>
        </w:trPr>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820,962</w:t>
            </w:r>
          </w:p>
        </w:tc>
        <w:tc>
          <w:tcPr>
            <w:tcW w:w="240" w:type="dxa"/>
            <w:vAlign w:val="bottom"/>
          </w:tcPr>
          <w:p>
            <w:pPr>
              <w:spacing w:after="0"/>
              <w:rPr>
                <w:sz w:val="21"/>
                <w:szCs w:val="21"/>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190,815</w:t>
            </w:r>
          </w:p>
        </w:tc>
        <w:tc>
          <w:tcPr>
            <w:tcW w:w="300" w:type="dxa"/>
            <w:vAlign w:val="bottom"/>
          </w:tcPr>
          <w:p>
            <w:pPr>
              <w:spacing w:after="0"/>
              <w:rPr>
                <w:sz w:val="21"/>
                <w:szCs w:val="21"/>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69,409</w:t>
            </w:r>
          </w:p>
        </w:tc>
        <w:tc>
          <w:tcPr>
            <w:tcW w:w="300" w:type="dxa"/>
            <w:vAlign w:val="bottom"/>
          </w:tcPr>
          <w:p>
            <w:pPr>
              <w:spacing w:after="0"/>
              <w:rPr>
                <w:sz w:val="21"/>
                <w:szCs w:val="21"/>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218,524</w:t>
            </w:r>
          </w:p>
        </w:tc>
        <w:tc>
          <w:tcPr>
            <w:tcW w:w="4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1,299,710</w:t>
            </w: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4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19,981</w:t>
            </w:r>
          </w:p>
        </w:tc>
        <w:tc>
          <w:tcPr>
            <w:tcW w:w="24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b w:val="1"/>
                <w:bCs w:val="1"/>
                <w:color w:val="auto"/>
              </w:rPr>
              <w:t>217</w:t>
            </w:r>
          </w:p>
        </w:tc>
        <w:tc>
          <w:tcPr>
            <w:tcW w:w="30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21,199</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41,397</w:t>
            </w: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2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(11,191)</w:t>
            </w:r>
          </w:p>
        </w:tc>
        <w:tc>
          <w:tcPr>
            <w:tcW w:w="24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(11,191)</w:t>
            </w:r>
          </w:p>
        </w:tc>
      </w:tr>
      <w:tr>
        <w:trPr>
          <w:trHeight w:val="283"/>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(19,841)</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(19,841)</w:t>
            </w:r>
          </w:p>
        </w:tc>
      </w:tr>
      <w:tr>
        <w:trPr>
          <w:trHeight w:val="251"/>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Balance as of September 30, 2018</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4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1,141,062</w:t>
            </w:r>
          </w:p>
        </w:tc>
        <w:tc>
          <w:tcPr>
            <w:tcW w:w="24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190,815</w:t>
            </w:r>
          </w:p>
        </w:tc>
        <w:tc>
          <w:tcPr>
            <w:tcW w:w="3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b w:val="1"/>
                <w:bCs w:val="1"/>
                <w:color w:val="auto"/>
              </w:rPr>
              <w:t>69,626</w:t>
            </w:r>
          </w:p>
        </w:tc>
        <w:tc>
          <w:tcPr>
            <w:tcW w:w="30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255,024</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1,656,527</w:t>
            </w:r>
          </w:p>
        </w:tc>
      </w:tr>
      <w:tr>
        <w:trPr>
          <w:trHeight w:val="283"/>
        </w:trPr>
        <w:tc>
          <w:tcPr>
            <w:tcW w:w="41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(331,151)</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(15,301)</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(346,452)</w:t>
            </w:r>
          </w:p>
        </w:tc>
      </w:tr>
      <w:tr>
        <w:trPr>
          <w:trHeight w:val="264"/>
        </w:trPr>
        <w:tc>
          <w:tcPr>
            <w:tcW w:w="4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809,911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190,815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69,626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239,723</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1,310,075</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1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421"/>
              <w:spacing w:after="0"/>
              <w:rPr>
                <w:sz w:val="20"/>
                <w:szCs w:val="20"/>
                <w:color w:val="auto"/>
              </w:rPr>
            </w:pPr>
            <w:r>
              <w:rPr>
                <w:rFonts w:ascii="Arial" w:cs="Arial" w:eastAsia="Arial" w:hAnsi="Arial"/>
                <w:sz w:val="14"/>
                <w:szCs w:val="14"/>
                <w:b w:val="1"/>
                <w:bCs w:val="1"/>
                <w:color w:val="auto"/>
              </w:rPr>
              <w:t>Kaplan</w:t>
            </w:r>
          </w:p>
        </w:tc>
        <w:tc>
          <w:tcPr>
            <w:tcW w:w="300" w:type="dxa"/>
            <w:vAlign w:val="bottom"/>
          </w:tcPr>
          <w:p>
            <w:pPr>
              <w:spacing w:after="0"/>
              <w:rPr>
                <w:sz w:val="14"/>
                <w:szCs w:val="14"/>
                <w:color w:val="auto"/>
              </w:rPr>
            </w:pPr>
          </w:p>
        </w:tc>
        <w:tc>
          <w:tcPr>
            <w:tcW w:w="1180" w:type="dxa"/>
            <w:vAlign w:val="bottom"/>
          </w:tcPr>
          <w:p>
            <w:pPr>
              <w:jc w:val="right"/>
              <w:ind w:right="421"/>
              <w:spacing w:after="0"/>
              <w:rPr>
                <w:sz w:val="20"/>
                <w:szCs w:val="20"/>
                <w:color w:val="auto"/>
              </w:rPr>
            </w:pPr>
            <w:r>
              <w:rPr>
                <w:rFonts w:ascii="Arial" w:cs="Arial" w:eastAsia="Arial" w:hAnsi="Arial"/>
                <w:sz w:val="14"/>
                <w:szCs w:val="14"/>
                <w:b w:val="1"/>
                <w:bCs w:val="1"/>
                <w:color w:val="auto"/>
              </w:rPr>
              <w:t>Higher</w:t>
            </w:r>
          </w:p>
        </w:tc>
        <w:tc>
          <w:tcPr>
            <w:tcW w:w="260" w:type="dxa"/>
            <w:vAlign w:val="bottom"/>
          </w:tcPr>
          <w:p>
            <w:pPr>
              <w:spacing w:after="0"/>
              <w:rPr>
                <w:sz w:val="14"/>
                <w:szCs w:val="14"/>
                <w:color w:val="auto"/>
              </w:rPr>
            </w:pPr>
          </w:p>
        </w:tc>
        <w:tc>
          <w:tcPr>
            <w:tcW w:w="1200" w:type="dxa"/>
            <w:vAlign w:val="bottom"/>
          </w:tcPr>
          <w:p>
            <w:pPr>
              <w:jc w:val="right"/>
              <w:ind w:right="501"/>
              <w:spacing w:after="0"/>
              <w:rPr>
                <w:sz w:val="20"/>
                <w:szCs w:val="20"/>
                <w:color w:val="auto"/>
              </w:rPr>
            </w:pPr>
            <w:r>
              <w:rPr>
                <w:rFonts w:ascii="Arial" w:cs="Arial" w:eastAsia="Arial" w:hAnsi="Arial"/>
                <w:sz w:val="14"/>
                <w:szCs w:val="14"/>
                <w:b w:val="1"/>
                <w:bCs w:val="1"/>
                <w:color w:val="auto"/>
              </w:rPr>
              <w:t>Test</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Education</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Preparation</w:t>
            </w: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Professional (U.S.)</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Total</w:t>
            </w:r>
          </w:p>
        </w:tc>
      </w:tr>
      <w:tr>
        <w:trPr>
          <w:trHeight w:val="250"/>
        </w:trPr>
        <w:tc>
          <w:tcPr>
            <w:tcW w:w="4100" w:type="dxa"/>
            <w:vAlign w:val="bottom"/>
          </w:tcPr>
          <w:p>
            <w:pPr>
              <w:ind w:left="40"/>
              <w:spacing w:after="0"/>
              <w:rPr>
                <w:sz w:val="20"/>
                <w:szCs w:val="20"/>
                <w:color w:val="auto"/>
              </w:rPr>
            </w:pPr>
            <w:r>
              <w:rPr>
                <w:rFonts w:ascii="Arial" w:cs="Arial" w:eastAsia="Arial" w:hAnsi="Arial"/>
                <w:sz w:val="16"/>
                <w:szCs w:val="16"/>
                <w:color w:val="auto"/>
              </w:rPr>
              <w:t>Balance as of December 31, 2017</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615,861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205,494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166,098</w:t>
            </w:r>
          </w:p>
        </w:tc>
        <w:tc>
          <w:tcPr>
            <w:tcW w:w="440" w:type="dxa"/>
            <w:vAlign w:val="bottom"/>
          </w:tcPr>
          <w:p>
            <w:pPr>
              <w:ind w:lef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184,359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1,171,812</w:t>
            </w:r>
          </w:p>
        </w:tc>
      </w:tr>
      <w:tr>
        <w:trPr>
          <w:trHeight w:val="283"/>
        </w:trPr>
        <w:tc>
          <w:tcPr>
            <w:tcW w:w="410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(131,023)</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(102,259)</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(117,568)</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(350,850)</w:t>
            </w:r>
          </w:p>
        </w:tc>
      </w:tr>
      <w:tr>
        <w:trPr>
          <w:trHeight w:val="251"/>
        </w:trPr>
        <w:tc>
          <w:tcPr>
            <w:tcW w:w="4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615,861</w:t>
            </w:r>
          </w:p>
        </w:tc>
        <w:tc>
          <w:tcPr>
            <w:tcW w:w="300" w:type="dxa"/>
            <w:vAlign w:val="bottom"/>
          </w:tcPr>
          <w:p>
            <w:pPr>
              <w:spacing w:after="0"/>
              <w:rPr>
                <w:sz w:val="21"/>
                <w:szCs w:val="21"/>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74,471</w:t>
            </w:r>
          </w:p>
        </w:tc>
        <w:tc>
          <w:tcPr>
            <w:tcW w:w="260" w:type="dxa"/>
            <w:vAlign w:val="bottom"/>
          </w:tcPr>
          <w:p>
            <w:pPr>
              <w:spacing w:after="0"/>
              <w:rPr>
                <w:sz w:val="21"/>
                <w:szCs w:val="21"/>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63,839</w:t>
            </w:r>
          </w:p>
        </w:tc>
        <w:tc>
          <w:tcPr>
            <w:tcW w:w="44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66,791</w:t>
            </w:r>
          </w:p>
        </w:tc>
        <w:tc>
          <w:tcPr>
            <w:tcW w:w="38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820,962</w:t>
            </w:r>
          </w:p>
        </w:tc>
      </w:tr>
      <w:tr>
        <w:trPr>
          <w:trHeight w:val="270"/>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18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b w:val="1"/>
                <w:bCs w:val="1"/>
                <w:color w:val="auto"/>
              </w:rPr>
              <w:t>26</w:t>
            </w:r>
          </w:p>
        </w:tc>
        <w:tc>
          <w:tcPr>
            <w:tcW w:w="30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626</w:t>
            </w:r>
          </w:p>
        </w:tc>
        <w:tc>
          <w:tcPr>
            <w:tcW w:w="4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19,329</w:t>
            </w:r>
          </w:p>
        </w:tc>
        <w:tc>
          <w:tcPr>
            <w:tcW w:w="38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19,981</w:t>
            </w:r>
          </w:p>
        </w:tc>
      </w:tr>
      <w:tr>
        <w:trPr>
          <w:trHeight w:val="270"/>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18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(11,191)</w:t>
            </w:r>
          </w:p>
        </w:tc>
        <w:tc>
          <w:tcPr>
            <w:tcW w:w="26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(11,191)</w:t>
            </w:r>
          </w:p>
        </w:tc>
      </w:tr>
      <w:tr>
        <w:trPr>
          <w:trHeight w:val="283"/>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(19,775)</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(40)</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(19,841)</w:t>
            </w:r>
          </w:p>
        </w:tc>
      </w:tr>
      <w:tr>
        <w:trPr>
          <w:trHeight w:val="251"/>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Balance as of September 30, 2018</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b w:val="1"/>
                <w:bCs w:val="1"/>
                <w:color w:val="auto"/>
              </w:rPr>
              <w:t>596,112</w:t>
            </w:r>
          </w:p>
        </w:tc>
        <w:tc>
          <w:tcPr>
            <w:tcW w:w="30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b w:val="1"/>
                <w:bCs w:val="1"/>
                <w:color w:val="auto"/>
              </w:rPr>
              <w:t>174,564</w:t>
            </w:r>
          </w:p>
        </w:tc>
        <w:tc>
          <w:tcPr>
            <w:tcW w:w="26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166,724</w:t>
            </w:r>
          </w:p>
        </w:tc>
        <w:tc>
          <w:tcPr>
            <w:tcW w:w="4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203,662</w:t>
            </w:r>
          </w:p>
        </w:tc>
        <w:tc>
          <w:tcPr>
            <w:tcW w:w="38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1,141,062</w:t>
            </w:r>
          </w:p>
        </w:tc>
      </w:tr>
      <w:tr>
        <w:trPr>
          <w:trHeight w:val="283"/>
        </w:trPr>
        <w:tc>
          <w:tcPr>
            <w:tcW w:w="410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(111,324)</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(102,259)</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(117,568)</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r>
      <w:tr>
        <w:trPr>
          <w:trHeight w:val="264"/>
        </w:trPr>
        <w:tc>
          <w:tcPr>
            <w:tcW w:w="4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596,112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63,240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64,465</w:t>
            </w: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86,094</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809,911</w:t>
            </w: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center"/>
              <w:ind w:left="601"/>
              <w:spacing w:after="0"/>
              <w:rPr>
                <w:sz w:val="20"/>
                <w:szCs w:val="20"/>
                <w:color w:val="auto"/>
              </w:rPr>
            </w:pPr>
            <w:r>
              <w:rPr>
                <w:rFonts w:ascii="Arial" w:cs="Arial" w:eastAsia="Arial" w:hAnsi="Arial"/>
                <w:sz w:val="14"/>
                <w:szCs w:val="14"/>
                <w:b w:val="1"/>
                <w:bCs w:val="1"/>
                <w:color w:val="auto"/>
              </w:rPr>
              <w:t>As of September 30, 2018</w:t>
            </w: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2017</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center"/>
              <w:ind w:right="14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520" w:type="dxa"/>
            <w:vAlign w:val="bottom"/>
          </w:tcPr>
          <w:p>
            <w:pPr>
              <w:jc w:val="center"/>
              <w:ind w:right="141"/>
              <w:spacing w:after="0"/>
              <w:rPr>
                <w:sz w:val="20"/>
                <w:szCs w:val="20"/>
                <w:color w:val="auto"/>
              </w:rPr>
            </w:pPr>
            <w:r>
              <w:rPr>
                <w:rFonts w:ascii="Arial" w:cs="Arial" w:eastAsia="Arial" w:hAnsi="Arial"/>
                <w:sz w:val="14"/>
                <w:szCs w:val="14"/>
                <w:b w:val="1"/>
                <w:bCs w:val="1"/>
                <w:color w:val="auto"/>
              </w:rPr>
              <w:t>Useful Life</w:t>
            </w:r>
          </w:p>
        </w:tc>
        <w:tc>
          <w:tcPr>
            <w:tcW w:w="180" w:type="dxa"/>
            <w:vAlign w:val="bottom"/>
          </w:tcPr>
          <w:p>
            <w:pPr>
              <w:spacing w:after="0"/>
              <w:rPr>
                <w:sz w:val="14"/>
                <w:szCs w:val="14"/>
                <w:color w:val="auto"/>
              </w:rPr>
            </w:pPr>
          </w:p>
        </w:tc>
        <w:tc>
          <w:tcPr>
            <w:tcW w:w="880" w:type="dxa"/>
            <w:vAlign w:val="bottom"/>
          </w:tcPr>
          <w:p>
            <w:pPr>
              <w:jc w:val="center"/>
              <w:ind w:right="12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20" w:type="dxa"/>
            <w:vAlign w:val="bottom"/>
          </w:tcPr>
          <w:p>
            <w:pPr>
              <w:jc w:val="center"/>
              <w:ind w:right="61"/>
              <w:spacing w:after="0"/>
              <w:rPr>
                <w:sz w:val="20"/>
                <w:szCs w:val="20"/>
                <w:color w:val="auto"/>
              </w:rPr>
            </w:pPr>
            <w:r>
              <w:rPr>
                <w:rFonts w:ascii="Arial" w:cs="Arial" w:eastAsia="Arial" w:hAnsi="Arial"/>
                <w:sz w:val="14"/>
                <w:szCs w:val="14"/>
                <w:b w:val="1"/>
                <w:bCs w:val="1"/>
                <w:color w:val="auto"/>
              </w:rPr>
              <w:t>Accumulated</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4"/>
                <w:szCs w:val="14"/>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color w:val="auto"/>
              </w:rPr>
              <w:t>Accumulated</w:t>
            </w:r>
          </w:p>
        </w:tc>
        <w:tc>
          <w:tcPr>
            <w:tcW w:w="280" w:type="dxa"/>
            <w:vAlign w:val="bottom"/>
          </w:tcPr>
          <w:p>
            <w:pPr>
              <w:spacing w:after="0"/>
              <w:rPr>
                <w:sz w:val="14"/>
                <w:szCs w:val="14"/>
                <w:color w:val="auto"/>
              </w:rPr>
            </w:pPr>
          </w:p>
        </w:tc>
        <w:tc>
          <w:tcPr>
            <w:tcW w:w="840" w:type="dxa"/>
            <w:vAlign w:val="bottom"/>
          </w:tcPr>
          <w:p>
            <w:pPr>
              <w:jc w:val="center"/>
              <w:ind w:right="14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5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Range</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Amortization</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2–10 years (1)</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281,639</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106,235</w:t>
            </w:r>
          </w:p>
        </w:tc>
        <w:tc>
          <w:tcPr>
            <w:tcW w:w="30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175,404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260,464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83,690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176,774</w:t>
            </w: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71,870</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37,858</w:t>
            </w:r>
          </w:p>
        </w:tc>
        <w:tc>
          <w:tcPr>
            <w:tcW w:w="30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34,012</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50,286</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25,596</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24,690</w:t>
            </w: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Network affiliation agreements</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2,972</w:t>
            </w:r>
          </w:p>
        </w:tc>
        <w:tc>
          <w:tcPr>
            <w:tcW w:w="30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14,428</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17,400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1,668</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15,732</w:t>
            </w: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Databases and technology</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3–6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28,788</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8,537</w:t>
            </w:r>
          </w:p>
        </w:tc>
        <w:tc>
          <w:tcPr>
            <w:tcW w:w="30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20,251</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19,563</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5,008</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14,555</w:t>
            </w: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2–5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1,093</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778</w:t>
            </w:r>
          </w:p>
        </w:tc>
        <w:tc>
          <w:tcPr>
            <w:tcW w:w="30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315</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930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467</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83"/>
        </w:trPr>
        <w:tc>
          <w:tcPr>
            <w:tcW w:w="2840" w:type="dxa"/>
            <w:vAlign w:val="bottom"/>
          </w:tcPr>
          <w:p>
            <w:pPr>
              <w:ind w:left="180"/>
              <w:spacing w:after="0"/>
              <w:rPr>
                <w:sz w:val="20"/>
                <w:szCs w:val="20"/>
                <w:color w:val="auto"/>
              </w:rPr>
            </w:pPr>
            <w:r>
              <w:rPr>
                <w:rFonts w:ascii="Arial" w:cs="Arial" w:eastAsia="Arial" w:hAnsi="Arial"/>
                <w:sz w:val="16"/>
                <w:szCs w:val="16"/>
                <w:color w:val="auto"/>
              </w:rPr>
              <w:t>Other</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1–8 years</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24,530</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8,885</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15,645</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13,430</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7,668</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5,762</w:t>
            </w:r>
          </w:p>
        </w:tc>
        <w:tc>
          <w:tcPr>
            <w:tcW w:w="0" w:type="dxa"/>
            <w:vAlign w:val="bottom"/>
          </w:tcPr>
          <w:p>
            <w:pPr>
              <w:spacing w:after="0"/>
              <w:rPr>
                <w:sz w:val="1"/>
                <w:szCs w:val="1"/>
                <w:color w:val="auto"/>
              </w:rPr>
            </w:pPr>
          </w:p>
        </w:tc>
      </w:tr>
      <w:tr>
        <w:trPr>
          <w:trHeight w:val="264"/>
        </w:trPr>
        <w:tc>
          <w:tcPr>
            <w:tcW w:w="28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425,320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165,265</w:t>
            </w:r>
          </w:p>
        </w:tc>
        <w:tc>
          <w:tcPr>
            <w:tcW w:w="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260,055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362,073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124,097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237,976</w:t>
            </w:r>
          </w:p>
        </w:tc>
        <w:tc>
          <w:tcPr>
            <w:tcW w:w="0" w:type="dxa"/>
            <w:vAlign w:val="bottom"/>
          </w:tcPr>
          <w:p>
            <w:pPr>
              <w:spacing w:after="0"/>
              <w:rPr>
                <w:sz w:val="1"/>
                <w:szCs w:val="1"/>
                <w:color w:val="auto"/>
              </w:rPr>
            </w:pPr>
          </w:p>
        </w:tc>
      </w:tr>
      <w:tr>
        <w:trPr>
          <w:trHeight w:val="20"/>
        </w:trPr>
        <w:tc>
          <w:tcPr>
            <w:tcW w:w="28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840" w:type="dxa"/>
            <w:vAlign w:val="bottom"/>
            <w:vMerge w:val="continue"/>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5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95,802</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82,745</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FCC licenses</w:t>
            </w:r>
          </w:p>
        </w:tc>
        <w:tc>
          <w:tcPr>
            <w:tcW w:w="1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18,800</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18,800</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840" w:type="dxa"/>
            <w:vAlign w:val="bottom"/>
          </w:tcPr>
          <w:p>
            <w:pPr>
              <w:ind w:left="180"/>
              <w:spacing w:after="0"/>
              <w:rPr>
                <w:sz w:val="20"/>
                <w:szCs w:val="20"/>
                <w:color w:val="auto"/>
              </w:rPr>
            </w:pPr>
            <w:r>
              <w:rPr>
                <w:rFonts w:ascii="Arial" w:cs="Arial" w:eastAsia="Arial" w:hAnsi="Arial"/>
                <w:sz w:val="16"/>
                <w:szCs w:val="16"/>
                <w:color w:val="auto"/>
              </w:rPr>
              <w:t>Licensure and accreditation</w:t>
            </w:r>
          </w:p>
        </w:tc>
        <w:tc>
          <w:tcPr>
            <w:tcW w:w="1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650</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114,752</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102,195</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12700</wp:posOffset>
            </wp:positionV>
            <wp:extent cx="6515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29845</wp:posOffset>
            </wp:positionV>
            <wp:extent cx="6515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12700</wp:posOffset>
            </wp:positionV>
            <wp:extent cx="6686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29845</wp:posOffset>
            </wp:positionV>
            <wp:extent cx="668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63"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of December 31, 2017, the student and customer relationships’ minimum useful life was 1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8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162"/>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4"/>
                <w:szCs w:val="24"/>
                <w:color w:val="auto"/>
              </w:rPr>
            </w:pPr>
          </w:p>
        </w:tc>
        <w:tc>
          <w:tcPr>
            <w:tcW w:w="1200" w:type="dxa"/>
            <w:vAlign w:val="bottom"/>
          </w:tcPr>
          <w:p>
            <w:pPr>
              <w:jc w:val="right"/>
              <w:ind w:right="16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306"/>
        </w:trPr>
        <w:tc>
          <w:tcPr>
            <w:tcW w:w="8580" w:type="dxa"/>
            <w:vAlign w:val="bottom"/>
          </w:tcPr>
          <w:p>
            <w:pPr>
              <w:ind w:left="40"/>
              <w:spacing w:after="0"/>
              <w:rPr>
                <w:sz w:val="20"/>
                <w:szCs w:val="20"/>
                <w:color w:val="auto"/>
              </w:rPr>
            </w:pPr>
            <w:r>
              <w:rPr>
                <w:rFonts w:ascii="Arial" w:cs="Arial" w:eastAsia="Arial" w:hAnsi="Arial"/>
                <w:sz w:val="16"/>
                <w:szCs w:val="16"/>
                <w:color w:val="auto"/>
              </w:rPr>
              <w:t xml:space="preserve">5.75% unsecured notes due June 1, 2026 </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62"/>
              <w:spacing w:after="0"/>
              <w:rPr>
                <w:sz w:val="20"/>
                <w:szCs w:val="20"/>
                <w:color w:val="auto"/>
              </w:rPr>
            </w:pPr>
            <w:r>
              <w:rPr>
                <w:rFonts w:ascii="Arial" w:cs="Arial" w:eastAsia="Arial" w:hAnsi="Arial"/>
                <w:sz w:val="16"/>
                <w:szCs w:val="16"/>
                <w:b w:val="1"/>
                <w:bCs w:val="1"/>
                <w:color w:val="auto"/>
              </w:rPr>
              <w:t>394,504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580" w:type="dxa"/>
            <w:vAlign w:val="bottom"/>
          </w:tcPr>
          <w:p>
            <w:pPr>
              <w:ind w:left="40"/>
              <w:spacing w:after="0"/>
              <w:rPr>
                <w:sz w:val="20"/>
                <w:szCs w:val="20"/>
                <w:color w:val="auto"/>
              </w:rPr>
            </w:pPr>
            <w:r>
              <w:rPr>
                <w:rFonts w:ascii="Arial" w:cs="Arial" w:eastAsia="Arial" w:hAnsi="Arial"/>
                <w:sz w:val="16"/>
                <w:szCs w:val="16"/>
                <w:color w:val="auto"/>
              </w:rPr>
              <w:t>7.25% unsecured notes due February 1, 2019</w:t>
            </w:r>
          </w:p>
        </w:tc>
        <w:tc>
          <w:tcPr>
            <w:tcW w:w="140" w:type="dxa"/>
            <w:vAlign w:val="bottom"/>
          </w:tcPr>
          <w:p>
            <w:pPr>
              <w:spacing w:after="0"/>
              <w:rPr>
                <w:sz w:val="18"/>
                <w:szCs w:val="18"/>
                <w:color w:val="auto"/>
              </w:rPr>
            </w:pPr>
          </w:p>
        </w:tc>
        <w:tc>
          <w:tcPr>
            <w:tcW w:w="126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399,507</w:t>
            </w:r>
          </w:p>
        </w:tc>
        <w:tc>
          <w:tcPr>
            <w:tcW w:w="0" w:type="dxa"/>
            <w:vAlign w:val="bottom"/>
          </w:tcPr>
          <w:p>
            <w:pPr>
              <w:spacing w:after="0"/>
              <w:rPr>
                <w:sz w:val="1"/>
                <w:szCs w:val="1"/>
                <w:color w:val="auto"/>
              </w:rPr>
            </w:pPr>
          </w:p>
        </w:tc>
      </w:tr>
      <w:tr>
        <w:trPr>
          <w:trHeight w:val="326"/>
        </w:trPr>
        <w:tc>
          <w:tcPr>
            <w:tcW w:w="8580" w:type="dxa"/>
            <w:vAlign w:val="bottom"/>
          </w:tcPr>
          <w:p>
            <w:pPr>
              <w:ind w:left="40"/>
              <w:spacing w:after="0"/>
              <w:rPr>
                <w:sz w:val="20"/>
                <w:szCs w:val="20"/>
                <w:color w:val="auto"/>
              </w:rPr>
            </w:pPr>
            <w:r>
              <w:rPr>
                <w:rFonts w:ascii="Arial" w:cs="Arial" w:eastAsia="Arial" w:hAnsi="Arial"/>
                <w:sz w:val="16"/>
                <w:szCs w:val="16"/>
                <w:color w:val="auto"/>
              </w:rPr>
              <w:t xml:space="preserve">UK Credit facility </w:t>
            </w:r>
            <w:r>
              <w:rPr>
                <w:rFonts w:ascii="Arial" w:cs="Arial" w:eastAsia="Arial" w:hAnsi="Arial"/>
                <w:sz w:val="21"/>
                <w:szCs w:val="21"/>
                <w:color w:val="auto"/>
                <w:vertAlign w:val="superscript"/>
              </w:rPr>
              <w:t>(2)</w:t>
            </w:r>
          </w:p>
        </w:tc>
        <w:tc>
          <w:tcPr>
            <w:tcW w:w="140" w:type="dxa"/>
            <w:vAlign w:val="bottom"/>
          </w:tcPr>
          <w:p>
            <w:pPr>
              <w:spacing w:after="0"/>
              <w:rPr>
                <w:sz w:val="24"/>
                <w:szCs w:val="24"/>
                <w:color w:val="auto"/>
              </w:rPr>
            </w:pPr>
          </w:p>
        </w:tc>
        <w:tc>
          <w:tcPr>
            <w:tcW w:w="1260" w:type="dxa"/>
            <w:vAlign w:val="bottom"/>
          </w:tcPr>
          <w:p>
            <w:pPr>
              <w:jc w:val="right"/>
              <w:ind w:right="62"/>
              <w:spacing w:after="0"/>
              <w:rPr>
                <w:sz w:val="20"/>
                <w:szCs w:val="20"/>
                <w:color w:val="auto"/>
              </w:rPr>
            </w:pPr>
            <w:r>
              <w:rPr>
                <w:rFonts w:ascii="Arial" w:cs="Arial" w:eastAsia="Arial" w:hAnsi="Arial"/>
                <w:sz w:val="16"/>
                <w:szCs w:val="16"/>
                <w:b w:val="1"/>
                <w:bCs w:val="1"/>
                <w:color w:val="auto"/>
              </w:rPr>
              <w:t>85,024</w:t>
            </w:r>
          </w:p>
        </w:tc>
        <w:tc>
          <w:tcPr>
            <w:tcW w:w="240" w:type="dxa"/>
            <w:vAlign w:val="bottom"/>
          </w:tcPr>
          <w:p>
            <w:pPr>
              <w:spacing w:after="0"/>
              <w:rPr>
                <w:sz w:val="24"/>
                <w:szCs w:val="24"/>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93,671</w:t>
            </w:r>
          </w:p>
        </w:tc>
        <w:tc>
          <w:tcPr>
            <w:tcW w:w="0" w:type="dxa"/>
            <w:vAlign w:val="bottom"/>
          </w:tcPr>
          <w:p>
            <w:pPr>
              <w:spacing w:after="0"/>
              <w:rPr>
                <w:sz w:val="1"/>
                <w:szCs w:val="1"/>
                <w:color w:val="auto"/>
              </w:rPr>
            </w:pPr>
          </w:p>
        </w:tc>
      </w:tr>
      <w:tr>
        <w:trPr>
          <w:trHeight w:val="228"/>
        </w:trPr>
        <w:tc>
          <w:tcPr>
            <w:tcW w:w="8580" w:type="dxa"/>
            <w:vAlign w:val="bottom"/>
          </w:tcPr>
          <w:p>
            <w:pPr>
              <w:ind w:left="40"/>
              <w:spacing w:after="0"/>
              <w:rPr>
                <w:sz w:val="20"/>
                <w:szCs w:val="20"/>
                <w:color w:val="auto"/>
              </w:rPr>
            </w:pPr>
            <w:r>
              <w:rPr>
                <w:rFonts w:ascii="Arial" w:cs="Arial" w:eastAsia="Arial" w:hAnsi="Arial"/>
                <w:sz w:val="16"/>
                <w:szCs w:val="16"/>
                <w:color w:val="auto"/>
              </w:rPr>
              <w:t>Other indebtedness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100</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62"/>
              <w:spacing w:after="0"/>
              <w:rPr>
                <w:sz w:val="20"/>
                <w:szCs w:val="20"/>
                <w:color w:val="auto"/>
              </w:rPr>
            </w:pPr>
            <w:r>
              <w:rPr>
                <w:rFonts w:ascii="Arial" w:cs="Arial" w:eastAsia="Arial" w:hAnsi="Arial"/>
                <w:sz w:val="16"/>
                <w:szCs w:val="16"/>
                <w:b w:val="1"/>
                <w:bCs w:val="1"/>
                <w:color w:val="auto"/>
              </w:rPr>
              <w:t>479,628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493,287</w:t>
            </w:r>
          </w:p>
        </w:tc>
        <w:tc>
          <w:tcPr>
            <w:tcW w:w="0" w:type="dxa"/>
            <w:vAlign w:val="bottom"/>
          </w:tcPr>
          <w:p>
            <w:pPr>
              <w:spacing w:after="0"/>
              <w:rPr>
                <w:sz w:val="1"/>
                <w:szCs w:val="1"/>
                <w:color w:val="auto"/>
              </w:rPr>
            </w:pP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(6,568)</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(6,726)</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Long-Term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473,060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486,561</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5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carrying value is net of $5.5 million of unamortized debt issuance costs as of September 30, 2018.</w:t>
      </w:r>
    </w:p>
    <w:p>
      <w:pPr>
        <w:spacing w:after="0" w:line="55" w:lineRule="exact"/>
        <w:rPr>
          <w:rFonts w:ascii="Arial" w:cs="Arial" w:eastAsia="Arial" w:hAnsi="Arial"/>
          <w:sz w:val="14"/>
          <w:szCs w:val="14"/>
          <w:color w:val="auto"/>
        </w:rPr>
      </w:pPr>
    </w:p>
    <w:p>
      <w:pPr>
        <w:ind w:left="420" w:hanging="412"/>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carrying value is net of $0.3 million and $0.4 million of unamortized debt issuance costs as of September 30, 2018 and December 31, 2017,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September 30, 2018 and December 31, 2017 is at an interest rate of 2% and matures in 2026.</w:t>
      </w:r>
    </w:p>
    <w:p>
      <w:pPr>
        <w:spacing w:after="0" w:line="144" w:lineRule="exact"/>
        <w:rPr>
          <w:sz w:val="20"/>
          <w:szCs w:val="20"/>
          <w:color w:val="auto"/>
        </w:rPr>
      </w:pPr>
    </w:p>
    <w:p>
      <w:pPr>
        <w:ind w:right="580"/>
        <w:spacing w:after="0" w:line="229" w:lineRule="auto"/>
        <w:rPr>
          <w:sz w:val="20"/>
          <w:szCs w:val="20"/>
          <w:color w:val="auto"/>
        </w:rPr>
      </w:pPr>
      <w:r>
        <w:rPr>
          <w:rFonts w:ascii="Arial" w:cs="Arial" w:eastAsia="Arial" w:hAnsi="Arial"/>
          <w:sz w:val="18"/>
          <w:szCs w:val="18"/>
          <w:color w:val="auto"/>
        </w:rPr>
        <w:t>On May 30, 2018, the Company issued $400 million senior unsecured fixed-rate notes due June 1, 2026 (the Notes). The Notes are guaranteed, jointly and severally, on a senior unsecured basis, by certain of the Company’s existing and future domestic subsidiaries, as described in the terms of the indenture, dated as of May 30, 2018 (the</w:t>
      </w:r>
    </w:p>
    <w:p>
      <w:pPr>
        <w:sectPr>
          <w:pgSz w:w="11900" w:h="16838" w:orient="portrait"/>
          <w:cols w:equalWidth="0" w:num="1">
            <w:col w:w="11420"/>
          </w:cols>
          <w:pgMar w:left="240" w:top="719" w:right="239" w:bottom="327"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719" w:right="239" w:bottom="327" w:gutter="0" w:footer="0" w:header="0"/>
          <w:type w:val="continuous"/>
        </w:sectPr>
      </w:pPr>
    </w:p>
    <w:bookmarkStart w:id="16" w:name="page17"/>
    <w:bookmarkEnd w:id="16"/>
    <w:p>
      <w:pPr>
        <w:ind w:right="60"/>
        <w:spacing w:after="0" w:line="235" w:lineRule="auto"/>
        <w:rPr>
          <w:sz w:val="20"/>
          <w:szCs w:val="20"/>
          <w:color w:val="auto"/>
        </w:rPr>
      </w:pPr>
      <w:r>
        <w:rPr>
          <w:rFonts w:ascii="Arial" w:cs="Arial" w:eastAsia="Arial" w:hAnsi="Arial"/>
          <w:sz w:val="18"/>
          <w:szCs w:val="18"/>
          <w:color w:val="auto"/>
        </w:rPr>
        <w:t>Indenture). The Notes have a coupon rate of 5.75% per annum, payable semi-annually on June 1 and December 1, beginning on December 1, 2018. The Company may redeem the Notes in whole or in part at any time at the respective redemption prices described in the Indenture.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June 29, 2018, the Company used the net proceeds from the sale of the Notes, together with cash on hand, to redeem the $400 million of</w:t>
      </w:r>
    </w:p>
    <w:p>
      <w:pPr>
        <w:spacing w:after="0" w:line="219" w:lineRule="auto"/>
        <w:rPr>
          <w:sz w:val="20"/>
          <w:szCs w:val="20"/>
          <w:color w:val="auto"/>
        </w:rPr>
      </w:pPr>
      <w:r>
        <w:rPr>
          <w:rFonts w:ascii="Arial" w:cs="Arial" w:eastAsia="Arial" w:hAnsi="Arial"/>
          <w:sz w:val="18"/>
          <w:szCs w:val="18"/>
          <w:color w:val="auto"/>
        </w:rPr>
        <w:t>7.25% notes due February 1, 2019. The Company incurred $11.4 million in debt extinguishment costs in relation to the early termination of the</w:t>
      </w:r>
    </w:p>
    <w:p>
      <w:pPr>
        <w:spacing w:after="0"/>
        <w:rPr>
          <w:sz w:val="20"/>
          <w:szCs w:val="20"/>
          <w:color w:val="auto"/>
        </w:rPr>
      </w:pPr>
      <w:r>
        <w:rPr>
          <w:rFonts w:ascii="Arial" w:cs="Arial" w:eastAsia="Arial" w:hAnsi="Arial"/>
          <w:sz w:val="18"/>
          <w:szCs w:val="18"/>
          <w:color w:val="auto"/>
        </w:rPr>
        <w:t>7.25% notes.</w:t>
      </w:r>
    </w:p>
    <w:p>
      <w:pPr>
        <w:spacing w:after="0" w:line="144"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In combination with the issuance of the Notes, the Company and certain of the Company’s domestic subsidiaries named therein as guarantors entered into an amended and restated credit agreement providing for a U.S. $300 million five-year revolving credit facility (the Revolving Credit Facility) with each of the lenders party thereto, certain of the Company’s foreign subsidiaries from time to time party thereto as foreign borrowers, Wells Fargo Bank, N.A., as Administrative Agent (Wells Fargo), JPMorgan Chase Bank, N.A., as Syndication Agent, and HSBC Bank USA, N.A. and Bank of America, N.A. as Documentation Agents (the Amended and Restated Credit Agreement), which amends and restates the Company’s existing Five Year Credit Agreement, dated as of June 29, 2015, among the Company, certain of its domestic subsidiaries as guarantors, the several lenders from time to time party thereto, Wells Fargo Bank, N.A., as Administrative Agent and JPMorgan Chase Bank, N.A., as Syndication Agent (the Existing Credit Agreement). The Amended and Restated Credit Agreement amends the Existing Credit Agreement to (i) extend the maturity of the Revolving Credit Facility to May 30, 2023, unless the Company and the lenders agree to further extend the term, (ii) increase the aggregate principal amount of the Revolving Credit Facility to U.S. $300 million, consisting of a U.S. Dollar tranche of U.S. $200 million for borrowings in U.S. Dollars and a multicurrency tranche equivalent to U.S. $100 million for borrowings in U.S. Dollars and certain foreign currencies, (iii) provide for borrowings under the Revolving Credit Facility in U.S. Dollars and certain other foreign currencies specified in the Amended and Restated Credit Agreement, (iv) permit certain foreign subsidiaries of the Company to be added to the Amended and Restated Credit Agreement as foreign borrowers thereunder and (v) effect certain other modifications to the Existing Credit Agreement.</w:t>
      </w:r>
    </w:p>
    <w:p>
      <w:pPr>
        <w:spacing w:after="0" w:line="139"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Under the Amended and Restated Credit Agreement, the Company is required to pay a commitment fee on a quarterly basis, based on the Company’s leverage ratio, of between 0.15% and 0.25% of the amount of the average daily unused portion of the Revolving Credit Facility. Any borrowings under the Amended and Restated Credit Agreement are made on an unsecured basis and bear interest at the Company’s option, either at (a) a fluctuating interest rate equal to the highest of Wells Fargo’s prime rate, 0.5 percent above the Federal funds rate or the one-month Eurodollar rate plus 1%, or (b) the Eurodollar rate for the applicable currency and interest period as defined in the Amended and Restated Credit Agreement, which is generally a periodic rate equal to LIBOR, CDOR, BBSY or SOR, as applicable, in the case of each of clauses (a) and (b) plus an applicable margin that depends on the Company’s consolidated debt to consolidated adjusted EBITDA (as determined pursuant to the Amended and Restated Credit Agreement, Total Net Leverage Ratio). The Company and its foreign subsidiaries may draw on the Revolving Credit Facility for general corporate purposes. Any outstanding borrowings must be repaid on or prior to the final termination date. The Amended and Restated Credit Agreement contains terms and conditions, including remedies in the event of a default by the Company, typical of facilities of this type and requires the Company to maintain a Total Net Leverage Ratio of not greater than 3.5 to 1.0 and a consolidated interest coverage ratio of at least 3.5 to 1.0 based upon the ratio of consolidated adjusted EBITDA to consolidated interest expense as determined pursuant to the Amended and Restated Credit Agreement. The Company is in compliance with all financial covenants as of September 30, 2018.</w:t>
      </w:r>
    </w:p>
    <w:p>
      <w:pPr>
        <w:spacing w:after="0" w:line="141"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During the three months ended September 30, 2018 and 2017, the Company had average borrowings outstanding of approximately $480.6 million and $492.4 million, respectively, at average annual interest rates of approximately 5.1% and 6.3%, respectively. During the three months ended September 30, 2018 and 2017, the Company incurred net interest expense of $5.5 million and $7.8 million, respectively.</w:t>
      </w:r>
    </w:p>
    <w:p>
      <w:pPr>
        <w:spacing w:after="0" w:line="137"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During the nine months ended September 30, 2018 and 2017, the Company had average borrowings outstanding of approximately $529.2 million and $493.5 million, respectively, at average annual interest rates of approximately 5.7% and 6.3%, respectively. During the nine months ended September 30, 2018 and 2017, the Company incurred net interest expense of $27.5 million and $22.4 million, respectively.</w:t>
      </w:r>
    </w:p>
    <w:p>
      <w:pPr>
        <w:spacing w:after="0" w:line="137"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In June 2018, the Company incurred $6.2 million of interest expense related to the mandatorily redeemable noncontrolling interest redemption settlement at GHG (see Note 2). The fair value of the mandatorily redeemable noncontrolling interest is based on the redemption value resulting from a negotiated settlement.</w:t>
      </w:r>
    </w:p>
    <w:p>
      <w:pPr>
        <w:spacing w:after="0" w:line="13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At September 30, 2018, the fair value of the Company’s 5.75% unsecured notes, based on quoted market prices (Level 2 fair value assessment), totaled $409.4 million, compared with the carrying amount of $394.5 million. At December 31, 2017, the fair value of the Company’s 7.25% unsecured notes, based on quoted market prices (Level 2 fair value assessment), totaled $414.7 million, compared with the carrying amount of $399.5 million. The carrying value of the Company’s other unsecured debt at September 30, 2018 and December 31, 2017 approximates fair value.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719"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8. FAIR VALUE MEASUREMENTS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As of September 30, 2018</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85,999</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85,999</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(2)</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497,879</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497,879</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(3)</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13,069</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6,979</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20,048</w:t>
            </w:r>
          </w:p>
        </w:tc>
        <w:tc>
          <w:tcPr>
            <w:tcW w:w="0" w:type="dxa"/>
            <w:vAlign w:val="bottom"/>
          </w:tcPr>
          <w:p>
            <w:pPr>
              <w:spacing w:after="0"/>
              <w:rPr>
                <w:sz w:val="1"/>
                <w:szCs w:val="1"/>
                <w:color w:val="auto"/>
              </w:rPr>
            </w:pPr>
          </w:p>
        </w:tc>
      </w:tr>
      <w:tr>
        <w:trPr>
          <w:trHeight w:val="234"/>
        </w:trPr>
        <w:tc>
          <w:tcPr>
            <w:tcW w:w="652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1"/>
                <w:szCs w:val="21"/>
                <w:b w:val="1"/>
                <w:bCs w:val="1"/>
                <w:color w:val="auto"/>
                <w:vertAlign w:val="superscript"/>
              </w:rPr>
              <w:t>(4)</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418</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418</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510,948</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93,396</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604,344</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Deferred compensation plan liabilities </w:t>
            </w:r>
            <w:r>
              <w:rPr>
                <w:rFonts w:ascii="Arial" w:cs="Arial" w:eastAsia="Arial" w:hAnsi="Arial"/>
                <w:sz w:val="21"/>
                <w:szCs w:val="21"/>
                <w:b w:val="1"/>
                <w:bCs w:val="1"/>
                <w:color w:val="auto"/>
                <w:vertAlign w:val="superscript"/>
              </w:rPr>
              <w:t>(5)</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38,154</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38,154</w:t>
            </w:r>
          </w:p>
        </w:tc>
        <w:tc>
          <w:tcPr>
            <w:tcW w:w="0" w:type="dxa"/>
            <w:vAlign w:val="bottom"/>
          </w:tcPr>
          <w:p>
            <w:pPr>
              <w:spacing w:after="0"/>
              <w:rPr>
                <w:sz w:val="1"/>
                <w:szCs w:val="1"/>
                <w:color w:val="auto"/>
              </w:rPr>
            </w:pPr>
          </w:p>
        </w:tc>
      </w:tr>
      <w:tr>
        <w:trPr>
          <w:trHeight w:val="342"/>
        </w:trPr>
        <w:tc>
          <w:tcPr>
            <w:tcW w:w="6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As of December 31, 2017</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217,628</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217,628</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536,315</w:t>
            </w:r>
          </w:p>
        </w:tc>
        <w:tc>
          <w:tcPr>
            <w:tcW w:w="24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536,315</w:t>
            </w:r>
          </w:p>
        </w:tc>
        <w:tc>
          <w:tcPr>
            <w:tcW w:w="0" w:type="dxa"/>
            <w:vAlign w:val="bottom"/>
          </w:tcPr>
          <w:p>
            <w:pPr>
              <w:spacing w:after="0"/>
              <w:rPr>
                <w:sz w:val="1"/>
                <w:szCs w:val="1"/>
                <w:color w:val="auto"/>
              </w:rPr>
            </w:pPr>
          </w:p>
        </w:tc>
      </w:tr>
      <w:tr>
        <w:trPr>
          <w:trHeight w:val="219"/>
        </w:trPr>
        <w:tc>
          <w:tcPr>
            <w:tcW w:w="652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9,831</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11,007</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20,838</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546,146</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228,635</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774,781</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21"/>
                <w:szCs w:val="2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43,414</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43,414</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(6)</w:t>
            </w:r>
          </w:p>
        </w:tc>
        <w:tc>
          <w:tcPr>
            <w:tcW w:w="220" w:type="dxa"/>
            <w:vAlign w:val="bottom"/>
          </w:tcPr>
          <w:p>
            <w:pPr>
              <w:spacing w:after="0"/>
              <w:rPr>
                <w:sz w:val="23"/>
                <w:szCs w:val="23"/>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244</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9"/>
        </w:trPr>
        <w:tc>
          <w:tcPr>
            <w:tcW w:w="652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(7)</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10,331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10,331</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43,658</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10,331</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53,989</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5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Restricted Cash and the value considers the liquidity of the counterparty.</w:t>
      </w:r>
    </w:p>
    <w:p>
      <w:pPr>
        <w:spacing w:after="0" w:line="41" w:lineRule="exact"/>
        <w:rPr>
          <w:rFonts w:ascii="Arial" w:cs="Arial" w:eastAsia="Arial" w:hAnsi="Arial"/>
          <w:sz w:val="14"/>
          <w:szCs w:val="14"/>
          <w:color w:val="auto"/>
        </w:rPr>
      </w:pPr>
    </w:p>
    <w:p>
      <w:pPr>
        <w:ind w:left="420" w:right="40" w:hanging="412"/>
        <w:spacing w:after="0" w:line="233"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corporations that are actively traded on U.S. stock exchanges. Price quotes for these shares are readily available. Investments in marketable securities were classified as available-for-sale in 2017 prior to the adoption of the new accounting guidance (see Note 1).</w:t>
      </w:r>
    </w:p>
    <w:p>
      <w:pPr>
        <w:spacing w:after="0" w:line="30" w:lineRule="exact"/>
        <w:rPr>
          <w:rFonts w:ascii="Arial" w:cs="Arial" w:eastAsia="Arial" w:hAnsi="Arial"/>
          <w:sz w:val="14"/>
          <w:szCs w:val="14"/>
          <w:color w:val="auto"/>
        </w:rPr>
      </w:pPr>
    </w:p>
    <w:p>
      <w:pPr>
        <w:ind w:left="420" w:right="400" w:hanging="412"/>
        <w:spacing w:after="0" w:line="239"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spacing w:after="0" w:line="30" w:lineRule="exact"/>
        <w:rPr>
          <w:rFonts w:ascii="Arial" w:cs="Arial" w:eastAsia="Arial" w:hAnsi="Arial"/>
          <w:sz w:val="14"/>
          <w:szCs w:val="14"/>
          <w:color w:val="auto"/>
        </w:rPr>
      </w:pPr>
    </w:p>
    <w:p>
      <w:pPr>
        <w:ind w:left="420" w:right="480" w:hanging="412"/>
        <w:spacing w:after="0" w:line="239"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Deferred Charges and Other Assets. The Company utilized a market approach model using the notional amount of the interest rate swap multiplied by the observable inputs of time to maturity and market interest rates.</w:t>
      </w:r>
    </w:p>
    <w:p>
      <w:pPr>
        <w:spacing w:after="0" w:line="30" w:lineRule="exact"/>
        <w:rPr>
          <w:rFonts w:ascii="Arial" w:cs="Arial" w:eastAsia="Arial" w:hAnsi="Arial"/>
          <w:sz w:val="14"/>
          <w:szCs w:val="14"/>
          <w:color w:val="auto"/>
        </w:rPr>
      </w:pPr>
    </w:p>
    <w:p>
      <w:pPr>
        <w:ind w:left="420" w:right="4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152" w:lineRule="exact"/>
        <w:rPr>
          <w:rFonts w:ascii="Arial" w:cs="Arial" w:eastAsia="Arial" w:hAnsi="Arial"/>
          <w:sz w:val="14"/>
          <w:szCs w:val="14"/>
          <w:color w:val="auto"/>
        </w:rPr>
      </w:pPr>
    </w:p>
    <w:p>
      <w:pPr>
        <w:ind w:left="420" w:right="160" w:hanging="412"/>
        <w:spacing w:after="0" w:line="239"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spacing w:after="0" w:line="30" w:lineRule="exact"/>
        <w:rPr>
          <w:rFonts w:ascii="Arial" w:cs="Arial" w:eastAsia="Arial" w:hAnsi="Arial"/>
          <w:sz w:val="14"/>
          <w:szCs w:val="14"/>
          <w:color w:val="auto"/>
        </w:rPr>
      </w:pPr>
    </w:p>
    <w:p>
      <w:pPr>
        <w:ind w:left="420" w:right="180" w:hanging="412"/>
        <w:spacing w:after="0" w:line="239"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an EBITDA multiple, adjusted for working capital and other items, which approximates fair value.</w:t>
      </w:r>
    </w:p>
    <w:p>
      <w:pPr>
        <w:spacing w:after="0" w:line="133" w:lineRule="exact"/>
        <w:rPr>
          <w:sz w:val="20"/>
          <w:szCs w:val="20"/>
          <w:color w:val="auto"/>
        </w:rPr>
      </w:pPr>
    </w:p>
    <w:p>
      <w:pPr>
        <w:ind w:right="740"/>
        <w:spacing w:after="0" w:line="235" w:lineRule="auto"/>
        <w:rPr>
          <w:sz w:val="20"/>
          <w:szCs w:val="20"/>
          <w:color w:val="auto"/>
        </w:rPr>
      </w:pPr>
      <w:r>
        <w:rPr>
          <w:rFonts w:ascii="Arial" w:cs="Arial" w:eastAsia="Arial" w:hAnsi="Arial"/>
          <w:sz w:val="18"/>
          <w:szCs w:val="18"/>
          <w:color w:val="auto"/>
        </w:rPr>
        <w:t>During the three and nine months ended September 30, 2018, the Company recorded gains of $8.5 million to equity securities that are accounted for as cost method investments based on observable transactions.</w:t>
      </w:r>
    </w:p>
    <w:p>
      <w:pPr>
        <w:spacing w:after="0" w:line="135"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In the third quarter of 2018, the Company recorded long-lived asset impairment charges of $8.1 million. In the second quarter of 2017, the Company recorded a goodwill and other long-lived asset impairment charge of $9.2 million. The remeasurement of the goodwill and other long-lived assets is classified as a Level 3 fair value assessment due to the significance of unobservable inputs developed in the determination of the fair value. The Company used a discounted cash flow model to determine the estimated fair value of the reporting unit and other long-lived assets, and made estimates and assumptions regarding future cash flows, discount rates and long-term growth rates.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66" w:lineRule="exact"/>
        <w:rPr>
          <w:sz w:val="20"/>
          <w:szCs w:val="20"/>
          <w:color w:val="auto"/>
        </w:rPr>
      </w:pPr>
    </w:p>
    <w:p>
      <w:pPr>
        <w:jc w:val="both"/>
        <w:ind w:right="80"/>
        <w:spacing w:after="0" w:line="227" w:lineRule="auto"/>
        <w:rPr>
          <w:sz w:val="20"/>
          <w:szCs w:val="20"/>
          <w:color w:val="auto"/>
        </w:rPr>
      </w:pPr>
      <w:r>
        <w:rPr>
          <w:rFonts w:ascii="Arial" w:cs="Arial" w:eastAsia="Arial" w:hAnsi="Arial"/>
          <w:sz w:val="18"/>
          <w:szCs w:val="18"/>
          <w:color w:val="auto"/>
        </w:rPr>
        <w:t>The Tax Cuts and Jobs Act (the Tax Act) was enacted in December 2017, making significant changes to the Internal Revenue Code. The SEC staff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Act. SAB 118 allows the registrant to record provisional amounts during a measurement period not to extend</w:t>
      </w:r>
    </w:p>
    <w:p>
      <w:pPr>
        <w:sectPr>
          <w:pgSz w:w="11900" w:h="16838" w:orient="portrait"/>
          <w:cols w:equalWidth="0" w:num="1">
            <w:col w:w="11420"/>
          </w:cols>
          <w:pgMar w:left="240" w:top="697" w:right="2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697" w:right="239" w:bottom="1440" w:gutter="0" w:footer="0" w:header="0"/>
          <w:type w:val="continuous"/>
        </w:sectPr>
      </w:pPr>
    </w:p>
    <w:bookmarkStart w:id="18" w:name="page19"/>
    <w:bookmarkEnd w:id="18"/>
    <w:p>
      <w:pPr>
        <w:ind w:right="80"/>
        <w:spacing w:after="0" w:line="224" w:lineRule="auto"/>
        <w:rPr>
          <w:sz w:val="20"/>
          <w:szCs w:val="20"/>
          <w:color w:val="auto"/>
        </w:rPr>
      </w:pPr>
      <w:r>
        <w:rPr>
          <w:rFonts w:ascii="Arial" w:cs="Arial" w:eastAsia="Arial" w:hAnsi="Arial"/>
          <w:sz w:val="18"/>
          <w:szCs w:val="18"/>
          <w:color w:val="auto"/>
        </w:rPr>
        <w:t>beyond one year of the enactment date. The ultimate impact may materially differ from these provisional amounts due to, among other things, additional analysis, changes in interpretations and assumptions the Company made, additional regulatory guidance that may be issued, and actions the Company may take as a result of the Tax Act. In accordance with SAB 118, the Company has calculated a reasonable estimate of the impact of the Tax Act and recorded a provisional amount in its financial statements based on its understanding of the Tax Act and guidance available as of the date of this filing. The Company expects to complete its analysis within the measurement period in accordance with SAB 118.</w:t>
      </w:r>
    </w:p>
    <w:p>
      <w:pPr>
        <w:spacing w:after="0" w:line="137"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Changes as a result of the Tax Act include, but are not limited to, a reduction in the federal corporate income tax rate from 35% to 21% effective January 1, 2018 and the imposition of new U.S. taxes on certain non-U.S. earnings. The Company estimates that unremitted non-U.S. subsidiary earnings, when distributed, will not be subject to tax except to the extent non-U.S. withholding taxes are imposed.</w:t>
      </w:r>
    </w:p>
    <w:p>
      <w:pPr>
        <w:spacing w:after="0" w:line="13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Further, the Tax Act provides a 100% dividends received deduction for distributions from non-U.S. subsidiaries after December 31, 2017, subject to certain holding period requirements. The Tax Act establishes a new regime, the Global Intangible Low Taxed Income (GILTI) tax, that may currently subject to U.S. tax the operations of non-U.S. subsidiaries. The GILTI tax is imposed annually based on all current year non-U.S. operations starting January 1, 2018. The Company has elected to record the GILTI tax regime as a periodic tax expense. The Company estimated the 2018 annual GILTI tax expense and considered this when estimating the annual effective tax rate.</w:t>
      </w:r>
    </w:p>
    <w:p>
      <w:pPr>
        <w:spacing w:after="0" w:line="137"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In the third quarter of 2018, the Company’s education division released valuation allowances recorded against state deferred tax assets, net of U.S. Federal tax, of approximately $17.8 million because the education division recently generated positive operating results that support the realization of these deferred tax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 FROM CONTRACTS WITH CUSTOMERS</w:t>
      </w:r>
    </w:p>
    <w:p>
      <w:pPr>
        <w:spacing w:after="0" w:line="14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following table presents the Company’s revenue disaggregated by revenue source for the three and nine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September 30, 2018 and September 30, 2017:</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2017</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color w:val="auto"/>
              </w:rPr>
              <w:t>Education Revenue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65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1"/>
              <w:spacing w:after="0"/>
              <w:rPr>
                <w:sz w:val="20"/>
                <w:szCs w:val="20"/>
                <w:color w:val="auto"/>
              </w:rPr>
            </w:pPr>
            <w:r>
              <w:rPr>
                <w:rFonts w:ascii="Arial" w:cs="Arial" w:eastAsia="Arial" w:hAnsi="Arial"/>
                <w:sz w:val="16"/>
                <w:szCs w:val="16"/>
                <w:b w:val="1"/>
                <w:bCs w:val="1"/>
                <w:color w:val="auto"/>
              </w:rPr>
              <w:t>167,668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171,259</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535,553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507,568</w:t>
            </w:r>
          </w:p>
        </w:tc>
      </w:tr>
      <w:tr>
        <w:trPr>
          <w:trHeight w:val="270"/>
        </w:trPr>
        <w:tc>
          <w:tcPr>
            <w:tcW w:w="65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b w:val="1"/>
                <w:bCs w:val="1"/>
                <w:color w:val="auto"/>
              </w:rPr>
              <w:t>89,269</w:t>
            </w:r>
          </w:p>
        </w:tc>
        <w:tc>
          <w:tcPr>
            <w:tcW w:w="34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105,210</w:t>
            </w:r>
          </w:p>
        </w:tc>
        <w:tc>
          <w:tcPr>
            <w:tcW w:w="28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275,080</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328,161</w:t>
            </w:r>
          </w:p>
        </w:tc>
      </w:tr>
      <w:tr>
        <w:trPr>
          <w:trHeight w:val="270"/>
        </w:trPr>
        <w:tc>
          <w:tcPr>
            <w:tcW w:w="65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b w:val="1"/>
                <w:bCs w:val="1"/>
                <w:color w:val="auto"/>
              </w:rPr>
              <w:t>67,749</w:t>
            </w:r>
          </w:p>
        </w:tc>
        <w:tc>
          <w:tcPr>
            <w:tcW w:w="34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72,680</w:t>
            </w:r>
          </w:p>
        </w:tc>
        <w:tc>
          <w:tcPr>
            <w:tcW w:w="28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195,504</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212,978</w:t>
            </w:r>
          </w:p>
        </w:tc>
      </w:tr>
      <w:tr>
        <w:trPr>
          <w:trHeight w:val="270"/>
        </w:trPr>
        <w:tc>
          <w:tcPr>
            <w:tcW w:w="652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b w:val="1"/>
                <w:bCs w:val="1"/>
                <w:color w:val="auto"/>
              </w:rPr>
              <w:t>34,302</w:t>
            </w:r>
          </w:p>
        </w:tc>
        <w:tc>
          <w:tcPr>
            <w:tcW w:w="34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28,249</w:t>
            </w:r>
          </w:p>
        </w:tc>
        <w:tc>
          <w:tcPr>
            <w:tcW w:w="28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98,715</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88,812</w:t>
            </w:r>
          </w:p>
        </w:tc>
      </w:tr>
      <w:tr>
        <w:trPr>
          <w:trHeight w:val="270"/>
        </w:trPr>
        <w:tc>
          <w:tcPr>
            <w:tcW w:w="65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b w:val="1"/>
                <w:bCs w:val="1"/>
                <w:color w:val="auto"/>
              </w:rPr>
              <w:t>143</w:t>
            </w:r>
          </w:p>
        </w:tc>
        <w:tc>
          <w:tcPr>
            <w:tcW w:w="34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49</w:t>
            </w:r>
          </w:p>
        </w:tc>
        <w:tc>
          <w:tcPr>
            <w:tcW w:w="28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870</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120</w:t>
            </w:r>
          </w:p>
        </w:tc>
      </w:tr>
      <w:tr>
        <w:trPr>
          <w:trHeight w:val="283"/>
        </w:trPr>
        <w:tc>
          <w:tcPr>
            <w:tcW w:w="65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(530)</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(642)</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(1,617)</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(1,438)</w:t>
            </w:r>
          </w:p>
        </w:tc>
      </w:tr>
      <w:tr>
        <w:trPr>
          <w:trHeight w:val="251"/>
        </w:trPr>
        <w:tc>
          <w:tcPr>
            <w:tcW w:w="6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b w:val="1"/>
                <w:bCs w:val="1"/>
                <w:color w:val="auto"/>
              </w:rPr>
              <w:t>358,601</w:t>
            </w:r>
          </w:p>
        </w:tc>
        <w:tc>
          <w:tcPr>
            <w:tcW w:w="34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376,805</w:t>
            </w:r>
          </w:p>
        </w:tc>
        <w:tc>
          <w:tcPr>
            <w:tcW w:w="280" w:type="dxa"/>
            <w:vAlign w:val="bottom"/>
          </w:tcPr>
          <w:p>
            <w:pPr>
              <w:spacing w:after="0"/>
              <w:rPr>
                <w:sz w:val="21"/>
                <w:szCs w:val="21"/>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1,104,105</w:t>
            </w:r>
          </w:p>
        </w:tc>
        <w:tc>
          <w:tcPr>
            <w:tcW w:w="28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1,136,201</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b w:val="1"/>
                <w:bCs w:val="1"/>
                <w:color w:val="auto"/>
              </w:rPr>
              <w:t>130,014</w:t>
            </w:r>
          </w:p>
        </w:tc>
        <w:tc>
          <w:tcPr>
            <w:tcW w:w="34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101,295</w:t>
            </w:r>
          </w:p>
        </w:tc>
        <w:tc>
          <w:tcPr>
            <w:tcW w:w="28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352,902</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298,893</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23"/>
                <w:szCs w:val="23"/>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b w:val="1"/>
                <w:bCs w:val="1"/>
                <w:color w:val="auto"/>
              </w:rPr>
              <w:t>126,028</w:t>
            </w:r>
          </w:p>
        </w:tc>
        <w:tc>
          <w:tcPr>
            <w:tcW w:w="34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115,594</w:t>
            </w:r>
          </w:p>
        </w:tc>
        <w:tc>
          <w:tcPr>
            <w:tcW w:w="28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369,896</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298,164</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b w:val="1"/>
                <w:bCs w:val="1"/>
                <w:color w:val="auto"/>
              </w:rPr>
              <w:t>35,486</w:t>
            </w:r>
          </w:p>
        </w:tc>
        <w:tc>
          <w:tcPr>
            <w:tcW w:w="34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40,473</w:t>
            </w:r>
          </w:p>
        </w:tc>
        <w:tc>
          <w:tcPr>
            <w:tcW w:w="28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111,315</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115,592</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b w:val="1"/>
                <w:bCs w:val="1"/>
                <w:color w:val="auto"/>
              </w:rPr>
              <w:t>13,781</w:t>
            </w:r>
          </w:p>
        </w:tc>
        <w:tc>
          <w:tcPr>
            <w:tcW w:w="34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14,497</w:t>
            </w:r>
          </w:p>
        </w:tc>
        <w:tc>
          <w:tcPr>
            <w:tcW w:w="28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41,850</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41,926</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3"/>
                <w:szCs w:val="23"/>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b w:val="1"/>
                <w:bCs w:val="1"/>
                <w:color w:val="auto"/>
              </w:rPr>
              <w:t>10,856</w:t>
            </w:r>
          </w:p>
        </w:tc>
        <w:tc>
          <w:tcPr>
            <w:tcW w:w="34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8,561</w:t>
            </w:r>
          </w:p>
        </w:tc>
        <w:tc>
          <w:tcPr>
            <w:tcW w:w="28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26,856</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25,253</w:t>
            </w: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Total Revenue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674,766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657,225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2,006,879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1,916,029</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The Company generated 78% and 76% of its revenue from U.S. domestic sales for the three and nine months ended September 30, 2018, respectively. The remaining 22% and 24% of revenue for the three and nine months ended September 30, 2018, respectively, was from non-U.S. sales.</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 the three and nine months ended September 30, 2018, the Company recognized 80% of its revenue over time as control of the services and goods transferred to the customer. The remaining 20% of revenues were recognized at a point in time, when the customer obtained control of the promised goods. The determination of the method by which the Company measures its progress towards the satisfaction of its performance obligations requires judgment and is described below for each revenue stream.</w:t>
      </w:r>
    </w:p>
    <w:p>
      <w:pPr>
        <w:spacing w:after="0" w:line="135"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The Company identifies a contract for revenue recognition when there is approval and commitment from both parties, the rights of the parties and payment terms are identified, the contract has commercial substance and the collectability of consideration is probable. The Company evaluates each contract to determine the number of distinct performance obligations in the contract, which requires the use of judgment.</w:t>
      </w:r>
    </w:p>
    <w:p>
      <w:pPr>
        <w:spacing w:after="0" w:line="11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color w:val="auto"/>
        </w:rPr>
        <w:t xml:space="preserve">Education Revenue. </w:t>
      </w:r>
      <w:r>
        <w:rPr>
          <w:rFonts w:ascii="Arial" w:cs="Arial" w:eastAsia="Arial" w:hAnsi="Arial"/>
          <w:sz w:val="18"/>
          <w:szCs w:val="18"/>
          <w:color w:val="auto"/>
        </w:rPr>
        <w:t>Education revenue is primarily derived from postsecondary education services, professional education and test</w:t>
      </w:r>
      <w:r>
        <w:rPr>
          <w:rFonts w:ascii="Arial" w:cs="Arial" w:eastAsia="Arial" w:hAnsi="Arial"/>
          <w:sz w:val="18"/>
          <w:szCs w:val="18"/>
          <w:b w:val="1"/>
          <w:bCs w:val="1"/>
          <w:color w:val="auto"/>
        </w:rPr>
        <w:t xml:space="preserve"> </w:t>
      </w:r>
      <w:r>
        <w:rPr>
          <w:rFonts w:ascii="Arial" w:cs="Arial" w:eastAsia="Arial" w:hAnsi="Arial"/>
          <w:sz w:val="18"/>
          <w:szCs w:val="18"/>
          <w:color w:val="auto"/>
        </w:rPr>
        <w:t>preparation services provided both domestically and abroad. Generally tuition and other fees are paid upfront and recorded in deferred revenue in advance of the date when education services are provided to the</w:t>
      </w:r>
    </w:p>
    <w:p>
      <w:pPr>
        <w:sectPr>
          <w:pgSz w:w="11900" w:h="16838" w:orient="portrait"/>
          <w:cols w:equalWidth="0" w:num="1">
            <w:col w:w="11420"/>
          </w:cols>
          <w:pgMar w:left="240" w:top="719" w:right="2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719" w:right="239" w:bottom="1440" w:gutter="0" w:footer="0" w:header="0"/>
          <w:type w:val="continuous"/>
        </w:sectPr>
      </w:pPr>
    </w:p>
    <w:bookmarkStart w:id="19" w:name="page20"/>
    <w:bookmarkEnd w:id="19"/>
    <w:p>
      <w:pPr>
        <w:ind w:right="180"/>
        <w:spacing w:after="0" w:line="227" w:lineRule="auto"/>
        <w:rPr>
          <w:sz w:val="20"/>
          <w:szCs w:val="20"/>
          <w:color w:val="auto"/>
        </w:rPr>
      </w:pPr>
      <w:r>
        <w:rPr>
          <w:rFonts w:ascii="Arial" w:cs="Arial" w:eastAsia="Arial" w:hAnsi="Arial"/>
          <w:sz w:val="18"/>
          <w:szCs w:val="18"/>
          <w:color w:val="auto"/>
        </w:rPr>
        <w:t>student. In some instances, installment billing is available to students which reduces the amount of cash consideration received in advance of performing the service. The contractual terms and conditions associated with installment billing indicate that the student is liable for the total contract price, therefore mitigating the Company’s exposure to losses associated with nonpayment. The Company determined the installment billing does not represent a significant financing component.</w:t>
      </w:r>
    </w:p>
    <w:p>
      <w:pPr>
        <w:spacing w:after="0" w:line="117" w:lineRule="exact"/>
        <w:rPr>
          <w:sz w:val="20"/>
          <w:szCs w:val="20"/>
          <w:color w:val="auto"/>
        </w:rPr>
      </w:pPr>
    </w:p>
    <w:p>
      <w:pPr>
        <w:ind w:right="320"/>
        <w:spacing w:after="0" w:line="229" w:lineRule="auto"/>
        <w:rPr>
          <w:sz w:val="20"/>
          <w:szCs w:val="20"/>
          <w:color w:val="auto"/>
        </w:rPr>
      </w:pPr>
      <w:r>
        <w:rPr>
          <w:rFonts w:ascii="Arial" w:cs="Arial" w:eastAsia="Arial" w:hAnsi="Arial"/>
          <w:sz w:val="18"/>
          <w:szCs w:val="18"/>
          <w:i w:val="1"/>
          <w:iCs w:val="1"/>
          <w:color w:val="auto"/>
        </w:rPr>
        <w:t>Kaplan International (KI)</w:t>
      </w:r>
      <w:r>
        <w:rPr>
          <w:rFonts w:ascii="Arial" w:cs="Arial" w:eastAsia="Arial" w:hAnsi="Arial"/>
          <w:sz w:val="18"/>
          <w:szCs w:val="18"/>
          <w:color w:val="auto"/>
        </w:rPr>
        <w:t>. KI provides higher education, professional education, and test preparation services and materials to students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in the United Kingdom, Singapore, and Australia. Some KI contracts consist of one performance obligation that is a combination of indistinct promises to the student, while other KI contracts include multiple performance obligations as the promises in the contract are both capable of being distinct and distinct within the context of the contract. One KI business offers an option whereby students receive future services at a discount that is accounted for as a material right.</w:t>
      </w:r>
    </w:p>
    <w:p>
      <w:pPr>
        <w:spacing w:after="0" w:line="138"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The transaction price is stated in the contract and known at the time of contract inception, therefore no variable consideration exists. Revenue is allocated to each performance obligation based on its standalone selling price. Any discounts within the contract are allocated across all performance obligations unless observable evidence exists that the discount relates to a specific performance obligation or obligations in the contract. KI generally determines standalone selling prices based on prices charged to students.</w:t>
      </w:r>
    </w:p>
    <w:p>
      <w:pPr>
        <w:spacing w:after="0" w:line="13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Revenue is recognized ratably over the instruction period or access period for higher education, professional education and test preparation services. KI generally uses the time elapsed method, an input measure, as it best depicts the simultaneous consumption and delivery of these services. Course materials determined to be a separate performance obligation are recognized at the point in time when control transfers to the student, generally when the products are delivered to the student.</w:t>
      </w:r>
    </w:p>
    <w:p>
      <w:pPr>
        <w:spacing w:after="0" w:line="117" w:lineRule="exact"/>
        <w:rPr>
          <w:sz w:val="20"/>
          <w:szCs w:val="20"/>
          <w:color w:val="auto"/>
        </w:rPr>
      </w:pPr>
    </w:p>
    <w:p>
      <w:pPr>
        <w:ind w:right="800"/>
        <w:spacing w:after="0" w:line="251" w:lineRule="auto"/>
        <w:rPr>
          <w:sz w:val="20"/>
          <w:szCs w:val="20"/>
          <w:color w:val="auto"/>
        </w:rPr>
      </w:pPr>
      <w:r>
        <w:rPr>
          <w:rFonts w:ascii="Arial" w:cs="Arial" w:eastAsia="Arial" w:hAnsi="Arial"/>
          <w:sz w:val="18"/>
          <w:szCs w:val="18"/>
          <w:i w:val="1"/>
          <w:iCs w:val="1"/>
          <w:color w:val="auto"/>
        </w:rPr>
        <w:t>Higher Education (KHE)</w:t>
      </w:r>
      <w:r>
        <w:rPr>
          <w:rFonts w:ascii="Arial" w:cs="Arial" w:eastAsia="Arial" w:hAnsi="Arial"/>
          <w:sz w:val="18"/>
          <w:szCs w:val="18"/>
          <w:color w:val="auto"/>
        </w:rPr>
        <w:t>. In the first quarter of 2018, KHE provided postsecondary education services to students through KU’s online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and fixed-facility colleges.</w:t>
      </w:r>
    </w:p>
    <w:p>
      <w:pPr>
        <w:spacing w:after="0" w:line="125"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These contracts consisted either of one performance obligation that is a combination of distinct promises to a student, or two performance obligations if the student also enrolled in the Kaplan Tuition Cap, which established a maximum amount of tuition that KHE may charge students for higher education services. The Kaplan Tuition Cap was accounted for as a material right. The transaction price of a higher education contract was stated in the contract and known at the time of contract inception, therefore no variable consideration existed. A portion of the transaction price was allocated to the material right, if applicable, based on the expected value method.</w:t>
      </w:r>
    </w:p>
    <w:p>
      <w:pPr>
        <w:spacing w:after="0" w:line="13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Higher education services revenue was recognized ratably over the instruction period. The Company used the time elapsed method, an input measure, as it best depicts the simultaneous consumption and delivery of higher education services.</w:t>
      </w:r>
    </w:p>
    <w:p>
      <w:pPr>
        <w:spacing w:after="0" w:line="135"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On March 22, 2018, Kaplan contributed the institutional assets and operations of KU to Purdue University Global (see Note 2). Subsequent to the transaction, KHE provides non-academic operations support services to Purdue University Global pursuant to the TOSA. This contract has a thirty year term and consists of one performance obligation, which represents a series of daily promises to provide support services to Purdue University Global. The transaction price is entirely made up of variable consideration related to the reimbursement of KU support costs and the KU fee. The TOSA outlines a payment structure, which dictates how cash will be distributed at the end of Purdue University Global’s fiscal year, which is the 30th of June. The collectability of the KU support costs and KU fee is entirely dependent on the availability of cash at the end of the fiscal year. This variable consideration is constrained based on fiscal year forecasts prepared for Purdue University Global. The forecasts are updated throughout the fiscal year until the uncertainty is ultimately resolved, which is at the end of each fiscal year for Purdue University Global. As KHE’s performance obligation is made up of a series, the variable consideration is allocated to the distinct service period to which it relates, which is the Purdue University Global fiscal year.</w:t>
      </w:r>
    </w:p>
    <w:p>
      <w:pPr>
        <w:spacing w:after="0" w:line="138" w:lineRule="exact"/>
        <w:rPr>
          <w:sz w:val="20"/>
          <w:szCs w:val="20"/>
          <w:color w:val="auto"/>
        </w:rPr>
      </w:pPr>
    </w:p>
    <w:p>
      <w:pPr>
        <w:jc w:val="both"/>
        <w:ind w:right="80"/>
        <w:spacing w:after="0" w:line="227" w:lineRule="auto"/>
        <w:rPr>
          <w:sz w:val="20"/>
          <w:szCs w:val="20"/>
          <w:color w:val="auto"/>
        </w:rPr>
      </w:pPr>
      <w:r>
        <w:rPr>
          <w:rFonts w:ascii="Arial" w:cs="Arial" w:eastAsia="Arial" w:hAnsi="Arial"/>
          <w:sz w:val="18"/>
          <w:szCs w:val="18"/>
          <w:color w:val="auto"/>
        </w:rPr>
        <w:t>Support services revenue is recognized over time based on the expenses incurred to date and the percentage of expected reimbursement. KU fee revenue is also recognized over time based on the amount of Purdue University Global revenue recognized to date and the percentage of fee expected to be collected for the fiscal year. The Company used these input measures as Purdue Global University simultaneously receives and consumes the benefits of the services provided by KHE.</w:t>
      </w:r>
    </w:p>
    <w:p>
      <w:pPr>
        <w:spacing w:after="0" w:line="117" w:lineRule="exact"/>
        <w:rPr>
          <w:sz w:val="20"/>
          <w:szCs w:val="20"/>
          <w:color w:val="auto"/>
        </w:rPr>
      </w:pPr>
    </w:p>
    <w:p>
      <w:pPr>
        <w:spacing w:after="0" w:line="228" w:lineRule="auto"/>
        <w:rPr>
          <w:sz w:val="20"/>
          <w:szCs w:val="20"/>
          <w:color w:val="auto"/>
        </w:rPr>
      </w:pPr>
      <w:r>
        <w:rPr>
          <w:rFonts w:ascii="Arial" w:cs="Arial" w:eastAsia="Arial" w:hAnsi="Arial"/>
          <w:sz w:val="18"/>
          <w:szCs w:val="18"/>
          <w:i w:val="1"/>
          <w:iCs w:val="1"/>
          <w:color w:val="auto"/>
        </w:rPr>
        <w:t>Kaplan Test Preparation (KTP)</w:t>
      </w:r>
      <w:r>
        <w:rPr>
          <w:rFonts w:ascii="Arial" w:cs="Arial" w:eastAsia="Arial" w:hAnsi="Arial"/>
          <w:sz w:val="18"/>
          <w:szCs w:val="18"/>
          <w:color w:val="auto"/>
        </w:rPr>
        <w:t>. KTP offers test preparation services and materials to students related to pre-college, graduate, health and bar</w:t>
      </w:r>
      <w:r>
        <w:rPr>
          <w:rFonts w:ascii="Arial" w:cs="Arial" w:eastAsia="Arial" w:hAnsi="Arial"/>
          <w:sz w:val="18"/>
          <w:szCs w:val="18"/>
          <w:i w:val="1"/>
          <w:iCs w:val="1"/>
          <w:color w:val="auto"/>
        </w:rPr>
        <w:t xml:space="preserve"> </w:t>
      </w:r>
      <w:r>
        <w:rPr>
          <w:rFonts w:ascii="Arial" w:cs="Arial" w:eastAsia="Arial" w:hAnsi="Arial"/>
          <w:sz w:val="18"/>
          <w:szCs w:val="18"/>
          <w:color w:val="auto"/>
        </w:rPr>
        <w:t>review products. Generally KTP contracts include promises for test preparation services and course materials. As each promise is both capable of being distinct and distinct in the context of the contract, each promise is accounted for as a separate performance obligation. As the transaction price is stated in the contract and known at the time of contract inception, no variable consideration exists. Revenue is allocated to each performance obligation based on its standalone selling price. KTP generally determines standalone selling prices based on prices charged to students. Any discounts within the contract are allocated across all performance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19"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obligations unless observable evidence exists that the discount relates to a specific performance obligation or obligations in the contract.</w:t>
      </w:r>
    </w:p>
    <w:p>
      <w:pPr>
        <w:spacing w:after="0" w:line="144" w:lineRule="exact"/>
        <w:rPr>
          <w:sz w:val="20"/>
          <w:szCs w:val="20"/>
          <w:color w:val="auto"/>
        </w:rPr>
      </w:pPr>
    </w:p>
    <w:p>
      <w:pPr>
        <w:jc w:val="both"/>
        <w:ind w:right="80"/>
        <w:spacing w:after="0" w:line="225" w:lineRule="auto"/>
        <w:rPr>
          <w:sz w:val="20"/>
          <w:szCs w:val="20"/>
          <w:color w:val="auto"/>
        </w:rPr>
      </w:pPr>
      <w:r>
        <w:rPr>
          <w:rFonts w:ascii="Arial" w:cs="Arial" w:eastAsia="Arial" w:hAnsi="Arial"/>
          <w:sz w:val="18"/>
          <w:szCs w:val="18"/>
          <w:color w:val="auto"/>
        </w:rPr>
        <w:t>Test preparation services revenue is recognized ratably over the period of access. At KTP, an estimate of average access period is developed for each course, and this estimate is evaluated on an ongoing basis and adjusted as necessary. KTP generally uses the time elapsed method, an input measure, as it best depicts the simultaneous consumption and availability of access to test preparation services. Revenue associated with distinct course materials is recognized at the point in time when control transfers to the student, generally when the products are delivered to the student.</w:t>
      </w:r>
    </w:p>
    <w:p>
      <w:pPr>
        <w:spacing w:after="0" w:line="137"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KTP offers a guarantee on certain courses that gives students the ability to repeat a course if they are not satisfied with their exam score. The Company accounts for this guarantee as a separate performance obligation.</w:t>
      </w:r>
    </w:p>
    <w:p>
      <w:pPr>
        <w:spacing w:after="0" w:line="135"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September 30, 2018, KTP’s deferred revenue balance related to certain medical and nursing qualifications with an original contract length greater than twelve months was $6.2 million. KTP expects to recognize 82% of this revenue over the next twelve months and the remainder thereafter.</w:t>
      </w:r>
    </w:p>
    <w:p>
      <w:pPr>
        <w:spacing w:after="0" w:line="117"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i w:val="1"/>
          <w:iCs w:val="1"/>
          <w:color w:val="auto"/>
        </w:rPr>
        <w:t xml:space="preserve">Kaplan Professional (U.S.) (KP): </w:t>
      </w:r>
      <w:r>
        <w:rPr>
          <w:rFonts w:ascii="Arial" w:cs="Arial" w:eastAsia="Arial" w:hAnsi="Arial"/>
          <w:sz w:val="18"/>
          <w:szCs w:val="18"/>
          <w:color w:val="auto"/>
        </w:rPr>
        <w:t>KP provides professional training and exam preparation for professional certifications and licensures to</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KP contracts include promises for professional education services and course materials. Generally KP revenue contracts consist of multiple performance obligations as each distinct promise is both capable of being distinct and distinct in the context of the contract. The transaction price is stated in the contract and known at the time of contract inception, therefore no variable consideration exists. Revenue is allocated to each performance obligation based on its standalone selling price. KP generally determines standalone selling prices based on the prices charged to students. Any discounts within the contract are allocated across all performance obligations unless observable evidence exists that the discount relates to a specific performance obligation or obligations in the contract.</w:t>
      </w:r>
    </w:p>
    <w:p>
      <w:pPr>
        <w:spacing w:after="0" w:line="139"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Professional education services revenue is recognized ratably over the period of access. KP generally uses the time elapsed method, an input measure, as it best depicts the simultaneous consumption and availability of access to professional education services. Revenue associated with distinct course materials is recognized at the point in time when control transfers to the student, generally when the products are delivered to the student.</w:t>
      </w:r>
    </w:p>
    <w:p>
      <w:pPr>
        <w:spacing w:after="0" w:line="11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 xml:space="preserve">Television Broadcasting Revenue. </w:t>
      </w:r>
      <w:r>
        <w:rPr>
          <w:rFonts w:ascii="Arial" w:cs="Arial" w:eastAsia="Arial" w:hAnsi="Arial"/>
          <w:sz w:val="18"/>
          <w:szCs w:val="18"/>
          <w:color w:val="auto"/>
        </w:rPr>
        <w:t>Television broadcasting revenue at Graham Media Group (GMG) is primarily comprised of television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advertising revenue, and retransmission revenue.</w:t>
      </w:r>
    </w:p>
    <w:p>
      <w:pPr>
        <w:spacing w:after="0" w:line="103"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i w:val="1"/>
          <w:iCs w:val="1"/>
          <w:color w:val="auto"/>
        </w:rPr>
        <w:t>Television Advertising Revenue</w:t>
      </w:r>
      <w:r>
        <w:rPr>
          <w:rFonts w:ascii="Arial" w:cs="Arial" w:eastAsia="Arial" w:hAnsi="Arial"/>
          <w:sz w:val="18"/>
          <w:szCs w:val="18"/>
          <w:color w:val="auto"/>
        </w:rPr>
        <w:t>. GMG accounts for the series of advertisements included in television advertising contracts as one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 and recognizes advertising revenue over time. The Company elected the right to invoice practical expedient, an output method, as GMG has the right to consideration that equals the value provided to the customer for advertisements delivered to date. As a result of the election to use the right to invoice practical expedient, GMG does not determine the transaction price or allocate any variable consideration at contract inception. Rather, GMG recognizes revenue commensurate with the amount to which GMG has the right to invoice the customer. Payment is typically received in arrears within sixty days of revenue recognition.</w:t>
      </w:r>
    </w:p>
    <w:p>
      <w:pPr>
        <w:spacing w:after="0" w:line="117" w:lineRule="exact"/>
        <w:rPr>
          <w:sz w:val="20"/>
          <w:szCs w:val="20"/>
          <w:color w:val="auto"/>
        </w:rPr>
      </w:pPr>
    </w:p>
    <w:p>
      <w:pPr>
        <w:spacing w:after="0" w:line="226" w:lineRule="auto"/>
        <w:rPr>
          <w:sz w:val="20"/>
          <w:szCs w:val="20"/>
          <w:color w:val="auto"/>
        </w:rPr>
      </w:pPr>
      <w:r>
        <w:rPr>
          <w:rFonts w:ascii="Arial" w:cs="Arial" w:eastAsia="Arial" w:hAnsi="Arial"/>
          <w:sz w:val="18"/>
          <w:szCs w:val="18"/>
          <w:i w:val="1"/>
          <w:iCs w:val="1"/>
          <w:color w:val="auto"/>
        </w:rPr>
        <w:t>Retransmission Revenue</w:t>
      </w:r>
      <w:r>
        <w:rPr>
          <w:rFonts w:ascii="Arial" w:cs="Arial" w:eastAsia="Arial" w:hAnsi="Arial"/>
          <w:sz w:val="18"/>
          <w:szCs w:val="18"/>
          <w:color w:val="auto"/>
        </w:rPr>
        <w:t>. Retransmission revenue represents compensation paid by cable, satellite and other multichannel video programming</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distributors (MVPDs) to retransmit GMG’s stations’ broadcasts in its designated market area. The retransmission rights granted to MVPDs are accounted for as a license of functional intellectual property as the retransmitted broadcast provides significant standalone functionality. As such, each retransmission contract with an MVPD includes one performance obligation for each station’s retransmission license. GMG recognizes revenue using the usage-based royalty method in which revenue is recognized in the month the broadcast is retransmitted based on the number of MVPD subscribers and the applicable per user rate identified in the retransmission contract. Payment is typically received in arrears within sixty days of revenue recognition.</w:t>
      </w:r>
    </w:p>
    <w:p>
      <w:pPr>
        <w:spacing w:after="0" w:line="117"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b w:val="1"/>
          <w:bCs w:val="1"/>
          <w:color w:val="auto"/>
        </w:rPr>
        <w:t xml:space="preserve">Manufacturing Revenue. </w:t>
      </w:r>
      <w:r>
        <w:rPr>
          <w:rFonts w:ascii="Arial" w:cs="Arial" w:eastAsia="Arial" w:hAnsi="Arial"/>
          <w:sz w:val="18"/>
          <w:szCs w:val="18"/>
          <w:color w:val="auto"/>
        </w:rPr>
        <w:t>Manufacturing revenue consists primarily of product sales generated by four businesses: Hoover, Dekko, Joyce and</w:t>
      </w:r>
      <w:r>
        <w:rPr>
          <w:rFonts w:ascii="Arial" w:cs="Arial" w:eastAsia="Arial" w:hAnsi="Arial"/>
          <w:sz w:val="18"/>
          <w:szCs w:val="18"/>
          <w:b w:val="1"/>
          <w:bCs w:val="1"/>
          <w:color w:val="auto"/>
        </w:rPr>
        <w:t xml:space="preserve"> </w:t>
      </w:r>
      <w:r>
        <w:rPr>
          <w:rFonts w:ascii="Arial" w:cs="Arial" w:eastAsia="Arial" w:hAnsi="Arial"/>
          <w:sz w:val="18"/>
          <w:szCs w:val="18"/>
          <w:color w:val="auto"/>
        </w:rPr>
        <w:t>Forney. The Company has determined that each item ordered by the customer is a distinct performance obligation as it has standalone value and is distinct within the context of the contract. For arrangements with multiple performance obligations, the Company initially allocates the transaction price to each obligation based on its standalone selling price, which is the retail price charged to customers. Any discounts within the contract are allocated across all performance obligations unless observable evidence exists that the discount relates to a specific performance obligation or obligations in the contract.</w:t>
      </w:r>
    </w:p>
    <w:p>
      <w:pPr>
        <w:spacing w:after="0" w:line="139"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Company sells some products and services with a right of return. This right of return constitutes variable consideration and is constrained from revenue recognition on a portfolio basis, using the expected value method until the refund period expires.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19" w:right="239" w:bottom="1440" w:gutter="0" w:footer="0" w:header="0"/>
        </w:sectPr>
      </w:pPr>
    </w:p>
    <w:bookmarkStart w:id="21" w:name="page22"/>
    <w:bookmarkEnd w:id="21"/>
    <w:p>
      <w:pPr>
        <w:ind w:right="220"/>
        <w:spacing w:after="0" w:line="224" w:lineRule="auto"/>
        <w:rPr>
          <w:sz w:val="20"/>
          <w:szCs w:val="20"/>
          <w:color w:val="auto"/>
        </w:rPr>
      </w:pPr>
      <w:r>
        <w:rPr>
          <w:rFonts w:ascii="Arial" w:cs="Arial" w:eastAsia="Arial" w:hAnsi="Arial"/>
          <w:sz w:val="18"/>
          <w:szCs w:val="18"/>
          <w:color w:val="auto"/>
        </w:rPr>
        <w:t>The Company recognizes revenue when or as control transfers to the customer. Some manufacturing revenue is recognized ratably over the manufacturing period, if the product created for the customer does not have an alternative use to the Company and the Company has an enforceable right to payment for performance completed to date. The determination of the method by which the Company measures its progress towards the satisfaction of its performance obligations requires judgment. The Company measures its progress for these products using the units delivered method, an output measure. These arrangements represented 25% and 27% of the manufacturing revenue recognized in the three and nine months ended September 30, 2018, respectively.</w:t>
      </w:r>
    </w:p>
    <w:p>
      <w:pPr>
        <w:spacing w:after="0" w:line="137"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Other manufacturing revenue is recognized at the point in time when control transfers to the customer, generally when the products are shipped. Some customers have a bill and hold arrangement with the Company. Revenue for bill and hold arrangements is recognized when control transfers to the customer, even though the customer does not have physical possession of the goods. Control transfers when the bill-and-hold arrangement has been requested from the customer, the product is identified as belonging to the customer and is ready for physical transfer, and the product cannot be directed for use by anyone but the customer.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Payment terms and conditions vary by contract, although terms generally include a requirement of payment within ninety days of delivery.</w:t>
      </w:r>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evaluated the terms of the warranties and guarantees offered by its manufacturing businesses and determined that these should not be accounted for as a separate performance obligation as a distinct service is not identified.</w:t>
      </w:r>
    </w:p>
    <w:p>
      <w:pPr>
        <w:spacing w:after="0" w:line="113" w:lineRule="exact"/>
        <w:rPr>
          <w:sz w:val="20"/>
          <w:szCs w:val="20"/>
          <w:color w:val="auto"/>
        </w:rPr>
      </w:pPr>
    </w:p>
    <w:p>
      <w:pPr>
        <w:ind w:right="260"/>
        <w:spacing w:after="0" w:line="233" w:lineRule="auto"/>
        <w:rPr>
          <w:sz w:val="20"/>
          <w:szCs w:val="20"/>
          <w:color w:val="auto"/>
        </w:rPr>
      </w:pPr>
      <w:r>
        <w:rPr>
          <w:rFonts w:ascii="Arial" w:cs="Arial" w:eastAsia="Arial" w:hAnsi="Arial"/>
          <w:sz w:val="18"/>
          <w:szCs w:val="18"/>
          <w:b w:val="1"/>
          <w:bCs w:val="1"/>
          <w:color w:val="auto"/>
        </w:rPr>
        <w:t xml:space="preserve">Healthcare Revenue. </w:t>
      </w:r>
      <w:r>
        <w:rPr>
          <w:rFonts w:ascii="Arial" w:cs="Arial" w:eastAsia="Arial" w:hAnsi="Arial"/>
          <w:sz w:val="18"/>
          <w:szCs w:val="18"/>
          <w:color w:val="auto"/>
        </w:rPr>
        <w:t>The Company contracts with patients to provide home health or hospice services. Payment is typically received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party payors such as Medicare, Medicaid, and private insurers. The payor is a third party to the contract that stipulates the transaction price of the contract. The Company identifies the patient as the party who benefits from its healthcare services and as such, the patient is its customer.</w:t>
      </w:r>
    </w:p>
    <w:p>
      <w:pPr>
        <w:spacing w:after="0" w:line="13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Company determined that healthcare services contracts generally have one performance obligation to provide healthcare services to patients. The transaction price reflects the amount of revenue the Company expects to receive in exchange for providing these services. As the transaction price for healthcare services is known at the time of contract inception, no variable consideration exists. Healthcare revenue is recognized ratably over the period of care. The Company generally uses the time-elapsed method, an input measure as it best depicts the simultaneous delivery and consumption of healthcare services.</w:t>
      </w:r>
    </w:p>
    <w:p>
      <w:pPr>
        <w:spacing w:after="0" w:line="13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Payment is received from third party payors within sixty days after a claim is filed, or in some cases in two installments, one during the contract and one after the services have been provided. Medicare is the most common third party payor.</w:t>
      </w:r>
    </w:p>
    <w:p>
      <w:pPr>
        <w:spacing w:after="0" w:line="13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Home health revenue contracts may be modified to account for changes in the patient’s plan of care. The Company identifies contract modifications when the modification changes the existing enforceable rights and obligations. As modifications to the plan of care modify the original performance obligation, the Company accounts for the contract modification as an adjustment to revenue (either as an increase in or a reduction of revenue) on a cumulative catch-up basis.</w:t>
      </w:r>
    </w:p>
    <w:p>
      <w:pPr>
        <w:spacing w:after="0" w:line="117"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i w:val="1"/>
          <w:iCs w:val="1"/>
          <w:color w:val="auto"/>
        </w:rPr>
        <w:t>Other Revenue</w:t>
      </w:r>
      <w:r>
        <w:rPr>
          <w:rFonts w:ascii="Arial" w:cs="Arial" w:eastAsia="Arial" w:hAnsi="Arial"/>
          <w:sz w:val="18"/>
          <w:szCs w:val="18"/>
          <w:color w:val="auto"/>
        </w:rPr>
        <w:t>. The Company recognizes revenue associated with management services it provides to its affiliates. The Company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management services provided as one performance obligation and recognizes revenue over time as the services are delivered. The Company uses the right to invoice practical expedient, an output method, as the Company’s right to revenue corresponds directly with the value delivered to the affiliate. As a result of the election to use the right to invoice practical expedient, the Company does not determine the transaction price or allocate any variable consideration at contract inception. Rather, the Company recognizes revenue commensurate with the amount to which it has the right to invoice the affiliate which is based on contractually identified percentages. Payment is received monthly in arrears.</w:t>
      </w:r>
    </w:p>
    <w:p>
      <w:pPr>
        <w:spacing w:after="0" w:line="117"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b w:val="1"/>
          <w:bCs w:val="1"/>
          <w:color w:val="auto"/>
        </w:rPr>
        <w:t xml:space="preserve">SocialCode Revenue. </w:t>
      </w:r>
      <w:r>
        <w:rPr>
          <w:rFonts w:ascii="Arial" w:cs="Arial" w:eastAsia="Arial" w:hAnsi="Arial"/>
          <w:sz w:val="18"/>
          <w:szCs w:val="18"/>
          <w:color w:val="auto"/>
        </w:rPr>
        <w:t>SocialCode generates media management revenue in exchange for providing social media marketing solutions to its</w:t>
      </w:r>
      <w:r>
        <w:rPr>
          <w:rFonts w:ascii="Arial" w:cs="Arial" w:eastAsia="Arial" w:hAnsi="Arial"/>
          <w:sz w:val="18"/>
          <w:szCs w:val="18"/>
          <w:b w:val="1"/>
          <w:bCs w:val="1"/>
          <w:color w:val="auto"/>
        </w:rPr>
        <w:t xml:space="preserve"> </w:t>
      </w:r>
      <w:r>
        <w:rPr>
          <w:rFonts w:ascii="Arial" w:cs="Arial" w:eastAsia="Arial" w:hAnsi="Arial"/>
          <w:sz w:val="18"/>
          <w:szCs w:val="18"/>
          <w:color w:val="auto"/>
        </w:rPr>
        <w:t>clients. The Company determined that SocialCode contracts generally have one performance obligation made up of a series of promises to manage the client’s media spend on advertising platforms for the duration of the contract period.</w:t>
      </w:r>
    </w:p>
    <w:p>
      <w:pPr>
        <w:spacing w:after="0" w:line="136" w:lineRule="exact"/>
        <w:rPr>
          <w:sz w:val="20"/>
          <w:szCs w:val="20"/>
          <w:color w:val="auto"/>
        </w:rPr>
      </w:pPr>
    </w:p>
    <w:p>
      <w:pPr>
        <w:ind w:right="260"/>
        <w:spacing w:after="0" w:line="223" w:lineRule="auto"/>
        <w:rPr>
          <w:sz w:val="20"/>
          <w:szCs w:val="20"/>
          <w:color w:val="auto"/>
        </w:rPr>
      </w:pPr>
      <w:r>
        <w:rPr>
          <w:rFonts w:ascii="Arial" w:cs="Arial" w:eastAsia="Arial" w:hAnsi="Arial"/>
          <w:sz w:val="18"/>
          <w:szCs w:val="18"/>
          <w:color w:val="auto"/>
        </w:rPr>
        <w:t>SocialCode recognizes revenue, net of media acquisition costs, over time as media management services are delivered to the customer. Generally, SocialCode recognizes revenue using the right to invoice practical expedient, an output method, as SocialCode’s right to revenue corresponds directly with the value delivered to its customer. As a result of the election to use the right to invoice practical expedient, SocialCode does not determine the transaction price or allocate any variable consideration at contract inception. Rather, SocialCode recognizes revenue commensurate with the amount to which it has the right to invoice the customer which is a function of the cost of social media placement plus a management fee, less any applicable discounts. Payment is typically received within forty-five days of revenue recognition.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719" w:right="259" w:bottom="1440" w:gutter="0" w:footer="0" w:header="0"/>
        </w:sectPr>
      </w:pPr>
    </w:p>
    <w:bookmarkStart w:id="22" w:name="page23"/>
    <w:bookmarkEnd w:id="22"/>
    <w:p>
      <w:pPr>
        <w:ind w:right="140"/>
        <w:spacing w:after="0" w:line="229" w:lineRule="auto"/>
        <w:rPr>
          <w:sz w:val="20"/>
          <w:szCs w:val="20"/>
          <w:color w:val="auto"/>
        </w:rPr>
      </w:pPr>
      <w:r>
        <w:rPr>
          <w:rFonts w:ascii="Arial" w:cs="Arial" w:eastAsia="Arial" w:hAnsi="Arial"/>
          <w:sz w:val="18"/>
          <w:szCs w:val="18"/>
          <w:color w:val="auto"/>
        </w:rPr>
        <w:t>SocialCode evaluates whether it is the principal (i.e. presents revenue on a gross basis) or agent (i.e. presents revenue on a net basis) in its contracts. SocialCode presents revenue for media management services net of media acquisition costs, as an agent, as SocialCode does not control the media before placement on social media platforms.</w:t>
      </w:r>
    </w:p>
    <w:p>
      <w:pPr>
        <w:spacing w:after="0" w:line="115"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b w:val="1"/>
          <w:bCs w:val="1"/>
          <w:color w:val="auto"/>
        </w:rPr>
        <w:t xml:space="preserve">Other Revenue. </w:t>
      </w:r>
      <w:r>
        <w:rPr>
          <w:rFonts w:ascii="Arial" w:cs="Arial" w:eastAsia="Arial" w:hAnsi="Arial"/>
          <w:sz w:val="18"/>
          <w:szCs w:val="18"/>
          <w:color w:val="auto"/>
        </w:rPr>
        <w:t>Other revenue primarily includes advertising and circulation revenue from Slate, Panoply and Foreign Policy.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for other advertising revenues consistently with the advertising revenue streams addressed above. Circulation revenue consists of fees that provide customers access to online and print publications. The Company recognizes circulation revenue ratably over the subscription period beginning on the date that the publication is made available to the customer. Circulation revenue contracts are generally annual or monthly subscription contracts that are paid in advance of delivery of performance obligations.</w:t>
      </w:r>
    </w:p>
    <w:p>
      <w:pPr>
        <w:spacing w:after="0" w:line="116" w:lineRule="exact"/>
        <w:rPr>
          <w:sz w:val="20"/>
          <w:szCs w:val="20"/>
          <w:color w:val="auto"/>
        </w:rPr>
      </w:pPr>
    </w:p>
    <w:p>
      <w:pPr>
        <w:jc w:val="both"/>
        <w:ind w:right="400"/>
        <w:spacing w:after="0" w:line="233" w:lineRule="auto"/>
        <w:rPr>
          <w:sz w:val="20"/>
          <w:szCs w:val="20"/>
          <w:color w:val="auto"/>
        </w:rPr>
      </w:pPr>
      <w:r>
        <w:rPr>
          <w:rFonts w:ascii="Arial" w:cs="Arial" w:eastAsia="Arial" w:hAnsi="Arial"/>
          <w:sz w:val="18"/>
          <w:szCs w:val="18"/>
          <w:b w:val="1"/>
          <w:bCs w:val="1"/>
          <w:color w:val="auto"/>
        </w:rPr>
        <w:t xml:space="preserve">Accounting Policy Elections. </w:t>
      </w:r>
      <w:r>
        <w:rPr>
          <w:rFonts w:ascii="Arial" w:cs="Arial" w:eastAsia="Arial" w:hAnsi="Arial"/>
          <w:sz w:val="18"/>
          <w:szCs w:val="18"/>
          <w:color w:val="auto"/>
        </w:rPr>
        <w:t>The Company has elected to account for shipping and handling activities that occur after the customer has</w:t>
      </w:r>
      <w:r>
        <w:rPr>
          <w:rFonts w:ascii="Arial" w:cs="Arial" w:eastAsia="Arial" w:hAnsi="Arial"/>
          <w:sz w:val="18"/>
          <w:szCs w:val="18"/>
          <w:b w:val="1"/>
          <w:bCs w:val="1"/>
          <w:color w:val="auto"/>
        </w:rPr>
        <w:t xml:space="preserve"> </w:t>
      </w:r>
      <w:r>
        <w:rPr>
          <w:rFonts w:ascii="Arial" w:cs="Arial" w:eastAsia="Arial" w:hAnsi="Arial"/>
          <w:sz w:val="18"/>
          <w:szCs w:val="18"/>
          <w:color w:val="auto"/>
        </w:rPr>
        <w:t>obtained control of the good as a fulfillment cost rather than as an additional promised service. Therefore, revenue for these performance obligations is recognized when control of the good transfers to the customer, which is when the good is ready for shipment. The Company accrues the related shipping and handling costs over the period when revenue is recognized.</w:t>
      </w:r>
    </w:p>
    <w:p>
      <w:pPr>
        <w:spacing w:after="0" w:line="137"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Company has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113" w:lineRule="exact"/>
        <w:rPr>
          <w:sz w:val="20"/>
          <w:szCs w:val="20"/>
          <w:color w:val="auto"/>
        </w:rPr>
      </w:pPr>
    </w:p>
    <w:p>
      <w:pPr>
        <w:ind w:right="200"/>
        <w:spacing w:after="0" w:line="230" w:lineRule="auto"/>
        <w:rPr>
          <w:sz w:val="20"/>
          <w:szCs w:val="20"/>
          <w:color w:val="auto"/>
        </w:rPr>
      </w:pPr>
      <w:r>
        <w:rPr>
          <w:rFonts w:ascii="Arial" w:cs="Arial" w:eastAsia="Arial" w:hAnsi="Arial"/>
          <w:sz w:val="18"/>
          <w:szCs w:val="18"/>
          <w:b w:val="1"/>
          <w:bCs w:val="1"/>
          <w:color w:val="auto"/>
        </w:rPr>
        <w:t xml:space="preserve">Practical Expedients. </w:t>
      </w:r>
      <w:r>
        <w:rPr>
          <w:rFonts w:ascii="Arial" w:cs="Arial" w:eastAsia="Arial" w:hAnsi="Arial"/>
          <w:sz w:val="18"/>
          <w:szCs w:val="18"/>
          <w:color w:val="auto"/>
        </w:rPr>
        <w:t>The Company does not disclose the value of unsatisfied performance obligations for (i) contracts with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length of one year or less, (ii) contracts for which the amount of revenue recognized is based on the amount to which the Company has the right to invoice the customer for services performed, (iii) contracts for which the consideration received is a usage-based royalty promised in exchange for a license of intellectual property and (iv) contracts for which variable consideration is allocated entirely to a wholly unsatisfied promise to transfer a distinct good or service that forms part of a single performance obligation.</w:t>
      </w:r>
    </w:p>
    <w:p>
      <w:pPr>
        <w:spacing w:after="0" w:line="138"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With the exception of the education division, the Company expenses costs to obtain a contract as incurred as all contracts are less than one year.</w:t>
      </w:r>
    </w:p>
    <w:p>
      <w:pPr>
        <w:spacing w:after="0" w:line="113"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including amounts which are refundable. The following table presents the change in the Company’s deferred revenue balance during the nine months ended September 30, 2018:</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000" w:type="dxa"/>
            <w:vAlign w:val="bottom"/>
            <w:tcBorders>
              <w:bottom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7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vMerge w:val="restart"/>
          </w:tcPr>
          <w:p>
            <w:pPr>
              <w:jc w:val="center"/>
              <w:ind w:right="206"/>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January 1,</w:t>
            </w:r>
          </w:p>
        </w:tc>
        <w:tc>
          <w:tcPr>
            <w:tcW w:w="1240" w:type="dxa"/>
            <w:vAlign w:val="bottom"/>
          </w:tcPr>
          <w:p>
            <w:pPr>
              <w:jc w:val="right"/>
              <w:ind w:right="48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66"/>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2018</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758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146"/>
              <w:spacing w:after="0"/>
              <w:rPr>
                <w:sz w:val="20"/>
                <w:szCs w:val="20"/>
                <w:color w:val="auto"/>
              </w:rPr>
            </w:pPr>
            <w:r>
              <w:rPr>
                <w:rFonts w:ascii="Arial" w:cs="Arial" w:eastAsia="Arial" w:hAnsi="Arial"/>
                <w:sz w:val="16"/>
                <w:szCs w:val="16"/>
                <w:b w:val="1"/>
                <w:bCs w:val="1"/>
                <w:color w:val="auto"/>
              </w:rPr>
              <w:t>337,964</w:t>
            </w:r>
          </w:p>
        </w:tc>
        <w:tc>
          <w:tcPr>
            <w:tcW w:w="1000" w:type="dxa"/>
            <w:vAlign w:val="bottom"/>
          </w:tcPr>
          <w:p>
            <w:pPr>
              <w:jc w:val="center"/>
              <w:ind w:right="5"/>
              <w:spacing w:after="0"/>
              <w:rPr>
                <w:sz w:val="20"/>
                <w:szCs w:val="20"/>
                <w:color w:val="auto"/>
              </w:rPr>
            </w:pPr>
            <w:r>
              <w:rPr>
                <w:rFonts w:ascii="Arial" w:cs="Arial" w:eastAsia="Arial" w:hAnsi="Arial"/>
                <w:sz w:val="16"/>
                <w:szCs w:val="16"/>
                <w:color w:val="auto"/>
              </w:rPr>
              <w:t>$   342,640</w:t>
            </w:r>
          </w:p>
        </w:tc>
        <w:tc>
          <w:tcPr>
            <w:tcW w:w="1240" w:type="dxa"/>
            <w:vAlign w:val="bottom"/>
          </w:tcPr>
          <w:p>
            <w:pPr>
              <w:jc w:val="right"/>
              <w:ind w:right="445"/>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The majority of the change in the deferred revenue balance is related to the KU Transaction and cyclical nature of services at the Kaplan international division. During the nine months ended September 30, 2018, the Company recognized $239.6 million related to the Company’s deferred revenue balance as of January 1, 2018.</w:t>
      </w:r>
    </w:p>
    <w:p>
      <w:pPr>
        <w:spacing w:after="0" w:line="115"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Company incurs costs to obtain a contract that are both incremental and expected to be recovered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costs would not have been incurred if the contract was not obtained and the revenue from the contract exceeds the associated cost. The revenue guidance provides a practical expedient to expense sales commissions as incurred in instances where the amortization period is one year or less. The amortization period is defined in the guidance as the contract term, inclusive of any expected contract renewal periods. The Company has elected to apply this practical expedient to all contracts except for contracts in its education division. In the education division costs to obtain a contract are amortized over the applicable amortization period except for cases in which commissions paid on initial contracts and renewals are commensurate. The Company amortizes these costs to obtain a contract on a straight line basis over the amortization period. These expenses are included as operating expenses in the Company’s Condensed Consolidated Statement of Operations.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719"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following table presents changes in the Company’s costs to obtain a contract asset during the nine months ended September 30,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w:t>
            </w:r>
          </w:p>
        </w:tc>
      </w:tr>
      <w:tr>
        <w:trPr>
          <w:trHeight w:val="162"/>
        </w:trPr>
        <w:tc>
          <w:tcPr>
            <w:tcW w:w="3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 at</w:t>
            </w:r>
          </w:p>
        </w:tc>
        <w:tc>
          <w:tcPr>
            <w:tcW w:w="340" w:type="dxa"/>
            <w:vAlign w:val="bottom"/>
          </w:tcPr>
          <w:p>
            <w:pPr>
              <w:spacing w:after="0"/>
              <w:rPr>
                <w:sz w:val="14"/>
                <w:szCs w:val="14"/>
                <w:color w:val="auto"/>
              </w:rPr>
            </w:pPr>
          </w:p>
        </w:tc>
        <w:tc>
          <w:tcPr>
            <w:tcW w:w="960" w:type="dxa"/>
            <w:vAlign w:val="bottom"/>
          </w:tcPr>
          <w:p>
            <w:pPr>
              <w:jc w:val="center"/>
              <w:ind w:right="203"/>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4"/>
                <w:szCs w:val="14"/>
                <w:color w:val="auto"/>
              </w:rPr>
            </w:pPr>
          </w:p>
        </w:tc>
        <w:tc>
          <w:tcPr>
            <w:tcW w:w="1120" w:type="dxa"/>
            <w:vAlign w:val="bottom"/>
          </w:tcPr>
          <w:p>
            <w:pPr>
              <w:jc w:val="center"/>
              <w:ind w:right="145"/>
              <w:spacing w:after="0"/>
              <w:rPr>
                <w:sz w:val="20"/>
                <w:szCs w:val="20"/>
                <w:color w:val="auto"/>
              </w:rPr>
            </w:pPr>
            <w:r>
              <w:rPr>
                <w:rFonts w:ascii="Arial" w:cs="Arial" w:eastAsia="Arial" w:hAnsi="Arial"/>
                <w:sz w:val="14"/>
                <w:szCs w:val="14"/>
                <w:b w:val="1"/>
                <w:bCs w:val="1"/>
                <w:color w:val="auto"/>
              </w:rPr>
              <w:t>Less: Costs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26"/>
              <w:spacing w:after="0"/>
              <w:rPr>
                <w:sz w:val="20"/>
                <w:szCs w:val="20"/>
                <w:color w:val="auto"/>
              </w:rPr>
            </w:pPr>
            <w:r>
              <w:rPr>
                <w:rFonts w:ascii="Arial" w:cs="Arial" w:eastAsia="Arial" w:hAnsi="Arial"/>
                <w:sz w:val="14"/>
                <w:szCs w:val="14"/>
                <w:b w:val="1"/>
                <w:bCs w:val="1"/>
                <w:color w:val="auto"/>
              </w:rPr>
              <w:t>at</w:t>
            </w:r>
          </w:p>
        </w:tc>
      </w:tr>
      <w:tr>
        <w:trPr>
          <w:trHeight w:val="162"/>
        </w:trPr>
        <w:tc>
          <w:tcPr>
            <w:tcW w:w="3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jc w:val="center"/>
              <w:ind w:right="106"/>
              <w:spacing w:after="0"/>
              <w:rPr>
                <w:sz w:val="20"/>
                <w:szCs w:val="20"/>
                <w:color w:val="auto"/>
              </w:rPr>
            </w:pPr>
            <w:r>
              <w:rPr>
                <w:rFonts w:ascii="Arial" w:cs="Arial" w:eastAsia="Arial" w:hAnsi="Arial"/>
                <w:sz w:val="14"/>
                <w:szCs w:val="14"/>
                <w:b w:val="1"/>
                <w:bCs w:val="1"/>
                <w:color w:val="auto"/>
              </w:rPr>
              <w:t>Beginning</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associated with</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amortized during</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26"/>
              <w:spacing w:after="0"/>
              <w:rPr>
                <w:sz w:val="20"/>
                <w:szCs w:val="20"/>
                <w:color w:val="auto"/>
              </w:rPr>
            </w:pPr>
            <w:r>
              <w:rPr>
                <w:rFonts w:ascii="Arial" w:cs="Arial" w:eastAsia="Arial" w:hAnsi="Arial"/>
                <w:sz w:val="14"/>
                <w:szCs w:val="14"/>
                <w:b w:val="1"/>
                <w:bCs w:val="1"/>
                <w:color w:val="auto"/>
              </w:rPr>
              <w:t>End of</w:t>
            </w:r>
          </w:p>
        </w:tc>
      </w:tr>
      <w:tr>
        <w:trPr>
          <w:trHeight w:val="196"/>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rPr>
              <w:t>of Period</w:t>
            </w: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new contracts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rPr>
              <w:t>the period</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rPr>
              <w:t>Period</w:t>
            </w:r>
          </w:p>
        </w:tc>
      </w:tr>
      <w:tr>
        <w:trPr>
          <w:trHeight w:val="250"/>
        </w:trPr>
        <w:tc>
          <w:tcPr>
            <w:tcW w:w="3120" w:type="dxa"/>
            <w:vAlign w:val="bottom"/>
          </w:tcPr>
          <w:p>
            <w:pPr>
              <w:ind w:left="40"/>
              <w:spacing w:after="0"/>
              <w:rPr>
                <w:sz w:val="20"/>
                <w:szCs w:val="20"/>
                <w:color w:val="auto"/>
              </w:rPr>
            </w:pPr>
            <w:r>
              <w:rPr>
                <w:rFonts w:ascii="Arial" w:cs="Arial" w:eastAsia="Arial" w:hAnsi="Arial"/>
                <w:sz w:val="16"/>
                <w:szCs w:val="16"/>
                <w:b w:val="1"/>
                <w:bCs w:val="1"/>
                <w:color w:val="auto"/>
              </w:rPr>
              <w:t>2018</w:t>
            </w:r>
          </w:p>
        </w:tc>
        <w:tc>
          <w:tcPr>
            <w:tcW w:w="2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6"/>
              <w:spacing w:after="0"/>
              <w:rPr>
                <w:sz w:val="20"/>
                <w:szCs w:val="20"/>
                <w:color w:val="auto"/>
              </w:rPr>
            </w:pPr>
            <w:r>
              <w:rPr>
                <w:rFonts w:ascii="Arial" w:cs="Arial" w:eastAsia="Arial" w:hAnsi="Arial"/>
                <w:sz w:val="16"/>
                <w:szCs w:val="16"/>
                <w:b w:val="1"/>
                <w:bCs w:val="1"/>
                <w:color w:val="auto"/>
              </w:rPr>
              <w:t>16,043</w:t>
            </w:r>
          </w:p>
        </w:tc>
        <w:tc>
          <w:tcPr>
            <w:tcW w:w="340" w:type="dxa"/>
            <w:vAlign w:val="bottom"/>
          </w:tcPr>
          <w:p>
            <w:pPr>
              <w:jc w:val="right"/>
              <w:ind w:right="45"/>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3"/>
              <w:spacing w:after="0"/>
              <w:rPr>
                <w:sz w:val="20"/>
                <w:szCs w:val="20"/>
                <w:color w:val="auto"/>
              </w:rPr>
            </w:pPr>
            <w:r>
              <w:rPr>
                <w:rFonts w:ascii="Arial" w:cs="Arial" w:eastAsia="Arial" w:hAnsi="Arial"/>
                <w:sz w:val="16"/>
                <w:szCs w:val="16"/>
                <w:b w:val="1"/>
                <w:bCs w:val="1"/>
                <w:color w:val="auto"/>
              </w:rPr>
              <w:t>32,827</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5"/>
              <w:spacing w:after="0"/>
              <w:rPr>
                <w:sz w:val="20"/>
                <w:szCs w:val="20"/>
                <w:color w:val="auto"/>
              </w:rPr>
            </w:pPr>
            <w:r>
              <w:rPr>
                <w:rFonts w:ascii="Arial" w:cs="Arial" w:eastAsia="Arial" w:hAnsi="Arial"/>
                <w:sz w:val="16"/>
                <w:szCs w:val="16"/>
                <w:b w:val="1"/>
                <w:bCs w:val="1"/>
                <w:color w:val="auto"/>
              </w:rPr>
              <w:t>(33,642)</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3"/>
              <w:spacing w:after="0"/>
              <w:rPr>
                <w:sz w:val="20"/>
                <w:szCs w:val="20"/>
                <w:color w:val="auto"/>
              </w:rPr>
            </w:pPr>
            <w:r>
              <w:rPr>
                <w:rFonts w:ascii="Arial" w:cs="Arial" w:eastAsia="Arial" w:hAnsi="Arial"/>
                <w:sz w:val="16"/>
                <w:szCs w:val="16"/>
                <w:b w:val="1"/>
                <w:bCs w:val="1"/>
                <w:color w:val="auto"/>
              </w:rPr>
              <w:t>(540)</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6"/>
              <w:spacing w:after="0"/>
              <w:rPr>
                <w:sz w:val="20"/>
                <w:szCs w:val="20"/>
                <w:color w:val="auto"/>
              </w:rPr>
            </w:pPr>
            <w:r>
              <w:rPr>
                <w:rFonts w:ascii="Arial" w:cs="Arial" w:eastAsia="Arial" w:hAnsi="Arial"/>
                <w:sz w:val="16"/>
                <w:szCs w:val="16"/>
                <w:b w:val="1"/>
                <w:bCs w:val="1"/>
                <w:color w:val="auto"/>
              </w:rPr>
              <w:t>14,688</w:t>
            </w:r>
          </w:p>
        </w:tc>
      </w:tr>
    </w:tbl>
    <w:p>
      <w:pPr>
        <w:spacing w:after="0" w:line="167"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The majority of other activity is related to currency translation adjustments during the nine months ended September 30, 2018. Amortization expense for costs to obtain a contract was $10.9 million for the three months ended September 30,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66"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pacing w:after="0" w:line="13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0"/>
        </w:trPr>
        <w:tc>
          <w:tcPr>
            <w:tcW w:w="6300" w:type="dxa"/>
            <w:vAlign w:val="bottom"/>
          </w:tcPr>
          <w:p>
            <w:pPr>
              <w:ind w:left="4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18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28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61"/>
              <w:spacing w:after="0"/>
              <w:rPr>
                <w:sz w:val="20"/>
                <w:szCs w:val="20"/>
                <w:color w:val="auto"/>
              </w:rPr>
            </w:pPr>
            <w:r>
              <w:rPr>
                <w:rFonts w:ascii="Arial" w:cs="Arial" w:eastAsia="Arial" w:hAnsi="Arial"/>
                <w:sz w:val="16"/>
                <w:szCs w:val="16"/>
                <w:b w:val="1"/>
                <w:bCs w:val="1"/>
                <w:color w:val="auto"/>
              </w:rPr>
              <w:t>125,064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24,784</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214,521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87,866</w:t>
            </w:r>
          </w:p>
        </w:tc>
        <w:tc>
          <w:tcPr>
            <w:tcW w:w="0" w:type="dxa"/>
            <w:vAlign w:val="bottom"/>
          </w:tcPr>
          <w:p>
            <w:pPr>
              <w:spacing w:after="0"/>
              <w:rPr>
                <w:sz w:val="1"/>
                <w:szCs w:val="1"/>
                <w:color w:val="auto"/>
              </w:rPr>
            </w:pPr>
          </w:p>
        </w:tc>
      </w:tr>
      <w:tr>
        <w:trPr>
          <w:trHeight w:val="283"/>
        </w:trPr>
        <w:tc>
          <w:tcPr>
            <w:tcW w:w="6300" w:type="dxa"/>
            <w:vAlign w:val="bottom"/>
          </w:tcPr>
          <w:p>
            <w:pPr>
              <w:ind w:left="28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(7,048)</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(7,047)</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(28,635)</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(28,329)</w:t>
            </w:r>
          </w:p>
        </w:tc>
        <w:tc>
          <w:tcPr>
            <w:tcW w:w="0" w:type="dxa"/>
            <w:vAlign w:val="bottom"/>
          </w:tcPr>
          <w:p>
            <w:pPr>
              <w:spacing w:after="0"/>
              <w:rPr>
                <w:sz w:val="1"/>
                <w:szCs w:val="1"/>
                <w:color w:val="auto"/>
              </w:rPr>
            </w:pPr>
          </w:p>
        </w:tc>
      </w:tr>
      <w:tr>
        <w:trPr>
          <w:trHeight w:val="251"/>
        </w:trPr>
        <w:tc>
          <w:tcPr>
            <w:tcW w:w="6300" w:type="dxa"/>
            <w:vAlign w:val="bottom"/>
          </w:tcPr>
          <w:p>
            <w:pPr>
              <w:ind w:left="280"/>
              <w:spacing w:after="0"/>
              <w:rPr>
                <w:sz w:val="20"/>
                <w:szCs w:val="20"/>
                <w:color w:val="auto"/>
              </w:rPr>
            </w:pPr>
            <w:r>
              <w:rPr>
                <w:rFonts w:ascii="Arial" w:cs="Arial" w:eastAsia="Arial" w:hAnsi="Arial"/>
                <w:sz w:val="16"/>
                <w:szCs w:val="16"/>
                <w:color w:val="auto"/>
              </w:rPr>
              <w:t>Undistributed earnings</w:t>
            </w:r>
          </w:p>
        </w:tc>
        <w:tc>
          <w:tcPr>
            <w:tcW w:w="280" w:type="dxa"/>
            <w:vAlign w:val="bottom"/>
          </w:tcPr>
          <w:p>
            <w:pPr>
              <w:spacing w:after="0"/>
              <w:rPr>
                <w:sz w:val="21"/>
                <w:szCs w:val="21"/>
                <w:color w:val="auto"/>
              </w:rPr>
            </w:pPr>
          </w:p>
        </w:tc>
        <w:tc>
          <w:tcPr>
            <w:tcW w:w="980" w:type="dxa"/>
            <w:vAlign w:val="bottom"/>
          </w:tcPr>
          <w:p>
            <w:pPr>
              <w:jc w:val="right"/>
              <w:ind w:right="161"/>
              <w:spacing w:after="0"/>
              <w:rPr>
                <w:sz w:val="20"/>
                <w:szCs w:val="20"/>
                <w:color w:val="auto"/>
              </w:rPr>
            </w:pPr>
            <w:r>
              <w:rPr>
                <w:rFonts w:ascii="Arial" w:cs="Arial" w:eastAsia="Arial" w:hAnsi="Arial"/>
                <w:sz w:val="16"/>
                <w:szCs w:val="16"/>
                <w:b w:val="1"/>
                <w:bCs w:val="1"/>
                <w:color w:val="auto"/>
              </w:rPr>
              <w:t>118,016</w:t>
            </w:r>
          </w:p>
        </w:tc>
        <w:tc>
          <w:tcPr>
            <w:tcW w:w="320" w:type="dxa"/>
            <w:vAlign w:val="bottom"/>
          </w:tcPr>
          <w:p>
            <w:pPr>
              <w:spacing w:after="0"/>
              <w:rPr>
                <w:sz w:val="21"/>
                <w:szCs w:val="21"/>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17,737</w:t>
            </w:r>
          </w:p>
        </w:tc>
        <w:tc>
          <w:tcPr>
            <w:tcW w:w="320" w:type="dxa"/>
            <w:vAlign w:val="bottom"/>
          </w:tcPr>
          <w:p>
            <w:pPr>
              <w:spacing w:after="0"/>
              <w:rPr>
                <w:sz w:val="21"/>
                <w:szCs w:val="21"/>
                <w:color w:val="auto"/>
              </w:rPr>
            </w:pP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185,886</w:t>
            </w:r>
          </w:p>
        </w:tc>
        <w:tc>
          <w:tcPr>
            <w:tcW w:w="340" w:type="dxa"/>
            <w:vAlign w:val="bottom"/>
          </w:tcPr>
          <w:p>
            <w:pPr>
              <w:spacing w:after="0"/>
              <w:rPr>
                <w:sz w:val="21"/>
                <w:szCs w:val="21"/>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59,537</w:t>
            </w:r>
          </w:p>
        </w:tc>
        <w:tc>
          <w:tcPr>
            <w:tcW w:w="0" w:type="dxa"/>
            <w:vAlign w:val="bottom"/>
          </w:tcPr>
          <w:p>
            <w:pPr>
              <w:spacing w:after="0"/>
              <w:rPr>
                <w:sz w:val="1"/>
                <w:szCs w:val="1"/>
                <w:color w:val="auto"/>
              </w:rPr>
            </w:pPr>
          </w:p>
        </w:tc>
      </w:tr>
      <w:tr>
        <w:trPr>
          <w:trHeight w:val="283"/>
        </w:trPr>
        <w:tc>
          <w:tcPr>
            <w:tcW w:w="6300" w:type="dxa"/>
            <w:vAlign w:val="bottom"/>
          </w:tcPr>
          <w:p>
            <w:pPr>
              <w:ind w:left="280"/>
              <w:spacing w:after="0"/>
              <w:rPr>
                <w:sz w:val="20"/>
                <w:szCs w:val="20"/>
                <w:color w:val="auto"/>
              </w:rPr>
            </w:pPr>
            <w:r>
              <w:rPr>
                <w:rFonts w:ascii="Arial" w:cs="Arial" w:eastAsia="Arial" w:hAnsi="Arial"/>
                <w:sz w:val="16"/>
                <w:szCs w:val="16"/>
                <w:color w:val="auto"/>
              </w:rPr>
              <w:t>Percent allocated to common stockholders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99.34%</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99.07%</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99.34%</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99.07%</w:t>
            </w:r>
          </w:p>
        </w:tc>
        <w:tc>
          <w:tcPr>
            <w:tcW w:w="0" w:type="dxa"/>
            <w:vAlign w:val="bottom"/>
          </w:tcPr>
          <w:p>
            <w:pPr>
              <w:spacing w:after="0"/>
              <w:rPr>
                <w:sz w:val="1"/>
                <w:szCs w:val="1"/>
                <w:color w:val="auto"/>
              </w:rPr>
            </w:pPr>
          </w:p>
        </w:tc>
      </w:tr>
      <w:tr>
        <w:trPr>
          <w:trHeight w:val="251"/>
        </w:trPr>
        <w:tc>
          <w:tcPr>
            <w:tcW w:w="6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61"/>
              <w:spacing w:after="0"/>
              <w:rPr>
                <w:sz w:val="20"/>
                <w:szCs w:val="20"/>
                <w:color w:val="auto"/>
              </w:rPr>
            </w:pPr>
            <w:r>
              <w:rPr>
                <w:rFonts w:ascii="Arial" w:cs="Arial" w:eastAsia="Arial" w:hAnsi="Arial"/>
                <w:sz w:val="16"/>
                <w:szCs w:val="16"/>
                <w:b w:val="1"/>
                <w:bCs w:val="1"/>
                <w:color w:val="auto"/>
              </w:rPr>
              <w:t>117,235</w:t>
            </w:r>
          </w:p>
        </w:tc>
        <w:tc>
          <w:tcPr>
            <w:tcW w:w="320" w:type="dxa"/>
            <w:vAlign w:val="bottom"/>
          </w:tcPr>
          <w:p>
            <w:pPr>
              <w:spacing w:after="0"/>
              <w:rPr>
                <w:sz w:val="21"/>
                <w:szCs w:val="21"/>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17,572</w:t>
            </w:r>
          </w:p>
        </w:tc>
        <w:tc>
          <w:tcPr>
            <w:tcW w:w="320" w:type="dxa"/>
            <w:vAlign w:val="bottom"/>
          </w:tcPr>
          <w:p>
            <w:pPr>
              <w:spacing w:after="0"/>
              <w:rPr>
                <w:sz w:val="21"/>
                <w:szCs w:val="21"/>
                <w:color w:val="auto"/>
              </w:rPr>
            </w:pP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184,657</w:t>
            </w:r>
          </w:p>
        </w:tc>
        <w:tc>
          <w:tcPr>
            <w:tcW w:w="340" w:type="dxa"/>
            <w:vAlign w:val="bottom"/>
          </w:tcPr>
          <w:p>
            <w:pPr>
              <w:spacing w:after="0"/>
              <w:rPr>
                <w:sz w:val="21"/>
                <w:szCs w:val="21"/>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58,981</w:t>
            </w:r>
          </w:p>
        </w:tc>
        <w:tc>
          <w:tcPr>
            <w:tcW w:w="0" w:type="dxa"/>
            <w:vAlign w:val="bottom"/>
          </w:tcPr>
          <w:p>
            <w:pPr>
              <w:spacing w:after="0"/>
              <w:rPr>
                <w:sz w:val="1"/>
                <w:szCs w:val="1"/>
                <w:color w:val="auto"/>
              </w:rPr>
            </w:pPr>
          </w:p>
        </w:tc>
      </w:tr>
      <w:tr>
        <w:trPr>
          <w:trHeight w:val="283"/>
        </w:trPr>
        <w:tc>
          <w:tcPr>
            <w:tcW w:w="6300" w:type="dxa"/>
            <w:vAlign w:val="bottom"/>
          </w:tcPr>
          <w:p>
            <w:pPr>
              <w:ind w:left="280"/>
              <w:spacing w:after="0"/>
              <w:rPr>
                <w:sz w:val="20"/>
                <w:szCs w:val="20"/>
                <w:color w:val="auto"/>
              </w:rPr>
            </w:pPr>
            <w:r>
              <w:rPr>
                <w:rFonts w:ascii="Arial" w:cs="Arial" w:eastAsia="Arial" w:hAnsi="Arial"/>
                <w:sz w:val="16"/>
                <w:szCs w:val="16"/>
                <w:color w:val="auto"/>
              </w:rPr>
              <w:t>Add: Dividends paid-common stock outstanding</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7,001</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6,981</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28,447</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28,066</w:t>
            </w:r>
          </w:p>
        </w:tc>
        <w:tc>
          <w:tcPr>
            <w:tcW w:w="0" w:type="dxa"/>
            <w:vAlign w:val="bottom"/>
          </w:tcPr>
          <w:p>
            <w:pPr>
              <w:spacing w:after="0"/>
              <w:rPr>
                <w:sz w:val="1"/>
                <w:szCs w:val="1"/>
                <w:color w:val="auto"/>
              </w:rPr>
            </w:pPr>
          </w:p>
        </w:tc>
      </w:tr>
      <w:tr>
        <w:trPr>
          <w:trHeight w:val="267"/>
        </w:trPr>
        <w:tc>
          <w:tcPr>
            <w:tcW w:w="6300" w:type="dxa"/>
            <w:vAlign w:val="bottom"/>
          </w:tcPr>
          <w:p>
            <w:pPr>
              <w:ind w:left="28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124,236</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24,553</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213,104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87,047</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300" w:type="dxa"/>
            <w:vAlign w:val="bottom"/>
          </w:tcPr>
          <w:p>
            <w:pPr>
              <w:ind w:left="28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5</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8</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4"/>
        </w:trPr>
        <w:tc>
          <w:tcPr>
            <w:tcW w:w="6300" w:type="dxa"/>
            <w:vAlign w:val="bottom"/>
          </w:tcPr>
          <w:p>
            <w:pPr>
              <w:ind w:left="180"/>
              <w:spacing w:after="0"/>
              <w:rPr>
                <w:sz w:val="20"/>
                <w:szCs w:val="20"/>
                <w:color w:val="auto"/>
              </w:rPr>
            </w:pPr>
            <w:r>
              <w:rPr>
                <w:rFonts w:ascii="Arial" w:cs="Arial" w:eastAsia="Arial" w:hAnsi="Arial"/>
                <w:sz w:val="16"/>
                <w:szCs w:val="16"/>
                <w:color w:val="auto"/>
              </w:rPr>
              <w:t>Numerator for diluted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124,241</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24,554</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213,112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87,051</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40"/>
              <w:spacing w:after="0"/>
              <w:rPr>
                <w:sz w:val="20"/>
                <w:szCs w:val="20"/>
                <w:color w:val="auto"/>
              </w:rPr>
            </w:pPr>
            <w:r>
              <w:rPr>
                <w:rFonts w:ascii="Arial" w:cs="Arial" w:eastAsia="Arial" w:hAnsi="Arial"/>
                <w:sz w:val="16"/>
                <w:szCs w:val="16"/>
                <w:color w:val="auto"/>
              </w:rPr>
              <w:t>Denominator:</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180"/>
              <w:spacing w:after="0"/>
              <w:rPr>
                <w:sz w:val="20"/>
                <w:szCs w:val="20"/>
                <w:color w:val="auto"/>
              </w:rPr>
            </w:pPr>
            <w:r>
              <w:rPr>
                <w:rFonts w:ascii="Arial" w:cs="Arial" w:eastAsia="Arial" w:hAnsi="Arial"/>
                <w:sz w:val="16"/>
                <w:szCs w:val="16"/>
                <w:color w:val="auto"/>
              </w:rPr>
              <w:t>Denominator for basic earnings per share:</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28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23"/>
                <w:szCs w:val="23"/>
                <w:color w:val="auto"/>
              </w:rPr>
            </w:pPr>
          </w:p>
        </w:tc>
        <w:tc>
          <w:tcPr>
            <w:tcW w:w="980" w:type="dxa"/>
            <w:vAlign w:val="bottom"/>
          </w:tcPr>
          <w:p>
            <w:pPr>
              <w:jc w:val="right"/>
              <w:ind w:right="161"/>
              <w:spacing w:after="0"/>
              <w:rPr>
                <w:sz w:val="20"/>
                <w:szCs w:val="20"/>
                <w:color w:val="auto"/>
              </w:rPr>
            </w:pPr>
            <w:r>
              <w:rPr>
                <w:rFonts w:ascii="Arial" w:cs="Arial" w:eastAsia="Arial" w:hAnsi="Arial"/>
                <w:sz w:val="16"/>
                <w:szCs w:val="16"/>
                <w:b w:val="1"/>
                <w:bCs w:val="1"/>
                <w:color w:val="auto"/>
              </w:rPr>
              <w:t>5,302</w:t>
            </w:r>
          </w:p>
        </w:tc>
        <w:tc>
          <w:tcPr>
            <w:tcW w:w="320" w:type="dxa"/>
            <w:vAlign w:val="bottom"/>
          </w:tcPr>
          <w:p>
            <w:pPr>
              <w:spacing w:after="0"/>
              <w:rPr>
                <w:sz w:val="23"/>
                <w:szCs w:val="23"/>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5,518</w:t>
            </w:r>
          </w:p>
        </w:tc>
        <w:tc>
          <w:tcPr>
            <w:tcW w:w="320" w:type="dxa"/>
            <w:vAlign w:val="bottom"/>
          </w:tcPr>
          <w:p>
            <w:pPr>
              <w:spacing w:after="0"/>
              <w:rPr>
                <w:sz w:val="23"/>
                <w:szCs w:val="23"/>
                <w:color w:val="auto"/>
              </w:rPr>
            </w:pP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5,354</w:t>
            </w:r>
          </w:p>
        </w:tc>
        <w:tc>
          <w:tcPr>
            <w:tcW w:w="340" w:type="dxa"/>
            <w:vAlign w:val="bottom"/>
          </w:tcPr>
          <w:p>
            <w:pPr>
              <w:spacing w:after="0"/>
              <w:rPr>
                <w:sz w:val="23"/>
                <w:szCs w:val="23"/>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5,530</w:t>
            </w:r>
          </w:p>
        </w:tc>
        <w:tc>
          <w:tcPr>
            <w:tcW w:w="0" w:type="dxa"/>
            <w:vAlign w:val="bottom"/>
          </w:tcPr>
          <w:p>
            <w:pPr>
              <w:spacing w:after="0"/>
              <w:rPr>
                <w:sz w:val="1"/>
                <w:szCs w:val="1"/>
                <w:color w:val="auto"/>
              </w:rPr>
            </w:pPr>
          </w:p>
        </w:tc>
      </w:tr>
      <w:tr>
        <w:trPr>
          <w:trHeight w:val="283"/>
        </w:trPr>
        <w:tc>
          <w:tcPr>
            <w:tcW w:w="6300" w:type="dxa"/>
            <w:vAlign w:val="bottom"/>
          </w:tcPr>
          <w:p>
            <w:pPr>
              <w:ind w:left="280"/>
              <w:spacing w:after="0"/>
              <w:rPr>
                <w:sz w:val="20"/>
                <w:szCs w:val="20"/>
                <w:color w:val="auto"/>
              </w:rPr>
            </w:pPr>
            <w:r>
              <w:rPr>
                <w:rFonts w:ascii="Arial" w:cs="Arial" w:eastAsia="Arial" w:hAnsi="Arial"/>
                <w:sz w:val="16"/>
                <w:szCs w:val="16"/>
                <w:color w:val="auto"/>
              </w:rPr>
              <w:t>Add: Effect of dilutive stock options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35</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36</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36</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64"/>
        </w:trPr>
        <w:tc>
          <w:tcPr>
            <w:tcW w:w="6300" w:type="dxa"/>
            <w:vAlign w:val="bottom"/>
          </w:tcPr>
          <w:p>
            <w:pPr>
              <w:ind w:left="180"/>
              <w:spacing w:after="0"/>
              <w:rPr>
                <w:sz w:val="20"/>
                <w:szCs w:val="20"/>
                <w:color w:val="auto"/>
              </w:rPr>
            </w:pPr>
            <w:r>
              <w:rPr>
                <w:rFonts w:ascii="Arial" w:cs="Arial" w:eastAsia="Arial" w:hAnsi="Arial"/>
                <w:sz w:val="16"/>
                <w:szCs w:val="16"/>
                <w:color w:val="auto"/>
              </w:rPr>
              <w:t>Denominator for diluted earnings per share</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5,337</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5,554</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5,390</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5,567</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Graham Holdings Company Common Stockholders: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6300" w:type="dxa"/>
            <w:vAlign w:val="bottom"/>
          </w:tcPr>
          <w:p>
            <w:pPr>
              <w:ind w:left="180"/>
              <w:spacing w:after="0"/>
              <w:rPr>
                <w:sz w:val="20"/>
                <w:szCs w:val="20"/>
                <w:color w:val="auto"/>
              </w:rPr>
            </w:pPr>
            <w:r>
              <w:rPr>
                <w:rFonts w:ascii="Arial" w:cs="Arial" w:eastAsia="Arial" w:hAnsi="Arial"/>
                <w:sz w:val="16"/>
                <w:szCs w:val="16"/>
                <w:b w:val="1"/>
                <w:bCs w:val="1"/>
                <w:color w:val="auto"/>
              </w:rPr>
              <w:t>Basic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23.43</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4.45</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39.81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15.74</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300" w:type="dxa"/>
            <w:vAlign w:val="bottom"/>
          </w:tcPr>
          <w:p>
            <w:pPr>
              <w:ind w:left="180"/>
              <w:spacing w:after="0"/>
              <w:rPr>
                <w:sz w:val="20"/>
                <w:szCs w:val="20"/>
                <w:color w:val="auto"/>
              </w:rPr>
            </w:pPr>
            <w:r>
              <w:rPr>
                <w:rFonts w:ascii="Arial" w:cs="Arial" w:eastAsia="Arial" w:hAnsi="Arial"/>
                <w:sz w:val="16"/>
                <w:szCs w:val="16"/>
                <w:b w:val="1"/>
                <w:bCs w:val="1"/>
                <w:color w:val="auto"/>
              </w:rPr>
              <w:t>Diluted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23.28</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4.42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39.54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15.64</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060" w:type="dxa"/>
            <w:vAlign w:val="bottom"/>
            <w:gridSpan w:val="2"/>
          </w:tcPr>
          <w:p>
            <w:pPr>
              <w:jc w:val="right"/>
              <w:ind w:right="65"/>
              <w:spacing w:after="0"/>
              <w:rPr>
                <w:sz w:val="20"/>
                <w:szCs w:val="20"/>
                <w:color w:val="auto"/>
              </w:rPr>
            </w:pPr>
            <w:r>
              <w:rPr>
                <w:rFonts w:ascii="Arial" w:cs="Arial" w:eastAsia="Arial" w:hAnsi="Arial"/>
                <w:sz w:val="14"/>
                <w:szCs w:val="14"/>
                <w:b w:val="1"/>
                <w:bCs w:val="1"/>
                <w:color w:val="auto"/>
              </w:rPr>
              <w:t>Three Months Ended</w:t>
            </w:r>
          </w:p>
        </w:tc>
        <w:tc>
          <w:tcPr>
            <w:tcW w:w="2500" w:type="dxa"/>
            <w:vAlign w:val="bottom"/>
            <w:gridSpan w:val="2"/>
          </w:tcPr>
          <w:p>
            <w:pPr>
              <w:jc w:val="right"/>
              <w:ind w:right="105"/>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14"/>
                <w:szCs w:val="14"/>
                <w:color w:val="auto"/>
              </w:rPr>
            </w:pPr>
          </w:p>
        </w:tc>
      </w:tr>
      <w:tr>
        <w:trPr>
          <w:trHeight w:val="196"/>
        </w:trPr>
        <w:tc>
          <w:tcPr>
            <w:tcW w:w="65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7"/>
                <w:szCs w:val="17"/>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auto"/>
            </w:tcBorders>
          </w:tcPr>
          <w:p>
            <w:pPr>
              <w:spacing w:after="0"/>
              <w:rPr>
                <w:sz w:val="22"/>
                <w:szCs w:val="22"/>
                <w:color w:val="auto"/>
              </w:rPr>
            </w:pPr>
          </w:p>
        </w:tc>
      </w:tr>
      <w:tr>
        <w:trPr>
          <w:trHeight w:val="250"/>
        </w:trPr>
        <w:tc>
          <w:tcPr>
            <w:tcW w:w="652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760" w:type="dxa"/>
            <w:vAlign w:val="bottom"/>
          </w:tcPr>
          <w:p>
            <w:pPr>
              <w:spacing w:after="0"/>
              <w:rPr>
                <w:sz w:val="21"/>
                <w:szCs w:val="21"/>
                <w:color w:val="auto"/>
              </w:rPr>
            </w:pPr>
          </w:p>
        </w:tc>
        <w:tc>
          <w:tcPr>
            <w:tcW w:w="1300" w:type="dxa"/>
            <w:vAlign w:val="bottom"/>
          </w:tcPr>
          <w:p>
            <w:pPr>
              <w:jc w:val="right"/>
              <w:ind w:right="945"/>
              <w:spacing w:after="0"/>
              <w:rPr>
                <w:sz w:val="20"/>
                <w:szCs w:val="20"/>
                <w:color w:val="auto"/>
              </w:rPr>
            </w:pPr>
            <w:r>
              <w:rPr>
                <w:rFonts w:ascii="Arial" w:cs="Arial" w:eastAsia="Arial" w:hAnsi="Arial"/>
                <w:sz w:val="16"/>
                <w:szCs w:val="16"/>
                <w:b w:val="1"/>
                <w:bCs w:val="1"/>
                <w:color w:val="auto"/>
              </w:rPr>
              <w:t>21</w:t>
            </w:r>
          </w:p>
        </w:tc>
        <w:tc>
          <w:tcPr>
            <w:tcW w:w="1200" w:type="dxa"/>
            <w:vAlign w:val="bottom"/>
          </w:tcPr>
          <w:p>
            <w:pPr>
              <w:jc w:val="right"/>
              <w:ind w:right="885"/>
              <w:spacing w:after="0"/>
              <w:rPr>
                <w:sz w:val="20"/>
                <w:szCs w:val="20"/>
                <w:color w:val="auto"/>
              </w:rPr>
            </w:pPr>
            <w:r>
              <w:rPr>
                <w:rFonts w:ascii="Arial" w:cs="Arial" w:eastAsia="Arial" w:hAnsi="Arial"/>
                <w:sz w:val="16"/>
                <w:szCs w:val="16"/>
                <w:color w:val="auto"/>
              </w:rPr>
              <w:t>30</w:t>
            </w:r>
          </w:p>
        </w:tc>
        <w:tc>
          <w:tcPr>
            <w:tcW w:w="1300" w:type="dxa"/>
            <w:vAlign w:val="bottom"/>
          </w:tcPr>
          <w:p>
            <w:pPr>
              <w:jc w:val="right"/>
              <w:ind w:right="945"/>
              <w:spacing w:after="0"/>
              <w:rPr>
                <w:sz w:val="20"/>
                <w:szCs w:val="20"/>
                <w:color w:val="auto"/>
              </w:rPr>
            </w:pPr>
            <w:r>
              <w:rPr>
                <w:rFonts w:ascii="Arial" w:cs="Arial" w:eastAsia="Arial" w:hAnsi="Arial"/>
                <w:sz w:val="16"/>
                <w:szCs w:val="16"/>
                <w:b w:val="1"/>
                <w:bCs w:val="1"/>
                <w:color w:val="auto"/>
              </w:rPr>
              <w:t>23</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29</w:t>
            </w:r>
          </w:p>
        </w:tc>
      </w:tr>
    </w:tbl>
    <w:p>
      <w:pPr>
        <w:spacing w:after="0" w:line="16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diluted earnings per share amounts for the three and nine months ended September 30, 2018 and September 30, 2017 exclude the effects of 104,000 stock options outstanding, as their inclusion would have been antidilutive due to a market condition. The diluted earnings per share amounts for the three and nine months ended September 30, 2018 and September 30, 2017 exclude the effects of 5,250 restricted stock awards, as their inclusion would have been antidilutive due to a performance condition.</w:t>
      </w:r>
    </w:p>
    <w:p>
      <w:pPr>
        <w:sectPr>
          <w:pgSz w:w="11900" w:h="16838" w:orient="portrait"/>
          <w:cols w:equalWidth="0" w:num="1">
            <w:col w:w="11420"/>
          </w:cols>
          <w:pgMar w:left="240" w:top="719" w:right="2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719" w:right="239" w:bottom="1440" w:gutter="0" w:footer="0" w:header="0"/>
          <w:type w:val="continuous"/>
        </w:sectPr>
      </w:pPr>
    </w:p>
    <w:bookmarkStart w:id="24" w:name="page25"/>
    <w:bookmarkEnd w:id="24"/>
    <w:p>
      <w:pPr>
        <w:jc w:val="both"/>
        <w:ind w:right="480"/>
        <w:spacing w:after="0" w:line="229" w:lineRule="auto"/>
        <w:rPr>
          <w:sz w:val="20"/>
          <w:szCs w:val="20"/>
          <w:color w:val="auto"/>
        </w:rPr>
      </w:pPr>
      <w:r>
        <w:rPr>
          <w:rFonts w:ascii="Arial" w:cs="Arial" w:eastAsia="Arial" w:hAnsi="Arial"/>
          <w:sz w:val="18"/>
          <w:szCs w:val="18"/>
          <w:color w:val="auto"/>
        </w:rPr>
        <w:t>In the three and nine months ended September 30, 2018, the Company declared regular dividends totaling $ 1.33 and $ 5.32 per common share, respectively. In the three and nine months ended September 30, 2017, the Company declared regular dividends totaling $1.27 and $5.08 per common share,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PENSION AND POSTRETIREMENT PLANS</w:t>
      </w:r>
    </w:p>
    <w:p>
      <w:pPr>
        <w:spacing w:after="0" w:line="166"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In the first quarter of 2018, the Company adopted new guidance which requires the presentation of service cost in the same line item as other compensation costs arising from services by employees during the period, while the other components of the net periodic benefit are recognized in non-operating pension and postretirement benefit income in the Company’s Condensed Consolidated Statement of Operations.</w:t>
      </w:r>
    </w:p>
    <w:p>
      <w:pPr>
        <w:spacing w:after="0" w:line="137"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On March 22, 2018, the Company eliminated the accrual of pension benefits for certain Kaplan University employees related to their future service. As a result, the Company remeasured the accumulated and projected benefit obligation of the pension plan as of March 22, 2018, and the Company recorded a curtailment gain in the first quarter of 2018. The new measurement basis was used for the recognition of the Company’s pension benefit following the remeasurement. The curtailment gain on the Kaplan University transaction is included in the gain on the Kaplan University transaction and reported in Other income, net on the Condensed Consolidated Statement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2017</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2017</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4,473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4,591</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13,730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14,096</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11,844</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11,980</w:t>
            </w:r>
          </w:p>
        </w:tc>
        <w:tc>
          <w:tcPr>
            <w:tcW w:w="26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34,943</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35,945</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Expected return on assets</w:t>
            </w:r>
          </w:p>
        </w:tc>
        <w:tc>
          <w:tcPr>
            <w:tcW w:w="18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(31,969)</w:t>
            </w:r>
          </w:p>
        </w:tc>
        <w:tc>
          <w:tcPr>
            <w:tcW w:w="40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(30,338)</w:t>
            </w:r>
          </w:p>
        </w:tc>
        <w:tc>
          <w:tcPr>
            <w:tcW w:w="260" w:type="dxa"/>
            <w:vAlign w:val="bottom"/>
          </w:tcPr>
          <w:p>
            <w:pPr>
              <w:spacing w:after="0"/>
              <w:rPr>
                <w:sz w:val="23"/>
                <w:szCs w:val="23"/>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(97,251)</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(91,078)</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1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36</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42</w:t>
            </w:r>
          </w:p>
        </w:tc>
        <w:tc>
          <w:tcPr>
            <w:tcW w:w="26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114</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128</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(2,974)</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(1,039)</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(6,994)</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(3,372)</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w:t>
            </w:r>
          </w:p>
        </w:tc>
        <w:tc>
          <w:tcPr>
            <w:tcW w:w="180" w:type="dxa"/>
            <w:vAlign w:val="bottom"/>
          </w:tcPr>
          <w:p>
            <w:pPr>
              <w:spacing w:after="0"/>
              <w:rPr>
                <w:sz w:val="21"/>
                <w:szCs w:val="21"/>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(18,590)</w:t>
            </w:r>
          </w:p>
        </w:tc>
        <w:tc>
          <w:tcPr>
            <w:tcW w:w="40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(14,764)</w:t>
            </w:r>
          </w:p>
        </w:tc>
        <w:tc>
          <w:tcPr>
            <w:tcW w:w="260" w:type="dxa"/>
            <w:vAlign w:val="bottom"/>
          </w:tcPr>
          <w:p>
            <w:pPr>
              <w:spacing w:after="0"/>
              <w:rPr>
                <w:sz w:val="21"/>
                <w:szCs w:val="21"/>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(55,458)</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(44,281)</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Curtailment gain</w:t>
            </w:r>
          </w:p>
        </w:tc>
        <w:tc>
          <w:tcPr>
            <w:tcW w:w="1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(806)</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Special separation benefit expense</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932</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932</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Total Benefit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(18,590)</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(13,832)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(56,264)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(43,349)</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the third quarter of 2017, the Company recorded $0.9 million related to a Separation Incentive Program for certain Forney employees, which was funded from the assets of the Company’s pension plan.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2017</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42"/>
              <w:spacing w:after="0"/>
              <w:rPr>
                <w:sz w:val="20"/>
                <w:szCs w:val="20"/>
                <w:color w:val="auto"/>
              </w:rPr>
            </w:pPr>
            <w:r>
              <w:rPr>
                <w:rFonts w:ascii="Arial" w:cs="Arial" w:eastAsia="Arial" w:hAnsi="Arial"/>
                <w:sz w:val="16"/>
                <w:szCs w:val="16"/>
                <w:b w:val="1"/>
                <w:bCs w:val="1"/>
                <w:color w:val="auto"/>
              </w:rPr>
              <w:t>205</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214</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42"/>
              <w:spacing w:after="0"/>
              <w:rPr>
                <w:sz w:val="20"/>
                <w:szCs w:val="20"/>
                <w:color w:val="auto"/>
              </w:rPr>
            </w:pPr>
            <w:r>
              <w:rPr>
                <w:rFonts w:ascii="Arial" w:cs="Arial" w:eastAsia="Arial" w:hAnsi="Arial"/>
                <w:sz w:val="16"/>
                <w:szCs w:val="16"/>
                <w:b w:val="1"/>
                <w:bCs w:val="1"/>
                <w:color w:val="auto"/>
              </w:rPr>
              <w:t>614</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643</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23"/>
                <w:szCs w:val="23"/>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b w:val="1"/>
                <w:bCs w:val="1"/>
                <w:color w:val="auto"/>
              </w:rPr>
              <w:t>967</w:t>
            </w:r>
          </w:p>
        </w:tc>
        <w:tc>
          <w:tcPr>
            <w:tcW w:w="4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1,059</w:t>
            </w:r>
          </w:p>
        </w:tc>
        <w:tc>
          <w:tcPr>
            <w:tcW w:w="300" w:type="dxa"/>
            <w:vAlign w:val="bottom"/>
          </w:tcPr>
          <w:p>
            <w:pPr>
              <w:spacing w:after="0"/>
              <w:rPr>
                <w:sz w:val="23"/>
                <w:szCs w:val="23"/>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b w:val="1"/>
                <w:bCs w:val="1"/>
                <w:color w:val="auto"/>
              </w:rPr>
              <w:t>2,899</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3,175</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180" w:type="dxa"/>
            <w:vAlign w:val="bottom"/>
          </w:tcPr>
          <w:p>
            <w:pPr>
              <w:spacing w:after="0"/>
              <w:rPr>
                <w:sz w:val="23"/>
                <w:szCs w:val="23"/>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b w:val="1"/>
                <w:bCs w:val="1"/>
                <w:color w:val="auto"/>
              </w:rPr>
              <w:t>77</w:t>
            </w:r>
          </w:p>
        </w:tc>
        <w:tc>
          <w:tcPr>
            <w:tcW w:w="4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114</w:t>
            </w:r>
          </w:p>
        </w:tc>
        <w:tc>
          <w:tcPr>
            <w:tcW w:w="300" w:type="dxa"/>
            <w:vAlign w:val="bottom"/>
          </w:tcPr>
          <w:p>
            <w:pPr>
              <w:spacing w:after="0"/>
              <w:rPr>
                <w:sz w:val="23"/>
                <w:szCs w:val="23"/>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b w:val="1"/>
                <w:bCs w:val="1"/>
                <w:color w:val="auto"/>
              </w:rPr>
              <w:t>233</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342</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loss</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600</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444</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1,802</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1,331</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1,849</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1,831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5,548</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5,491</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U.S. stock index</w:t>
      </w:r>
      <w:r>
        <w:rPr>
          <w:rFonts w:ascii="Arial" w:cs="Arial" w:eastAsia="Arial" w:hAnsi="Arial"/>
          <w:sz w:val="18"/>
          <w:szCs w:val="18"/>
          <w:b w:val="1"/>
          <w:bCs w:val="1"/>
          <w:color w:val="auto"/>
        </w:rPr>
        <w:t xml:space="preserve"> </w:t>
      </w:r>
      <w:r>
        <w:rPr>
          <w:rFonts w:ascii="Arial" w:cs="Arial" w:eastAsia="Arial" w:hAnsi="Arial"/>
          <w:sz w:val="18"/>
          <w:szCs w:val="18"/>
          <w:color w:val="auto"/>
        </w:rPr>
        <w:t>fund, a relatively small number of stocks and high-quality fixed-income securities that are held by a third-party trustee. The assets of the Company’s pension plan were allocated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7"/>
                <w:szCs w:val="17"/>
                <w:color w:val="auto"/>
              </w:rPr>
            </w:pPr>
          </w:p>
        </w:tc>
      </w:tr>
      <w:tr>
        <w:trPr>
          <w:trHeight w:val="337"/>
        </w:trPr>
        <w:tc>
          <w:tcPr>
            <w:tcW w:w="8480" w:type="dxa"/>
            <w:vAlign w:val="bottom"/>
          </w:tcPr>
          <w:p>
            <w:pPr>
              <w:spacing w:after="0"/>
              <w:rPr>
                <w:sz w:val="24"/>
                <w:szCs w:val="24"/>
                <w:color w:val="auto"/>
              </w:rPr>
            </w:pPr>
          </w:p>
        </w:tc>
        <w:tc>
          <w:tcPr>
            <w:tcW w:w="1720" w:type="dxa"/>
            <w:vAlign w:val="bottom"/>
          </w:tcPr>
          <w:p>
            <w:pPr>
              <w:jc w:val="right"/>
              <w:ind w:right="462"/>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Pr>
          <w:p>
            <w:pPr>
              <w:jc w:val="right"/>
              <w:ind w:right="202"/>
              <w:spacing w:after="0"/>
              <w:rPr>
                <w:sz w:val="20"/>
                <w:szCs w:val="20"/>
                <w:color w:val="auto"/>
              </w:rPr>
            </w:pPr>
            <w:r>
              <w:rPr>
                <w:rFonts w:ascii="Arial" w:cs="Arial" w:eastAsia="Arial" w:hAnsi="Arial"/>
                <w:sz w:val="14"/>
                <w:szCs w:val="14"/>
                <w:color w:val="auto"/>
              </w:rPr>
              <w:t>December 31,</w:t>
            </w:r>
          </w:p>
        </w:tc>
      </w:tr>
      <w:tr>
        <w:trPr>
          <w:trHeight w:val="196"/>
        </w:trPr>
        <w:tc>
          <w:tcPr>
            <w:tcW w:w="84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2018</w:t>
            </w:r>
          </w:p>
        </w:tc>
        <w:tc>
          <w:tcPr>
            <w:tcW w:w="12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2017</w:t>
            </w:r>
          </w:p>
        </w:tc>
      </w:tr>
      <w:tr>
        <w:trPr>
          <w:trHeight w:val="250"/>
        </w:trPr>
        <w:tc>
          <w:tcPr>
            <w:tcW w:w="848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720" w:type="dxa"/>
            <w:vAlign w:val="bottom"/>
          </w:tcPr>
          <w:p>
            <w:pPr>
              <w:jc w:val="right"/>
              <w:ind w:right="262"/>
              <w:spacing w:after="0"/>
              <w:rPr>
                <w:sz w:val="20"/>
                <w:szCs w:val="20"/>
                <w:color w:val="auto"/>
              </w:rPr>
            </w:pPr>
            <w:r>
              <w:rPr>
                <w:rFonts w:ascii="Arial" w:cs="Arial" w:eastAsia="Arial" w:hAnsi="Arial"/>
                <w:sz w:val="16"/>
                <w:szCs w:val="16"/>
                <w:b w:val="1"/>
                <w:bCs w:val="1"/>
                <w:color w:val="auto"/>
              </w:rPr>
              <w:t>52%</w:t>
            </w: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70"/>
        </w:trPr>
        <w:tc>
          <w:tcPr>
            <w:tcW w:w="8480" w:type="dxa"/>
            <w:vAlign w:val="bottom"/>
          </w:tcPr>
          <w:p>
            <w:pPr>
              <w:ind w:left="40"/>
              <w:spacing w:after="0"/>
              <w:rPr>
                <w:sz w:val="20"/>
                <w:szCs w:val="20"/>
                <w:color w:val="auto"/>
              </w:rPr>
            </w:pPr>
            <w:r>
              <w:rPr>
                <w:rFonts w:ascii="Arial" w:cs="Arial" w:eastAsia="Arial" w:hAnsi="Arial"/>
                <w:sz w:val="16"/>
                <w:szCs w:val="16"/>
                <w:color w:val="auto"/>
              </w:rPr>
              <w:t>U.S. stock index fund</w:t>
            </w:r>
          </w:p>
        </w:tc>
        <w:tc>
          <w:tcPr>
            <w:tcW w:w="1720" w:type="dxa"/>
            <w:vAlign w:val="bottom"/>
          </w:tcPr>
          <w:p>
            <w:pPr>
              <w:jc w:val="right"/>
              <w:ind w:right="262"/>
              <w:spacing w:after="0"/>
              <w:rPr>
                <w:sz w:val="20"/>
                <w:szCs w:val="20"/>
                <w:color w:val="auto"/>
              </w:rPr>
            </w:pPr>
            <w:r>
              <w:rPr>
                <w:rFonts w:ascii="Arial" w:cs="Arial" w:eastAsia="Arial" w:hAnsi="Arial"/>
                <w:sz w:val="16"/>
                <w:szCs w:val="16"/>
                <w:b w:val="1"/>
                <w:bCs w:val="1"/>
                <w:color w:val="auto"/>
              </w:rPr>
              <w:t>31%</w:t>
            </w:r>
          </w:p>
        </w:tc>
        <w:tc>
          <w:tcPr>
            <w:tcW w:w="12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70"/>
        </w:trPr>
        <w:tc>
          <w:tcPr>
            <w:tcW w:w="848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720" w:type="dxa"/>
            <w:vAlign w:val="bottom"/>
          </w:tcPr>
          <w:p>
            <w:pPr>
              <w:jc w:val="right"/>
              <w:ind w:right="262"/>
              <w:spacing w:after="0"/>
              <w:rPr>
                <w:sz w:val="20"/>
                <w:szCs w:val="20"/>
                <w:color w:val="auto"/>
              </w:rPr>
            </w:pPr>
            <w:r>
              <w:rPr>
                <w:rFonts w:ascii="Arial" w:cs="Arial" w:eastAsia="Arial" w:hAnsi="Arial"/>
                <w:sz w:val="16"/>
                <w:szCs w:val="16"/>
                <w:b w:val="1"/>
                <w:bCs w:val="1"/>
                <w:color w:val="auto"/>
              </w:rPr>
              <w:t>11%</w:t>
            </w: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83"/>
        </w:trPr>
        <w:tc>
          <w:tcPr>
            <w:tcW w:w="848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7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64"/>
        </w:trPr>
        <w:tc>
          <w:tcPr>
            <w:tcW w:w="8480" w:type="dxa"/>
            <w:vAlign w:val="bottom"/>
          </w:tcPr>
          <w:p>
            <w:pPr>
              <w:spacing w:after="0"/>
              <w:rPr>
                <w:sz w:val="22"/>
                <w:szCs w:val="22"/>
                <w:color w:val="auto"/>
              </w:rPr>
            </w:pPr>
          </w:p>
        </w:tc>
        <w:tc>
          <w:tcPr>
            <w:tcW w:w="17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100%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84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The Company manages approximately 45% of the pension assets internally, of which the majority is invested in a U.S. stock index fund with the remaining investments in Berkshire Hathaway stock and short-term fixed income securities. The remaining 55% of plan assets are managed by two investment companies. The goal for the</w:t>
      </w:r>
    </w:p>
    <w:p>
      <w:pPr>
        <w:sectPr>
          <w:pgSz w:w="11900" w:h="16838" w:orient="portrait"/>
          <w:cols w:equalWidth="0" w:num="1">
            <w:col w:w="11420"/>
          </w:cols>
          <w:pgMar w:left="240" w:top="719" w:right="2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719" w:right="239" w:bottom="1440" w:gutter="0" w:footer="0" w:header="0"/>
          <w:type w:val="continuous"/>
        </w:sectPr>
      </w:pPr>
    </w:p>
    <w:bookmarkStart w:id="25" w:name="page26"/>
    <w:bookmarkEnd w:id="25"/>
    <w:p>
      <w:pPr>
        <w:ind w:right="20"/>
        <w:spacing w:after="0" w:line="223" w:lineRule="auto"/>
        <w:rPr>
          <w:sz w:val="20"/>
          <w:szCs w:val="20"/>
          <w:color w:val="auto"/>
        </w:rPr>
      </w:pPr>
      <w:r>
        <w:rPr>
          <w:rFonts w:ascii="Arial" w:cs="Arial" w:eastAsia="Arial" w:hAnsi="Arial"/>
          <w:sz w:val="18"/>
          <w:szCs w:val="18"/>
          <w:color w:val="auto"/>
        </w:rPr>
        <w:t>investments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from the Plan administrator. As of September 30, 2018, the investment managers can invest no more than 23% of the assets they manage in specified international exchanges, at the time the investment is made, and no less than 10% of the assets could be invested in fixed-income securities.</w:t>
      </w:r>
    </w:p>
    <w:p>
      <w:pPr>
        <w:spacing w:after="0" w:line="139" w:lineRule="exact"/>
        <w:rPr>
          <w:sz w:val="20"/>
          <w:szCs w:val="20"/>
          <w:color w:val="auto"/>
        </w:rPr>
      </w:pPr>
    </w:p>
    <w:p>
      <w:pPr>
        <w:ind w:right="720"/>
        <w:spacing w:after="0" w:line="22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37"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September 30, 2018. Types of concentrations that were evaluated include, but are not limited to, investment concentrations in a single entity, type of industry, foreign country and individual fund. At September 30, 2018 and December 31, 2017, the pension plan held investments in one common stock and one U.S. stock index fund that exceeded 10% of total plan assets. These investments were valued at $1,154.4 million and $1,079.3 million at September 30, 2018 and December 31, 2017, respectively, or approximately 46% of total plan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cost arising from the Company’s other postretirement plans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2017</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2017</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62"/>
              <w:spacing w:after="0"/>
              <w:rPr>
                <w:sz w:val="20"/>
                <w:szCs w:val="20"/>
                <w:color w:val="auto"/>
              </w:rPr>
            </w:pPr>
            <w:r>
              <w:rPr>
                <w:rFonts w:ascii="Arial" w:cs="Arial" w:eastAsia="Arial" w:hAnsi="Arial"/>
                <w:sz w:val="16"/>
                <w:szCs w:val="16"/>
                <w:b w:val="1"/>
                <w:bCs w:val="1"/>
                <w:color w:val="auto"/>
              </w:rPr>
              <w:t>267</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257</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62"/>
              <w:spacing w:after="0"/>
              <w:rPr>
                <w:sz w:val="20"/>
                <w:szCs w:val="20"/>
                <w:color w:val="auto"/>
              </w:rPr>
            </w:pPr>
            <w:r>
              <w:rPr>
                <w:rFonts w:ascii="Arial" w:cs="Arial" w:eastAsia="Arial" w:hAnsi="Arial"/>
                <w:sz w:val="16"/>
                <w:szCs w:val="16"/>
                <w:b w:val="1"/>
                <w:bCs w:val="1"/>
                <w:color w:val="auto"/>
              </w:rPr>
              <w:t>803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771</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23"/>
                <w:szCs w:val="23"/>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b w:val="1"/>
                <w:bCs w:val="1"/>
                <w:color w:val="auto"/>
              </w:rPr>
              <w:t>170</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195</w:t>
            </w:r>
          </w:p>
        </w:tc>
        <w:tc>
          <w:tcPr>
            <w:tcW w:w="260" w:type="dxa"/>
            <w:vAlign w:val="bottom"/>
          </w:tcPr>
          <w:p>
            <w:pPr>
              <w:spacing w:after="0"/>
              <w:rPr>
                <w:sz w:val="23"/>
                <w:szCs w:val="23"/>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b w:val="1"/>
                <w:bCs w:val="1"/>
                <w:color w:val="auto"/>
              </w:rPr>
              <w:t>509</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584</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180" w:type="dxa"/>
            <w:vAlign w:val="bottom"/>
          </w:tcPr>
          <w:p>
            <w:pPr>
              <w:spacing w:after="0"/>
              <w:rPr>
                <w:sz w:val="23"/>
                <w:szCs w:val="23"/>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b w:val="1"/>
                <w:bCs w:val="1"/>
                <w:color w:val="auto"/>
              </w:rPr>
              <w:t>(44)</w:t>
            </w:r>
          </w:p>
        </w:tc>
        <w:tc>
          <w:tcPr>
            <w:tcW w:w="40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(132)</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(921)</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(972)</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(2,764)</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(2,917)</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(528)</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(1,584)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(1,674)</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NON-OPERATING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12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2018</w:t>
            </w: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95"/>
              </w:rPr>
              <w:t>2017</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2017</w:t>
            </w: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color w:val="auto"/>
              </w:rPr>
              <w:t>Gain on cost method investments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8,487</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8,487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Impairment of cost method investments</w:t>
            </w:r>
          </w:p>
        </w:tc>
        <w:tc>
          <w:tcPr>
            <w:tcW w:w="30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(2,500)</w:t>
            </w: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320" w:type="dxa"/>
            <w:vAlign w:val="bottom"/>
          </w:tcPr>
          <w:p>
            <w:pPr>
              <w:spacing w:after="0"/>
              <w:rPr>
                <w:sz w:val="23"/>
                <w:szCs w:val="23"/>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(2,500)</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(loss) on sales of businesses</w:t>
            </w:r>
          </w:p>
        </w:tc>
        <w:tc>
          <w:tcPr>
            <w:tcW w:w="30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916</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8,157</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on sale of a cost method investment</w:t>
            </w:r>
          </w:p>
        </w:tc>
        <w:tc>
          <w:tcPr>
            <w:tcW w:w="30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2,845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on sale of land</w:t>
            </w:r>
          </w:p>
        </w:tc>
        <w:tc>
          <w:tcPr>
            <w:tcW w:w="30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2,542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Foreign currency (loss) gain, net</w:t>
            </w:r>
          </w:p>
        </w:tc>
        <w:tc>
          <w:tcPr>
            <w:tcW w:w="30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(116)</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1,414</w:t>
            </w:r>
          </w:p>
        </w:tc>
        <w:tc>
          <w:tcPr>
            <w:tcW w:w="320" w:type="dxa"/>
            <w:vAlign w:val="bottom"/>
          </w:tcPr>
          <w:p>
            <w:pPr>
              <w:spacing w:after="0"/>
              <w:rPr>
                <w:sz w:val="23"/>
                <w:szCs w:val="23"/>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(2,205)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6,608</w:t>
            </w:r>
          </w:p>
        </w:tc>
      </w:tr>
      <w:tr>
        <w:trPr>
          <w:trHeight w:val="283"/>
        </w:trPr>
        <w:tc>
          <w:tcPr>
            <w:tcW w:w="62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(3,645)</w:t>
            </w: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749</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(2,664)</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815</w:t>
            </w:r>
          </w:p>
        </w:tc>
      </w:tr>
      <w:tr>
        <w:trPr>
          <w:trHeight w:val="26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 Other Non-Operating Income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3,142</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1,963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14,662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6,881</w:t>
            </w: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color w:val="auto"/>
        </w:rPr>
        <w:t>In the third quarter of 2018, the Company recorded an $8.5 million gain resulting from observable price changes in the fair value of equity securities accounted for under the cost method.</w:t>
      </w:r>
    </w:p>
    <w:p>
      <w:pPr>
        <w:spacing w:after="0" w:line="135"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In the first nine months of 2018, the Company recorded an $8.2 million gain on the sale of three businesses in the education division, including a gain of $4.3 million on the Kaplan University transaction and $1.9 million in contingent consideration gains related to the sale of a business (see Note 2).</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1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(loss) income consists of the following components: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gridSpan w:val="6"/>
          </w:tcPr>
          <w:p>
            <w:pPr>
              <w:ind w:left="660"/>
              <w:spacing w:after="0"/>
              <w:rPr>
                <w:sz w:val="20"/>
                <w:szCs w:val="20"/>
                <w:color w:val="auto"/>
              </w:rPr>
            </w:pPr>
            <w:r>
              <w:rPr>
                <w:rFonts w:ascii="Arial" w:cs="Arial" w:eastAsia="Arial" w:hAnsi="Arial"/>
                <w:sz w:val="14"/>
                <w:szCs w:val="14"/>
                <w:b w:val="1"/>
                <w:bCs w:val="1"/>
                <w:color w:val="auto"/>
              </w:rPr>
              <w:t>Three Months Ended September 30</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0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2017</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center"/>
              <w:ind w:right="101"/>
              <w:spacing w:after="0"/>
              <w:rPr>
                <w:sz w:val="20"/>
                <w:szCs w:val="20"/>
                <w:color w:val="auto"/>
              </w:rPr>
            </w:pPr>
            <w:r>
              <w:rPr>
                <w:rFonts w:ascii="Arial" w:cs="Arial" w:eastAsia="Arial" w:hAnsi="Arial"/>
                <w:sz w:val="14"/>
                <w:szCs w:val="14"/>
                <w:b w:val="1"/>
                <w:bCs w:val="1"/>
                <w:color w:val="auto"/>
              </w:rPr>
              <w:t>Before-Tax</w:t>
            </w:r>
          </w:p>
        </w:tc>
        <w:tc>
          <w:tcPr>
            <w:tcW w:w="240" w:type="dxa"/>
            <w:vAlign w:val="bottom"/>
          </w:tcPr>
          <w:p>
            <w:pPr>
              <w:spacing w:after="0"/>
              <w:rPr>
                <w:sz w:val="22"/>
                <w:szCs w:val="22"/>
                <w:color w:val="auto"/>
              </w:rPr>
            </w:pPr>
          </w:p>
        </w:tc>
        <w:tc>
          <w:tcPr>
            <w:tcW w:w="700" w:type="dxa"/>
            <w:vAlign w:val="bottom"/>
          </w:tcPr>
          <w:p>
            <w:pPr>
              <w:ind w:left="40"/>
              <w:spacing w:after="0"/>
              <w:rPr>
                <w:sz w:val="20"/>
                <w:szCs w:val="20"/>
                <w:color w:val="auto"/>
              </w:rPr>
            </w:pPr>
            <w:r>
              <w:rPr>
                <w:rFonts w:ascii="Arial" w:cs="Arial" w:eastAsia="Arial" w:hAnsi="Arial"/>
                <w:sz w:val="14"/>
                <w:szCs w:val="14"/>
                <w:b w:val="1"/>
                <w:bCs w:val="1"/>
                <w:color w:val="auto"/>
              </w:rPr>
              <w:t>Income</w:t>
            </w:r>
          </w:p>
        </w:tc>
        <w:tc>
          <w:tcPr>
            <w:tcW w:w="280" w:type="dxa"/>
            <w:vAlign w:val="bottom"/>
          </w:tcPr>
          <w:p>
            <w:pPr>
              <w:spacing w:after="0"/>
              <w:rPr>
                <w:sz w:val="22"/>
                <w:szCs w:val="22"/>
                <w:color w:val="auto"/>
              </w:rPr>
            </w:pPr>
          </w:p>
        </w:tc>
        <w:tc>
          <w:tcPr>
            <w:tcW w:w="820" w:type="dxa"/>
            <w:vAlign w:val="bottom"/>
          </w:tcPr>
          <w:p>
            <w:pPr>
              <w:jc w:val="center"/>
              <w:ind w:right="81"/>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22"/>
                <w:szCs w:val="22"/>
                <w:color w:val="auto"/>
              </w:rPr>
            </w:pPr>
          </w:p>
        </w:tc>
        <w:tc>
          <w:tcPr>
            <w:tcW w:w="1020" w:type="dxa"/>
            <w:vAlign w:val="bottom"/>
          </w:tcPr>
          <w:p>
            <w:pPr>
              <w:jc w:val="center"/>
              <w:ind w:right="181"/>
              <w:spacing w:after="0"/>
              <w:rPr>
                <w:sz w:val="20"/>
                <w:szCs w:val="20"/>
                <w:color w:val="auto"/>
              </w:rPr>
            </w:pPr>
            <w:r>
              <w:rPr>
                <w:rFonts w:ascii="Arial" w:cs="Arial" w:eastAsia="Arial" w:hAnsi="Arial"/>
                <w:sz w:val="14"/>
                <w:szCs w:val="14"/>
                <w:color w:val="auto"/>
                <w:w w:val="98"/>
              </w:rPr>
              <w:t>Before-Tax</w:t>
            </w:r>
          </w:p>
        </w:tc>
        <w:tc>
          <w:tcPr>
            <w:tcW w:w="140" w:type="dxa"/>
            <w:vAlign w:val="bottom"/>
          </w:tcPr>
          <w:p>
            <w:pPr>
              <w:spacing w:after="0"/>
              <w:rPr>
                <w:sz w:val="22"/>
                <w:szCs w:val="22"/>
                <w:color w:val="auto"/>
              </w:rPr>
            </w:pPr>
          </w:p>
        </w:tc>
        <w:tc>
          <w:tcPr>
            <w:tcW w:w="780" w:type="dxa"/>
            <w:vAlign w:val="bottom"/>
          </w:tcPr>
          <w:p>
            <w:pPr>
              <w:jc w:val="center"/>
              <w:ind w:right="122"/>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22"/>
                <w:szCs w:val="22"/>
                <w:color w:val="auto"/>
              </w:rPr>
            </w:pPr>
          </w:p>
        </w:tc>
        <w:tc>
          <w:tcPr>
            <w:tcW w:w="860" w:type="dxa"/>
            <w:vAlign w:val="bottom"/>
          </w:tcPr>
          <w:p>
            <w:pPr>
              <w:jc w:val="center"/>
              <w:ind w:right="81"/>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504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8"/>
                <w:szCs w:val="18"/>
                <w:color w:val="auto"/>
              </w:rPr>
            </w:pPr>
          </w:p>
        </w:tc>
        <w:tc>
          <w:tcPr>
            <w:tcW w:w="960" w:type="dxa"/>
            <w:vAlign w:val="bottom"/>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8"/>
                <w:szCs w:val="18"/>
                <w:color w:val="auto"/>
              </w:rPr>
            </w:pPr>
          </w:p>
        </w:tc>
        <w:tc>
          <w:tcPr>
            <w:tcW w:w="700" w:type="dxa"/>
            <w:vAlign w:val="bottom"/>
          </w:tcPr>
          <w:p>
            <w:pPr>
              <w:jc w:val="right"/>
              <w:ind w:right="202"/>
              <w:spacing w:after="0"/>
              <w:rPr>
                <w:sz w:val="20"/>
                <w:szCs w:val="20"/>
                <w:color w:val="auto"/>
              </w:rPr>
            </w:pPr>
            <w:r>
              <w:rPr>
                <w:rFonts w:ascii="Arial" w:cs="Arial" w:eastAsia="Arial" w:hAnsi="Arial"/>
                <w:sz w:val="14"/>
                <w:szCs w:val="14"/>
                <w:b w:val="1"/>
                <w:bCs w:val="1"/>
                <w:color w:val="auto"/>
              </w:rPr>
              <w:t>Tax</w:t>
            </w:r>
          </w:p>
        </w:tc>
        <w:tc>
          <w:tcPr>
            <w:tcW w:w="280" w:type="dxa"/>
            <w:vAlign w:val="bottom"/>
          </w:tcPr>
          <w:p>
            <w:pPr>
              <w:spacing w:after="0"/>
              <w:rPr>
                <w:sz w:val="18"/>
                <w:szCs w:val="18"/>
                <w:color w:val="auto"/>
              </w:rPr>
            </w:pPr>
          </w:p>
        </w:tc>
        <w:tc>
          <w:tcPr>
            <w:tcW w:w="820" w:type="dxa"/>
            <w:vAlign w:val="bottom"/>
          </w:tcPr>
          <w:p>
            <w:pPr>
              <w:jc w:val="center"/>
              <w:ind w:right="81"/>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8"/>
                <w:szCs w:val="18"/>
                <w:color w:val="auto"/>
              </w:rPr>
            </w:pPr>
          </w:p>
        </w:tc>
        <w:tc>
          <w:tcPr>
            <w:tcW w:w="1020" w:type="dxa"/>
            <w:vAlign w:val="bottom"/>
          </w:tcPr>
          <w:p>
            <w:pPr>
              <w:jc w:val="center"/>
              <w:ind w:right="181"/>
              <w:spacing w:after="0"/>
              <w:rPr>
                <w:sz w:val="20"/>
                <w:szCs w:val="20"/>
                <w:color w:val="auto"/>
              </w:rPr>
            </w:pPr>
            <w:r>
              <w:rPr>
                <w:rFonts w:ascii="Arial" w:cs="Arial" w:eastAsia="Arial" w:hAnsi="Arial"/>
                <w:sz w:val="14"/>
                <w:szCs w:val="14"/>
                <w:color w:val="auto"/>
                <w:w w:val="99"/>
              </w:rPr>
              <w:t>Amount</w:t>
            </w:r>
          </w:p>
        </w:tc>
        <w:tc>
          <w:tcPr>
            <w:tcW w:w="140" w:type="dxa"/>
            <w:vAlign w:val="bottom"/>
          </w:tcPr>
          <w:p>
            <w:pPr>
              <w:spacing w:after="0"/>
              <w:rPr>
                <w:sz w:val="18"/>
                <w:szCs w:val="18"/>
                <w:color w:val="auto"/>
              </w:rPr>
            </w:pPr>
          </w:p>
        </w:tc>
        <w:tc>
          <w:tcPr>
            <w:tcW w:w="780" w:type="dxa"/>
            <w:vAlign w:val="bottom"/>
          </w:tcPr>
          <w:p>
            <w:pPr>
              <w:jc w:val="center"/>
              <w:ind w:right="122"/>
              <w:spacing w:after="0"/>
              <w:rPr>
                <w:sz w:val="20"/>
                <w:szCs w:val="20"/>
                <w:color w:val="auto"/>
              </w:rPr>
            </w:pPr>
            <w:r>
              <w:rPr>
                <w:rFonts w:ascii="Arial" w:cs="Arial" w:eastAsia="Arial" w:hAnsi="Arial"/>
                <w:sz w:val="14"/>
                <w:szCs w:val="14"/>
                <w:color w:val="auto"/>
                <w:w w:val="94"/>
              </w:rPr>
              <w:t>Tax</w:t>
            </w:r>
          </w:p>
        </w:tc>
        <w:tc>
          <w:tcPr>
            <w:tcW w:w="240" w:type="dxa"/>
            <w:vAlign w:val="bottom"/>
          </w:tcPr>
          <w:p>
            <w:pPr>
              <w:spacing w:after="0"/>
              <w:rPr>
                <w:sz w:val="18"/>
                <w:szCs w:val="18"/>
                <w:color w:val="auto"/>
              </w:rPr>
            </w:pPr>
          </w:p>
        </w:tc>
        <w:tc>
          <w:tcPr>
            <w:tcW w:w="860" w:type="dxa"/>
            <w:vAlign w:val="bottom"/>
          </w:tcPr>
          <w:p>
            <w:pPr>
              <w:jc w:val="center"/>
              <w:ind w:right="81"/>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504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rPr>
                <w:sz w:val="20"/>
                <w:szCs w:val="20"/>
                <w:color w:val="auto"/>
              </w:rPr>
            </w:pPr>
            <w:r>
              <w:rPr>
                <w:rFonts w:ascii="Arial" w:cs="Arial" w:eastAsia="Arial" w:hAnsi="Arial"/>
                <w:sz w:val="16"/>
                <w:szCs w:val="16"/>
                <w:color w:val="auto"/>
              </w:rPr>
              <w:t>Translation adjustments arising during the period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(2,844)</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1"/>
              <w:spacing w:after="0"/>
              <w:rPr>
                <w:sz w:val="20"/>
                <w:szCs w:val="20"/>
                <w:color w:val="auto"/>
              </w:rPr>
            </w:pPr>
            <w:r>
              <w:rPr>
                <w:rFonts w:ascii="Arial" w:cs="Arial" w:eastAsia="Arial" w:hAnsi="Arial"/>
                <w:sz w:val="16"/>
                <w:szCs w:val="16"/>
                <w:b w:val="1"/>
                <w:bCs w:val="1"/>
                <w:color w:val="auto"/>
              </w:rPr>
              <w:t>(2,844)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61"/>
              <w:spacing w:after="0"/>
              <w:rPr>
                <w:sz w:val="20"/>
                <w:szCs w:val="20"/>
                <w:color w:val="auto"/>
              </w:rPr>
            </w:pPr>
            <w:r>
              <w:rPr>
                <w:rFonts w:ascii="Arial" w:cs="Arial" w:eastAsia="Arial" w:hAnsi="Arial"/>
                <w:sz w:val="16"/>
                <w:szCs w:val="16"/>
                <w:color w:val="auto"/>
              </w:rPr>
              <w:t>11,470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11,470</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6"/>
                <w:szCs w:val="16"/>
                <w:color w:val="auto"/>
              </w:rPr>
              <w:t>Unrealized gains on available-for-sale securities:</w:t>
            </w: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rPr>
                <w:sz w:val="20"/>
                <w:szCs w:val="20"/>
                <w:color w:val="auto"/>
              </w:rPr>
            </w:pPr>
            <w:r>
              <w:rPr>
                <w:rFonts w:ascii="Arial" w:cs="Arial" w:eastAsia="Arial" w:hAnsi="Arial"/>
                <w:sz w:val="16"/>
                <w:szCs w:val="16"/>
                <w:color w:val="auto"/>
              </w:rPr>
              <w:t>Unrealized gains for the period, net</w:t>
            </w:r>
          </w:p>
        </w:tc>
        <w:tc>
          <w:tcPr>
            <w:tcW w:w="14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1020" w:type="dxa"/>
            <w:vAlign w:val="bottom"/>
          </w:tcPr>
          <w:p>
            <w:pPr>
              <w:jc w:val="right"/>
              <w:ind w:right="161"/>
              <w:spacing w:after="0"/>
              <w:rPr>
                <w:sz w:val="20"/>
                <w:szCs w:val="20"/>
                <w:color w:val="auto"/>
              </w:rPr>
            </w:pPr>
            <w:r>
              <w:rPr>
                <w:rFonts w:ascii="Arial" w:cs="Arial" w:eastAsia="Arial" w:hAnsi="Arial"/>
                <w:sz w:val="16"/>
                <w:szCs w:val="16"/>
                <w:color w:val="auto"/>
              </w:rPr>
              <w:t>47,836</w:t>
            </w:r>
          </w:p>
        </w:tc>
        <w:tc>
          <w:tcPr>
            <w:tcW w:w="140" w:type="dxa"/>
            <w:vAlign w:val="bottom"/>
          </w:tcPr>
          <w:p>
            <w:pPr>
              <w:spacing w:after="0"/>
              <w:rPr>
                <w:sz w:val="23"/>
                <w:szCs w:val="23"/>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(19,134)</w:t>
            </w:r>
          </w:p>
        </w:tc>
        <w:tc>
          <w:tcPr>
            <w:tcW w:w="24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28,702</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6"/>
                <w:szCs w:val="16"/>
                <w:color w:val="auto"/>
              </w:rPr>
              <w:t>Pension and other postretirement plans:</w:t>
            </w: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rPr>
                <w:sz w:val="20"/>
                <w:szCs w:val="20"/>
                <w:color w:val="auto"/>
              </w:rPr>
            </w:pPr>
            <w:r>
              <w:rPr>
                <w:rFonts w:ascii="Arial" w:cs="Arial" w:eastAsia="Arial" w:hAnsi="Arial"/>
                <w:sz w:val="16"/>
                <w:szCs w:val="16"/>
                <w:color w:val="auto"/>
              </w:rPr>
              <w:t>Amortization of net prior service cost included in net income</w:t>
            </w:r>
          </w:p>
        </w:tc>
        <w:tc>
          <w:tcPr>
            <w:tcW w:w="14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69</w:t>
            </w: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28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51</w:t>
            </w:r>
          </w:p>
        </w:tc>
        <w:tc>
          <w:tcPr>
            <w:tcW w:w="200" w:type="dxa"/>
            <w:vAlign w:val="bottom"/>
          </w:tcPr>
          <w:p>
            <w:pPr>
              <w:spacing w:after="0"/>
              <w:rPr>
                <w:sz w:val="23"/>
                <w:szCs w:val="23"/>
                <w:color w:val="auto"/>
              </w:rPr>
            </w:pPr>
          </w:p>
        </w:tc>
        <w:tc>
          <w:tcPr>
            <w:tcW w:w="1020" w:type="dxa"/>
            <w:vAlign w:val="bottom"/>
          </w:tcPr>
          <w:p>
            <w:pPr>
              <w:jc w:val="right"/>
              <w:ind w:right="161"/>
              <w:spacing w:after="0"/>
              <w:rPr>
                <w:sz w:val="20"/>
                <w:szCs w:val="20"/>
                <w:color w:val="auto"/>
              </w:rPr>
            </w:pPr>
            <w:r>
              <w:rPr>
                <w:rFonts w:ascii="Arial" w:cs="Arial" w:eastAsia="Arial" w:hAnsi="Arial"/>
                <w:sz w:val="16"/>
                <w:szCs w:val="16"/>
                <w:color w:val="auto"/>
              </w:rPr>
              <w:t>118</w:t>
            </w:r>
          </w:p>
        </w:tc>
        <w:tc>
          <w:tcPr>
            <w:tcW w:w="140" w:type="dxa"/>
            <w:vAlign w:val="bottom"/>
          </w:tcPr>
          <w:p>
            <w:pPr>
              <w:spacing w:after="0"/>
              <w:rPr>
                <w:sz w:val="23"/>
                <w:szCs w:val="23"/>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83"/>
        </w:trPr>
        <w:tc>
          <w:tcPr>
            <w:tcW w:w="5040" w:type="dxa"/>
            <w:vAlign w:val="bottom"/>
          </w:tcPr>
          <w:p>
            <w:pPr>
              <w:ind w:left="180"/>
              <w:spacing w:after="0"/>
              <w:rPr>
                <w:sz w:val="20"/>
                <w:szCs w:val="20"/>
                <w:color w:val="auto"/>
              </w:rPr>
            </w:pPr>
            <w:r>
              <w:rPr>
                <w:rFonts w:ascii="Arial" w:cs="Arial" w:eastAsia="Arial" w:hAnsi="Arial"/>
                <w:sz w:val="16"/>
                <w:szCs w:val="16"/>
                <w:color w:val="auto"/>
              </w:rPr>
              <w:t>Amortization of net actuarial gain included in net income</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(3,295)</w:t>
            </w: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891</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(2,404)</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(1,567)</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627</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w:t>
            </w: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(3,226)</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873</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(2,353)</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(1,449)</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580</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51"/>
        </w:trPr>
        <w:tc>
          <w:tcPr>
            <w:tcW w:w="5040" w:type="dxa"/>
            <w:vAlign w:val="bottom"/>
          </w:tcPr>
          <w:p>
            <w:pPr>
              <w:ind w:left="40"/>
              <w:spacing w:after="0"/>
              <w:rPr>
                <w:sz w:val="20"/>
                <w:szCs w:val="20"/>
                <w:color w:val="auto"/>
              </w:rPr>
            </w:pPr>
            <w:r>
              <w:rPr>
                <w:rFonts w:ascii="Arial" w:cs="Arial" w:eastAsia="Arial" w:hAnsi="Arial"/>
                <w:sz w:val="16"/>
                <w:szCs w:val="16"/>
                <w:color w:val="auto"/>
              </w:rPr>
              <w:t>Cash flow hedge:</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040" w:type="dxa"/>
            <w:vAlign w:val="bottom"/>
          </w:tcPr>
          <w:p>
            <w:pPr>
              <w:ind w:left="180"/>
              <w:spacing w:after="0"/>
              <w:rPr>
                <w:sz w:val="20"/>
                <w:szCs w:val="20"/>
                <w:color w:val="auto"/>
              </w:rPr>
            </w:pPr>
            <w:r>
              <w:rPr>
                <w:rFonts w:ascii="Arial" w:cs="Arial" w:eastAsia="Arial" w:hAnsi="Arial"/>
                <w:sz w:val="16"/>
                <w:szCs w:val="16"/>
                <w:color w:val="auto"/>
              </w:rPr>
              <w:t>Loss for the period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w:t>
            </w: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(72)</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14</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67"/>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(6,076)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(5,202)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57,785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(18,540)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39,245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gridSpan w:val="4"/>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2017</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center"/>
              <w:ind w:right="101"/>
              <w:spacing w:after="0"/>
              <w:rPr>
                <w:sz w:val="20"/>
                <w:szCs w:val="20"/>
                <w:color w:val="auto"/>
              </w:rPr>
            </w:pPr>
            <w:r>
              <w:rPr>
                <w:rFonts w:ascii="Arial" w:cs="Arial" w:eastAsia="Arial" w:hAnsi="Arial"/>
                <w:sz w:val="14"/>
                <w:szCs w:val="14"/>
                <w:b w:val="1"/>
                <w:bCs w:val="1"/>
                <w:color w:val="auto"/>
              </w:rPr>
              <w:t>Before-Tax</w:t>
            </w:r>
          </w:p>
        </w:tc>
        <w:tc>
          <w:tcPr>
            <w:tcW w:w="240" w:type="dxa"/>
            <w:vAlign w:val="bottom"/>
          </w:tcPr>
          <w:p>
            <w:pPr>
              <w:spacing w:after="0"/>
              <w:rPr>
                <w:sz w:val="22"/>
                <w:szCs w:val="22"/>
                <w:color w:val="auto"/>
              </w:rPr>
            </w:pPr>
          </w:p>
        </w:tc>
        <w:tc>
          <w:tcPr>
            <w:tcW w:w="700" w:type="dxa"/>
            <w:vAlign w:val="bottom"/>
          </w:tcPr>
          <w:p>
            <w:pPr>
              <w:ind w:left="40"/>
              <w:spacing w:after="0"/>
              <w:rPr>
                <w:sz w:val="20"/>
                <w:szCs w:val="20"/>
                <w:color w:val="auto"/>
              </w:rPr>
            </w:pPr>
            <w:r>
              <w:rPr>
                <w:rFonts w:ascii="Arial" w:cs="Arial" w:eastAsia="Arial" w:hAnsi="Arial"/>
                <w:sz w:val="14"/>
                <w:szCs w:val="14"/>
                <w:b w:val="1"/>
                <w:bCs w:val="1"/>
                <w:color w:val="auto"/>
              </w:rPr>
              <w:t>Income</w:t>
            </w:r>
          </w:p>
        </w:tc>
        <w:tc>
          <w:tcPr>
            <w:tcW w:w="280" w:type="dxa"/>
            <w:vAlign w:val="bottom"/>
          </w:tcPr>
          <w:p>
            <w:pPr>
              <w:spacing w:after="0"/>
              <w:rPr>
                <w:sz w:val="22"/>
                <w:szCs w:val="22"/>
                <w:color w:val="auto"/>
              </w:rPr>
            </w:pPr>
          </w:p>
        </w:tc>
        <w:tc>
          <w:tcPr>
            <w:tcW w:w="820" w:type="dxa"/>
            <w:vAlign w:val="bottom"/>
          </w:tcPr>
          <w:p>
            <w:pPr>
              <w:jc w:val="center"/>
              <w:ind w:right="81"/>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22"/>
                <w:szCs w:val="22"/>
                <w:color w:val="auto"/>
              </w:rPr>
            </w:pPr>
          </w:p>
        </w:tc>
        <w:tc>
          <w:tcPr>
            <w:tcW w:w="1020" w:type="dxa"/>
            <w:vAlign w:val="bottom"/>
          </w:tcPr>
          <w:p>
            <w:pPr>
              <w:jc w:val="center"/>
              <w:ind w:right="181"/>
              <w:spacing w:after="0"/>
              <w:rPr>
                <w:sz w:val="20"/>
                <w:szCs w:val="20"/>
                <w:color w:val="auto"/>
              </w:rPr>
            </w:pPr>
            <w:r>
              <w:rPr>
                <w:rFonts w:ascii="Arial" w:cs="Arial" w:eastAsia="Arial" w:hAnsi="Arial"/>
                <w:sz w:val="14"/>
                <w:szCs w:val="14"/>
                <w:color w:val="auto"/>
                <w:w w:val="98"/>
              </w:rPr>
              <w:t>Before-Tax</w:t>
            </w:r>
          </w:p>
        </w:tc>
        <w:tc>
          <w:tcPr>
            <w:tcW w:w="140" w:type="dxa"/>
            <w:vAlign w:val="bottom"/>
          </w:tcPr>
          <w:p>
            <w:pPr>
              <w:spacing w:after="0"/>
              <w:rPr>
                <w:sz w:val="22"/>
                <w:szCs w:val="22"/>
                <w:color w:val="auto"/>
              </w:rPr>
            </w:pPr>
          </w:p>
        </w:tc>
        <w:tc>
          <w:tcPr>
            <w:tcW w:w="780" w:type="dxa"/>
            <w:vAlign w:val="bottom"/>
          </w:tcPr>
          <w:p>
            <w:pPr>
              <w:jc w:val="center"/>
              <w:ind w:right="122"/>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22"/>
                <w:szCs w:val="22"/>
                <w:color w:val="auto"/>
              </w:rPr>
            </w:pPr>
          </w:p>
        </w:tc>
        <w:tc>
          <w:tcPr>
            <w:tcW w:w="860" w:type="dxa"/>
            <w:vAlign w:val="bottom"/>
          </w:tcPr>
          <w:p>
            <w:pPr>
              <w:jc w:val="center"/>
              <w:ind w:right="81"/>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504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8"/>
                <w:szCs w:val="18"/>
                <w:color w:val="auto"/>
              </w:rPr>
            </w:pPr>
          </w:p>
        </w:tc>
        <w:tc>
          <w:tcPr>
            <w:tcW w:w="960" w:type="dxa"/>
            <w:vAlign w:val="bottom"/>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8"/>
                <w:szCs w:val="18"/>
                <w:color w:val="auto"/>
              </w:rPr>
            </w:pPr>
          </w:p>
        </w:tc>
        <w:tc>
          <w:tcPr>
            <w:tcW w:w="700" w:type="dxa"/>
            <w:vAlign w:val="bottom"/>
          </w:tcPr>
          <w:p>
            <w:pPr>
              <w:jc w:val="right"/>
              <w:ind w:right="202"/>
              <w:spacing w:after="0"/>
              <w:rPr>
                <w:sz w:val="20"/>
                <w:szCs w:val="20"/>
                <w:color w:val="auto"/>
              </w:rPr>
            </w:pPr>
            <w:r>
              <w:rPr>
                <w:rFonts w:ascii="Arial" w:cs="Arial" w:eastAsia="Arial" w:hAnsi="Arial"/>
                <w:sz w:val="14"/>
                <w:szCs w:val="14"/>
                <w:b w:val="1"/>
                <w:bCs w:val="1"/>
                <w:color w:val="auto"/>
              </w:rPr>
              <w:t>Tax</w:t>
            </w:r>
          </w:p>
        </w:tc>
        <w:tc>
          <w:tcPr>
            <w:tcW w:w="280" w:type="dxa"/>
            <w:vAlign w:val="bottom"/>
          </w:tcPr>
          <w:p>
            <w:pPr>
              <w:spacing w:after="0"/>
              <w:rPr>
                <w:sz w:val="18"/>
                <w:szCs w:val="18"/>
                <w:color w:val="auto"/>
              </w:rPr>
            </w:pPr>
          </w:p>
        </w:tc>
        <w:tc>
          <w:tcPr>
            <w:tcW w:w="820" w:type="dxa"/>
            <w:vAlign w:val="bottom"/>
          </w:tcPr>
          <w:p>
            <w:pPr>
              <w:jc w:val="center"/>
              <w:ind w:right="81"/>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8"/>
                <w:szCs w:val="18"/>
                <w:color w:val="auto"/>
              </w:rPr>
            </w:pPr>
          </w:p>
        </w:tc>
        <w:tc>
          <w:tcPr>
            <w:tcW w:w="1020" w:type="dxa"/>
            <w:vAlign w:val="bottom"/>
          </w:tcPr>
          <w:p>
            <w:pPr>
              <w:jc w:val="center"/>
              <w:ind w:right="181"/>
              <w:spacing w:after="0"/>
              <w:rPr>
                <w:sz w:val="20"/>
                <w:szCs w:val="20"/>
                <w:color w:val="auto"/>
              </w:rPr>
            </w:pPr>
            <w:r>
              <w:rPr>
                <w:rFonts w:ascii="Arial" w:cs="Arial" w:eastAsia="Arial" w:hAnsi="Arial"/>
                <w:sz w:val="14"/>
                <w:szCs w:val="14"/>
                <w:color w:val="auto"/>
                <w:w w:val="99"/>
              </w:rPr>
              <w:t>Amount</w:t>
            </w:r>
          </w:p>
        </w:tc>
        <w:tc>
          <w:tcPr>
            <w:tcW w:w="140" w:type="dxa"/>
            <w:vAlign w:val="bottom"/>
          </w:tcPr>
          <w:p>
            <w:pPr>
              <w:spacing w:after="0"/>
              <w:rPr>
                <w:sz w:val="18"/>
                <w:szCs w:val="18"/>
                <w:color w:val="auto"/>
              </w:rPr>
            </w:pPr>
          </w:p>
        </w:tc>
        <w:tc>
          <w:tcPr>
            <w:tcW w:w="780" w:type="dxa"/>
            <w:vAlign w:val="bottom"/>
          </w:tcPr>
          <w:p>
            <w:pPr>
              <w:jc w:val="center"/>
              <w:ind w:right="122"/>
              <w:spacing w:after="0"/>
              <w:rPr>
                <w:sz w:val="20"/>
                <w:szCs w:val="20"/>
                <w:color w:val="auto"/>
              </w:rPr>
            </w:pPr>
            <w:r>
              <w:rPr>
                <w:rFonts w:ascii="Arial" w:cs="Arial" w:eastAsia="Arial" w:hAnsi="Arial"/>
                <w:sz w:val="14"/>
                <w:szCs w:val="14"/>
                <w:color w:val="auto"/>
                <w:w w:val="94"/>
              </w:rPr>
              <w:t>Tax</w:t>
            </w:r>
          </w:p>
        </w:tc>
        <w:tc>
          <w:tcPr>
            <w:tcW w:w="240" w:type="dxa"/>
            <w:vAlign w:val="bottom"/>
          </w:tcPr>
          <w:p>
            <w:pPr>
              <w:spacing w:after="0"/>
              <w:rPr>
                <w:sz w:val="18"/>
                <w:szCs w:val="18"/>
                <w:color w:val="auto"/>
              </w:rPr>
            </w:pPr>
          </w:p>
        </w:tc>
        <w:tc>
          <w:tcPr>
            <w:tcW w:w="860" w:type="dxa"/>
            <w:vAlign w:val="bottom"/>
          </w:tcPr>
          <w:p>
            <w:pPr>
              <w:jc w:val="center"/>
              <w:ind w:right="81"/>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504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rPr>
                <w:sz w:val="20"/>
                <w:szCs w:val="20"/>
                <w:color w:val="auto"/>
              </w:rPr>
            </w:pPr>
            <w:r>
              <w:rPr>
                <w:rFonts w:ascii="Arial" w:cs="Arial" w:eastAsia="Arial" w:hAnsi="Arial"/>
                <w:sz w:val="16"/>
                <w:szCs w:val="16"/>
                <w:color w:val="auto"/>
              </w:rPr>
              <w:t>Translation adjustments arising during the period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(22,447)</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1"/>
              <w:spacing w:after="0"/>
              <w:rPr>
                <w:sz w:val="20"/>
                <w:szCs w:val="20"/>
                <w:color w:val="auto"/>
              </w:rPr>
            </w:pPr>
            <w:r>
              <w:rPr>
                <w:rFonts w:ascii="Arial" w:cs="Arial" w:eastAsia="Arial" w:hAnsi="Arial"/>
                <w:sz w:val="16"/>
                <w:szCs w:val="16"/>
                <w:b w:val="1"/>
                <w:bCs w:val="1"/>
                <w:color w:val="auto"/>
              </w:rPr>
              <w:t>(22,447)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61"/>
              <w:spacing w:after="0"/>
              <w:rPr>
                <w:sz w:val="20"/>
                <w:szCs w:val="20"/>
                <w:color w:val="auto"/>
              </w:rPr>
            </w:pPr>
            <w:r>
              <w:rPr>
                <w:rFonts w:ascii="Arial" w:cs="Arial" w:eastAsia="Arial" w:hAnsi="Arial"/>
                <w:sz w:val="16"/>
                <w:szCs w:val="16"/>
                <w:color w:val="auto"/>
              </w:rPr>
              <w:t>34,776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34,776</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6"/>
                <w:szCs w:val="16"/>
                <w:color w:val="auto"/>
              </w:rPr>
              <w:t>Unrealized gains on available-for-sale securities:</w:t>
            </w: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rPr>
                <w:sz w:val="20"/>
                <w:szCs w:val="20"/>
                <w:color w:val="auto"/>
              </w:rPr>
            </w:pPr>
            <w:r>
              <w:rPr>
                <w:rFonts w:ascii="Arial" w:cs="Arial" w:eastAsia="Arial" w:hAnsi="Arial"/>
                <w:sz w:val="16"/>
                <w:szCs w:val="16"/>
                <w:color w:val="auto"/>
              </w:rPr>
              <w:t>Unrealized gains for the period, net</w:t>
            </w:r>
          </w:p>
        </w:tc>
        <w:tc>
          <w:tcPr>
            <w:tcW w:w="14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1020" w:type="dxa"/>
            <w:vAlign w:val="bottom"/>
          </w:tcPr>
          <w:p>
            <w:pPr>
              <w:jc w:val="right"/>
              <w:ind w:right="161"/>
              <w:spacing w:after="0"/>
              <w:rPr>
                <w:sz w:val="20"/>
                <w:szCs w:val="20"/>
                <w:color w:val="auto"/>
              </w:rPr>
            </w:pPr>
            <w:r>
              <w:rPr>
                <w:rFonts w:ascii="Arial" w:cs="Arial" w:eastAsia="Arial" w:hAnsi="Arial"/>
                <w:sz w:val="16"/>
                <w:szCs w:val="16"/>
                <w:color w:val="auto"/>
              </w:rPr>
              <w:t>71,370</w:t>
            </w:r>
          </w:p>
        </w:tc>
        <w:tc>
          <w:tcPr>
            <w:tcW w:w="140" w:type="dxa"/>
            <w:vAlign w:val="bottom"/>
          </w:tcPr>
          <w:p>
            <w:pPr>
              <w:spacing w:after="0"/>
              <w:rPr>
                <w:sz w:val="23"/>
                <w:szCs w:val="23"/>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(28,548)</w:t>
            </w:r>
          </w:p>
        </w:tc>
        <w:tc>
          <w:tcPr>
            <w:tcW w:w="24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42,822</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6"/>
                <w:szCs w:val="16"/>
                <w:color w:val="auto"/>
              </w:rPr>
              <w:t>Pension and other postretirement plans:</w:t>
            </w: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rPr>
                <w:sz w:val="20"/>
                <w:szCs w:val="20"/>
                <w:color w:val="auto"/>
              </w:rPr>
            </w:pPr>
            <w:r>
              <w:rPr>
                <w:rFonts w:ascii="Arial" w:cs="Arial" w:eastAsia="Arial" w:hAnsi="Arial"/>
                <w:sz w:val="16"/>
                <w:szCs w:val="16"/>
                <w:color w:val="auto"/>
              </w:rPr>
              <w:t>Amortization of net prior service cost included in net income</w:t>
            </w:r>
          </w:p>
        </w:tc>
        <w:tc>
          <w:tcPr>
            <w:tcW w:w="14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215</w:t>
            </w: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(58)</w:t>
            </w:r>
          </w:p>
        </w:tc>
        <w:tc>
          <w:tcPr>
            <w:tcW w:w="28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157</w:t>
            </w:r>
          </w:p>
        </w:tc>
        <w:tc>
          <w:tcPr>
            <w:tcW w:w="200" w:type="dxa"/>
            <w:vAlign w:val="bottom"/>
          </w:tcPr>
          <w:p>
            <w:pPr>
              <w:spacing w:after="0"/>
              <w:rPr>
                <w:sz w:val="23"/>
                <w:szCs w:val="23"/>
                <w:color w:val="auto"/>
              </w:rPr>
            </w:pPr>
          </w:p>
        </w:tc>
        <w:tc>
          <w:tcPr>
            <w:tcW w:w="1020" w:type="dxa"/>
            <w:vAlign w:val="bottom"/>
          </w:tcPr>
          <w:p>
            <w:pPr>
              <w:jc w:val="right"/>
              <w:ind w:right="161"/>
              <w:spacing w:after="0"/>
              <w:rPr>
                <w:sz w:val="20"/>
                <w:szCs w:val="20"/>
                <w:color w:val="auto"/>
              </w:rPr>
            </w:pPr>
            <w:r>
              <w:rPr>
                <w:rFonts w:ascii="Arial" w:cs="Arial" w:eastAsia="Arial" w:hAnsi="Arial"/>
                <w:sz w:val="16"/>
                <w:szCs w:val="16"/>
                <w:color w:val="auto"/>
              </w:rPr>
              <w:t>358</w:t>
            </w:r>
          </w:p>
        </w:tc>
        <w:tc>
          <w:tcPr>
            <w:tcW w:w="140" w:type="dxa"/>
            <w:vAlign w:val="bottom"/>
          </w:tcPr>
          <w:p>
            <w:pPr>
              <w:spacing w:after="0"/>
              <w:rPr>
                <w:sz w:val="23"/>
                <w:szCs w:val="23"/>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(143)</w:t>
            </w:r>
          </w:p>
        </w:tc>
        <w:tc>
          <w:tcPr>
            <w:tcW w:w="24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83"/>
        </w:trPr>
        <w:tc>
          <w:tcPr>
            <w:tcW w:w="5040" w:type="dxa"/>
            <w:vAlign w:val="bottom"/>
          </w:tcPr>
          <w:p>
            <w:pPr>
              <w:ind w:left="180"/>
              <w:spacing w:after="0"/>
              <w:rPr>
                <w:sz w:val="20"/>
                <w:szCs w:val="20"/>
                <w:color w:val="auto"/>
              </w:rPr>
            </w:pPr>
            <w:r>
              <w:rPr>
                <w:rFonts w:ascii="Arial" w:cs="Arial" w:eastAsia="Arial" w:hAnsi="Arial"/>
                <w:sz w:val="16"/>
                <w:szCs w:val="16"/>
                <w:color w:val="auto"/>
              </w:rPr>
              <w:t>Amortization of net actuarial gain included in net income</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(7,956)</w:t>
            </w: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2,148</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(5,808)</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(4,958)</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1,983</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(2,975)</w:t>
            </w: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(7,741)</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2,090</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(5,651)</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(4,600)</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1,840</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(2,760)</w:t>
            </w:r>
          </w:p>
        </w:tc>
        <w:tc>
          <w:tcPr>
            <w:tcW w:w="0" w:type="dxa"/>
            <w:vAlign w:val="bottom"/>
          </w:tcPr>
          <w:p>
            <w:pPr>
              <w:spacing w:after="0"/>
              <w:rPr>
                <w:sz w:val="1"/>
                <w:szCs w:val="1"/>
                <w:color w:val="auto"/>
              </w:rPr>
            </w:pPr>
          </w:p>
        </w:tc>
      </w:tr>
      <w:tr>
        <w:trPr>
          <w:trHeight w:val="251"/>
        </w:trPr>
        <w:tc>
          <w:tcPr>
            <w:tcW w:w="5040" w:type="dxa"/>
            <w:vAlign w:val="bottom"/>
          </w:tcPr>
          <w:p>
            <w:pPr>
              <w:ind w:left="40"/>
              <w:spacing w:after="0"/>
              <w:rPr>
                <w:sz w:val="20"/>
                <w:szCs w:val="20"/>
                <w:color w:val="auto"/>
              </w:rPr>
            </w:pPr>
            <w:r>
              <w:rPr>
                <w:rFonts w:ascii="Arial" w:cs="Arial" w:eastAsia="Arial" w:hAnsi="Arial"/>
                <w:sz w:val="16"/>
                <w:szCs w:val="16"/>
                <w:color w:val="auto"/>
              </w:rPr>
              <w:t>Cash flow hedge:</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040" w:type="dxa"/>
            <w:vAlign w:val="bottom"/>
          </w:tcPr>
          <w:p>
            <w:pPr>
              <w:ind w:left="180"/>
              <w:spacing w:after="0"/>
              <w:rPr>
                <w:sz w:val="20"/>
                <w:szCs w:val="20"/>
                <w:color w:val="auto"/>
              </w:rPr>
            </w:pPr>
            <w:r>
              <w:rPr>
                <w:rFonts w:ascii="Arial" w:cs="Arial" w:eastAsia="Arial" w:hAnsi="Arial"/>
                <w:sz w:val="16"/>
                <w:szCs w:val="16"/>
                <w:color w:val="auto"/>
              </w:rPr>
              <w:t>Gain (loss) for the period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601</w:t>
            </w: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487</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(215)</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43</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67"/>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(29,587)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(27,611)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101,331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(26,665)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74,666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2480" w:type="dxa"/>
            <w:vAlign w:val="bottom"/>
          </w:tcPr>
          <w:p>
            <w:pPr>
              <w:jc w:val="center"/>
              <w:ind w:left="1068"/>
              <w:spacing w:after="0"/>
              <w:rPr>
                <w:sz w:val="20"/>
                <w:szCs w:val="20"/>
                <w:color w:val="auto"/>
              </w:rPr>
            </w:pPr>
            <w:r>
              <w:rPr>
                <w:rFonts w:ascii="Arial" w:cs="Arial" w:eastAsia="Arial" w:hAnsi="Arial"/>
                <w:sz w:val="14"/>
                <w:szCs w:val="14"/>
                <w:b w:val="1"/>
                <w:bCs w:val="1"/>
                <w:color w:val="auto"/>
              </w:rPr>
              <w:t>Cumulative</w:t>
            </w:r>
          </w:p>
        </w:tc>
        <w:tc>
          <w:tcPr>
            <w:tcW w:w="16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Unrealized Gain</w:t>
            </w: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2480" w:type="dxa"/>
            <w:vAlign w:val="bottom"/>
          </w:tcPr>
          <w:p>
            <w:pPr>
              <w:jc w:val="center"/>
              <w:ind w:left="1048"/>
              <w:spacing w:after="0"/>
              <w:rPr>
                <w:sz w:val="20"/>
                <w:szCs w:val="20"/>
                <w:color w:val="auto"/>
              </w:rPr>
            </w:pPr>
            <w:r>
              <w:rPr>
                <w:rFonts w:ascii="Arial" w:cs="Arial" w:eastAsia="Arial" w:hAnsi="Arial"/>
                <w:sz w:val="14"/>
                <w:szCs w:val="14"/>
                <w:b w:val="1"/>
                <w:bCs w:val="1"/>
                <w:color w:val="auto"/>
              </w:rPr>
              <w:t>Foreign</w:t>
            </w:r>
          </w:p>
        </w:tc>
        <w:tc>
          <w:tcPr>
            <w:tcW w:w="16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on Pensions</w:t>
            </w:r>
          </w:p>
        </w:tc>
        <w:tc>
          <w:tcPr>
            <w:tcW w:w="1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3200" w:type="dxa"/>
            <w:vAlign w:val="bottom"/>
          </w:tcPr>
          <w:p>
            <w:pPr>
              <w:spacing w:after="0"/>
              <w:rPr>
                <w:sz w:val="14"/>
                <w:szCs w:val="14"/>
                <w:color w:val="auto"/>
              </w:rPr>
            </w:pPr>
          </w:p>
        </w:tc>
        <w:tc>
          <w:tcPr>
            <w:tcW w:w="2480" w:type="dxa"/>
            <w:vAlign w:val="bottom"/>
          </w:tcPr>
          <w:p>
            <w:pPr>
              <w:jc w:val="center"/>
              <w:ind w:left="1048"/>
              <w:spacing w:after="0"/>
              <w:rPr>
                <w:sz w:val="20"/>
                <w:szCs w:val="20"/>
                <w:color w:val="auto"/>
              </w:rPr>
            </w:pPr>
            <w:r>
              <w:rPr>
                <w:rFonts w:ascii="Arial" w:cs="Arial" w:eastAsia="Arial" w:hAnsi="Arial"/>
                <w:sz w:val="14"/>
                <w:szCs w:val="14"/>
                <w:b w:val="1"/>
                <w:bCs w:val="1"/>
                <w:color w:val="auto"/>
              </w:rPr>
              <w:t>Currency</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Unrealized Gain</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and Other</w:t>
            </w:r>
          </w:p>
        </w:tc>
        <w:tc>
          <w:tcPr>
            <w:tcW w:w="1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r>
      <w:tr>
        <w:trPr>
          <w:trHeight w:val="162"/>
        </w:trPr>
        <w:tc>
          <w:tcPr>
            <w:tcW w:w="3200" w:type="dxa"/>
            <w:vAlign w:val="bottom"/>
          </w:tcPr>
          <w:p>
            <w:pPr>
              <w:spacing w:after="0"/>
              <w:rPr>
                <w:sz w:val="14"/>
                <w:szCs w:val="14"/>
                <w:color w:val="auto"/>
              </w:rPr>
            </w:pPr>
          </w:p>
        </w:tc>
        <w:tc>
          <w:tcPr>
            <w:tcW w:w="2480" w:type="dxa"/>
            <w:vAlign w:val="bottom"/>
          </w:tcPr>
          <w:p>
            <w:pPr>
              <w:jc w:val="center"/>
              <w:ind w:left="1048"/>
              <w:spacing w:after="0"/>
              <w:rPr>
                <w:sz w:val="20"/>
                <w:szCs w:val="20"/>
                <w:color w:val="auto"/>
              </w:rPr>
            </w:pPr>
            <w:r>
              <w:rPr>
                <w:rFonts w:ascii="Arial" w:cs="Arial" w:eastAsia="Arial" w:hAnsi="Arial"/>
                <w:sz w:val="14"/>
                <w:szCs w:val="14"/>
                <w:b w:val="1"/>
                <w:bCs w:val="1"/>
                <w:color w:val="auto"/>
              </w:rPr>
              <w:t>Translation</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on Available-for-</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Postretirement</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Cash Flow</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2480" w:type="dxa"/>
            <w:vAlign w:val="bottom"/>
            <w:tcBorders>
              <w:bottom w:val="single" w:sz="8" w:color="auto"/>
            </w:tcBorders>
          </w:tcPr>
          <w:p>
            <w:pPr>
              <w:jc w:val="center"/>
              <w:ind w:left="1048"/>
              <w:spacing w:after="0"/>
              <w:rPr>
                <w:sz w:val="20"/>
                <w:szCs w:val="20"/>
                <w:color w:val="auto"/>
              </w:rPr>
            </w:pPr>
            <w:r>
              <w:rPr>
                <w:rFonts w:ascii="Arial" w:cs="Arial" w:eastAsia="Arial" w:hAnsi="Arial"/>
                <w:sz w:val="14"/>
                <w:szCs w:val="14"/>
                <w:b w:val="1"/>
                <w:bCs w:val="1"/>
                <w:color w:val="auto"/>
              </w:rPr>
              <w:t>Adjustment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Sale Securities</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Hedge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Income (Loss)</w:t>
            </w:r>
          </w:p>
        </w:tc>
      </w:tr>
    </w:tbl>
    <w:p>
      <w:pPr>
        <w:spacing w:after="0" w:line="56" w:lineRule="exact"/>
        <w:rPr>
          <w:sz w:val="20"/>
          <w:szCs w:val="20"/>
          <w:color w:val="auto"/>
        </w:rPr>
      </w:pPr>
    </w:p>
    <w:p>
      <w:pPr>
        <w:sectPr>
          <w:pgSz w:w="11900" w:h="16838" w:orient="portrait"/>
          <w:cols w:equalWidth="0" w:num="1">
            <w:col w:w="11420"/>
          </w:cols>
          <w:pgMar w:left="240" w:top="697" w:right="239" w:bottom="1440" w:gutter="0" w:footer="0" w:header="0"/>
        </w:sectPr>
      </w:pPr>
    </w:p>
    <w:p>
      <w:pPr>
        <w:ind w:left="40"/>
        <w:spacing w:after="0"/>
        <w:rPr>
          <w:sz w:val="20"/>
          <w:szCs w:val="20"/>
          <w:color w:val="auto"/>
        </w:rPr>
      </w:pPr>
      <w:r>
        <w:rPr>
          <w:rFonts w:ascii="Arial" w:cs="Arial" w:eastAsia="Arial" w:hAnsi="Arial"/>
          <w:sz w:val="16"/>
          <w:szCs w:val="16"/>
          <w:color w:val="auto"/>
        </w:rPr>
        <w:t>Balance as of December 31, 2017</w:t>
      </w:r>
    </w:p>
    <w:p>
      <w:pPr>
        <w:spacing w:after="0" w:line="39" w:lineRule="exact"/>
        <w:rPr>
          <w:sz w:val="20"/>
          <w:szCs w:val="20"/>
          <w:color w:val="auto"/>
        </w:rPr>
      </w:pPr>
    </w:p>
    <w:p>
      <w:pPr>
        <w:ind w:left="260" w:hanging="80"/>
        <w:spacing w:after="0" w:line="266" w:lineRule="auto"/>
        <w:rPr>
          <w:sz w:val="20"/>
          <w:szCs w:val="20"/>
          <w:color w:val="auto"/>
        </w:rPr>
      </w:pPr>
      <w:r>
        <w:rPr>
          <w:rFonts w:ascii="Arial" w:cs="Arial" w:eastAsia="Arial" w:hAnsi="Arial"/>
          <w:sz w:val="16"/>
          <w:szCs w:val="16"/>
          <w:b w:val="1"/>
          <w:bCs w:val="1"/>
          <w:color w:val="auto"/>
        </w:rPr>
        <w:t>Reclassification of unrealized gains on available-for-sale-securities to retained earnings as a result of adoption of new guidance</w:t>
      </w:r>
    </w:p>
    <w:p>
      <w:pPr>
        <w:spacing w:after="0" w:line="9" w:lineRule="exact"/>
        <w:rPr>
          <w:sz w:val="20"/>
          <w:szCs w:val="20"/>
          <w:color w:val="auto"/>
        </w:rPr>
      </w:pPr>
    </w:p>
    <w:p>
      <w:pPr>
        <w:ind w:left="260" w:right="760" w:hanging="80"/>
        <w:spacing w:after="0" w:line="281" w:lineRule="auto"/>
        <w:rPr>
          <w:sz w:val="20"/>
          <w:szCs w:val="20"/>
          <w:color w:val="auto"/>
        </w:rPr>
      </w:pPr>
      <w:r>
        <w:rPr>
          <w:rFonts w:ascii="Arial" w:cs="Arial" w:eastAsia="Arial" w:hAnsi="Arial"/>
          <w:sz w:val="16"/>
          <w:szCs w:val="16"/>
          <w:b w:val="1"/>
          <w:bCs w:val="1"/>
          <w:color w:val="auto"/>
        </w:rPr>
        <w:t>Other comprehensive (loss) income before reclassifications</w:t>
      </w:r>
    </w:p>
    <w:p>
      <w:pPr>
        <w:spacing w:after="0" w:line="1" w:lineRule="exact"/>
        <w:rPr>
          <w:sz w:val="20"/>
          <w:szCs w:val="20"/>
          <w:color w:val="auto"/>
        </w:rPr>
      </w:pPr>
    </w:p>
    <w:p>
      <w:pPr>
        <w:ind w:left="260" w:right="340" w:hanging="80"/>
        <w:spacing w:after="0" w:line="286" w:lineRule="auto"/>
        <w:rPr>
          <w:sz w:val="20"/>
          <w:szCs w:val="20"/>
          <w:color w:val="auto"/>
        </w:rPr>
      </w:pPr>
      <w:r>
        <w:rPr>
          <w:rFonts w:ascii="Arial" w:cs="Arial" w:eastAsia="Arial" w:hAnsi="Arial"/>
          <w:sz w:val="16"/>
          <w:szCs w:val="16"/>
          <w:b w:val="1"/>
          <w:bCs w:val="1"/>
          <w:color w:val="auto"/>
        </w:rPr>
        <w:t>Net amount reclassified from accumulated other comprehensive income (loss)</w:t>
      </w:r>
    </w:p>
    <w:p>
      <w:pPr>
        <w:spacing w:after="0" w:line="34" w:lineRule="exact"/>
        <w:rPr>
          <w:sz w:val="20"/>
          <w:szCs w:val="20"/>
          <w:color w:val="auto"/>
        </w:rPr>
      </w:pPr>
    </w:p>
    <w:p>
      <w:pPr>
        <w:ind w:left="40" w:right="480" w:firstLine="135"/>
        <w:spacing w:after="0" w:line="427" w:lineRule="auto"/>
        <w:rPr>
          <w:sz w:val="20"/>
          <w:szCs w:val="20"/>
          <w:color w:val="auto"/>
        </w:rPr>
      </w:pPr>
      <w:r>
        <w:rPr>
          <w:rFonts w:ascii="Arial" w:cs="Arial" w:eastAsia="Arial" w:hAnsi="Arial"/>
          <w:sz w:val="16"/>
          <w:szCs w:val="16"/>
          <w:b w:val="1"/>
          <w:bCs w:val="1"/>
          <w:color w:val="auto"/>
        </w:rPr>
        <w:t>Other comprehensive (loss) income, net of tax Balance as of September 30, 2018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6,314</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194,889</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334,536</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(184)</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535,555</w:t>
            </w:r>
          </w:p>
        </w:tc>
      </w:tr>
      <w:tr>
        <w:trPr>
          <w:trHeight w:val="621"/>
        </w:trPr>
        <w:tc>
          <w:tcPr>
            <w:tcW w:w="360" w:type="dxa"/>
            <w:vAlign w:val="bottom"/>
          </w:tcPr>
          <w:p>
            <w:pPr>
              <w:spacing w:after="0"/>
              <w:rPr>
                <w:sz w:val="24"/>
                <w:szCs w:val="24"/>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(194,889)</w:t>
            </w:r>
          </w:p>
        </w:tc>
        <w:tc>
          <w:tcPr>
            <w:tcW w:w="52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4"/>
                <w:szCs w:val="24"/>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(194,889)</w:t>
            </w:r>
          </w:p>
        </w:tc>
      </w:tr>
      <w:tr>
        <w:trPr>
          <w:trHeight w:val="432"/>
        </w:trPr>
        <w:tc>
          <w:tcPr>
            <w:tcW w:w="360" w:type="dxa"/>
            <w:vAlign w:val="bottom"/>
          </w:tcPr>
          <w:p>
            <w:pPr>
              <w:spacing w:after="0"/>
              <w:rPr>
                <w:sz w:val="24"/>
                <w:szCs w:val="24"/>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(22,447)</w:t>
            </w:r>
          </w:p>
        </w:tc>
        <w:tc>
          <w:tcPr>
            <w:tcW w:w="500" w:type="dxa"/>
            <w:vAlign w:val="bottom"/>
          </w:tcPr>
          <w:p>
            <w:pPr>
              <w:spacing w:after="0"/>
              <w:rPr>
                <w:sz w:val="24"/>
                <w:szCs w:val="24"/>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4"/>
                <w:szCs w:val="24"/>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569</w:t>
            </w: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(21,878)</w:t>
            </w:r>
          </w:p>
        </w:tc>
      </w:tr>
      <w:tr>
        <w:trPr>
          <w:trHeight w:val="445"/>
        </w:trPr>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(5,651)</w:t>
            </w: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(82)</w:t>
            </w:r>
          </w:p>
        </w:tc>
        <w:tc>
          <w:tcPr>
            <w:tcW w:w="4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(5,733)</w:t>
            </w:r>
          </w:p>
        </w:tc>
      </w:tr>
      <w:tr>
        <w:trPr>
          <w:trHeight w:val="264"/>
        </w:trPr>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(22,447)</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(5,651)</w:t>
            </w: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487</w:t>
            </w: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(27,611)</w:t>
            </w:r>
          </w:p>
        </w:tc>
      </w:tr>
      <w:tr>
        <w:trPr>
          <w:trHeight w:val="264"/>
        </w:trPr>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(16,133)</w:t>
            </w:r>
          </w:p>
        </w:tc>
        <w:tc>
          <w:tcPr>
            <w:tcW w:w="5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328,885</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303</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313,055</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ectPr>
          <w:pgSz w:w="11900" w:h="16838" w:orient="portrait"/>
          <w:cols w:equalWidth="0" w:num="2">
            <w:col w:w="4220" w:space="140"/>
            <w:col w:w="7060"/>
          </w:cols>
          <w:pgMar w:left="240" w:top="697" w:right="239" w:bottom="1440" w:gutter="0" w:footer="0" w:header="0"/>
          <w:type w:val="continuous"/>
        </w:sectPr>
      </w:pP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697"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04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19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Nine Months Ended</w:t>
            </w: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04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September 30</w:t>
            </w:r>
          </w:p>
        </w:tc>
        <w:tc>
          <w:tcPr>
            <w:tcW w:w="196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b w:val="1"/>
                <w:bCs w:val="1"/>
                <w:color w:val="auto"/>
              </w:rPr>
              <w:t>September 30</w:t>
            </w:r>
          </w:p>
        </w:tc>
        <w:tc>
          <w:tcPr>
            <w:tcW w:w="342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67"/>
        </w:trPr>
        <w:tc>
          <w:tcPr>
            <w:tcW w:w="4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6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2017</w:t>
            </w: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2017</w:t>
            </w:r>
          </w:p>
        </w:tc>
        <w:tc>
          <w:tcPr>
            <w:tcW w:w="34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Consolidated Statement of Operations</w:t>
            </w:r>
          </w:p>
        </w:tc>
        <w:tc>
          <w:tcPr>
            <w:tcW w:w="0" w:type="dxa"/>
            <w:vAlign w:val="bottom"/>
          </w:tcPr>
          <w:p>
            <w:pPr>
              <w:spacing w:after="0"/>
              <w:rPr>
                <w:sz w:val="1"/>
                <w:szCs w:val="1"/>
                <w:color w:val="auto"/>
              </w:rPr>
            </w:pPr>
          </w:p>
        </w:tc>
      </w:tr>
    </w:tbl>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Pension and Other Postretirement Plans: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180"/>
              <w:spacing w:after="0"/>
              <w:rPr>
                <w:sz w:val="20"/>
                <w:szCs w:val="20"/>
                <w:color w:val="auto"/>
              </w:rPr>
            </w:pPr>
            <w:r>
              <w:rPr>
                <w:rFonts w:ascii="Arial" w:cs="Arial" w:eastAsia="Arial" w:hAnsi="Arial"/>
                <w:sz w:val="16"/>
                <w:szCs w:val="16"/>
                <w:color w:val="auto"/>
              </w:rPr>
              <w:t>Amortization of net prior service cost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99"/>
              <w:spacing w:after="0"/>
              <w:rPr>
                <w:sz w:val="20"/>
                <w:szCs w:val="20"/>
                <w:color w:val="auto"/>
              </w:rPr>
            </w:pPr>
            <w:r>
              <w:rPr>
                <w:rFonts w:ascii="Arial" w:cs="Arial" w:eastAsia="Arial" w:hAnsi="Arial"/>
                <w:sz w:val="16"/>
                <w:szCs w:val="16"/>
                <w:b w:val="1"/>
                <w:bCs w:val="1"/>
                <w:color w:val="auto"/>
              </w:rPr>
              <w:t>69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118</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b w:val="1"/>
                <w:bCs w:val="1"/>
                <w:color w:val="auto"/>
              </w:rPr>
              <w:t>215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358</w:t>
            </w:r>
          </w:p>
        </w:tc>
        <w:tc>
          <w:tcPr>
            <w:tcW w:w="186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83"/>
        </w:trPr>
        <w:tc>
          <w:tcPr>
            <w:tcW w:w="4000" w:type="dxa"/>
            <w:vAlign w:val="bottom"/>
          </w:tcPr>
          <w:p>
            <w:pPr>
              <w:ind w:left="180"/>
              <w:spacing w:after="0"/>
              <w:rPr>
                <w:sz w:val="20"/>
                <w:szCs w:val="20"/>
                <w:color w:val="auto"/>
              </w:rPr>
            </w:pPr>
            <w:r>
              <w:rPr>
                <w:rFonts w:ascii="Arial" w:cs="Arial" w:eastAsia="Arial" w:hAnsi="Arial"/>
                <w:sz w:val="16"/>
                <w:szCs w:val="16"/>
                <w:color w:val="auto"/>
              </w:rPr>
              <w:t>Amortization of net actuarial gain</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(3,295)</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(1,567)</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(7,956)</w:t>
            </w: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(4,958)</w:t>
            </w:r>
          </w:p>
        </w:tc>
        <w:tc>
          <w:tcPr>
            <w:tcW w:w="186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b w:val="1"/>
                <w:bCs w:val="1"/>
                <w:color w:val="auto"/>
              </w:rPr>
              <w:t>(3,226)</w:t>
            </w:r>
          </w:p>
        </w:tc>
        <w:tc>
          <w:tcPr>
            <w:tcW w:w="30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(1,449)</w:t>
            </w:r>
          </w:p>
        </w:tc>
        <w:tc>
          <w:tcPr>
            <w:tcW w:w="30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(7,741)</w:t>
            </w:r>
          </w:p>
        </w:tc>
        <w:tc>
          <w:tcPr>
            <w:tcW w:w="2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(4,600)</w:t>
            </w:r>
          </w:p>
        </w:tc>
        <w:tc>
          <w:tcPr>
            <w:tcW w:w="1860" w:type="dxa"/>
            <w:vAlign w:val="bottom"/>
          </w:tcPr>
          <w:p>
            <w:pPr>
              <w:ind w:left="14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76"/>
        </w:trPr>
        <w:tc>
          <w:tcPr>
            <w:tcW w:w="4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873</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580</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2,090</w:t>
            </w: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1,840</w:t>
            </w:r>
          </w:p>
        </w:tc>
        <w:tc>
          <w:tcPr>
            <w:tcW w:w="186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63"/>
        </w:trPr>
        <w:tc>
          <w:tcPr>
            <w:tcW w:w="4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(2,353)</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(869)</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(5,651)</w:t>
            </w:r>
          </w:p>
        </w:tc>
        <w:tc>
          <w:tcPr>
            <w:tcW w:w="2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(2,760)</w:t>
            </w:r>
          </w:p>
        </w:tc>
        <w:tc>
          <w:tcPr>
            <w:tcW w:w="186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51"/>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Cash Flow Hedge</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b w:val="1"/>
                <w:bCs w:val="1"/>
                <w:color w:val="auto"/>
              </w:rPr>
              <w:t>(59)</w:t>
            </w:r>
          </w:p>
        </w:tc>
        <w:tc>
          <w:tcPr>
            <w:tcW w:w="300" w:type="dxa"/>
            <w:vAlign w:val="bottom"/>
          </w:tcPr>
          <w:p>
            <w:pPr>
              <w:spacing w:after="0"/>
              <w:rPr>
                <w:sz w:val="24"/>
                <w:szCs w:val="24"/>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30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(101)</w:t>
            </w:r>
          </w:p>
        </w:tc>
        <w:tc>
          <w:tcPr>
            <w:tcW w:w="280" w:type="dxa"/>
            <w:vAlign w:val="bottom"/>
          </w:tcPr>
          <w:p>
            <w:pPr>
              <w:spacing w:after="0"/>
              <w:rPr>
                <w:sz w:val="24"/>
                <w:szCs w:val="24"/>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86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76"/>
        </w:trPr>
        <w:tc>
          <w:tcPr>
            <w:tcW w:w="4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11</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19</w:t>
            </w: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86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(48)</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(82)</w:t>
            </w:r>
          </w:p>
        </w:tc>
        <w:tc>
          <w:tcPr>
            <w:tcW w:w="2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w:t>
            </w:r>
          </w:p>
        </w:tc>
        <w:tc>
          <w:tcPr>
            <w:tcW w:w="186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 for the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(2,401)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(5,733)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(2,662)</w:t>
            </w:r>
          </w:p>
        </w:tc>
        <w:tc>
          <w:tcPr>
            <w:tcW w:w="186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20" w:right="120" w:hanging="412"/>
        <w:spacing w:after="0" w:line="239" w:lineRule="auto"/>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components of net periodic pension and postretirement plan cost (see Note 12) and are included in non-operating pension and postretirement benefit income in the Company’s Condensed Consolidated Statements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w:t>
      </w:r>
    </w:p>
    <w:p>
      <w:pPr>
        <w:spacing w:after="0" w:line="144" w:lineRule="exact"/>
        <w:rPr>
          <w:sz w:val="20"/>
          <w:szCs w:val="20"/>
          <w:color w:val="auto"/>
        </w:rPr>
      </w:pPr>
    </w:p>
    <w:p>
      <w:pPr>
        <w:ind w:right="240"/>
        <w:spacing w:after="0" w:line="225"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 negligence, libel, defamation, invasion of privacy; trademark, copyright and patent infringement; U.S. False Claims Act (False Claims Act) violations; violations of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However, based on currently available information, management believes it is reasonably possible that future losses from existing and threatened legal, regulatory and other proceedings in excess of the amounts recorded could reach approximately $45 million.</w:t>
      </w:r>
    </w:p>
    <w:p>
      <w:pPr>
        <w:spacing w:after="0" w:line="139"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Her Majesty’s Revenue and Customs (HMRC), a department of the U.K. government responsible for the collection of taxes, has raised assessments against the Kaplan U.K. Pathways business for Value Added Tax (VAT) relating to 2017 and earlier years, which have been paid by Kaplan. Kaplan is continuing to pay the disputed VAT for subsequent periods. Kaplan has challenged these assessments and the case is currently on appeal to a tax tribunal with a hearing expected in January 2019. The Company believes it has met all requirements under U.K. VAT law and expects to recover the £15.4 million receivable related to the assessments that have been paid. If the Company does not prevail in this case, a pre-tax charge of £15.4 million will be recorded to operating expense in the Company’s condensed consolidated statement of operations.</w:t>
      </w:r>
    </w:p>
    <w:p>
      <w:pPr>
        <w:spacing w:after="0" w:line="139"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In March 2018, HMRC issued VAT guidance with an effective date of May 31, 2018 that could impact the U.K. Pathways business if this guidance were to become law; this new guidance is separate from the VAT case discussed above. The Company is in the process of reviewing this new guidance, and considering the possibility that this guidance could be part of U.K. legislation in the future. If the Company is not successful in preserving a valid exemption under U.K. VAT law, the U.K Pathways business would incur additional VAT expense in the future.</w:t>
      </w:r>
    </w:p>
    <w:p>
      <w:pPr>
        <w:spacing w:after="0" w:line="136"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In connection with the sale of the KHE Campuses business in September 2015, Kaplan is secondarily liable on a number of leases that were transferred to the buyer, Education Corporation of America (ECA); the leases run through 2024 with commitments totaling approximately $16.3 million at September 30, 2018. In September 2018, ECA announced plans to close a number of its campuses and teach out certain programs. In October 2018, ECA filed in Federal Court for receivership in pursuit of a plan to reorganize its business and continue operations. If ECA is unsuccessful in its reorganization plan, the Company would become primarily liable under the transferred leases.</w:t>
      </w:r>
    </w:p>
    <w:p>
      <w:pPr>
        <w:spacing w:after="0" w:line="115"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b w:val="1"/>
          <w:bCs w:val="1"/>
          <w:color w:val="auto"/>
        </w:rPr>
        <w:t xml:space="preserve">Department of Education (ED) Program Reviews. </w:t>
      </w:r>
      <w:r>
        <w:rPr>
          <w:rFonts w:ascii="Arial" w:cs="Arial" w:eastAsia="Arial" w:hAnsi="Arial"/>
          <w:sz w:val="18"/>
          <w:szCs w:val="18"/>
          <w:color w:val="auto"/>
        </w:rPr>
        <w:t>The ED has undertaken program reviews at various KHE locations. On February 23,</w:t>
      </w:r>
      <w:r>
        <w:rPr>
          <w:rFonts w:ascii="Arial" w:cs="Arial" w:eastAsia="Arial" w:hAnsi="Arial"/>
          <w:sz w:val="18"/>
          <w:szCs w:val="18"/>
          <w:b w:val="1"/>
          <w:bCs w:val="1"/>
          <w:color w:val="auto"/>
        </w:rPr>
        <w:t xml:space="preserve"> </w:t>
      </w:r>
      <w:r>
        <w:rPr>
          <w:rFonts w:ascii="Arial" w:cs="Arial" w:eastAsia="Arial" w:hAnsi="Arial"/>
          <w:sz w:val="18"/>
          <w:szCs w:val="18"/>
          <w:color w:val="auto"/>
        </w:rPr>
        <w:t>2015, the ED began a review of Kaplan University (KU). The review relates to Kaplan’s administration of its Title IV and Higher Education Act programs and the initial focus was on the 2013 to 2014 and 2014 to 2015 award years. In September 2018, the ED issued a preliminary report with respect to this program review that included a number of findings related to Return to Title IV Funds as discussed in the Company’s 2017 Annual Report on Form 10-K. The preliminary report also included requests for additional information related to student attendance and other areas. While the Company does not expect this open program review to have a</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19" w:right="239" w:bottom="1440" w:gutter="0" w:footer="0" w:header="0"/>
        </w:sectPr>
      </w:pPr>
    </w:p>
    <w:bookmarkStart w:id="28" w:name="page29"/>
    <w:bookmarkEnd w:id="28"/>
    <w:p>
      <w:pPr>
        <w:ind w:right="680"/>
        <w:spacing w:after="0" w:line="235" w:lineRule="auto"/>
        <w:rPr>
          <w:sz w:val="20"/>
          <w:szCs w:val="20"/>
          <w:color w:val="auto"/>
        </w:rPr>
      </w:pPr>
      <w:r>
        <w:rPr>
          <w:rFonts w:ascii="Arial" w:cs="Arial" w:eastAsia="Arial" w:hAnsi="Arial"/>
          <w:sz w:val="18"/>
          <w:szCs w:val="18"/>
          <w:color w:val="auto"/>
        </w:rPr>
        <w:t>material impact on KHE, the Company cannot predict the final outcome of this review, when it will be completed or any liability or other limitations that the ED may place on KHE as a result of this review.</w:t>
      </w:r>
    </w:p>
    <w:p>
      <w:pPr>
        <w:spacing w:after="0" w:line="13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In addition, there are two open program reviews at campuses that were part of the KHE Campuses business prior to its sale in 2015 to Education Corporation of America (ECA), and we await the ED’s final reports on the program reviews at former KHE Broomall, PA; and Pittsburgh, PA, locations. Kaplan retains responsibility for any financial obligation resulting from the ED program reviews at KU and KHE Campuses business that were open at the time of sale. The Company does not expect the open program reviews to have a material impact on KHE; however, the results of open program reviews and their impact on Kaplan’s operations are uncertain.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SEGMENTS</w:t>
      </w:r>
    </w:p>
    <w:p>
      <w:pPr>
        <w:spacing w:after="0" w:line="166" w:lineRule="exact"/>
        <w:rPr>
          <w:sz w:val="20"/>
          <w:szCs w:val="20"/>
          <w:color w:val="auto"/>
        </w:rPr>
      </w:pPr>
    </w:p>
    <w:p>
      <w:pPr>
        <w:ind w:right="560"/>
        <w:spacing w:after="0" w:line="229" w:lineRule="auto"/>
        <w:rPr>
          <w:sz w:val="20"/>
          <w:szCs w:val="20"/>
          <w:color w:val="auto"/>
        </w:rPr>
      </w:pPr>
      <w:r>
        <w:rPr>
          <w:rFonts w:ascii="Arial" w:cs="Arial" w:eastAsia="Arial" w:hAnsi="Arial"/>
          <w:sz w:val="18"/>
          <w:szCs w:val="18"/>
          <w:color w:val="auto"/>
        </w:rPr>
        <w:t>As a result of the Kaplan University transaction, the Company reorganized its operations in the first quarter of 2018 into the following six reportable segments for the purpose of making operating decisions and assessing performance: Kaplan International, Kaplan Higher Education, Kaplan Test Preparation, Kaplan Professional (U.S.), Television Broadcasting and Healthcare.</w:t>
      </w:r>
    </w:p>
    <w:p>
      <w:pPr>
        <w:spacing w:after="0" w:line="137"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Kaplan reorganized its higher education operations into the following two operating segments: Higher Education and Professional (U.S.). The higher education segment comprises the historical KU for-profit postsecondary education business and the current non-academic operations support services provided to the new university, Purdue University Global. The Professional (U.S.) segment comprises the KU School of Professional and Continuing Education, which provides professional training and exam preparation for professional certifications and licensures.</w:t>
      </w:r>
    </w:p>
    <w:p>
      <w:pPr>
        <w:spacing w:after="0" w:line="137"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business segments disclosed in the condensed consolidated financial statements are based on this new organizational structure and information reviewed by the Company’s management to evaluate the business segment results. Segment operating results have been restated to reflect this organizational change.</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719"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following table summarizes the financial information related to each of the Company’s business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6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358,601</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376,805</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1,104,105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1,136,201</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130,014</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101,295</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352,902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298,893</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35,486</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40,473</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111,315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115,592</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150,665</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138,652</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438,602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365,343</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62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674,766</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657,225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2,006,879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1,916,029</w:t>
            </w:r>
          </w:p>
        </w:tc>
        <w:tc>
          <w:tcPr>
            <w:tcW w:w="0" w:type="dxa"/>
            <w:vAlign w:val="bottom"/>
          </w:tcPr>
          <w:p>
            <w:pPr>
              <w:spacing w:after="0"/>
              <w:rPr>
                <w:sz w:val="1"/>
                <w:szCs w:val="1"/>
                <w:color w:val="auto"/>
              </w:rPr>
            </w:pPr>
          </w:p>
        </w:tc>
      </w:tr>
      <w:tr>
        <w:trPr>
          <w:trHeight w:val="251"/>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22,262</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13,797</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82,516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56,565</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55,453</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33,462</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137,113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99,722</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(8,702)</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920</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(9,329)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4,613</w:t>
            </w: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(7,021)</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(136)</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(25,961)</w:t>
            </w:r>
          </w:p>
        </w:tc>
        <w:tc>
          <w:tcPr>
            <w:tcW w:w="0" w:type="dxa"/>
            <w:vAlign w:val="bottom"/>
          </w:tcPr>
          <w:p>
            <w:pPr>
              <w:spacing w:after="0"/>
              <w:rPr>
                <w:sz w:val="1"/>
                <w:szCs w:val="1"/>
                <w:color w:val="auto"/>
              </w:rPr>
            </w:pPr>
          </w:p>
        </w:tc>
      </w:tr>
      <w:tr>
        <w:trPr>
          <w:trHeight w:val="283"/>
        </w:trPr>
        <w:tc>
          <w:tcPr>
            <w:tcW w:w="62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(12,887)</w:t>
            </w: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(14,208)</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(39,585)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(43,760)</w:t>
            </w: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60,739</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26,950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170,579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86,944</w:t>
            </w:r>
          </w:p>
        </w:tc>
        <w:tc>
          <w:tcPr>
            <w:tcW w:w="0" w:type="dxa"/>
            <w:vAlign w:val="bottom"/>
          </w:tcPr>
          <w:p>
            <w:pPr>
              <w:spacing w:after="0"/>
              <w:rPr>
                <w:sz w:val="1"/>
                <w:szCs w:val="1"/>
                <w:color w:val="auto"/>
              </w:rPr>
            </w:pPr>
          </w:p>
        </w:tc>
      </w:tr>
      <w:tr>
        <w:trPr>
          <w:trHeight w:val="251"/>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Equity in Earnings (Losses) of Affiliates, Net</w:t>
            </w:r>
          </w:p>
        </w:tc>
        <w:tc>
          <w:tcPr>
            <w:tcW w:w="30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9,537</w:t>
            </w:r>
          </w:p>
        </w:tc>
        <w:tc>
          <w:tcPr>
            <w:tcW w:w="50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(532)</w:t>
            </w:r>
          </w:p>
        </w:tc>
        <w:tc>
          <w:tcPr>
            <w:tcW w:w="28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13,047</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1,448</w:t>
            </w:r>
          </w:p>
        </w:tc>
        <w:tc>
          <w:tcPr>
            <w:tcW w:w="0" w:type="dxa"/>
            <w:vAlign w:val="bottom"/>
          </w:tcPr>
          <w:p>
            <w:pPr>
              <w:spacing w:after="0"/>
              <w:rPr>
                <w:sz w:val="1"/>
                <w:szCs w:val="1"/>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3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(5,524)</w:t>
            </w: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(7,758)</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(27,487)</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(22,386)</w:t>
            </w:r>
          </w:p>
        </w:tc>
        <w:tc>
          <w:tcPr>
            <w:tcW w:w="0" w:type="dxa"/>
            <w:vAlign w:val="bottom"/>
          </w:tcPr>
          <w:p>
            <w:pPr>
              <w:spacing w:after="0"/>
              <w:rPr>
                <w:sz w:val="1"/>
                <w:szCs w:val="1"/>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Debt Extinguishment Costs</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(11,378)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22,214</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17,621</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66,641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55,042</w:t>
            </w:r>
          </w:p>
        </w:tc>
        <w:tc>
          <w:tcPr>
            <w:tcW w:w="0" w:type="dxa"/>
            <w:vAlign w:val="bottom"/>
          </w:tcPr>
          <w:p>
            <w:pPr>
              <w:spacing w:after="0"/>
              <w:rPr>
                <w:sz w:val="1"/>
                <w:szCs w:val="1"/>
                <w:color w:val="auto"/>
              </w:rPr>
            </w:pPr>
          </w:p>
        </w:tc>
      </w:tr>
      <w:tr>
        <w:trPr>
          <w:trHeight w:val="276"/>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Loss on Marketable Equity Securities, Net</w:t>
            </w:r>
          </w:p>
        </w:tc>
        <w:tc>
          <w:tcPr>
            <w:tcW w:w="300" w:type="dxa"/>
            <w:vAlign w:val="bottom"/>
          </w:tcPr>
          <w:p>
            <w:pPr>
              <w:spacing w:after="0"/>
              <w:rPr>
                <w:sz w:val="24"/>
                <w:szCs w:val="24"/>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44,962</w:t>
            </w:r>
          </w:p>
        </w:tc>
        <w:tc>
          <w:tcPr>
            <w:tcW w:w="50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28,306</w:t>
            </w:r>
          </w:p>
        </w:tc>
        <w:tc>
          <w:tcPr>
            <w:tcW w:w="28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Other Income, Net</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3,142</w:t>
            </w: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1,963</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14,662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6,881</w:t>
            </w:r>
          </w:p>
        </w:tc>
        <w:tc>
          <w:tcPr>
            <w:tcW w:w="0" w:type="dxa"/>
            <w:vAlign w:val="bottom"/>
          </w:tcPr>
          <w:p>
            <w:pPr>
              <w:spacing w:after="0"/>
              <w:rPr>
                <w:sz w:val="1"/>
                <w:szCs w:val="1"/>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135,070</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38,244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254,370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127,929</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6,685</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8,085</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21,130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24,994</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3,198</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3,118</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9,243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8,703</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648</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1,166</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1,948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3,429</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2,865</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3,354</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8,830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8,539</w:t>
            </w:r>
          </w:p>
        </w:tc>
        <w:tc>
          <w:tcPr>
            <w:tcW w:w="0" w:type="dxa"/>
            <w:vAlign w:val="bottom"/>
          </w:tcPr>
          <w:p>
            <w:pPr>
              <w:spacing w:after="0"/>
              <w:rPr>
                <w:sz w:val="1"/>
                <w:szCs w:val="1"/>
                <w:color w:val="auto"/>
              </w:rPr>
            </w:pPr>
          </w:p>
        </w:tc>
      </w:tr>
      <w:tr>
        <w:trPr>
          <w:trHeight w:val="283"/>
        </w:trPr>
        <w:tc>
          <w:tcPr>
            <w:tcW w:w="62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252</w:t>
            </w: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279</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758</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13,648</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16,002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41,909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46,525</w:t>
            </w:r>
          </w:p>
        </w:tc>
        <w:tc>
          <w:tcPr>
            <w:tcW w:w="0" w:type="dxa"/>
            <w:vAlign w:val="bottom"/>
          </w:tcPr>
          <w:p>
            <w:pPr>
              <w:spacing w:after="0"/>
              <w:rPr>
                <w:sz w:val="1"/>
                <w:szCs w:val="1"/>
                <w:color w:val="auto"/>
              </w:rPr>
            </w:pPr>
          </w:p>
        </w:tc>
      </w:tr>
      <w:tr>
        <w:trPr>
          <w:trHeight w:val="184"/>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Goodwill and Other Long-</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280" w:type="dxa"/>
            <w:vAlign w:val="bottom"/>
          </w:tcPr>
          <w:p>
            <w:pPr>
              <w:ind w:left="200"/>
              <w:spacing w:after="0"/>
              <w:rPr>
                <w:sz w:val="20"/>
                <w:szCs w:val="20"/>
                <w:color w:val="auto"/>
              </w:rPr>
            </w:pPr>
            <w:r>
              <w:rPr>
                <w:rFonts w:ascii="Arial" w:cs="Arial" w:eastAsia="Arial" w:hAnsi="Arial"/>
                <w:sz w:val="16"/>
                <w:szCs w:val="16"/>
                <w:b w:val="1"/>
                <w:bCs w:val="1"/>
                <w:color w:val="auto"/>
              </w:rPr>
              <w:t>Lived Assets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2,682</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1,355</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5,494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3,798</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1,408</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1,071</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4,224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2,943</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9,839</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2,420</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13,456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5,718</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6,449</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6,389</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18,987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25,367</w:t>
            </w:r>
          </w:p>
        </w:tc>
        <w:tc>
          <w:tcPr>
            <w:tcW w:w="0" w:type="dxa"/>
            <w:vAlign w:val="bottom"/>
          </w:tcPr>
          <w:p>
            <w:pPr>
              <w:spacing w:after="0"/>
              <w:rPr>
                <w:sz w:val="1"/>
                <w:szCs w:val="1"/>
                <w:color w:val="auto"/>
              </w:rPr>
            </w:pPr>
          </w:p>
        </w:tc>
      </w:tr>
      <w:tr>
        <w:trPr>
          <w:trHeight w:val="283"/>
        </w:trPr>
        <w:tc>
          <w:tcPr>
            <w:tcW w:w="62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20,378</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11,235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42,161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37,826</w:t>
            </w:r>
          </w:p>
        </w:tc>
        <w:tc>
          <w:tcPr>
            <w:tcW w:w="0" w:type="dxa"/>
            <w:vAlign w:val="bottom"/>
          </w:tcPr>
          <w:p>
            <w:pPr>
              <w:spacing w:after="0"/>
              <w:rPr>
                <w:sz w:val="1"/>
                <w:szCs w:val="1"/>
                <w:color w:val="auto"/>
              </w:rPr>
            </w:pPr>
          </w:p>
        </w:tc>
      </w:tr>
      <w:tr>
        <w:trPr>
          <w:trHeight w:val="251"/>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2,107</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2,430</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6,649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7,289</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544</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485</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1,638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143</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166</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430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346</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277</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1,013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283"/>
        </w:trPr>
        <w:tc>
          <w:tcPr>
            <w:tcW w:w="62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1,333</w:t>
            </w: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1,233</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4,000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4,009</w:t>
            </w: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4,473</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4,591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13,730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14,096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19" w:right="239" w:bottom="1440" w:gutter="0" w:footer="0" w:header="0"/>
        </w:sectPr>
      </w:pP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719"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color w:val="auto"/>
        </w:rPr>
        <w:t>Asset information for the Company’s business segments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7"/>
                <w:szCs w:val="17"/>
                <w:color w:val="auto"/>
              </w:rPr>
            </w:pPr>
          </w:p>
        </w:tc>
      </w:tr>
      <w:tr>
        <w:trPr>
          <w:trHeight w:val="175"/>
        </w:trPr>
        <w:tc>
          <w:tcPr>
            <w:tcW w:w="8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1100" w:type="dxa"/>
            <w:vAlign w:val="bottom"/>
          </w:tcPr>
          <w:p>
            <w:pPr>
              <w:jc w:val="right"/>
              <w:ind w:right="100"/>
              <w:spacing w:after="0"/>
              <w:rPr>
                <w:sz w:val="20"/>
                <w:szCs w:val="20"/>
                <w:color w:val="auto"/>
              </w:rPr>
            </w:pPr>
            <w:r>
              <w:rPr>
                <w:rFonts w:ascii="Arial" w:cs="Arial" w:eastAsia="Arial" w:hAnsi="Arial"/>
                <w:sz w:val="14"/>
                <w:szCs w:val="14"/>
                <w:color w:val="auto"/>
              </w:rPr>
              <w:t>December 31,</w:t>
            </w:r>
          </w:p>
        </w:tc>
      </w:tr>
      <w:tr>
        <w:trPr>
          <w:trHeight w:val="196"/>
        </w:trPr>
        <w:tc>
          <w:tcPr>
            <w:tcW w:w="8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2017</w:t>
            </w:r>
          </w:p>
        </w:tc>
      </w:tr>
      <w:tr>
        <w:trPr>
          <w:trHeight w:val="223"/>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97"/>
        </w:trPr>
        <w:tc>
          <w:tcPr>
            <w:tcW w:w="88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1,599,680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1,592,097</w:t>
            </w: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2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455,746</w:t>
            </w:r>
          </w:p>
        </w:tc>
        <w:tc>
          <w:tcPr>
            <w:tcW w:w="26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455,884</w:t>
            </w: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12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108,685</w:t>
            </w:r>
          </w:p>
        </w:tc>
        <w:tc>
          <w:tcPr>
            <w:tcW w:w="26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129,856</w:t>
            </w: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2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819,419</w:t>
            </w:r>
          </w:p>
        </w:tc>
        <w:tc>
          <w:tcPr>
            <w:tcW w:w="26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855,399</w:t>
            </w:r>
          </w:p>
        </w:tc>
      </w:tr>
      <w:tr>
        <w:trPr>
          <w:trHeight w:val="283"/>
        </w:trPr>
        <w:tc>
          <w:tcPr>
            <w:tcW w:w="88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143,416</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182,905</w:t>
            </w:r>
          </w:p>
        </w:tc>
      </w:tr>
      <w:tr>
        <w:trPr>
          <w:trHeight w:val="264"/>
        </w:trPr>
        <w:tc>
          <w:tcPr>
            <w:tcW w:w="88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3,126,946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3,216,141</w:t>
            </w: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Marketable Equity Securities</w:t>
            </w:r>
          </w:p>
        </w:tc>
        <w:tc>
          <w:tcPr>
            <w:tcW w:w="12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497,879</w:t>
            </w:r>
          </w:p>
        </w:tc>
        <w:tc>
          <w:tcPr>
            <w:tcW w:w="2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536,315</w:t>
            </w:r>
          </w:p>
        </w:tc>
      </w:tr>
      <w:tr>
        <w:trPr>
          <w:trHeight w:val="270"/>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12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142,756</w:t>
            </w:r>
          </w:p>
        </w:tc>
        <w:tc>
          <w:tcPr>
            <w:tcW w:w="26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128,590</w:t>
            </w:r>
          </w:p>
        </w:tc>
      </w:tr>
      <w:tr>
        <w:trPr>
          <w:trHeight w:val="283"/>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Prepaid Pension Cost</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1,106,162</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1,056,777</w:t>
            </w:r>
          </w:p>
        </w:tc>
      </w:tr>
      <w:tr>
        <w:trPr>
          <w:trHeight w:val="264"/>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4,873,743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4,937,823</w:t>
            </w: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6"/>
                <w:szCs w:val="16"/>
                <w:color w:val="auto"/>
              </w:rPr>
            </w:pPr>
          </w:p>
        </w:tc>
        <w:tc>
          <w:tcPr>
            <w:tcW w:w="2520" w:type="dxa"/>
            <w:vAlign w:val="bottom"/>
            <w:gridSpan w:val="3"/>
          </w:tcPr>
          <w:p>
            <w:pPr>
              <w:jc w:val="right"/>
              <w:ind w:right="659"/>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r>
      <w:tr>
        <w:trPr>
          <w:trHeight w:val="264"/>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2017</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2017</w:t>
            </w:r>
          </w:p>
        </w:tc>
      </w:tr>
      <w:tr>
        <w:trPr>
          <w:trHeight w:val="25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167,668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171,259</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535,553</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507,568</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89,269</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105,210</w:t>
            </w:r>
          </w:p>
        </w:tc>
        <w:tc>
          <w:tcPr>
            <w:tcW w:w="3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275,080</w:t>
            </w:r>
          </w:p>
        </w:tc>
        <w:tc>
          <w:tcPr>
            <w:tcW w:w="5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328,161</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67,749</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72,680</w:t>
            </w:r>
          </w:p>
        </w:tc>
        <w:tc>
          <w:tcPr>
            <w:tcW w:w="3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195,504</w:t>
            </w:r>
          </w:p>
        </w:tc>
        <w:tc>
          <w:tcPr>
            <w:tcW w:w="5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212,978</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34,302</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28,249</w:t>
            </w:r>
          </w:p>
        </w:tc>
        <w:tc>
          <w:tcPr>
            <w:tcW w:w="3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98,715</w:t>
            </w:r>
          </w:p>
        </w:tc>
        <w:tc>
          <w:tcPr>
            <w:tcW w:w="5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88,812</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143</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49</w:t>
            </w:r>
          </w:p>
        </w:tc>
        <w:tc>
          <w:tcPr>
            <w:tcW w:w="3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870</w:t>
            </w:r>
          </w:p>
        </w:tc>
        <w:tc>
          <w:tcPr>
            <w:tcW w:w="5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120</w:t>
            </w: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(530)</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(642)</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(1,617)</w:t>
            </w: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(1,438)</w:t>
            </w:r>
          </w:p>
        </w:tc>
      </w:tr>
      <w:tr>
        <w:trPr>
          <w:trHeight w:val="264"/>
        </w:trPr>
        <w:tc>
          <w:tcPr>
            <w:tcW w:w="606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358,601</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376,805</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1,104,105</w:t>
            </w:r>
          </w:p>
        </w:tc>
        <w:tc>
          <w:tcPr>
            <w:tcW w:w="5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1,136,201</w:t>
            </w: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8,375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5,348</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52,966</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29,009</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6,042</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1,493</w:t>
            </w:r>
          </w:p>
        </w:tc>
        <w:tc>
          <w:tcPr>
            <w:tcW w:w="3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18,616</w:t>
            </w:r>
          </w:p>
        </w:tc>
        <w:tc>
          <w:tcPr>
            <w:tcW w:w="5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17,079</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10,572</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7,330</w:t>
            </w:r>
          </w:p>
        </w:tc>
        <w:tc>
          <w:tcPr>
            <w:tcW w:w="3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17,213</w:t>
            </w:r>
          </w:p>
        </w:tc>
        <w:tc>
          <w:tcPr>
            <w:tcW w:w="5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10,207</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6,768</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7,316</w:t>
            </w:r>
          </w:p>
        </w:tc>
        <w:tc>
          <w:tcPr>
            <w:tcW w:w="3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20,863</w:t>
            </w:r>
          </w:p>
        </w:tc>
        <w:tc>
          <w:tcPr>
            <w:tcW w:w="5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22,045</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(9,452)</w:t>
            </w:r>
          </w:p>
        </w:tc>
        <w:tc>
          <w:tcPr>
            <w:tcW w:w="3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(7,631)</w:t>
            </w: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(27,110)</w:t>
            </w:r>
          </w:p>
        </w:tc>
        <w:tc>
          <w:tcPr>
            <w:tcW w:w="5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(21,739)</w:t>
            </w: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(43)</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w:t>
            </w: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64"/>
        </w:trPr>
        <w:tc>
          <w:tcPr>
            <w:tcW w:w="606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22,262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13,797</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82,516</w:t>
            </w:r>
          </w:p>
        </w:tc>
        <w:tc>
          <w:tcPr>
            <w:tcW w:w="5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56,565</w:t>
            </w: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3,759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3,780</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11,497</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11,071</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915</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2,010</w:t>
            </w:r>
          </w:p>
        </w:tc>
        <w:tc>
          <w:tcPr>
            <w:tcW w:w="3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4,047</w:t>
            </w:r>
          </w:p>
        </w:tc>
        <w:tc>
          <w:tcPr>
            <w:tcW w:w="5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7,142</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1,033</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1,407</w:t>
            </w:r>
          </w:p>
        </w:tc>
        <w:tc>
          <w:tcPr>
            <w:tcW w:w="3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2,984</w:t>
            </w:r>
          </w:p>
        </w:tc>
        <w:tc>
          <w:tcPr>
            <w:tcW w:w="5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4,080</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859</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758</w:t>
            </w:r>
          </w:p>
        </w:tc>
        <w:tc>
          <w:tcPr>
            <w:tcW w:w="3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2,171</w:t>
            </w:r>
          </w:p>
        </w:tc>
        <w:tc>
          <w:tcPr>
            <w:tcW w:w="5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2,306</w:t>
            </w: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119</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130</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431</w:t>
            </w: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395</w:t>
            </w:r>
          </w:p>
        </w:tc>
      </w:tr>
      <w:tr>
        <w:trPr>
          <w:trHeight w:val="264"/>
        </w:trPr>
        <w:tc>
          <w:tcPr>
            <w:tcW w:w="606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6,685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8,085</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21,130</w:t>
            </w:r>
          </w:p>
        </w:tc>
        <w:tc>
          <w:tcPr>
            <w:tcW w:w="5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24,994</w:t>
            </w: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2,682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1,355</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5,494</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3,798</w:t>
            </w: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66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233</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198</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1,050</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467</w:t>
            </w:r>
          </w:p>
        </w:tc>
        <w:tc>
          <w:tcPr>
            <w:tcW w:w="3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3,260</w:t>
            </w:r>
          </w:p>
        </w:tc>
        <w:tc>
          <w:tcPr>
            <w:tcW w:w="5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3,951</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577</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244</w:t>
            </w:r>
          </w:p>
        </w:tc>
        <w:tc>
          <w:tcPr>
            <w:tcW w:w="3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2,035</w:t>
            </w:r>
          </w:p>
        </w:tc>
        <w:tc>
          <w:tcPr>
            <w:tcW w:w="5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2,066</w:t>
            </w: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291</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81</w:t>
            </w:r>
          </w:p>
        </w:tc>
        <w:tc>
          <w:tcPr>
            <w:tcW w:w="3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871</w:t>
            </w:r>
          </w:p>
        </w:tc>
        <w:tc>
          <w:tcPr>
            <w:tcW w:w="5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685</w:t>
            </w: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123</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1,614</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250</w:t>
            </w: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389</w:t>
            </w:r>
          </w:p>
        </w:tc>
      </w:tr>
      <w:tr>
        <w:trPr>
          <w:trHeight w:val="264"/>
        </w:trPr>
        <w:tc>
          <w:tcPr>
            <w:tcW w:w="606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2,107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2,430</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6,649</w:t>
            </w:r>
          </w:p>
        </w:tc>
        <w:tc>
          <w:tcPr>
            <w:tcW w:w="5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7,289</w:t>
            </w:r>
          </w:p>
        </w:tc>
      </w:tr>
    </w:tbl>
    <w:p>
      <w:pPr>
        <w:spacing w:after="0" w:line="200" w:lineRule="exact"/>
        <w:rPr>
          <w:sz w:val="20"/>
          <w:szCs w:val="20"/>
          <w:color w:val="auto"/>
        </w:rPr>
      </w:pPr>
    </w:p>
    <w:p>
      <w:pPr>
        <w:sectPr>
          <w:pgSz w:w="11900" w:h="16838" w:orient="portrait"/>
          <w:cols w:equalWidth="0" w:num="1">
            <w:col w:w="11420"/>
          </w:cols>
          <w:pgMar w:left="240" w:top="719" w:right="239" w:bottom="80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719" w:right="239" w:bottom="80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8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7"/>
                <w:szCs w:val="17"/>
                <w:color w:val="auto"/>
              </w:rPr>
            </w:pPr>
          </w:p>
        </w:tc>
      </w:tr>
      <w:tr>
        <w:trPr>
          <w:trHeight w:val="175"/>
        </w:trPr>
        <w:tc>
          <w:tcPr>
            <w:tcW w:w="39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62"/>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1100" w:type="dxa"/>
            <w:vAlign w:val="bottom"/>
          </w:tcPr>
          <w:p>
            <w:pPr>
              <w:jc w:val="right"/>
              <w:ind w:right="101"/>
              <w:spacing w:after="0"/>
              <w:rPr>
                <w:sz w:val="20"/>
                <w:szCs w:val="20"/>
                <w:color w:val="auto"/>
              </w:rPr>
            </w:pPr>
            <w:r>
              <w:rPr>
                <w:rFonts w:ascii="Arial" w:cs="Arial" w:eastAsia="Arial" w:hAnsi="Arial"/>
                <w:sz w:val="14"/>
                <w:szCs w:val="14"/>
                <w:color w:val="auto"/>
              </w:rPr>
              <w:t>December 31,</w:t>
            </w:r>
          </w:p>
        </w:tc>
      </w:tr>
      <w:tr>
        <w:trPr>
          <w:trHeight w:val="196"/>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2017</w:t>
            </w:r>
          </w:p>
        </w:tc>
      </w:tr>
      <w:tr>
        <w:trPr>
          <w:trHeight w:val="250"/>
        </w:trPr>
        <w:tc>
          <w:tcPr>
            <w:tcW w:w="3980" w:type="dxa"/>
            <w:vAlign w:val="bottom"/>
          </w:tcPr>
          <w:p>
            <w:pPr>
              <w:ind w:left="40"/>
              <w:spacing w:after="0"/>
              <w:rPr>
                <w:sz w:val="20"/>
                <w:szCs w:val="20"/>
                <w:color w:val="auto"/>
              </w:rPr>
            </w:pPr>
            <w:r>
              <w:rPr>
                <w:rFonts w:ascii="Arial" w:cs="Arial" w:eastAsia="Arial" w:hAnsi="Arial"/>
                <w:sz w:val="16"/>
                <w:szCs w:val="16"/>
                <w:color w:val="auto"/>
              </w:rPr>
              <w:t>Identifiable assets</w:t>
            </w:r>
          </w:p>
        </w:tc>
        <w:tc>
          <w:tcPr>
            <w:tcW w:w="4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3980" w:type="dxa"/>
            <w:vAlign w:val="bottom"/>
          </w:tcPr>
          <w:p>
            <w:pPr>
              <w:ind w:left="380"/>
              <w:spacing w:after="0"/>
              <w:rPr>
                <w:sz w:val="20"/>
                <w:szCs w:val="20"/>
                <w:color w:val="auto"/>
              </w:rPr>
            </w:pPr>
            <w:r>
              <w:rPr>
                <w:rFonts w:ascii="Arial" w:cs="Arial" w:eastAsia="Arial" w:hAnsi="Arial"/>
                <w:sz w:val="16"/>
                <w:szCs w:val="16"/>
                <w:color w:val="auto"/>
              </w:rPr>
              <w:t>Kaplan international</w:t>
            </w:r>
          </w:p>
        </w:tc>
        <w:tc>
          <w:tcPr>
            <w:tcW w:w="49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1,109,470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1,115,919</w:t>
            </w:r>
          </w:p>
        </w:tc>
      </w:tr>
      <w:tr>
        <w:trPr>
          <w:trHeight w:val="270"/>
        </w:trPr>
        <w:tc>
          <w:tcPr>
            <w:tcW w:w="3980" w:type="dxa"/>
            <w:vAlign w:val="bottom"/>
          </w:tcPr>
          <w:p>
            <w:pPr>
              <w:ind w:left="380"/>
              <w:spacing w:after="0"/>
              <w:rPr>
                <w:sz w:val="20"/>
                <w:szCs w:val="20"/>
                <w:color w:val="auto"/>
              </w:rPr>
            </w:pPr>
            <w:r>
              <w:rPr>
                <w:rFonts w:ascii="Arial" w:cs="Arial" w:eastAsia="Arial" w:hAnsi="Arial"/>
                <w:sz w:val="16"/>
                <w:szCs w:val="16"/>
                <w:color w:val="auto"/>
              </w:rPr>
              <w:t>Higher education</w:t>
            </w:r>
          </w:p>
        </w:tc>
        <w:tc>
          <w:tcPr>
            <w:tcW w:w="4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144,274</w:t>
            </w:r>
          </w:p>
        </w:tc>
        <w:tc>
          <w:tcPr>
            <w:tcW w:w="26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231,986</w:t>
            </w:r>
          </w:p>
        </w:tc>
      </w:tr>
      <w:tr>
        <w:trPr>
          <w:trHeight w:val="270"/>
        </w:trPr>
        <w:tc>
          <w:tcPr>
            <w:tcW w:w="3980" w:type="dxa"/>
            <w:vAlign w:val="bottom"/>
          </w:tcPr>
          <w:p>
            <w:pPr>
              <w:ind w:left="380"/>
              <w:spacing w:after="0"/>
              <w:rPr>
                <w:sz w:val="20"/>
                <w:szCs w:val="20"/>
                <w:color w:val="auto"/>
              </w:rPr>
            </w:pPr>
            <w:r>
              <w:rPr>
                <w:rFonts w:ascii="Arial" w:cs="Arial" w:eastAsia="Arial" w:hAnsi="Arial"/>
                <w:sz w:val="16"/>
                <w:szCs w:val="16"/>
                <w:color w:val="auto"/>
              </w:rPr>
              <w:t>Test preparation</w:t>
            </w:r>
          </w:p>
        </w:tc>
        <w:tc>
          <w:tcPr>
            <w:tcW w:w="4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155,846</w:t>
            </w:r>
          </w:p>
        </w:tc>
        <w:tc>
          <w:tcPr>
            <w:tcW w:w="26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130,938</w:t>
            </w:r>
          </w:p>
        </w:tc>
      </w:tr>
      <w:tr>
        <w:trPr>
          <w:trHeight w:val="270"/>
        </w:trPr>
        <w:tc>
          <w:tcPr>
            <w:tcW w:w="3980" w:type="dxa"/>
            <w:vAlign w:val="bottom"/>
          </w:tcPr>
          <w:p>
            <w:pPr>
              <w:ind w:left="380"/>
              <w:spacing w:after="0"/>
              <w:rPr>
                <w:sz w:val="20"/>
                <w:szCs w:val="20"/>
                <w:color w:val="auto"/>
              </w:rPr>
            </w:pPr>
            <w:r>
              <w:rPr>
                <w:rFonts w:ascii="Arial" w:cs="Arial" w:eastAsia="Arial" w:hAnsi="Arial"/>
                <w:sz w:val="16"/>
                <w:szCs w:val="16"/>
                <w:color w:val="auto"/>
              </w:rPr>
              <w:t>Professional (U.S.)</w:t>
            </w:r>
          </w:p>
        </w:tc>
        <w:tc>
          <w:tcPr>
            <w:tcW w:w="4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160,120</w:t>
            </w:r>
          </w:p>
        </w:tc>
        <w:tc>
          <w:tcPr>
            <w:tcW w:w="26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91,630</w:t>
            </w:r>
          </w:p>
        </w:tc>
      </w:tr>
      <w:tr>
        <w:trPr>
          <w:trHeight w:val="283"/>
        </w:trPr>
        <w:tc>
          <w:tcPr>
            <w:tcW w:w="3980" w:type="dxa"/>
            <w:vAlign w:val="bottom"/>
          </w:tcPr>
          <w:p>
            <w:pPr>
              <w:ind w:left="380"/>
              <w:spacing w:after="0"/>
              <w:rPr>
                <w:sz w:val="20"/>
                <w:szCs w:val="20"/>
                <w:color w:val="auto"/>
              </w:rPr>
            </w:pPr>
            <w:r>
              <w:rPr>
                <w:rFonts w:ascii="Arial" w:cs="Arial" w:eastAsia="Arial" w:hAnsi="Arial"/>
                <w:sz w:val="16"/>
                <w:szCs w:val="16"/>
                <w:color w:val="auto"/>
              </w:rPr>
              <w:t>Kaplan corporate and other</w:t>
            </w:r>
          </w:p>
        </w:tc>
        <w:tc>
          <w:tcPr>
            <w:tcW w:w="4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29,970</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21,624</w:t>
            </w:r>
          </w:p>
        </w:tc>
      </w:tr>
      <w:tr>
        <w:trPr>
          <w:trHeight w:val="264"/>
        </w:trPr>
        <w:tc>
          <w:tcPr>
            <w:tcW w:w="3980" w:type="dxa"/>
            <w:vAlign w:val="bottom"/>
          </w:tcPr>
          <w:p>
            <w:pPr>
              <w:spacing w:after="0"/>
              <w:rPr>
                <w:sz w:val="22"/>
                <w:szCs w:val="22"/>
                <w:color w:val="auto"/>
              </w:rPr>
            </w:pPr>
          </w:p>
        </w:tc>
        <w:tc>
          <w:tcPr>
            <w:tcW w:w="49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1,599,680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1,592,097</w:t>
            </w:r>
          </w:p>
        </w:tc>
      </w:tr>
      <w:tr>
        <w:trPr>
          <w:trHeight w:val="608"/>
        </w:trPr>
        <w:tc>
          <w:tcPr>
            <w:tcW w:w="3980" w:type="dxa"/>
            <w:vAlign w:val="bottom"/>
          </w:tcPr>
          <w:p>
            <w:pPr>
              <w:spacing w:after="0"/>
              <w:rPr>
                <w:sz w:val="24"/>
                <w:szCs w:val="24"/>
                <w:color w:val="auto"/>
              </w:rPr>
            </w:pPr>
          </w:p>
        </w:tc>
        <w:tc>
          <w:tcPr>
            <w:tcW w:w="4820" w:type="dxa"/>
            <w:vAlign w:val="bottom"/>
          </w:tcPr>
          <w:p>
            <w:pPr>
              <w:jc w:val="right"/>
              <w:ind w:right="2896"/>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719"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39"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Company reported net income attributable to common shares of $125.1 million ($23.28 per share) for the third quarter of 2018, compared to $24.8 million ($4.42 per share) for the third quarter of 2017.</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third quarter of 2018:</w:t>
      </w:r>
    </w:p>
    <w:p>
      <w:pPr>
        <w:spacing w:after="0" w:line="144"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$7.9 million intangible asset impairment charge at the healthcare business (after-tax impact of $5.8 million, or $1.08 per share);</w:t>
      </w:r>
    </w:p>
    <w:p>
      <w:pPr>
        <w:spacing w:after="0" w:line="144" w:lineRule="exact"/>
        <w:rPr>
          <w:rFonts w:ascii="Arial" w:cs="Arial" w:eastAsia="Arial" w:hAnsi="Arial"/>
          <w:sz w:val="18"/>
          <w:szCs w:val="18"/>
          <w:color w:val="auto"/>
        </w:rPr>
      </w:pPr>
    </w:p>
    <w:p>
      <w:pPr>
        <w:ind w:left="180" w:right="80" w:hanging="172"/>
        <w:spacing w:after="0" w:line="235"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$1.0 million reduction to operating expenses from property, plant and equipment gains in connection with the spectrum repacking mandate of the FCC (after-tax impact of $0.8 million, or $0.14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$45.0 million in net gains on marketable equity securities (after-tax impact of $33.6 million, or $6.26 per share);</w:t>
      </w:r>
    </w:p>
    <w:p>
      <w:pPr>
        <w:spacing w:after="0" w:line="144" w:lineRule="exact"/>
        <w:rPr>
          <w:rFonts w:ascii="Arial" w:cs="Arial" w:eastAsia="Arial" w:hAnsi="Arial"/>
          <w:sz w:val="18"/>
          <w:szCs w:val="18"/>
          <w:color w:val="auto"/>
        </w:rPr>
      </w:pPr>
    </w:p>
    <w:p>
      <w:pPr>
        <w:ind w:left="180" w:hanging="172"/>
        <w:spacing w:after="0" w:line="235"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non-operating gain, net, of $10.1 million from sales, write-ups and impairments of cost method and equity method investments, and related to sales of businesses (after-tax impact of $8.0 million, or $1.48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$0.1 million in non-operating foreign currency losses (after-tax impact of $0.1 million, or $0.02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nonrecurring discrete $17.8 million deferred state tax benefit related to the release of valuation allowances ($3.31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third quarter of 2017:</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$1.4 million in non-operating foreign currency gains (after-tax impact of $0.9 million, or $0.16 per share).</w:t>
      </w:r>
    </w:p>
    <w:p>
      <w:pPr>
        <w:spacing w:after="0" w:line="144"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Revenue for the third quarter of 2018 was $674.8 million, up 3% from $657.2 million in the third quarter of 2017. Revenues grew at the television broadcasting and manufacturing businesses, offset by lower revenue at the education division. The Company reported operating income of $60.7 million for the third quarter of 2018, compared to $27.0 million for the third quarter of 2017. The operating income increase is driven by higher earnings in television broadcasting, education and SocialCode, offset by the decline in healthcare results, largely due to the intangible asset impairment charge.</w:t>
      </w:r>
    </w:p>
    <w:p>
      <w:pPr>
        <w:spacing w:after="0" w:line="137"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For the first nine months of 2018, the Company reported net income attributable to common shares of $214.5 million ($39.54 per share), compared to $87.9 million ($15.64 per share) for the first nine months of 2017.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nine months of 2018:</w:t>
      </w:r>
    </w:p>
    <w:p>
      <w:pPr>
        <w:spacing w:after="0" w:line="144"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$7.9 million intangible asset impairment charge at the healthcare business (after-tax impact of $5.8 million, or $1.08 per share);</w:t>
      </w:r>
    </w:p>
    <w:p>
      <w:pPr>
        <w:spacing w:after="0" w:line="144" w:lineRule="exact"/>
        <w:rPr>
          <w:rFonts w:ascii="Arial" w:cs="Arial" w:eastAsia="Arial" w:hAnsi="Arial"/>
          <w:sz w:val="18"/>
          <w:szCs w:val="18"/>
          <w:color w:val="auto"/>
        </w:rPr>
      </w:pPr>
    </w:p>
    <w:p>
      <w:pPr>
        <w:ind w:left="180" w:right="80" w:hanging="172"/>
        <w:spacing w:after="0" w:line="235"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$2.1 million reduction to operating expenses from property, plant and equipment gains in connection with the spectrum repacking mandate of the FCC (after-tax impact of $1.6 million, or $0.29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$6.2 million in interest expense related to the settlement of a mandatorily redeemable noncontrolling interest ($1.14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$11.4 million in debt extinguishment costs (after-tax impact of $8.6 million, or $1.60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$28.3 million in net gains on marketable equity securities (after-tax impact of $20.9 million, or $3.86 per share);</w:t>
      </w:r>
    </w:p>
    <w:p>
      <w:pPr>
        <w:spacing w:after="0" w:line="144" w:lineRule="exact"/>
        <w:rPr>
          <w:rFonts w:ascii="Arial" w:cs="Arial" w:eastAsia="Arial" w:hAnsi="Arial"/>
          <w:sz w:val="18"/>
          <w:szCs w:val="18"/>
          <w:color w:val="auto"/>
        </w:rPr>
      </w:pPr>
    </w:p>
    <w:p>
      <w:pPr>
        <w:ind w:left="180" w:hanging="172"/>
        <w:spacing w:after="0" w:line="235"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non-operating gain, net, of $17.0 million from sales, write-ups and impairments of cost method and equity method investments, and related to sales of land and businesses (after-tax impact of $13.4 million, or $2.46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$4.3 million gain on the Kaplan University Transaction (after-tax impact of $1.8 million, or $0.33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$2.2 million in non-operating foreign currency losses (after-tax impact of $1.7 million, or $0.31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nonrecurring discrete $17.8 million deferred state tax benefit related to the release of valuation allowances ($3.31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$1.8 million in income tax benefits related to stock compensation ($0.33 per share).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697"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Items included in the Company’s net income for the first nine months of 2017:</w:t>
      </w:r>
    </w:p>
    <w:p>
      <w:pPr>
        <w:spacing w:after="0" w:line="144"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$9.2 million goodwill and other long-lived asset impairment charge in other businesses (after-tax impact of $5.8 million, or $1.03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$6.6 million in non-operating foreign currency gains (after-tax impact of $4.2 million, or $0.74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$5.9 million in income tax benefits related to stock compensation ($1.06 per share).</w:t>
      </w:r>
    </w:p>
    <w:p>
      <w:pPr>
        <w:spacing w:after="0" w:line="144"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Revenue for the first nine months of 2018 was $2,006.9 million, up 5% from $1,916.0 million in the first nine months of 2017. Revenues increased at the television broadcasting and manufacturing businesses, offset by lower revenue at the education division. The Company reported operating income of $170.6 million for the first nine months of 2018, compared to $86.9 million for first nine months of 2017. Operating results improved at the education, television broadcasting and manufacturing businesses.</w:t>
      </w:r>
    </w:p>
    <w:p>
      <w:pPr>
        <w:spacing w:after="0" w:line="13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On April 27, 2017, certain subsidiaries of Kaplan, Inc. (Kaplan), a subsidiary of Graham Holdings Company entered into a Contribution and Transfer Agreement (Transfer Agreement) to contribute the institutional assets and operations of Kaplan University (KU) to an Indiana non-profit, public-benefit corporation that is a subsidiary affiliated with Purdue University (Purdue). The closing of the transactions contemplated by the Transfer Agreement occurred on March 22, 2018. At the same time, the parties entered into a Transition and Operations Support Agreement (TOSA) pursuant to which Kaplan will provide key non-academic operations support to the new university. The new university operates largely online as an Indiana public university affiliated with Purdue under the name Purdue University Global (Purdue Global).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totaled $358.6 million for the third quarter of 2018, down 5% from $376.8 million for the same period of 2017.</w:t>
      </w:r>
    </w:p>
    <w:p>
      <w:pPr>
        <w:spacing w:after="0"/>
        <w:rPr>
          <w:sz w:val="20"/>
          <w:szCs w:val="20"/>
          <w:color w:val="auto"/>
        </w:rPr>
      </w:pPr>
      <w:r>
        <w:rPr>
          <w:rFonts w:ascii="Arial" w:cs="Arial" w:eastAsia="Arial" w:hAnsi="Arial"/>
          <w:sz w:val="18"/>
          <w:szCs w:val="18"/>
          <w:color w:val="auto"/>
        </w:rPr>
        <w:t>Kaplan reported operating income of $22.3 million for the third quarter of 2018, up 61% from $13.8 million for the third quarter of 2017.</w:t>
      </w:r>
    </w:p>
    <w:p>
      <w:pPr>
        <w:spacing w:after="0" w:line="144" w:lineRule="exact"/>
        <w:rPr>
          <w:sz w:val="20"/>
          <w:szCs w:val="20"/>
          <w:color w:val="auto"/>
        </w:rPr>
      </w:pPr>
    </w:p>
    <w:p>
      <w:pPr>
        <w:jc w:val="both"/>
        <w:ind w:right="180"/>
        <w:spacing w:after="0" w:line="229" w:lineRule="auto"/>
        <w:rPr>
          <w:sz w:val="20"/>
          <w:szCs w:val="20"/>
          <w:color w:val="auto"/>
        </w:rPr>
      </w:pPr>
      <w:r>
        <w:rPr>
          <w:rFonts w:ascii="Arial" w:cs="Arial" w:eastAsia="Arial" w:hAnsi="Arial"/>
          <w:sz w:val="18"/>
          <w:szCs w:val="18"/>
          <w:color w:val="auto"/>
        </w:rPr>
        <w:t>For the first nine months of 2018, education division revenue totaled $1,104.1 million, down 3% from revenue of $1,136.2 million for the same period of 2017. Kaplan reported operating income of $82.5 million for the first nine months of 2018, a 46% increase from $56.6 million for the first nine months of 2017.</w:t>
      </w:r>
    </w:p>
    <w:p>
      <w:pPr>
        <w:spacing w:after="0" w:line="137"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As a result of the KU Transaction that closed on March 22, 2018, the Company has revised the financial reporting for its education division to provide operating results for Higher Education and Professional (U.S.).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2017</w:t>
            </w:r>
          </w:p>
        </w:tc>
        <w:tc>
          <w:tcPr>
            <w:tcW w:w="14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2017</w:t>
            </w:r>
          </w:p>
        </w:tc>
        <w:tc>
          <w:tcPr>
            <w:tcW w:w="13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32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b w:val="1"/>
                <w:bCs w:val="1"/>
                <w:color w:val="auto"/>
              </w:rPr>
              <w:t>167,668</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171,259</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(2)</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535,553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507,568</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b w:val="1"/>
                <w:bCs w:val="1"/>
                <w:color w:val="auto"/>
              </w:rPr>
              <w:t>89,269</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105,210</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275,080</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328,161</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b w:val="1"/>
                <w:bCs w:val="1"/>
                <w:color w:val="auto"/>
              </w:rPr>
              <w:t>67,749</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72,680</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195,504</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212,978</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0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b w:val="1"/>
                <w:bCs w:val="1"/>
                <w:color w:val="auto"/>
              </w:rPr>
              <w:t>34,302</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28,249</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98,715</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88,812</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b w:val="1"/>
                <w:bCs w:val="1"/>
                <w:color w:val="auto"/>
              </w:rPr>
              <w:t>143</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49</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870</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120</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2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(530)</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(1,617)</w:t>
            </w: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(1,438)</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26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358,601</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376,805</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(5)</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1,104,105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1,136,201</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b w:val="1"/>
                <w:bCs w:val="1"/>
                <w:color w:val="auto"/>
              </w:rPr>
              <w:t>8,375</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5,348</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57</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52,966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29,009</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b w:val="1"/>
                <w:bCs w:val="1"/>
                <w:color w:val="auto"/>
              </w:rPr>
              <w:t>6,042</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1,493</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18,616</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17,079</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b w:val="1"/>
                <w:bCs w:val="1"/>
                <w:color w:val="auto"/>
              </w:rPr>
              <w:t>10,572</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7,330</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44</w:t>
            </w:r>
          </w:p>
        </w:tc>
        <w:tc>
          <w:tcPr>
            <w:tcW w:w="26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17,213</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10,207</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00" w:type="dxa"/>
            <w:vAlign w:val="bottom"/>
          </w:tcPr>
          <w:p>
            <w:pPr>
              <w:spacing w:after="0"/>
              <w:rPr>
                <w:sz w:val="23"/>
                <w:szCs w:val="23"/>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b w:val="1"/>
                <w:bCs w:val="1"/>
                <w:color w:val="auto"/>
              </w:rPr>
              <w:t>6,768</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7,316</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20,863</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22,045</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b w:val="1"/>
                <w:bCs w:val="1"/>
                <w:color w:val="auto"/>
              </w:rPr>
              <w:t>(6,770)</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(6,276)</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(21,616)</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(17,941)</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b w:val="1"/>
                <w:bCs w:val="1"/>
                <w:color w:val="auto"/>
              </w:rPr>
              <w:t>(2,682)</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(1,355)</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(98)</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(5,494)</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(3,798)</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83"/>
        </w:trPr>
        <w:tc>
          <w:tcPr>
            <w:tcW w:w="32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(43)</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w:t>
            </w: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3260" w:type="dxa"/>
            <w:vAlign w:val="bottom"/>
          </w:tcPr>
          <w:p>
            <w:pPr>
              <w:spacing w:after="0"/>
              <w:rPr>
                <w:sz w:val="23"/>
                <w:szCs w:val="23"/>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22,262</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13,797</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61</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82,516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56,565</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declined 2% and increased 6% for the third quarter and first nine months of 2018, respectively. On a constant currency basis, revenue was flat for the third quarter and increased 2% for the first nine months of 2018. Operating income increased to $8.4 million in the third</w:t>
      </w:r>
    </w:p>
    <w:p>
      <w:pPr>
        <w:sectPr>
          <w:pgSz w:w="11900" w:h="16838" w:orient="portrait"/>
          <w:cols w:equalWidth="0" w:num="1">
            <w:col w:w="11420"/>
          </w:cols>
          <w:pgMar w:left="240" w:top="719" w:right="2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719" w:right="239" w:bottom="1440" w:gutter="0" w:footer="0" w:header="0"/>
          <w:type w:val="continuous"/>
        </w:sectPr>
      </w:pPr>
    </w:p>
    <w:bookmarkStart w:id="34" w:name="page35"/>
    <w:bookmarkEnd w:id="34"/>
    <w:p>
      <w:pPr>
        <w:ind w:right="60"/>
        <w:spacing w:after="0" w:line="227" w:lineRule="auto"/>
        <w:rPr>
          <w:sz w:val="20"/>
          <w:szCs w:val="20"/>
          <w:color w:val="auto"/>
        </w:rPr>
      </w:pPr>
      <w:r>
        <w:rPr>
          <w:rFonts w:ascii="Arial" w:cs="Arial" w:eastAsia="Arial" w:hAnsi="Arial"/>
          <w:sz w:val="18"/>
          <w:szCs w:val="18"/>
          <w:color w:val="auto"/>
        </w:rPr>
        <w:t>quarter of 2018, compared to $ 5.3 million in the third quarter of 2017 due to improved results at UK Professional and English-language. Operating income increased to $53.0 million for the first nine months of 2018, compared to $29.0 million for the same period of 2017 due largely to improved results at Pathways, UK Professional, English-language and MPW. Restructuring costs at Kaplan International totaled $0.9 million for the first nine months of 2017.</w:t>
      </w:r>
    </w:p>
    <w:p>
      <w:pPr>
        <w:spacing w:after="0" w:line="135"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In March 2018, Her Majesty’s Revenue and Customs, a department of the U.K. government responsible for the collection of taxes, issued VAT guidance with an effective date of May 31, 2018 that could impact the U.K. Pathways business if this guidance were to become law. The Company is in the process of reviewing this new guidance, and considering the possibility that this guidance could be part of U.K. legislation in the future. If the Company is not successful in preserving a valid exemption under U.K. VAT law, the U.K Pathways business would likely incur additional VAT expense of an estimated £4.5 million per year.</w:t>
      </w:r>
    </w:p>
    <w:p>
      <w:pPr>
        <w:spacing w:after="0" w:line="137"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Prior to the KU Transaction closing on March 22, 2018, Higher Education included Kaplan’s domestic postsecondary education businesses, made up of fixed-facility colleges and online postsecondary and career programs. Following the KU Transaction closing, the Higher Education division includes the results as a service provider to higher education institutions. The costs and expenses incurred by Kaplan as a service provider to higher education institutions are generally classified as operating; prior to the KU Transaction, a portion of these costs and expenses were classified as selling, general and administrative.</w:t>
      </w:r>
    </w:p>
    <w:p>
      <w:pPr>
        <w:spacing w:after="0" w:line="137"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In the third quarter and first nine months of 2018, Higher Education revenue was down 15% and 16%, respectively, due largely to the sale of KU on March 22, 2018 and fewer average enrollments at KU prior to the sale. The Company recorded the service fee with Purdue Global beginning in the second quarter of 2018, based on an assessment of its collectability under the TOSA. The service fee recorded in the second quarter has since been collected from Purdue Global for its fiscal year ended June 30, 2018. In the third quarter of 2018, the Company recorded a portion of the service fee with Purdue Global based on an assessment of its collectability under the TOSA. The Company will continue to assess the collectability of the service fee with Purdue Global on a quarterly basis to make a determination as to whether to record all or part of the service fee in the future and whether to make adjustments to service fee amounts recognized in earlier periods.</w:t>
      </w:r>
    </w:p>
    <w:p>
      <w:pPr>
        <w:spacing w:after="0" w:line="139"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Kaplan Test Preparation (KTP) includes Kaplan’s standardized test preparation programs. In September 2018, KTP acquired the test preparation and study guide assets of Barron’s Educational Series, a New York-based education publishing company. KTP revenue declined 7% and 8% for the third quarter and first nine months of 2018, respectively due to lower enrollments in certain test preparation programs and the disposition of Dev Bootcamp, which made up the majority of KTP’s new economy skills training programs. KTP operating results improved in the third quarter and first nine months of 2018, due primarily to decreased losses from the new economy skills training programs. Operating losses for the new economy skills training programs were $2.8 million and $11.2 million for the first nine months of 2018 and 2017, respectively, including $1.3 million in restructuring costs in the third quarter of 2017. Dev Bootcamp was closed in the second half of 2017.</w:t>
      </w:r>
    </w:p>
    <w:p>
      <w:pPr>
        <w:spacing w:after="0" w:line="139"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Kaplan Professional (U.S.) includes the domestic professional and other continuing education businesses. In the third quarter and first nine months of 2018, Kaplan Professional (U.S.) revenue was up 21% and 11%, respectively, due partly to the May 2018 acquisition of Professional Publications, Inc. (PPI), an independent publisher of professional licensing exam review materials that provides engineering, surveying, architecture, and interior design licensure exam review products, and the July 2018 acquisition of College for Financial Planning (CFFP), a provider of financial education and training to individuals through programs of study for professionals pursuing a career in Financial Planning. Kaplan Professional (U.S) operating results declined 7% and 5% for the third quarter and first nine months of 2018, respectively, due mostly to a delay in the CFA exam release and registration dates and increased spending on sales and technology, offset in part by income from PPI and CFFP.</w:t>
      </w:r>
    </w:p>
    <w:p>
      <w:pPr>
        <w:spacing w:after="0" w:line="136"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with increased healthcare expense in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Revenue at the television broadcasting division increased 28% to $130.0 million in the third quarter of 2018, from $101.3 million in the same period of 2017 due to a $ 20.7 million increase in political advertising revenue and a $10.2 million increase in retransmission revenues. Operating income for the third quarter of 2018 increased 66% to $55.5 million, from $33.5 million in the same period of 2017 due to higher revenues.</w:t>
      </w:r>
    </w:p>
    <w:p>
      <w:pPr>
        <w:spacing w:after="0" w:line="135" w:lineRule="exact"/>
        <w:rPr>
          <w:sz w:val="20"/>
          <w:szCs w:val="20"/>
          <w:color w:val="auto"/>
        </w:rPr>
      </w:pPr>
    </w:p>
    <w:p>
      <w:pPr>
        <w:ind w:right="420"/>
        <w:spacing w:after="0" w:line="227" w:lineRule="auto"/>
        <w:rPr>
          <w:sz w:val="20"/>
          <w:szCs w:val="20"/>
          <w:color w:val="auto"/>
        </w:rPr>
      </w:pPr>
      <w:r>
        <w:rPr>
          <w:rFonts w:ascii="Arial" w:cs="Arial" w:eastAsia="Arial" w:hAnsi="Arial"/>
          <w:sz w:val="18"/>
          <w:szCs w:val="18"/>
          <w:color w:val="auto"/>
        </w:rPr>
        <w:t>Revenue at the television broadcasting division increased 18% to $352.9 million in the first nine months of 2018, from $298.9 million in the same period of 2017. The revenue increase is due to $27.1 million in higher retransmission revenues, a $26.8 million increase in political advertising revenue and $8.6 million in 2018 incremental winter Olympics-related advertising revenue at the Company’s NBC stations. Operating income for the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719"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first nine months of 2018 increased 37% to $137.1 million, from $99.7 million in the same period of 2017 due to higher revenues.</w:t>
      </w:r>
    </w:p>
    <w:p>
      <w:pPr>
        <w:spacing w:after="0" w:line="144" w:lineRule="exact"/>
        <w:rPr>
          <w:sz w:val="20"/>
          <w:szCs w:val="20"/>
          <w:color w:val="auto"/>
        </w:rPr>
      </w:pPr>
    </w:p>
    <w:p>
      <w:pPr>
        <w:ind w:right="380"/>
        <w:spacing w:after="0" w:line="229" w:lineRule="auto"/>
        <w:rPr>
          <w:sz w:val="20"/>
          <w:szCs w:val="20"/>
          <w:color w:val="auto"/>
        </w:rPr>
      </w:pPr>
      <w:r>
        <w:rPr>
          <w:rFonts w:ascii="Arial" w:cs="Arial" w:eastAsia="Arial" w:hAnsi="Arial"/>
          <w:sz w:val="18"/>
          <w:szCs w:val="18"/>
          <w:color w:val="auto"/>
        </w:rPr>
        <w:t>In the third quarter and first nine months of 2018, the television broadcasting division recorded $1.0 million and $2.1 million, respectively, in reductions to operating expenses related to non-cash property, plant and equipment gains due to new equipment received at no cost in connection with the spectrum repacking mandate of the FCC.</w:t>
      </w:r>
    </w:p>
    <w:p>
      <w:pPr>
        <w:spacing w:after="0" w:line="137"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In the third quarter of 2017, the Company’s television stations in Texas and Florida ran extensive news programming coverage of hurricanes Harvey and Irma; this adversely impacted revenues by an estimated $2.1 million and resulted in $0.6 million in additional expenses during the third quarter of 2017.</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66"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The Graham Healthcare Group (GHG) provides home health and hospice services in three states. At the end of June 2017, GHG acquired Hometown Home Health and Hospice, a Lapeer, MI-based healthcare services provider. Healthcare revenues were down 12% and 4% in the third quarter and first nine months of 2018, respectively. The revenue declines are primarily due to a new management services agreement (MSA) with one of GHG’s joint ventures that was effective in the third quarter of 2018. In the third quarter of 2018, GHG recorded a $ 7.9 million intangible asset impairment charge related to the Celtic trademark, which is in the process of being phased-out. The decline in GHG operating results in 2018 is due to the intangible asset impairment charge and a decline in results from the MSA with one of GHG’s joint ventures.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Other Businesses’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r>
      <w:tr>
        <w:trPr>
          <w:trHeight w:val="276"/>
        </w:trPr>
        <w:tc>
          <w:tcPr>
            <w:tcW w:w="4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2017</w:t>
            </w:r>
          </w:p>
        </w:tc>
        <w:tc>
          <w:tcPr>
            <w:tcW w:w="11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2017</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126,028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115,594</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9</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369,896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298,164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13,781</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14,497</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41,850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41,926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0</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10,856</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8,561</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27</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26,856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25,253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150,665</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138,652</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438,602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365,343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20</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120,882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108,881</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11</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347,457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291,961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19</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8,657</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20,745</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(58)</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42,249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50,078</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16,513</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16,047</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49,032</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49,265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0</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146,052</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145,673</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0</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438,738</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391,304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5,146</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6,713</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(23)</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22,439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6,203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5,124</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(6,248)</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(399)</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(8,152)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95</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(5,657)</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(7,486)</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24</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(22,176)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(24,012)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4,613</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(7,021)</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(25,961)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99</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2,333</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2,717</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(14)</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7,115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6,629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187</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256</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620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753</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345</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381</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1,095</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1,157</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2,865</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3,354</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8,830</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8,539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w:t>
            </w:r>
          </w:p>
        </w:tc>
      </w:tr>
      <w:tr>
        <w:trPr>
          <w:trHeight w:val="184"/>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5"/>
        </w:trPr>
        <w:tc>
          <w:tcPr>
            <w:tcW w:w="4820" w:type="dxa"/>
            <w:vAlign w:val="bottom"/>
          </w:tcPr>
          <w:p>
            <w:pPr>
              <w:ind w:left="200"/>
              <w:spacing w:after="0"/>
              <w:rPr>
                <w:sz w:val="20"/>
                <w:szCs w:val="20"/>
                <w:color w:val="auto"/>
              </w:rPr>
            </w:pPr>
            <w:r>
              <w:rPr>
                <w:rFonts w:ascii="Arial" w:cs="Arial" w:eastAsia="Arial" w:hAnsi="Arial"/>
                <w:sz w:val="16"/>
                <w:szCs w:val="16"/>
                <w:b w:val="1"/>
                <w:bCs w:val="1"/>
                <w:color w:val="auto"/>
              </w:rPr>
              <w:t>Goodwill and Other Long-Lived Assets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6,345</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6,306</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18,216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25,117</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104</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25</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771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6,449</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6,389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18,987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25,367</w:t>
            </w: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20</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54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181</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542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445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147</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417</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346</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277</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25</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1,013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20</w:t>
            </w:r>
          </w:p>
        </w:tc>
      </w:tr>
    </w:tbl>
    <w:p>
      <w:pPr>
        <w:spacing w:after="0" w:line="148"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Manufacturing includes four businesses: Dekko, a manufacturer of electrical workspace solutions, architectural lighting and electrical components and assemblies; Joyce/Dayton Corp., a manufacturer of screw jacks and other linear motion systems; Forney, a global supplier of products and systems that control and monitor combustion processes in electric utility and industrial applications; and Hoover Treated Wood Products, Inc., a supplier of</w:t>
      </w:r>
    </w:p>
    <w:p>
      <w:pPr>
        <w:sectPr>
          <w:pgSz w:w="11900" w:h="16838" w:orient="portrait"/>
          <w:cols w:equalWidth="0" w:num="1">
            <w:col w:w="11420"/>
          </w:cols>
          <w:pgMar w:left="240" w:top="719" w:right="239" w:bottom="651"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719" w:right="239" w:bottom="651" w:gutter="0" w:footer="0" w:header="0"/>
          <w:type w:val="continuous"/>
        </w:sectPr>
      </w:pPr>
    </w:p>
    <w:bookmarkStart w:id="36" w:name="page37"/>
    <w:bookmarkEnd w:id="36"/>
    <w:p>
      <w:pPr>
        <w:ind w:right="220"/>
        <w:spacing w:after="0" w:line="229" w:lineRule="auto"/>
        <w:rPr>
          <w:sz w:val="20"/>
          <w:szCs w:val="20"/>
          <w:color w:val="auto"/>
        </w:rPr>
      </w:pPr>
      <w:r>
        <w:rPr>
          <w:rFonts w:ascii="Arial" w:cs="Arial" w:eastAsia="Arial" w:hAnsi="Arial"/>
          <w:sz w:val="18"/>
          <w:szCs w:val="18"/>
          <w:color w:val="auto"/>
        </w:rPr>
        <w:t>pressure impregnated kiln-dried lumber and plywood products for fire retardant and preservative applications that the Company acquired in April 2017. In July 2018, Dekko acquired Furnlite, Inc., a Fallston, NC-based manufacturer of power and data solutions for the hospitality and residential furniture industry.</w:t>
      </w:r>
    </w:p>
    <w:p>
      <w:pPr>
        <w:spacing w:after="0" w:line="13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Manufacturing revenues increased in the first nine months of 2018 due to the Hoover acquisition. Manufacturing operating income decreased in the third quarter of 2018 due largely to a decline at Hoover from the adverse impact of lower wood prices on inventory values. Operating income increased in the first nine months of 2018 due largely to the Hoover acquisition. Also, in the second quarter of 2017, the Company recorded a $9.2 million goodwill and other long-lived asset impairment charge at Forney, due to lower than expected revenues resulting from sluggish overall demand for its energy products.</w:t>
      </w:r>
    </w:p>
    <w:p>
      <w:pPr>
        <w:spacing w:after="0" w:line="137"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SocialCode is a provider of marketing solutions on social, mobile and video platforms. In the third quarter of 2018, SocialCode acquired Marketplace Strategy (MPS), a Cleveland-based Amazon sales acceleration agency. SocialCode’s revenue decreased 5% in the third quarter of 2018 and was flat for the first nine months of 2018. SocialCode reported operating income of $5.1 million and an operating loss of $0.4 million in the third quarter and first nine months of 2018, respectively, compared to operating losses of $6.2 million and $8.2 million in the third quarter and first nine months of 2017, respectively. The improved results include a $7.5 million and $7.2 million credit related to SocialCode’s phantom equity plans in the third quarter and first nine months of 2018, respectively; 2017 results included $5.1 million and $1.2 million in expense related to SocialCode’s phantom equity plans in the third quarter and first nine months, respectively. As of September 30, 2018, the accrual balance related to these plans is $7.9 million.</w:t>
      </w:r>
    </w:p>
    <w:p>
      <w:pPr>
        <w:spacing w:after="0" w:line="136" w:lineRule="exact"/>
        <w:rPr>
          <w:sz w:val="20"/>
          <w:szCs w:val="20"/>
          <w:color w:val="auto"/>
        </w:rPr>
      </w:pPr>
    </w:p>
    <w:p>
      <w:pPr>
        <w:ind w:right="500"/>
        <w:spacing w:after="0" w:line="229" w:lineRule="auto"/>
        <w:rPr>
          <w:sz w:val="20"/>
          <w:szCs w:val="20"/>
          <w:color w:val="auto"/>
        </w:rPr>
      </w:pPr>
      <w:r>
        <w:rPr>
          <w:rFonts w:ascii="Arial" w:cs="Arial" w:eastAsia="Arial" w:hAnsi="Arial"/>
          <w:sz w:val="18"/>
          <w:szCs w:val="18"/>
          <w:color w:val="auto"/>
        </w:rPr>
        <w:t>Other businesses include Slate and Foreign Policy, which publish online and print magazines and websites; and two investment stage businesses, Panoply and CyberVista. Losses from each of these businesses in the first nine months of 2018 adversely affected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880"/>
        <w:spacing w:after="0" w:line="235"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(Losses) of Affiliates</w:t>
      </w:r>
    </w:p>
    <w:p>
      <w:pPr>
        <w:spacing w:after="0" w:line="166"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At September 30, 2018, the Company held interests in a number of home health and hospice joint ventures, and interests in several other affiliates. In the second half of 2017, the Company acquired approximately 11% of Intersection Holdings, LLC, which provides digital marketing and advertising services and products for cities, transit systems, airports, and other public and private spaces. The Company recorded equity in earnings of affiliates of $9.5 million for the third quarter of 2018, compared to equity in losses of affiliates of $0.5 million for the third quarter of 2017. In the third quarter of 2018, the Company recorded $7.9 million in gains in equity in earnings of affiliates related to two of its investments. The Company recorded equity in earnings of affiliates of $13.0 million for the first nine months of 2018, compared to $1.4 million for the first nine months of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Debt Extinguishment Costs and Related Balances</w:t>
      </w:r>
    </w:p>
    <w:p>
      <w:pPr>
        <w:spacing w:after="0" w:line="166"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On May 30, 2018, the Company issued 5.75% unsecured eight-year fixed-rate notes due June 1, 2026. Interest is payable semi-annually on June 1 and December 1, beginning on December 1, 2018. On June 29, 2018, the Company used the net proceeds from the sale of the notes and other cash to repay $400 million of 7.25% notes that were due February 1, 2019. The Company incurred $11.4 million in debt extinguishment costs related to the early termination of the 7.25%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net interest expense of $5.5 million and $27.5 million for the third quarter and first nine months of 2018, compared to</w:t>
      </w:r>
    </w:p>
    <w:p>
      <w:pPr>
        <w:ind w:right="80"/>
        <w:spacing w:after="0" w:line="235" w:lineRule="auto"/>
        <w:rPr>
          <w:sz w:val="20"/>
          <w:szCs w:val="20"/>
          <w:color w:val="auto"/>
        </w:rPr>
      </w:pPr>
      <w:r>
        <w:rPr>
          <w:rFonts w:ascii="Arial" w:cs="Arial" w:eastAsia="Arial" w:hAnsi="Arial"/>
          <w:sz w:val="18"/>
          <w:szCs w:val="18"/>
          <w:color w:val="auto"/>
        </w:rPr>
        <w:t>$7.8 million and $22.4 million for the third quarter and first nine months of 2017. The Company incurred $6.2 million in interest expense related to the mandatorily redeemable noncontrolling interest at GHG settled in the second quarter of 2018.</w:t>
      </w:r>
    </w:p>
    <w:p>
      <w:pPr>
        <w:spacing w:after="0" w:line="135"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At September 30, 2018, the Company had $479.6 million in borrowings outstanding at an average interest rate of 5.1% and cash, marketable equity securities and other investments of $794.7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66"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 the first quarter of 2018, the Company adopted new accounting guidance that changes the income statement classification of net periodic pension and postretirement pension cost. Under the new guidance, service cost is included in operating income, while the other components (including expected return on assets) are included in non-operating income. The new guidance was required to be applied retrospectively, with prior period financial information revised to reflect the reclassification. From a segment reporting perspective, this change had a</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19"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significant impact on Corporate office reporting, with minimal impact on the television broadcasting and Kaplan corporate reporting.</w:t>
      </w:r>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recorded net non-operating pension and postretirement benefit income of $ 22.2 million and $66.6 million for the third quarter and first nine months of 2018, compared to $17.6 million and $55.0 million for the third quarter and first nine months of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on Marketable Equity Securities, net</w:t>
      </w:r>
    </w:p>
    <w:p>
      <w:pPr>
        <w:spacing w:after="0" w:line="166" w:lineRule="exact"/>
        <w:rPr>
          <w:sz w:val="20"/>
          <w:szCs w:val="20"/>
          <w:color w:val="auto"/>
        </w:rPr>
      </w:pPr>
    </w:p>
    <w:p>
      <w:pPr>
        <w:jc w:val="both"/>
        <w:ind w:right="340"/>
        <w:spacing w:after="0" w:line="229" w:lineRule="auto"/>
        <w:rPr>
          <w:sz w:val="20"/>
          <w:szCs w:val="20"/>
          <w:color w:val="auto"/>
        </w:rPr>
      </w:pPr>
      <w:r>
        <w:rPr>
          <w:rFonts w:ascii="Arial" w:cs="Arial" w:eastAsia="Arial" w:hAnsi="Arial"/>
          <w:sz w:val="18"/>
          <w:szCs w:val="18"/>
          <w:color w:val="auto"/>
        </w:rPr>
        <w:t>In the first quarter of 2018, the Company adopted new guidance that requires changes in the fair value of marketable equity securities to be included in non-operating income (expense) on a prospective basis. Overall, the Company recognized $45.0 million and $28.3 million in net gains on marketable equity securities in the third quarter and first nine months of 2018,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66" w:lineRule="exact"/>
        <w:rPr>
          <w:sz w:val="20"/>
          <w:szCs w:val="20"/>
          <w:color w:val="auto"/>
        </w:rPr>
      </w:pPr>
    </w:p>
    <w:p>
      <w:pPr>
        <w:jc w:val="both"/>
        <w:ind w:right="60"/>
        <w:spacing w:after="0" w:line="227" w:lineRule="auto"/>
        <w:rPr>
          <w:sz w:val="20"/>
          <w:szCs w:val="20"/>
          <w:color w:val="auto"/>
        </w:rPr>
      </w:pPr>
      <w:r>
        <w:rPr>
          <w:rFonts w:ascii="Arial" w:cs="Arial" w:eastAsia="Arial" w:hAnsi="Arial"/>
          <w:sz w:val="18"/>
          <w:szCs w:val="18"/>
          <w:color w:val="auto"/>
        </w:rPr>
        <w:t>The Company recorded total other non-operating income, net, of $3.1 million for the third quarter of 2018, compared to $2.0 million for the third quarter of 2017. The 2018 amounts included $8.5 million in fair value increases on cost method investments and other items, partially offset by a $3.3 million net loss related to sales of businesses and contingent consideration; a $2.5 million impairment of a cost method investment; and $0.1 million in foreign currency losses. The 2017 amounts included $1.4 million in foreign currency gains and other items.</w:t>
      </w:r>
    </w:p>
    <w:p>
      <w:pPr>
        <w:spacing w:after="0" w:line="13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Company recorded total other non-operating income, net, of $ 14.7 million for the first nine months of 2018, compared to $6.9 million for the first nine months of 2017. The 2018 amounts included $8.5 million in fair value increases on cost method investments; $4.0 million net gain related to sales of businesses and contingent consideration; a $2.8 million gain on sale of a cost method investment; a $2.5 million gain on sale of land; and other items, partially offset by a $2.5 million impairment of a cost method investment and $2.2 million in foreign currency losses. The 2017 amounts included $6.6 million in foreign currency gains and other items.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The Company’s effective tax rate for the first nine months of 2018 was 15.6%. In the third quarter of 2018, the Company recorded a $17.8 million deferred state tax benefit related to the release of valuation allowances. Excluding this $17.8 million benefit and a $1.8 million income tax benefit related to stock compensation, the overall income tax rate for the first nine months of 2018 was 23.3%. The Tax Cuts and Jobs Act was enacted in December 2017, which included lowering the federal corporate income tax rate from 35% to 21%.</w:t>
      </w:r>
    </w:p>
    <w:p>
      <w:pPr>
        <w:spacing w:after="0" w:line="135"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The Company's effective tax rate for the first nine months of 2017 was 31.3%. This low effective tax rate is due to a $5.9 million income tax benefit related to the vesting of restricted stock awards. In the first quarter of 2017, the Company adopted a new accounting standard that requires all excess income tax benefits and deficiencies from stock compensation to be recorded as discrete items in the provision for income taxes. Excluding this $5.9 million benefit, the overall income tax rate for the first nine months of 2017 was 35.9%.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6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calculation of diluted earnings per share for the third quarter and first nine months of 2018 was based on 5,336,612 and 5,390,049 weighted average shares outstanding, compared to 5,554,458 and 5,566,874 for the third quarter and first nine months of 2017. At September 30, 2018, there were 5,316,329 shares outstanding. On November 9, 2017, the Board of Directors authorized the Company to acquire up to 500,000 shares of its Class B common stock; the Company has remaining authorization for 286,025 shares as of September 30, 2018.</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Adoption of Revenue Recognition Standard</w:t>
      </w:r>
    </w:p>
    <w:p>
      <w:pPr>
        <w:spacing w:after="0" w:line="166"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On January 1, 2018, the Company adopted the new revenue recognition guidance using the modified retrospective approach. In connection with the KU Transaction, Kaplan recognized $4.5 million in service fee revenue and operating income in the third quarter of 2018. Under the previous guidance, this would not have been recognized as a determination would not have been made until the end of Purdue Global’s fiscal year (June 30, 2019). If the company applied the accounting policies under the previous guidance for all other revenue streams, revenue would have been $1.2 million lower and operating expenses would have been $2.6 million lower for the first nine months of 2018.</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19"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Dispositions and Exchanges</w:t>
      </w:r>
    </w:p>
    <w:p>
      <w:pPr>
        <w:spacing w:after="0" w:line="144"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In the first nine months of 2018, the Company acquired eight businesses, five in its education division, one in its healthcare</w:t>
      </w:r>
      <w:r>
        <w:rPr>
          <w:rFonts w:ascii="Arial" w:cs="Arial" w:eastAsia="Arial" w:hAnsi="Arial"/>
          <w:sz w:val="18"/>
          <w:szCs w:val="18"/>
          <w:b w:val="1"/>
          <w:bCs w:val="1"/>
          <w:color w:val="auto"/>
        </w:rPr>
        <w:t xml:space="preserve"> </w:t>
      </w:r>
      <w:r>
        <w:rPr>
          <w:rFonts w:ascii="Arial" w:cs="Arial" w:eastAsia="Arial" w:hAnsi="Arial"/>
          <w:sz w:val="18"/>
          <w:szCs w:val="18"/>
          <w:color w:val="auto"/>
        </w:rPr>
        <w:t>division, and two in other businesses for $120.9 million in cash and contingent consideration.</w:t>
      </w:r>
    </w:p>
    <w:p>
      <w:pPr>
        <w:spacing w:after="0" w:line="121"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September 2018, Graham Healthcare Group (GHG) acquired the assets of a small business and Kaplan acquired the test preparation and study guide assets of Barron’s Educational Series, a New York-based education publishing company. The acquisitions are expected to complement the healthcare and test preparation services currently offered by GHG and Kaplan, respectively. GHG is included in the healthcare division. The Barron’s Educational Series acquisition is included in the test preparation division.</w:t>
      </w:r>
    </w:p>
    <w:p>
      <w:pPr>
        <w:spacing w:after="0" w:line="135"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In August 2018, SocialCode acquired 100% of the membership interests of Marketplace Strategy (MPS), a Cleveland-based digital marketing agency that provides strategy consulting, optimization services, advertising management and creative solutions on online marketplaces including Amazon. SocialCode’s primary reason for the acquisition is to expand its platform offerings. The acquisition is included in other businesses.</w:t>
      </w:r>
    </w:p>
    <w:p>
      <w:pPr>
        <w:spacing w:after="0" w:line="135"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On July 31, 2018, Dekko acquired 100% of the issued and outstanding shares of Furnlite, Inc., a Fallston, NC-based manufacturer of power and data solutions for the hospitality and residential furniture industry. Dekko’s primary reasons for the acquisition are to complement existing product offerings and to provide potential synergies across the businesses. The acquisition is included in other businesses.</w:t>
      </w:r>
    </w:p>
    <w:p>
      <w:pPr>
        <w:spacing w:after="0" w:line="137"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On July 12, 2018, Kaplan acquired 100% of the issued and outstanding shares of the College for Financial Planning (CFFP), a provider of financial education and training to individuals pursuing the Certified Financial Planner certification, a Master of Science in Personal Financial Planning, or a Master of Science in Finance. The acquisition is expected to expand Kaplan’s financial education product offerings and is included in the Professional (U.S.) division.</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May 2018, Kaplan acquired a 100% interest in Professional Publications, Inc. (PPI), an independent publisher of professional licensing exam review materials and a leader in engineering, surveying, architecture, and interior design licensure exam review, by purchasing all of its issued and outstanding shares. This acquisition is expected to provide certain strategic benefits in the future. This acquisition is included in the Professional (U.S.) division.</w:t>
      </w:r>
    </w:p>
    <w:p>
      <w:pPr>
        <w:spacing w:after="0" w:line="135"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In January and February 2018, Kaplan acquired the assets of i-Human Patients, Inc., a leader in cloud-based, interactive patient encounter simulations for medical and nursing professionals and educators, and another small business in its test preparation and international divisions, respectively. These acquisitions are expected to provide strategic benefits in the future.</w:t>
      </w:r>
    </w:p>
    <w:p>
      <w:pPr>
        <w:spacing w:after="0" w:line="137"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During 2017, the Company acquired six businesses, two in its education division, two in its television broadcasting division, one in its healthcare division and one in other businesses for $318.9 million in cash and contingent consideration, and the assumption of $59.1 million in certain pension and postretirement obligations.</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On January 17, 2017, the Company closed on its agreement with Nexstar Broadcasting Group, Inc. and Media General, Inc. to acquire the assets of WCWJ, a CW affiliate television station in Jacksonville, FL and WSLS, an NBC affiliate television station in Roanoke, VA, for cash and the assumption of certain pension obligations. The acquisition of WCWJ and WSLS will complement the other stations that GMG operates. Both of these acquisitions are included in television broadcasting.</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 February 2017, Kaplan acquired a 100% interest in Genesis Training Institute, a Dubai-based provider of professional development training in the United Arab Emirates, by purchasing all of its issued and outstanding shares. Additionally, Kaplan acquired a 100% interest in Red Marker Pty Ltd, an Australia-based regulatory technology company by purchasing all of its outstanding shares. These acquisitions are expected to provide certain strategic benefits in the future. Both of these acquisitions are included in Kaplan International.</w:t>
      </w:r>
    </w:p>
    <w:p>
      <w:pPr>
        <w:spacing w:after="0" w:line="135"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In April 2017, the Company acquired 97.72% of the issued and outstanding shares of Hoover Treated Wood Products, Inc., a Thomson, GA-based supplier of pressure impregnated kiln-dried lumber and plywood products for fire retardant and preservative applications for $206.8 million, net of cash acquired. The fair value of the redeemable noncontrolling interest in Hoover was $3.7 million at the acquisition date, determined using a market approach. The minority shareholders have an option to put some of their shares to the Company starting in 2019 and the remaining shares starting in 2021. The Company has an option to buy the shares of minority shareholders starting in 2027. This acquisition is consistent with the Company’s ongoing strategy of investing in companies with a history of profitability and strong management. Hoover is included in other businesses.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97" w:right="239" w:bottom="1440" w:gutter="0" w:footer="0" w:header="0"/>
        </w:sectPr>
      </w:pPr>
    </w:p>
    <w:bookmarkStart w:id="39" w:name="page40"/>
    <w:bookmarkEnd w:id="39"/>
    <w:p>
      <w:pPr>
        <w:ind w:right="140"/>
        <w:spacing w:after="0" w:line="229" w:lineRule="auto"/>
        <w:rPr>
          <w:sz w:val="20"/>
          <w:szCs w:val="20"/>
          <w:color w:val="auto"/>
        </w:rPr>
      </w:pPr>
      <w:r>
        <w:rPr>
          <w:rFonts w:ascii="Arial" w:cs="Arial" w:eastAsia="Arial" w:hAnsi="Arial"/>
          <w:sz w:val="18"/>
          <w:szCs w:val="18"/>
          <w:color w:val="auto"/>
        </w:rPr>
        <w:t>At the end of June 2017, GHG acquired a 100% interest in Hometown Home Health and Hospice, a Lapeer, MI-based healthcare services provider by purchasing all of its issued and outstanding shares. This acquisition expands GHG’s service area in Michigan. GHG is included in healthcare.</w:t>
      </w:r>
    </w:p>
    <w:p>
      <w:pPr>
        <w:spacing w:after="0" w:line="115"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b w:val="1"/>
          <w:bCs w:val="1"/>
          <w:color w:val="auto"/>
        </w:rPr>
        <w:t xml:space="preserve">Kaplan University Transaction. </w:t>
      </w:r>
      <w:r>
        <w:rPr>
          <w:rFonts w:ascii="Arial" w:cs="Arial" w:eastAsia="Arial" w:hAnsi="Arial"/>
          <w:sz w:val="18"/>
          <w:szCs w:val="18"/>
          <w:color w:val="auto"/>
        </w:rPr>
        <w:t>On April 27, 2017, certain subsidiaries of Kaplan entered into a Contribution and Transfer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contribute the institutional assets and operations of Kaplan University to an Indiana non-profit, public-benefit corporation that is a subsidiary affiliated with Purdue University. The closing of the transactions contemplated by the Transfer Agreement occurred on March 22, 2018. At the same time, the parties entered into a Transition and Operations Support Agreement (TOSA) pursuant to which Kaplan will provide key non-academic operations support to the new university.</w:t>
      </w:r>
    </w:p>
    <w:p>
      <w:pPr>
        <w:spacing w:after="0" w:line="138"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new university will operate largely online as a new Indiana public university affiliated with Purdue under the name Purdue University Global. As part of the transfer to Purdue University Global, KU transferred students, academic personnel, faculty and operations, property leases for KU’s campuses and learning centers, Kaplan-owned academic curricula and content related to KU courses. The operations support activities that Kaplan will provide to Purdue University Global will include technology support, help-desk functions, human resources support for transferred faculty and employees, admissions support, financial aid administration, marketing and advertising, back-office business functions, certain test preparation and domestic and international student recruiting services.</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transfer of KU does not include any of the assets of the KU School of Professional and Continuing Education, which provides professional training and exam preparation for professional certifications and licensures, nor does it include the transfer of other Kaplan businesses such as Kaplan Test Preparation and Kaplan International. Those entities, programs and business lines will remain part of Kaplan. Kaplan received nominal cash consideration upon transfer of the institutional assets.</w:t>
      </w:r>
    </w:p>
    <w:p>
      <w:pPr>
        <w:spacing w:after="0" w:line="135"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Pursuant to the TOSA, Kaplan is not entitled to receive any reimbursement of costs incurred in providing support functions, or any fee, unless and until Purdue University Global has first covered all of its operating costs (subject to a cap). If Purdue University Global achieves cost efficiencies in its operations, then Purdue University Global may be entitled to an additional payment equal to 20 percent of such cost efficiencies (Purdue Efficiency Payment). In addition, during each of Purdue University Global’s first five years, prior to any payment to Kaplan, Purdue University Global is entitled to a priority payment of $10 million per year beyond costs. To the extent Purdue University Global’s revenue is insufficient to pay the $10 million per year priority payment, Kaplan is required to advance an amount to Purdue University Global to cover such insufficiency. At closing, Kaplan paid to Purdue University Global an advance in the amount of $20 million, representing, and in lieu of, priority payments for Purdue University Global’s fiscal years ending June 30, 2019 and June 30, 2020.</w:t>
      </w:r>
    </w:p>
    <w:p>
      <w:pPr>
        <w:spacing w:after="0" w:line="136"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To the extent that there are sufficient revenues to pay the Purdue Efficiency Payment, Purdue University Global is reimbursed for its operating costs (subject to a cap) and the priority payment to Purdue University Global is paid. To the extent there is remaining revenue, Kaplan will then receive reimbursement for its operating costs (subject to a cap) of providing the support activities. If Kaplan achieves cost efficiencies in its operations, then Kaplan may be entitled to an additional payment equal to 20 percent of such cost efficiencies (Kaplan Efficiency Payment). If there are sufficient revenues, Kaplan may also receive a fee equal to 12.5 percent of Purdue University Global’s revenue. The fee will increase to 13 percent beginning with Purdue University Global’s fiscal year ending June 30, 2023 and continuing through Purdue University Global’s fiscal year ending June 30, 2027, and then the fee will return to 12.5 percent thereafter. Subject to certain limitations, a portion of the fee that is earned by Kaplan in one year may be carried over and instead paid to Kaplan in subsequent years.</w:t>
      </w:r>
    </w:p>
    <w:p>
      <w:pPr>
        <w:spacing w:after="0" w:line="136" w:lineRule="exact"/>
        <w:rPr>
          <w:sz w:val="20"/>
          <w:szCs w:val="20"/>
          <w:color w:val="auto"/>
        </w:rPr>
      </w:pPr>
    </w:p>
    <w:p>
      <w:pPr>
        <w:ind w:right="100"/>
        <w:spacing w:after="0" w:line="221" w:lineRule="auto"/>
        <w:rPr>
          <w:sz w:val="20"/>
          <w:szCs w:val="20"/>
          <w:color w:val="auto"/>
        </w:rPr>
      </w:pPr>
      <w:r>
        <w:rPr>
          <w:rFonts w:ascii="Arial" w:cs="Arial" w:eastAsia="Arial" w:hAnsi="Arial"/>
          <w:sz w:val="18"/>
          <w:szCs w:val="18"/>
          <w:color w:val="auto"/>
        </w:rPr>
        <w:t>After the first five years of the TOSA, Kaplan and Purdue University Global will be entitled to payments in a manner consistent with the structure described above, except that (i) Purdue University Global will no longer be entitled to a priority payment and (ii) to the extent that there are sufficient revenues after payment of the Kaplan Efficiency Payment (if any), Purdue University Global will be entitled to an annual payment equal to 10 percent of the remaining revenue after the Kaplan Efficiency Payment (if any) is paid and subject to certain other adjustments. The TOSA has a 30-year initial term, which will automatically renew for five-year periods unless terminated. After the sixth year, Purdue University Global has the right to terminate the agreement upon payment of a termination fee equal to 1.25 times Purdue University Global’s revenue for the preceding 12-month period, which payment would be made pursuant to a 10-year note, and at the election of Purdue University Global, it may receive for no additional consideration certain assets used by Kaplan to provide the support activities pursuant to the TOSA. At the end of the 30-year term, if Purdue University Global does not renew the TOSA, Purdue University Global will be obligated to make a final payment of 75% of its total revenue earned during the preceding 12-month period, which payment will be made pursuant to a 10-year note, and at the election of Purdue University Global, it may receive for no additional consideration certain assets used by Kaplan to provide the support activities pursuant to the TOSA.</w:t>
      </w:r>
    </w:p>
    <w:p>
      <w:pPr>
        <w:spacing w:after="0" w:line="144"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Either party may terminate the TOSA at any time if Purdue University Global generates (i) $25 million in cash operating losses for three consecutive years or (ii) aggregate cash operating losses greater than $75 million at any point during the initial term. Operating loss is defined as the amount of revenue Purdue University Global generates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719" w:right="279" w:bottom="1440" w:gutter="0" w:footer="0" w:header="0"/>
        </w:sectPr>
      </w:pPr>
    </w:p>
    <w:bookmarkStart w:id="40" w:name="page41"/>
    <w:bookmarkEnd w:id="40"/>
    <w:p>
      <w:pPr>
        <w:ind w:right="200"/>
        <w:spacing w:after="0" w:line="227" w:lineRule="auto"/>
        <w:rPr>
          <w:sz w:val="20"/>
          <w:szCs w:val="20"/>
          <w:color w:val="auto"/>
        </w:rPr>
      </w:pPr>
      <w:r>
        <w:rPr>
          <w:rFonts w:ascii="Arial" w:cs="Arial" w:eastAsia="Arial" w:hAnsi="Arial"/>
          <w:sz w:val="18"/>
          <w:szCs w:val="18"/>
          <w:color w:val="auto"/>
        </w:rPr>
        <w:t>minus the sum of (1) Purdue University Global’s and Kaplan’s respective costs in performing academic and support functions and (2) the $10 million priority payment to Purdue University Global in each of the first five years. Upon termination for any reason, Purdue University Global will retain the assets that Kaplan contributed pursuant to the Transfer Agreement. Each party also has certain termination rights in connection with a material default or material breach of the TOSA by the other party.</w:t>
      </w:r>
    </w:p>
    <w:p>
      <w:pPr>
        <w:spacing w:after="0" w:line="135"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Pursuant to the U.S. Department of Education (ED) requirements, Purdue assumes responsibility for any liability arising from the operation of the institution. This assumption will not limit Kaplan’s obligation to indemnify Purdue for pre-closing liabilities under the Transfer Agreement. As a result of the transfer of KU, Kaplan will no longer own or operate KU or any other institution participating in student financial aid programs that have been created under Title IV of the U.S. Federal Higher Education Act of 1965, as amended. Consequently, Kaplan is no longer responsible for operating KU. However, pursuant to the TOSA, Kaplan will be performing functions that fall within the ED's definition of a third-party servicer and will, therefore, assume certain regulatory responsibilities that require approval by the ED. The third-party servicer arrangement between Kaplan and Purdue University Global is also subject to information security requirements established by the Federal Trade Commission as well as all aspects of the Family Educational Rights and Privacy Act. As a third-party servicer, Kaplan may be required to undergo an annual compliance audit of its administration of the Title IV functions or services that it performs.</w:t>
      </w:r>
    </w:p>
    <w:p>
      <w:pPr>
        <w:spacing w:after="0" w:line="141"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As a result of the KU Transaction, the Company recorded a pre-tax gain of $4.3 million in the first quarter of 2018. For financial reporting purposes, Kaplan may receive payment of additional consideration for the sale of the institutional assets as part of the fee to the extent there are sufficient revenues available after paying all amounts required by the TOSA. The Company recorded a $0.5 million and $1.9 million contingent consideration gain related to the disposition in the three and nine months ended September 30, 2018, respectively.</w:t>
      </w:r>
    </w:p>
    <w:p>
      <w:pPr>
        <w:spacing w:after="0" w:line="113"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September 2018, Kaplan Australia completed the sale of a small business which was included in Kaplan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In February 2018, Kaplan completed the sale of a small business which was included in Test Preparation. In February 2017, GHG completed the sale of Celtic Healthcare of Maryland. In the fourth quarter of 2017, Kaplan Australia completed the sale of a small business, which was included in Kaplan International. As a result of these sales, the Company reported gains (losses) in other non-operating income.</w:t>
      </w:r>
    </w:p>
    <w:p>
      <w:pPr>
        <w:spacing w:after="0" w:line="115"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June 2018, the Company incurred $6.2 million of interest expense related to the mandatorily redeemable</w:t>
      </w:r>
      <w:r>
        <w:rPr>
          <w:rFonts w:ascii="Arial" w:cs="Arial" w:eastAsia="Arial" w:hAnsi="Arial"/>
          <w:sz w:val="18"/>
          <w:szCs w:val="18"/>
          <w:b w:val="1"/>
          <w:bCs w:val="1"/>
          <w:color w:val="auto"/>
        </w:rPr>
        <w:t xml:space="preserve"> </w:t>
      </w:r>
      <w:r>
        <w:rPr>
          <w:rFonts w:ascii="Arial" w:cs="Arial" w:eastAsia="Arial" w:hAnsi="Arial"/>
          <w:sz w:val="18"/>
          <w:szCs w:val="18"/>
          <w:color w:val="auto"/>
        </w:rPr>
        <w:t>noncontrolling interest redemption settlement at GHG. The mandatorily redeemable noncontrolling interest was redeemed and paid in July 2018.</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6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During the first nine months of 2018, the Company’s capital expenditures totaled $57.8 million. This amount includes assets acquired during the year, whereas the amounts reflected in the Company’s Condensed Statements of Cash Flows are based on cash payments made during the relevant periods. The Company estimates that its capital expenditures will be in the range of $95 million to $105 million in 2018. This includes amounts for constructing an academic and student residential facility in connection with Kaplan’s Pathways program in Liverpool, U.K. This also includes capital expenditures in connection with spectrum repacking at the Company’s television stations in Jacksonville, FL, and Roanoke, VA, as mandated by the FCC; these expenditures are expected to be largely reimbursed to the Company by the FCC.</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were $479.6 million and $493.3 million, at September 30, 2018 and December 31, 2017, respectively.</w:t>
      </w:r>
    </w:p>
    <w:p>
      <w:pPr>
        <w:spacing w:after="0" w:line="144"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At September 30, 2018, the Company had cash and cash equivalents, restricted cash and investments in marketable securities and other investments totaling $794.7 million, compared with $964.7 million at December 31, 2017. At September 30, 2018, the Company held approximately $165 million in cash and cash equivalents in businesses domiciled outside the U.S., of which approximately $5 million is not available for immediate use in operations or for distribution. Additionally, Kaplan’s business operations outside the U.S. retain cash balances to support ongoing working capital requirements, capital expenditures, and regulatory requirements. As a result, the Company considers a significant portion of the cash and cash equivalents balance held outside the U.S. as not readily available for use in U.S. operations.</w:t>
      </w:r>
    </w:p>
    <w:p>
      <w:pPr>
        <w:spacing w:after="0" w:line="137"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The Company’s net cash provided by operating activities, as reported in the Company’s Condensed Consolidated Statements of Cash Flows, was $191.9 million for the first nine months of 2018, compared to $220.9 million for the first nine months of 2017. The decrease is due to a reduction in cash receipts from customers and increased pre-payments.</w:t>
      </w:r>
    </w:p>
    <w:p>
      <w:pPr>
        <w:spacing w:after="0" w:line="137" w:lineRule="exact"/>
        <w:rPr>
          <w:sz w:val="20"/>
          <w:szCs w:val="20"/>
          <w:color w:val="auto"/>
        </w:rPr>
      </w:pPr>
    </w:p>
    <w:p>
      <w:pPr>
        <w:ind w:right="920"/>
        <w:spacing w:after="0" w:line="235" w:lineRule="auto"/>
        <w:rPr>
          <w:sz w:val="20"/>
          <w:szCs w:val="20"/>
          <w:color w:val="auto"/>
        </w:rPr>
      </w:pPr>
      <w:r>
        <w:rPr>
          <w:rFonts w:ascii="Arial" w:cs="Arial" w:eastAsia="Arial" w:hAnsi="Arial"/>
          <w:sz w:val="18"/>
          <w:szCs w:val="18"/>
          <w:color w:val="auto"/>
        </w:rPr>
        <w:t>On May 30, 2018, the Company issued $400 million senior unsecured fixed-rate notes due June 1, 2026 (the Notes). The Notes are guaranteed, jointly and severally, on a senior unsecured basis, by certain of the Company’s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719" w:right="259" w:bottom="1440" w:gutter="0" w:footer="0" w:header="0"/>
        </w:sectPr>
      </w:pPr>
    </w:p>
    <w:bookmarkStart w:id="41" w:name="page42"/>
    <w:bookmarkEnd w:id="41"/>
    <w:p>
      <w:pPr>
        <w:ind w:right="20"/>
        <w:spacing w:after="0" w:line="229" w:lineRule="auto"/>
        <w:rPr>
          <w:sz w:val="20"/>
          <w:szCs w:val="20"/>
          <w:color w:val="auto"/>
        </w:rPr>
      </w:pPr>
      <w:r>
        <w:rPr>
          <w:rFonts w:ascii="Arial" w:cs="Arial" w:eastAsia="Arial" w:hAnsi="Arial"/>
          <w:sz w:val="18"/>
          <w:szCs w:val="18"/>
          <w:color w:val="auto"/>
        </w:rPr>
        <w:t>existing and future domestic subsidiaries, as described in the terms of the indenture, dated as of May 30, 2018 (the Indenture). The Notes have a coupon rate of 5.75% per annum, payable semi-annually on June 1 and December 1, beginning on December 1, 2018. The Company may redeem the Notes in whole or in part at any time at the respective redemption prices described in the Indenture.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On June 29, 2018, the Company used the net proceeds from the sale of the Notes, together with cash on hand, to redeem the $400 million of</w:t>
      </w:r>
    </w:p>
    <w:p>
      <w:pPr>
        <w:spacing w:after="0" w:line="219" w:lineRule="auto"/>
        <w:rPr>
          <w:sz w:val="20"/>
          <w:szCs w:val="20"/>
          <w:color w:val="auto"/>
        </w:rPr>
      </w:pPr>
      <w:r>
        <w:rPr>
          <w:rFonts w:ascii="Arial" w:cs="Arial" w:eastAsia="Arial" w:hAnsi="Arial"/>
          <w:sz w:val="18"/>
          <w:szCs w:val="18"/>
          <w:color w:val="auto"/>
        </w:rPr>
        <w:t>7.25% notes due February 1, 2019. The Company incurred $11.4 million in debt extinguishment costs in relation to the early termination of the</w:t>
      </w:r>
    </w:p>
    <w:p>
      <w:pPr>
        <w:spacing w:after="0"/>
        <w:rPr>
          <w:sz w:val="20"/>
          <w:szCs w:val="20"/>
          <w:color w:val="auto"/>
        </w:rPr>
      </w:pPr>
      <w:r>
        <w:rPr>
          <w:rFonts w:ascii="Arial" w:cs="Arial" w:eastAsia="Arial" w:hAnsi="Arial"/>
          <w:sz w:val="18"/>
          <w:szCs w:val="18"/>
          <w:color w:val="auto"/>
        </w:rPr>
        <w:t>7.25% notes.</w:t>
      </w:r>
    </w:p>
    <w:p>
      <w:pPr>
        <w:spacing w:after="0" w:line="144"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In combination with the issuance of the Notes, the Company and certain of the Company’s domestic subsidiaries named therein as guarantors entered into an amended and restated credit agreement providing for a U.S. $300 million five-year revolving credit facility (the Revolving Credit Facility) with each of the lenders party thereto, certain of the Company’s foreign subsidiaries from time to time party thereto as foreign borrowers, Wells Fargo Bank, N.A., as Administrative Agent (Wells Fargo), JPMorgan Chase Bank, N.A., as Syndication Agent, and HSBC Bank USA, N.A. and Bank of America, N.A. as Documentation Agents (the Amended and Restated Credit Agreement), which amends and restates the Company’s existing Five Year Credit Agreement, dated as of June 29, 2015, among the Company, certain of its domestic subsidiaries as guarantors, the several lenders from time to time party thereto, Wells Fargo Bank, N.A., as Administrative Agent and JPMorgan Chase Bank, N.A., as Syndication Agent (the Existing Credit Agreement). The Amended and Restated Credit Agreement amends the Existing Credit Agreement to (i) extend the maturity of the Revolving Credit Facility to May 30, 2023, unless the Company and the lenders agree to further extend the term, (ii) increase the aggregate principal amount of the Revolving Credit Facility to U.S. $300 million, consisting of a U.S. Dollar tranche of U.S. $200 million for borrowings in U.S. Dollars and a multicurrency tranche equivalent to U.S. $100 million for borrowings in U.S. Dollars and certain foreign currencies, (iii) provide for borrowings under the Revolving Credit Facility in U.S. Dollars and certain other foreign currencies specified in the Amended and Restated Credit Agreement, (iv) permit certain foreign subsidiaries of the Company to be added to the Amended and Restated Credit Agreement as foreign borrowers thereunder and (v) effect certain other modifications to the Existing Credit Agreement.</w:t>
      </w:r>
    </w:p>
    <w:p>
      <w:pPr>
        <w:spacing w:after="0" w:line="139"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Under the Amended and Restated Credit Agreement, the Company is required to pay a commitment fee on a quarterly basis, based on the Company’s leverage ratio, of between 0.15% and 0.25% of the amount of the average daily unused portion of the Revolving Credit Facility. Any borrowings under the Amended and Restated Credit Agreement are made on an unsecured basis and bear interest at the Company’s option, either at (a) a fluctuating interest rate equal to the highest of Wells Fargo’s prime rate, 0.5 percent above the Federal funds rate or the one-month Eurodollar rate plus 1%, or (b) the Eurodollar rate for the applicable currency and interest period as defined in the Amended and Restated Credit Agreement, which is generally a periodic rate equal to LIBOR, CDOR, BBSY or SOR, as applicable, in the case of each of clauses (a) and (b) plus an applicable margin that depends on the Company’s consolidated debt to consolidated adjusted EBITDA (as determined pursuant to the Amended and Restated Credit Agreement, Total Net Leverage Ratio). The Company and its foreign subsidiaries may draw on the Revolving Credit Facility for general corporate purposes. Any outstanding borrowings must be repaid on or prior to the final termination date. The Amended and Restated Credit Agreement contains terms and conditions, including remedies in the event of a default by the Company, typical of facilities of this type and requires the Company to maintain a Total Net Leverage Ratio of not greater than 3.5 to 1.0 and a consolidated interest coverage ratio of at least 3.5 to 1.0 based upon the ratio of consolidated adjusted EBITDA to consolidated interest expense as determined pursuant to the Amended and Restated Credit Agreement.</w:t>
      </w:r>
    </w:p>
    <w:p>
      <w:pPr>
        <w:spacing w:after="0" w:line="142"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In the first nine months of 2018, the Company acquired an additional 186,653 shares of its Class B common stock at a cost of approximately $110.8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On May 21, 2018, Moody’s affirmed the Company’s credit ratings, but revised the outlook from Negative to Stable.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540" w:type="dxa"/>
            <w:vAlign w:val="bottom"/>
          </w:tcPr>
          <w:p>
            <w:pPr>
              <w:jc w:val="center"/>
              <w:ind w:left="5"/>
              <w:spacing w:after="0"/>
              <w:rPr>
                <w:sz w:val="20"/>
                <w:szCs w:val="20"/>
                <w:color w:val="auto"/>
              </w:rPr>
            </w:pPr>
            <w:r>
              <w:rPr>
                <w:rFonts w:ascii="Arial" w:cs="Arial" w:eastAsia="Arial" w:hAnsi="Arial"/>
                <w:sz w:val="14"/>
                <w:szCs w:val="14"/>
                <w:b w:val="1"/>
                <w:bCs w:val="1"/>
                <w:color w:val="auto"/>
              </w:rPr>
              <w:t>Standard</w:t>
            </w:r>
          </w:p>
        </w:tc>
      </w:tr>
      <w:tr>
        <w:trPr>
          <w:trHeight w:val="196"/>
        </w:trPr>
        <w:tc>
          <w:tcPr>
            <w:tcW w:w="478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tcPr>
          <w:p>
            <w:pPr>
              <w:jc w:val="center"/>
              <w:ind w:left="3443"/>
              <w:spacing w:after="0"/>
              <w:rPr>
                <w:sz w:val="20"/>
                <w:szCs w:val="20"/>
                <w:color w:val="auto"/>
              </w:rPr>
            </w:pPr>
            <w:r>
              <w:rPr>
                <w:rFonts w:ascii="Arial" w:cs="Arial" w:eastAsia="Arial" w:hAnsi="Arial"/>
                <w:sz w:val="14"/>
                <w:szCs w:val="14"/>
                <w:b w:val="1"/>
                <w:bCs w:val="1"/>
                <w:color w:val="auto"/>
              </w:rPr>
              <w:t>Moody’s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&amp; Poor’s</w:t>
            </w:r>
          </w:p>
        </w:tc>
      </w:tr>
      <w:tr>
        <w:trPr>
          <w:trHeight w:val="250"/>
        </w:trPr>
        <w:tc>
          <w:tcPr>
            <w:tcW w:w="4780" w:type="dxa"/>
            <w:vAlign w:val="bottom"/>
          </w:tcPr>
          <w:p>
            <w:pPr>
              <w:ind w:left="40"/>
              <w:spacing w:after="0"/>
              <w:rPr>
                <w:sz w:val="20"/>
                <w:szCs w:val="20"/>
                <w:color w:val="auto"/>
              </w:rPr>
            </w:pPr>
            <w:r>
              <w:rPr>
                <w:rFonts w:ascii="Arial" w:cs="Arial" w:eastAsia="Arial" w:hAnsi="Arial"/>
                <w:sz w:val="16"/>
                <w:szCs w:val="16"/>
                <w:color w:val="auto"/>
              </w:rPr>
              <w:t>Long-term</w:t>
            </w:r>
          </w:p>
        </w:tc>
        <w:tc>
          <w:tcPr>
            <w:tcW w:w="5100" w:type="dxa"/>
            <w:vAlign w:val="bottom"/>
          </w:tcPr>
          <w:p>
            <w:pPr>
              <w:jc w:val="center"/>
              <w:ind w:left="3423"/>
              <w:spacing w:after="0"/>
              <w:rPr>
                <w:sz w:val="20"/>
                <w:szCs w:val="20"/>
                <w:color w:val="auto"/>
              </w:rPr>
            </w:pPr>
            <w:r>
              <w:rPr>
                <w:rFonts w:ascii="Arial" w:cs="Arial" w:eastAsia="Arial" w:hAnsi="Arial"/>
                <w:sz w:val="16"/>
                <w:szCs w:val="16"/>
                <w:color w:val="auto"/>
                <w:w w:val="98"/>
              </w:rPr>
              <w:t>Ba1</w:t>
            </w:r>
          </w:p>
        </w:tc>
        <w:tc>
          <w:tcPr>
            <w:tcW w:w="1540" w:type="dxa"/>
            <w:vAlign w:val="bottom"/>
          </w:tcPr>
          <w:p>
            <w:pPr>
              <w:jc w:val="center"/>
              <w:spacing w:after="0"/>
              <w:rPr>
                <w:sz w:val="20"/>
                <w:szCs w:val="20"/>
                <w:color w:val="auto"/>
              </w:rPr>
            </w:pPr>
            <w:r>
              <w:rPr>
                <w:rFonts w:ascii="Arial" w:cs="Arial" w:eastAsia="Arial" w:hAnsi="Arial"/>
                <w:sz w:val="16"/>
                <w:szCs w:val="16"/>
                <w:color w:val="auto"/>
              </w:rPr>
              <w:t>BB+</w:t>
            </w:r>
          </w:p>
        </w:tc>
      </w:tr>
    </w:tbl>
    <w:p>
      <w:pPr>
        <w:spacing w:after="0" w:line="167"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At September 30, 2018 and December 31, 2017, the Company had working capital of $731.7 million and $857.2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In management’s opinion, the Company will have sufficient liquidity to meet its various cash needs within the next 12 months.</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July 2016, Kaplan International Holdings Limited (KIHL) entered into an agreement with University of York International Pathway College LLP (York International College) to loan the LLP approximately £25 million over the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19" w:right="239" w:bottom="1440" w:gutter="0" w:footer="0" w:header="0"/>
        </w:sectPr>
      </w:pPr>
    </w:p>
    <w:bookmarkStart w:id="42" w:name="page43"/>
    <w:bookmarkEnd w:id="42"/>
    <w:p>
      <w:pPr>
        <w:ind w:right="40"/>
        <w:spacing w:after="0" w:line="223" w:lineRule="auto"/>
        <w:rPr>
          <w:sz w:val="20"/>
          <w:szCs w:val="20"/>
          <w:color w:val="auto"/>
        </w:rPr>
      </w:pPr>
      <w:r>
        <w:rPr>
          <w:rFonts w:ascii="Arial" w:cs="Arial" w:eastAsia="Arial" w:hAnsi="Arial"/>
          <w:sz w:val="18"/>
          <w:szCs w:val="18"/>
          <w:color w:val="auto"/>
        </w:rPr>
        <w:t>next eighteen months, to construct an academic building in the UK to be used by the College. York International College is a limited liability partnership joint venture between Kaplan York Limited (a subsidiary of Kaplan International Colleges UK Limited) and a subsidiary of the University of York, that operates a pathways college. The loan will be repayable over 25 years at an interest rate of 7% and the loan is guaranteed by the University of York. While there is no strict requirement to make annual principal and interest payments, interest will be rolled up and accrue interest at 7% if no such payments are made. The loan becomes due and payable if the partnership agreement with Kaplan is terminated. As of December 31, 2017, KIHL advanced approximately £16.0 million to York International College. In the second quarter of 2018, KIHL advanced a final amount of £6 million in additional funding to the joint venture under this agreement, bringing the total amount advanced to £22 million.</w:t>
      </w:r>
    </w:p>
    <w:p>
      <w:pPr>
        <w:spacing w:after="0" w:line="136"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44"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determination of whether revenue should be reported on a gross or net basis is based on an assessment of</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the Company acts as a principal or an agent in the transaction. In certain cases, the Company is considered the agent, and the Company records revenue equal to the net amount retained when the fee is earned. In these cases, costs incurred with third-party suppliers is excluded from the Company’s revenue. The Company assesses whether it obtained control of the specified goods or services before they are transferred to the customer as part of this assessment. In addition, the Company considers other indicators such as the party primarily responsible for fulfillment, inventory risk and discretion in establishing price.</w:t>
      </w:r>
    </w:p>
    <w:p>
      <w:pPr>
        <w:spacing w:after="0" w:line="13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Please refer to Note 1 - Organization, Basis of Presentation and Recent Accounting Pronouncements and Note 10 - Revenue From Contracts with Customers for further discussion of the new revenue recognition guidance.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6"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2017 Annual Report filed on Form 10-K have not otherwise changed significantly.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80"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Chief Financial Officer (the Company’s principal financial officer), of the effectiveness of the Company’s disclosure controls and procedures (as defined in Exchange Act Rules 13a-15(e) and 15d-15(e)), as of September 30, 2018. Based on that evaluation, the Company’s Chief Executive Officer and Chief Financial Officer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Chief Financial Officer, in a manner that allows timely decisions regarding required disclosure.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80"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222222"/>
        </w:rPr>
        <w:t xml:space="preserve">There has been no change in the Company’s internal control over financial reporting during the quarter ended </w:t>
      </w:r>
      <w:r>
        <w:rPr>
          <w:rFonts w:ascii="Arial" w:cs="Arial" w:eastAsia="Arial" w:hAnsi="Arial"/>
          <w:sz w:val="18"/>
          <w:szCs w:val="18"/>
          <w:color w:val="000000"/>
        </w:rPr>
        <w:t>September 30, 2018</w:t>
      </w:r>
      <w:r>
        <w:rPr>
          <w:rFonts w:ascii="Arial" w:cs="Arial" w:eastAsia="Arial" w:hAnsi="Arial"/>
          <w:sz w:val="18"/>
          <w:szCs w:val="18"/>
          <w:color w:val="222222"/>
        </w:rPr>
        <w:t xml:space="preserve"> that has materially affected, or is reasonably likely to materially affect, the Company’s internal control over financial reporting.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719" w:right="25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6"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The Company faces a number of significant risks and uncertainties in connection with its operations. If any of the events or developments described below occurs, it could have a material adverse effect on the Company’s business, financial condition or results of operations.</w:t>
      </w:r>
    </w:p>
    <w:p>
      <w:pPr>
        <w:spacing w:after="0" w:line="135"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There have been no material changes to the Risk Factors disclosed in our 2017 Form 10-K, other than as disclosed in our Form 10-Q for the quarter ended March 31, 2018, and the Form 8-K filed May 21,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September 30, 2018, the Company purchased shares of its Class B Common Stock as set forth in the following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260" w:type="dxa"/>
            <w:vAlign w:val="bottom"/>
          </w:tcPr>
          <w:p>
            <w:pPr>
              <w:jc w:val="center"/>
              <w:ind w:left="364"/>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4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260" w:type="dxa"/>
            <w:vAlign w:val="bottom"/>
          </w:tcPr>
          <w:p>
            <w:pPr>
              <w:jc w:val="right"/>
              <w:ind w:right="44"/>
              <w:spacing w:after="0"/>
              <w:rPr>
                <w:sz w:val="20"/>
                <w:szCs w:val="20"/>
                <w:color w:val="auto"/>
              </w:rPr>
            </w:pPr>
            <w:r>
              <w:rPr>
                <w:rFonts w:ascii="Arial" w:cs="Arial" w:eastAsia="Arial" w:hAnsi="Arial"/>
                <w:sz w:val="14"/>
                <w:szCs w:val="14"/>
                <w:b w:val="1"/>
                <w:bCs w:val="1"/>
                <w:color w:val="auto"/>
              </w:rPr>
              <w:t>Shares that May Yet Be</w:t>
            </w:r>
          </w:p>
        </w:tc>
      </w:tr>
      <w:tr>
        <w:trPr>
          <w:trHeight w:val="162"/>
        </w:trPr>
        <w:tc>
          <w:tcPr>
            <w:tcW w:w="4800" w:type="dxa"/>
            <w:vAlign w:val="bottom"/>
          </w:tcPr>
          <w:p>
            <w:pPr>
              <w:spacing w:after="0"/>
              <w:rPr>
                <w:sz w:val="14"/>
                <w:szCs w:val="14"/>
                <w:color w:val="auto"/>
              </w:rPr>
            </w:pPr>
          </w:p>
        </w:tc>
        <w:tc>
          <w:tcPr>
            <w:tcW w:w="1380" w:type="dxa"/>
            <w:vAlign w:val="bottom"/>
          </w:tcPr>
          <w:p>
            <w:pPr>
              <w:jc w:val="right"/>
              <w:ind w:right="62"/>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4"/>
                <w:szCs w:val="14"/>
                <w:color w:val="auto"/>
              </w:rPr>
            </w:pPr>
          </w:p>
        </w:tc>
        <w:tc>
          <w:tcPr>
            <w:tcW w:w="960" w:type="dxa"/>
            <w:vAlign w:val="bottom"/>
          </w:tcPr>
          <w:p>
            <w:pPr>
              <w:jc w:val="right"/>
              <w:ind w:right="262"/>
              <w:spacing w:after="0"/>
              <w:rPr>
                <w:sz w:val="20"/>
                <w:szCs w:val="20"/>
                <w:color w:val="auto"/>
              </w:rPr>
            </w:pPr>
            <w:r>
              <w:rPr>
                <w:rFonts w:ascii="Arial" w:cs="Arial" w:eastAsia="Arial" w:hAnsi="Arial"/>
                <w:sz w:val="14"/>
                <w:szCs w:val="14"/>
                <w:b w:val="1"/>
                <w:bCs w:val="1"/>
                <w:color w:val="auto"/>
              </w:rPr>
              <w:t>Paid per</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260" w:type="dxa"/>
            <w:vAlign w:val="bottom"/>
          </w:tcPr>
          <w:p>
            <w:pPr>
              <w:jc w:val="center"/>
              <w:ind w:left="364"/>
              <w:spacing w:after="0"/>
              <w:rPr>
                <w:sz w:val="20"/>
                <w:szCs w:val="20"/>
                <w:color w:val="auto"/>
              </w:rPr>
            </w:pPr>
            <w:r>
              <w:rPr>
                <w:rFonts w:ascii="Arial" w:cs="Arial" w:eastAsia="Arial" w:hAnsi="Arial"/>
                <w:sz w:val="14"/>
                <w:szCs w:val="14"/>
                <w:b w:val="1"/>
                <w:bCs w:val="1"/>
                <w:color w:val="auto"/>
              </w:rPr>
              <w:t>Purchased Under the</w:t>
            </w:r>
          </w:p>
        </w:tc>
      </w:tr>
      <w:tr>
        <w:trPr>
          <w:trHeight w:val="196"/>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Share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p>
        </w:tc>
        <w:tc>
          <w:tcPr>
            <w:tcW w:w="2260" w:type="dxa"/>
            <w:vAlign w:val="bottom"/>
            <w:tcBorders>
              <w:bottom w:val="single" w:sz="8" w:color="auto"/>
            </w:tcBorders>
          </w:tcPr>
          <w:p>
            <w:pPr>
              <w:jc w:val="center"/>
              <w:ind w:left="344"/>
              <w:spacing w:after="0"/>
              <w:rPr>
                <w:sz w:val="20"/>
                <w:szCs w:val="20"/>
                <w:color w:val="auto"/>
              </w:rPr>
            </w:pPr>
            <w:r>
              <w:rPr>
                <w:rFonts w:ascii="Arial" w:cs="Arial" w:eastAsia="Arial" w:hAnsi="Arial"/>
                <w:sz w:val="14"/>
                <w:szCs w:val="14"/>
                <w:b w:val="1"/>
                <w:bCs w:val="1"/>
                <w:color w:val="auto"/>
              </w:rPr>
              <w:t>Plan*</w:t>
            </w:r>
          </w:p>
        </w:tc>
      </w:tr>
      <w:tr>
        <w:trPr>
          <w:trHeight w:val="250"/>
        </w:trPr>
        <w:tc>
          <w:tcPr>
            <w:tcW w:w="4800" w:type="dxa"/>
            <w:vAlign w:val="bottom"/>
          </w:tcPr>
          <w:p>
            <w:pPr>
              <w:ind w:left="40"/>
              <w:spacing w:after="0"/>
              <w:rPr>
                <w:sz w:val="20"/>
                <w:szCs w:val="20"/>
                <w:color w:val="auto"/>
              </w:rPr>
            </w:pPr>
            <w:r>
              <w:rPr>
                <w:rFonts w:ascii="Arial" w:cs="Arial" w:eastAsia="Arial" w:hAnsi="Arial"/>
                <w:sz w:val="16"/>
                <w:szCs w:val="16"/>
                <w:color w:val="auto"/>
              </w:rPr>
              <w:t>July</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44"/>
              <w:spacing w:after="0"/>
              <w:rPr>
                <w:sz w:val="20"/>
                <w:szCs w:val="20"/>
                <w:color w:val="auto"/>
              </w:rPr>
            </w:pPr>
            <w:r>
              <w:rPr>
                <w:rFonts w:ascii="Arial" w:cs="Arial" w:eastAsia="Arial" w:hAnsi="Arial"/>
                <w:sz w:val="16"/>
                <w:szCs w:val="16"/>
                <w:color w:val="auto"/>
              </w:rPr>
              <w:t>315,646</w:t>
            </w: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color w:val="auto"/>
              </w:rPr>
              <w:t>August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14,025</w:t>
            </w:r>
          </w:p>
        </w:tc>
        <w:tc>
          <w:tcPr>
            <w:tcW w:w="300" w:type="dxa"/>
            <w:vAlign w:val="bottom"/>
          </w:tcPr>
          <w:p>
            <w:pPr>
              <w:spacing w:after="0"/>
              <w:rPr>
                <w:sz w:val="23"/>
                <w:szCs w:val="23"/>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564.05</w:t>
            </w:r>
          </w:p>
        </w:tc>
        <w:tc>
          <w:tcPr>
            <w:tcW w:w="1700" w:type="dxa"/>
            <w:vAlign w:val="bottom"/>
          </w:tcPr>
          <w:p>
            <w:pPr>
              <w:jc w:val="right"/>
              <w:ind w:right="43"/>
              <w:spacing w:after="0"/>
              <w:rPr>
                <w:sz w:val="20"/>
                <w:szCs w:val="20"/>
                <w:color w:val="auto"/>
              </w:rPr>
            </w:pPr>
            <w:r>
              <w:rPr>
                <w:rFonts w:ascii="Arial" w:cs="Arial" w:eastAsia="Arial" w:hAnsi="Arial"/>
                <w:sz w:val="16"/>
                <w:szCs w:val="16"/>
                <w:color w:val="auto"/>
              </w:rPr>
              <w:t>14,025</w:t>
            </w:r>
          </w:p>
        </w:tc>
        <w:tc>
          <w:tcPr>
            <w:tcW w:w="2260" w:type="dxa"/>
            <w:vAlign w:val="bottom"/>
          </w:tcPr>
          <w:p>
            <w:pPr>
              <w:jc w:val="right"/>
              <w:ind w:right="44"/>
              <w:spacing w:after="0"/>
              <w:rPr>
                <w:sz w:val="20"/>
                <w:szCs w:val="20"/>
                <w:color w:val="auto"/>
              </w:rPr>
            </w:pPr>
            <w:r>
              <w:rPr>
                <w:rFonts w:ascii="Arial" w:cs="Arial" w:eastAsia="Arial" w:hAnsi="Arial"/>
                <w:sz w:val="16"/>
                <w:szCs w:val="16"/>
                <w:color w:val="auto"/>
              </w:rPr>
              <w:t>301,621</w:t>
            </w:r>
          </w:p>
        </w:tc>
      </w:tr>
      <w:tr>
        <w:trPr>
          <w:trHeight w:val="283"/>
        </w:trPr>
        <w:tc>
          <w:tcPr>
            <w:tcW w:w="4800" w:type="dxa"/>
            <w:vAlign w:val="bottom"/>
          </w:tcPr>
          <w:p>
            <w:pPr>
              <w:ind w:left="40"/>
              <w:spacing w:after="0"/>
              <w:rPr>
                <w:sz w:val="20"/>
                <w:szCs w:val="20"/>
                <w:color w:val="auto"/>
              </w:rPr>
            </w:pPr>
            <w:r>
              <w:rPr>
                <w:rFonts w:ascii="Arial" w:cs="Arial" w:eastAsia="Arial" w:hAnsi="Arial"/>
                <w:sz w:val="16"/>
                <w:szCs w:val="16"/>
                <w:color w:val="auto"/>
              </w:rPr>
              <w:t>September</w:t>
            </w: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15,596</w:t>
            </w:r>
          </w:p>
        </w:tc>
        <w:tc>
          <w:tcPr>
            <w:tcW w:w="300" w:type="dxa"/>
            <w:vAlign w:val="bottom"/>
          </w:tcPr>
          <w:p>
            <w:pPr>
              <w:spacing w:after="0"/>
              <w:rPr>
                <w:sz w:val="24"/>
                <w:szCs w:val="24"/>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567.20</w:t>
            </w: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15,596</w:t>
            </w:r>
          </w:p>
        </w:tc>
        <w:tc>
          <w:tcPr>
            <w:tcW w:w="2260" w:type="dxa"/>
            <w:vAlign w:val="bottom"/>
          </w:tcPr>
          <w:p>
            <w:pPr>
              <w:jc w:val="right"/>
              <w:ind w:right="44"/>
              <w:spacing w:after="0"/>
              <w:rPr>
                <w:sz w:val="20"/>
                <w:szCs w:val="20"/>
                <w:color w:val="auto"/>
              </w:rPr>
            </w:pPr>
            <w:r>
              <w:rPr>
                <w:rFonts w:ascii="Arial" w:cs="Arial" w:eastAsia="Arial" w:hAnsi="Arial"/>
                <w:sz w:val="16"/>
                <w:szCs w:val="16"/>
                <w:color w:val="auto"/>
              </w:rPr>
              <w:t>286,025</w:t>
            </w:r>
          </w:p>
        </w:tc>
      </w:tr>
      <w:tr>
        <w:trPr>
          <w:trHeight w:val="237"/>
        </w:trPr>
        <w:tc>
          <w:tcPr>
            <w:tcW w:w="4800" w:type="dxa"/>
            <w:vAlign w:val="bottom"/>
          </w:tcPr>
          <w:p>
            <w:pPr>
              <w:spacing w:after="0"/>
              <w:rPr>
                <w:sz w:val="20"/>
                <w:szCs w:val="20"/>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29,621</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565.71</w:t>
            </w:r>
          </w:p>
        </w:tc>
        <w:tc>
          <w:tcPr>
            <w:tcW w:w="1700" w:type="dxa"/>
            <w:vAlign w:val="bottom"/>
          </w:tcPr>
          <w:p>
            <w:pPr>
              <w:jc w:val="right"/>
              <w:ind w:right="43"/>
              <w:spacing w:after="0"/>
              <w:rPr>
                <w:sz w:val="20"/>
                <w:szCs w:val="20"/>
                <w:color w:val="auto"/>
              </w:rPr>
            </w:pPr>
            <w:r>
              <w:rPr>
                <w:rFonts w:ascii="Arial" w:cs="Arial" w:eastAsia="Arial" w:hAnsi="Arial"/>
                <w:sz w:val="16"/>
                <w:szCs w:val="16"/>
                <w:color w:val="auto"/>
              </w:rPr>
              <w:t>29,621</w:t>
            </w:r>
          </w:p>
        </w:tc>
        <w:tc>
          <w:tcPr>
            <w:tcW w:w="2260" w:type="dxa"/>
            <w:vAlign w:val="bottom"/>
          </w:tcPr>
          <w:p>
            <w:pPr>
              <w:spacing w:after="0"/>
              <w:rPr>
                <w:sz w:val="20"/>
                <w:szCs w:val="20"/>
                <w:color w:val="auto"/>
              </w:rPr>
            </w:pPr>
          </w:p>
        </w:tc>
      </w:tr>
    </w:tbl>
    <w:p>
      <w:pPr>
        <w:spacing w:after="0" w:line="173" w:lineRule="exact"/>
        <w:rPr>
          <w:sz w:val="20"/>
          <w:szCs w:val="20"/>
          <w:color w:val="auto"/>
        </w:rPr>
      </w:pPr>
    </w:p>
    <w:p>
      <w:pPr>
        <w:ind w:right="240"/>
        <w:spacing w:after="0" w:line="239" w:lineRule="auto"/>
        <w:rPr>
          <w:sz w:val="20"/>
          <w:szCs w:val="20"/>
          <w:color w:val="auto"/>
        </w:rPr>
      </w:pPr>
      <w:r>
        <w:rPr>
          <w:rFonts w:ascii="Arial" w:cs="Arial" w:eastAsia="Arial" w:hAnsi="Arial"/>
          <w:sz w:val="14"/>
          <w:szCs w:val="14"/>
          <w:color w:val="auto"/>
        </w:rPr>
        <w:t>*On November 9, 2017 the Company’s Board of Directors authorized the Company to purchase, on the open market or otherwise, up to 500,000 shares of its Class B Common Stock. There is no expiration date for that authorization. All purchases made during the quarter ended September 30, 2018 were open market transactions.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697"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4040" w:type="dxa"/>
            <w:vAlign w:val="bottom"/>
          </w:tcPr>
          <w:p>
            <w:pPr>
              <w:spacing w:after="0"/>
              <w:rPr>
                <w:sz w:val="14"/>
                <w:szCs w:val="14"/>
                <w:color w:val="auto"/>
              </w:rPr>
            </w:pPr>
          </w:p>
        </w:tc>
        <w:tc>
          <w:tcPr>
            <w:tcW w:w="6300" w:type="dxa"/>
            <w:vAlign w:val="bottom"/>
            <w:gridSpan w:val="14"/>
            <w:vMerge w:val="restart"/>
          </w:tcPr>
          <w:p>
            <w:pPr>
              <w:ind w:left="6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4040" w:type="dxa"/>
            <w:vAlign w:val="bottom"/>
            <w:tcBorders>
              <w:bottom w:val="single" w:sz="8" w:color="auto"/>
            </w:tcBorders>
          </w:tcPr>
          <w:p>
            <w:pPr>
              <w:spacing w:after="0"/>
              <w:rPr>
                <w:sz w:val="17"/>
                <w:szCs w:val="17"/>
                <w:color w:val="auto"/>
              </w:rPr>
            </w:pPr>
          </w:p>
        </w:tc>
        <w:tc>
          <w:tcPr>
            <w:tcW w:w="6300" w:type="dxa"/>
            <w:vAlign w:val="bottom"/>
            <w:tcBorders>
              <w:bottom w:val="single" w:sz="8" w:color="auto"/>
            </w:tcBorders>
            <w:gridSpan w:val="1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72"/>
        </w:trPr>
        <w:tc>
          <w:tcPr>
            <w:tcW w:w="1080" w:type="dxa"/>
            <w:vAlign w:val="bottom"/>
          </w:tcPr>
          <w:p>
            <w:pPr>
              <w:ind w:left="180"/>
              <w:spacing w:after="0"/>
              <w:rPr>
                <w:sz w:val="20"/>
                <w:szCs w:val="20"/>
                <w:color w:val="auto"/>
              </w:rPr>
            </w:pPr>
            <w:r>
              <w:rPr>
                <w:rFonts w:ascii="Arial" w:cs="Arial" w:eastAsia="Arial" w:hAnsi="Arial"/>
                <w:sz w:val="16"/>
                <w:szCs w:val="16"/>
                <w:color w:val="auto"/>
              </w:rPr>
              <w:t>3.1</w:t>
            </w:r>
          </w:p>
        </w:tc>
        <w:tc>
          <w:tcPr>
            <w:tcW w:w="10340" w:type="dxa"/>
            <w:vAlign w:val="bottom"/>
            <w:gridSpan w:val="15"/>
          </w:tcPr>
          <w:p>
            <w:pPr>
              <w:spacing w:after="0"/>
              <w:rPr>
                <w:rFonts w:ascii="Arial" w:cs="Arial" w:eastAsia="Arial" w:hAnsi="Arial"/>
                <w:sz w:val="16"/>
                <w:szCs w:val="16"/>
                <w:color w:val="0000FF"/>
              </w:rPr>
            </w:pPr>
            <w:hyperlink r:id="rId20">
              <w:r>
                <w:rPr>
                  <w:rFonts w:ascii="Arial" w:cs="Arial" w:eastAsia="Arial" w:hAnsi="Arial"/>
                  <w:sz w:val="16"/>
                  <w:szCs w:val="16"/>
                  <w:color w:val="0000FF"/>
                </w:rPr>
                <w:t>Restated Certificate of Incorporation of the Company dated November 13, 2003 (incorporated by reference to Exhibit 3.1 to the Company’s</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9920" w:type="dxa"/>
            <w:vAlign w:val="bottom"/>
            <w:tcBorders>
              <w:top w:val="single" w:sz="8" w:color="0000FF"/>
            </w:tcBorders>
            <w:gridSpan w:val="8"/>
          </w:tcPr>
          <w:p>
            <w:pPr>
              <w:spacing w:after="0" w:line="169" w:lineRule="exact"/>
              <w:rPr>
                <w:rFonts w:ascii="Arial" w:cs="Arial" w:eastAsia="Arial" w:hAnsi="Arial"/>
                <w:sz w:val="16"/>
                <w:szCs w:val="16"/>
                <w:color w:val="0000FF"/>
              </w:rPr>
            </w:pPr>
            <w:hyperlink r:id="rId20">
              <w:r>
                <w:rPr>
                  <w:rFonts w:ascii="Arial" w:cs="Arial" w:eastAsia="Arial" w:hAnsi="Arial"/>
                  <w:sz w:val="16"/>
                  <w:szCs w:val="16"/>
                  <w:color w:val="0000FF"/>
                </w:rPr>
                <w:t>Annual Report on Form 10-K for the fiscal year ended December 28, 2003).</w:t>
              </w:r>
            </w:hyperlink>
          </w:p>
        </w:tc>
        <w:tc>
          <w:tcPr>
            <w:tcW w:w="42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80" w:type="dxa"/>
            <w:vAlign w:val="bottom"/>
          </w:tcPr>
          <w:p>
            <w:pPr>
              <w:ind w:left="180"/>
              <w:spacing w:after="0"/>
              <w:rPr>
                <w:sz w:val="20"/>
                <w:szCs w:val="20"/>
                <w:color w:val="auto"/>
              </w:rPr>
            </w:pPr>
            <w:r>
              <w:rPr>
                <w:rFonts w:ascii="Arial" w:cs="Arial" w:eastAsia="Arial" w:hAnsi="Arial"/>
                <w:sz w:val="16"/>
                <w:szCs w:val="16"/>
                <w:color w:val="auto"/>
              </w:rPr>
              <w:t>3.2</w:t>
            </w:r>
          </w:p>
        </w:tc>
        <w:tc>
          <w:tcPr>
            <w:tcW w:w="10260" w:type="dxa"/>
            <w:vAlign w:val="bottom"/>
            <w:tcBorders>
              <w:bottom w:val="single" w:sz="8" w:color="0000FF"/>
            </w:tcBorders>
            <w:gridSpan w:val="14"/>
          </w:tcPr>
          <w:p>
            <w:pPr>
              <w:spacing w:after="0"/>
              <w:rPr>
                <w:rFonts w:ascii="Arial" w:cs="Arial" w:eastAsia="Arial" w:hAnsi="Arial"/>
                <w:sz w:val="16"/>
                <w:szCs w:val="16"/>
                <w:color w:val="0000FF"/>
              </w:rPr>
            </w:pPr>
            <w:hyperlink r:id="rId21">
              <w:r>
                <w:rPr>
                  <w:rFonts w:ascii="Arial" w:cs="Arial" w:eastAsia="Arial" w:hAnsi="Arial"/>
                  <w:sz w:val="16"/>
                  <w:szCs w:val="16"/>
                  <w:color w:val="0000FF"/>
                </w:rPr>
                <w:t>Certificate of Amendment, effective November 29, 2013, to the Restated Certificate of Incorporation of the Company (incorporated by reference</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6280" w:type="dxa"/>
            <w:vAlign w:val="bottom"/>
            <w:tcBorders>
              <w:bottom w:val="single" w:sz="8" w:color="0000FF"/>
            </w:tcBorders>
            <w:gridSpan w:val="6"/>
          </w:tcPr>
          <w:p>
            <w:pPr>
              <w:spacing w:after="0" w:line="169" w:lineRule="exact"/>
              <w:rPr>
                <w:rFonts w:ascii="Arial" w:cs="Arial" w:eastAsia="Arial" w:hAnsi="Arial"/>
                <w:sz w:val="16"/>
                <w:szCs w:val="16"/>
                <w:color w:val="0000FF"/>
              </w:rPr>
            </w:pPr>
            <w:hyperlink r:id="rId21">
              <w:r>
                <w:rPr>
                  <w:rFonts w:ascii="Arial" w:cs="Arial" w:eastAsia="Arial" w:hAnsi="Arial"/>
                  <w:sz w:val="16"/>
                  <w:szCs w:val="16"/>
                  <w:color w:val="0000FF"/>
                </w:rPr>
                <w:t>to Exhibit 3.1 to the Company’s current Report on Form 8-K dated November 29, 2013).</w:t>
              </w:r>
            </w:hyperlink>
          </w:p>
        </w:tc>
        <w:tc>
          <w:tcPr>
            <w:tcW w:w="406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080" w:type="dxa"/>
            <w:vAlign w:val="bottom"/>
          </w:tcPr>
          <w:p>
            <w:pPr>
              <w:ind w:left="180"/>
              <w:spacing w:after="0"/>
              <w:rPr>
                <w:sz w:val="20"/>
                <w:szCs w:val="20"/>
                <w:color w:val="auto"/>
              </w:rPr>
            </w:pPr>
            <w:r>
              <w:rPr>
                <w:rFonts w:ascii="Arial" w:cs="Arial" w:eastAsia="Arial" w:hAnsi="Arial"/>
                <w:sz w:val="16"/>
                <w:szCs w:val="16"/>
                <w:color w:val="auto"/>
              </w:rPr>
              <w:t>3.3</w:t>
            </w:r>
          </w:p>
        </w:tc>
        <w:tc>
          <w:tcPr>
            <w:tcW w:w="10340" w:type="dxa"/>
            <w:vAlign w:val="bottom"/>
            <w:gridSpan w:val="15"/>
          </w:tcPr>
          <w:p>
            <w:pPr>
              <w:spacing w:after="0"/>
              <w:rPr>
                <w:rFonts w:ascii="Arial" w:cs="Arial" w:eastAsia="Arial" w:hAnsi="Arial"/>
                <w:sz w:val="16"/>
                <w:szCs w:val="16"/>
                <w:color w:val="0000FF"/>
              </w:rPr>
            </w:pPr>
            <w:hyperlink r:id="rId22">
              <w:r>
                <w:rPr>
                  <w:rFonts w:ascii="Arial" w:cs="Arial" w:eastAsia="Arial" w:hAnsi="Arial"/>
                  <w:sz w:val="16"/>
                  <w:szCs w:val="16"/>
                  <w:color w:val="0000FF"/>
                </w:rPr>
                <w:t>By-Laws of the Company as amended and restated through November 29, 2013 (incorporated by reference to Exhibit 3.2 to the Company’s</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404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rPr>
            </w:pPr>
            <w:hyperlink r:id="rId22">
              <w:r>
                <w:rPr>
                  <w:rFonts w:ascii="Arial" w:cs="Arial" w:eastAsia="Arial" w:hAnsi="Arial"/>
                  <w:sz w:val="16"/>
                  <w:szCs w:val="16"/>
                  <w:color w:val="0000FF"/>
                </w:rPr>
                <w:t>Current Report on Form 8-K dated November 29, 2013).</w:t>
              </w:r>
            </w:hyperlink>
          </w:p>
        </w:tc>
        <w:tc>
          <w:tcPr>
            <w:tcW w:w="5940" w:type="dxa"/>
            <w:vAlign w:val="bottom"/>
            <w:tcBorders>
              <w:top w:val="single" w:sz="8" w:color="0000FF"/>
            </w:tcBorders>
            <w:gridSpan w:val="8"/>
          </w:tcPr>
          <w:p>
            <w:pPr>
              <w:spacing w:after="0"/>
              <w:rPr>
                <w:sz w:val="14"/>
                <w:szCs w:val="14"/>
                <w:color w:val="auto"/>
              </w:rPr>
            </w:pPr>
          </w:p>
        </w:tc>
        <w:tc>
          <w:tcPr>
            <w:tcW w:w="36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080" w:type="dxa"/>
            <w:vAlign w:val="bottom"/>
          </w:tcPr>
          <w:p>
            <w:pPr>
              <w:ind w:left="180"/>
              <w:spacing w:after="0"/>
              <w:rPr>
                <w:sz w:val="20"/>
                <w:szCs w:val="20"/>
                <w:color w:val="auto"/>
              </w:rPr>
            </w:pPr>
            <w:r>
              <w:rPr>
                <w:rFonts w:ascii="Arial" w:cs="Arial" w:eastAsia="Arial" w:hAnsi="Arial"/>
                <w:sz w:val="16"/>
                <w:szCs w:val="16"/>
                <w:color w:val="auto"/>
              </w:rPr>
              <w:t>4.1</w:t>
            </w:r>
          </w:p>
        </w:tc>
        <w:tc>
          <w:tcPr>
            <w:tcW w:w="10340" w:type="dxa"/>
            <w:vAlign w:val="bottom"/>
            <w:gridSpan w:val="15"/>
          </w:tcPr>
          <w:p>
            <w:pPr>
              <w:spacing w:after="0"/>
              <w:rPr>
                <w:rFonts w:ascii="Arial" w:cs="Arial" w:eastAsia="Arial" w:hAnsi="Arial"/>
                <w:sz w:val="16"/>
                <w:szCs w:val="16"/>
                <w:color w:val="0000FF"/>
              </w:rPr>
            </w:pPr>
            <w:hyperlink r:id="rId23">
              <w:r>
                <w:rPr>
                  <w:rFonts w:ascii="Arial" w:cs="Arial" w:eastAsia="Arial" w:hAnsi="Arial"/>
                  <w:sz w:val="16"/>
                  <w:szCs w:val="16"/>
                  <w:color w:val="0000FF"/>
                </w:rPr>
                <w:t>Senior Notes Indenture dated as of May 30, 2018, between the Company and The Bank of New York Mellon Trust Company, N.A., as Trustee</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782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rPr>
            </w:pPr>
            <w:hyperlink r:id="rId23">
              <w:r>
                <w:rPr>
                  <w:rFonts w:ascii="Arial" w:cs="Arial" w:eastAsia="Arial" w:hAnsi="Arial"/>
                  <w:sz w:val="16"/>
                  <w:szCs w:val="16"/>
                  <w:color w:val="0000FF"/>
                </w:rPr>
                <w:t>(incorporated by reference to Exhibit 4.1 to the Company’s Current Report on Form 8-K dated May 24, 2018).</w:t>
              </w:r>
            </w:hyperlink>
          </w:p>
        </w:tc>
        <w:tc>
          <w:tcPr>
            <w:tcW w:w="2300" w:type="dxa"/>
            <w:vAlign w:val="bottom"/>
            <w:tcBorders>
              <w:top w:val="single" w:sz="8" w:color="0000FF"/>
            </w:tcBorders>
            <w:gridSpan w:val="4"/>
          </w:tcPr>
          <w:p>
            <w:pPr>
              <w:spacing w:after="0"/>
              <w:rPr>
                <w:sz w:val="14"/>
                <w:szCs w:val="14"/>
                <w:color w:val="auto"/>
              </w:rPr>
            </w:pPr>
          </w:p>
        </w:tc>
        <w:tc>
          <w:tcPr>
            <w:tcW w:w="2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080" w:type="dxa"/>
            <w:vAlign w:val="bottom"/>
          </w:tcPr>
          <w:p>
            <w:pPr>
              <w:ind w:left="180"/>
              <w:spacing w:after="0"/>
              <w:rPr>
                <w:sz w:val="20"/>
                <w:szCs w:val="20"/>
                <w:color w:val="auto"/>
              </w:rPr>
            </w:pPr>
            <w:r>
              <w:rPr>
                <w:rFonts w:ascii="Arial" w:cs="Arial" w:eastAsia="Arial" w:hAnsi="Arial"/>
                <w:sz w:val="16"/>
                <w:szCs w:val="16"/>
                <w:color w:val="auto"/>
              </w:rPr>
              <w:t>4.2</w:t>
            </w:r>
          </w:p>
        </w:tc>
        <w:tc>
          <w:tcPr>
            <w:tcW w:w="10080" w:type="dxa"/>
            <w:vAlign w:val="bottom"/>
            <w:tcBorders>
              <w:bottom w:val="single" w:sz="8" w:color="0000FF"/>
            </w:tcBorders>
            <w:gridSpan w:val="10"/>
          </w:tcPr>
          <w:p>
            <w:pPr>
              <w:spacing w:after="0"/>
              <w:rPr>
                <w:rFonts w:ascii="Arial" w:cs="Arial" w:eastAsia="Arial" w:hAnsi="Arial"/>
                <w:sz w:val="16"/>
                <w:szCs w:val="16"/>
                <w:color w:val="0000FF"/>
              </w:rPr>
            </w:pPr>
            <w:hyperlink r:id="rId24">
              <w:r>
                <w:rPr>
                  <w:rFonts w:ascii="Arial" w:cs="Arial" w:eastAsia="Arial" w:hAnsi="Arial"/>
                  <w:sz w:val="16"/>
                  <w:szCs w:val="16"/>
                  <w:color w:val="0000FF"/>
                </w:rPr>
                <w:t>Amended and Restated Five Year Credit Agreement, dated as of May 30, 2018, among the Company, and the foreign borrowers from time to</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15"/>
          </w:tcPr>
          <w:p>
            <w:pPr>
              <w:spacing w:after="0" w:line="169" w:lineRule="exact"/>
              <w:rPr>
                <w:rFonts w:ascii="Arial" w:cs="Arial" w:eastAsia="Arial" w:hAnsi="Arial"/>
                <w:sz w:val="16"/>
                <w:szCs w:val="16"/>
                <w:color w:val="0000FF"/>
              </w:rPr>
            </w:pPr>
            <w:hyperlink r:id="rId24">
              <w:r>
                <w:rPr>
                  <w:rFonts w:ascii="Arial" w:cs="Arial" w:eastAsia="Arial" w:hAnsi="Arial"/>
                  <w:sz w:val="16"/>
                  <w:szCs w:val="16"/>
                  <w:color w:val="0000FF"/>
                </w:rPr>
                <w:t>time party thereto, and certain of its domestic subsidiaries as guarantors, the several lenders from time to time party thereto, Wells Fargo Bank,</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240" w:type="dxa"/>
            <w:vAlign w:val="bottom"/>
            <w:tcBorders>
              <w:top w:val="single" w:sz="8" w:color="0000FF"/>
            </w:tcBorders>
            <w:gridSpan w:val="13"/>
          </w:tcPr>
          <w:p>
            <w:pPr>
              <w:spacing w:after="0" w:line="169" w:lineRule="exact"/>
              <w:rPr>
                <w:rFonts w:ascii="Arial" w:cs="Arial" w:eastAsia="Arial" w:hAnsi="Arial"/>
                <w:sz w:val="16"/>
                <w:szCs w:val="16"/>
                <w:color w:val="0000FF"/>
              </w:rPr>
            </w:pPr>
            <w:hyperlink r:id="rId24">
              <w:r>
                <w:rPr>
                  <w:rFonts w:ascii="Arial" w:cs="Arial" w:eastAsia="Arial" w:hAnsi="Arial"/>
                  <w:sz w:val="16"/>
                  <w:szCs w:val="16"/>
                  <w:color w:val="0000FF"/>
                </w:rPr>
                <w:t>National Association, as Administrative Agent and JPMorgan Chase Bank, N.A., as Syndication Agent (incorporated by reference to Exhibit 4.2</w:t>
              </w:r>
            </w:hyperlink>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622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rPr>
            </w:pPr>
            <w:hyperlink r:id="rId24">
              <w:r>
                <w:rPr>
                  <w:rFonts w:ascii="Arial" w:cs="Arial" w:eastAsia="Arial" w:hAnsi="Arial"/>
                  <w:sz w:val="16"/>
                  <w:szCs w:val="16"/>
                  <w:color w:val="0000FF"/>
                </w:rPr>
                <w:t>to the Company’s Quarterly Report on Form 10-Q for the period ended June 30, 2018).</w:t>
              </w:r>
            </w:hyperlink>
          </w:p>
        </w:tc>
        <w:tc>
          <w:tcPr>
            <w:tcW w:w="4000" w:type="dxa"/>
            <w:vAlign w:val="bottom"/>
            <w:tcBorders>
              <w:top w:val="single" w:sz="8" w:color="0000FF"/>
            </w:tcBorders>
            <w:gridSpan w:val="7"/>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507"/>
        </w:trPr>
        <w:tc>
          <w:tcPr>
            <w:tcW w:w="1080" w:type="dxa"/>
            <w:vAlign w:val="bottom"/>
          </w:tcPr>
          <w:p>
            <w:pPr>
              <w:ind w:left="180"/>
              <w:spacing w:after="0"/>
              <w:rPr>
                <w:sz w:val="20"/>
                <w:szCs w:val="20"/>
                <w:color w:val="auto"/>
              </w:rPr>
            </w:pPr>
            <w:r>
              <w:rPr>
                <w:rFonts w:ascii="Arial" w:cs="Arial" w:eastAsia="Arial" w:hAnsi="Arial"/>
                <w:sz w:val="16"/>
                <w:szCs w:val="16"/>
                <w:color w:val="auto"/>
              </w:rPr>
              <w:t>31.1</w:t>
            </w:r>
          </w:p>
        </w:tc>
        <w:tc>
          <w:tcPr>
            <w:tcW w:w="10340" w:type="dxa"/>
            <w:vAlign w:val="bottom"/>
            <w:gridSpan w:val="15"/>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Rule 13a-14(a)/15d-14(a) Certification of the Chief Executive Officer.</w:t>
              </w:r>
            </w:hyperlink>
          </w:p>
        </w:tc>
        <w:tc>
          <w:tcPr>
            <w:tcW w:w="0" w:type="dxa"/>
            <w:vAlign w:val="bottom"/>
          </w:tcPr>
          <w:p>
            <w:pPr>
              <w:spacing w:after="0"/>
              <w:rPr>
                <w:sz w:val="1"/>
                <w:szCs w:val="1"/>
                <w:color w:val="auto"/>
              </w:rPr>
            </w:pPr>
          </w:p>
        </w:tc>
      </w:tr>
      <w:tr>
        <w:trPr>
          <w:trHeight w:val="466"/>
        </w:trPr>
        <w:tc>
          <w:tcPr>
            <w:tcW w:w="1080" w:type="dxa"/>
            <w:vAlign w:val="bottom"/>
          </w:tcPr>
          <w:p>
            <w:pPr>
              <w:ind w:left="180"/>
              <w:spacing w:after="0"/>
              <w:rPr>
                <w:sz w:val="20"/>
                <w:szCs w:val="20"/>
                <w:color w:val="auto"/>
              </w:rPr>
            </w:pPr>
            <w:r>
              <w:rPr>
                <w:rFonts w:ascii="Arial" w:cs="Arial" w:eastAsia="Arial" w:hAnsi="Arial"/>
                <w:sz w:val="16"/>
                <w:szCs w:val="16"/>
                <w:color w:val="auto"/>
              </w:rPr>
              <w:t>31.2</w:t>
            </w:r>
          </w:p>
        </w:tc>
        <w:tc>
          <w:tcPr>
            <w:tcW w:w="4900" w:type="dxa"/>
            <w:vAlign w:val="bottom"/>
            <w:tcBorders>
              <w:top w:val="single" w:sz="8" w:color="0000FF"/>
            </w:tcBorders>
            <w:gridSpan w:val="3"/>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Rule 13a-14(a)/15d-14(a) Certification of the Chief Financial Officer.</w:t>
              </w:r>
            </w:hyperlink>
          </w:p>
        </w:tc>
        <w:tc>
          <w:tcPr>
            <w:tcW w:w="54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left="1080" w:hanging="910"/>
        <w:spacing w:after="0"/>
        <w:tabs>
          <w:tab w:leader="none" w:pos="1080" w:val="left"/>
        </w:tabs>
        <w:numPr>
          <w:ilvl w:val="0"/>
          <w:numId w:val="12"/>
        </w:numPr>
        <w:rPr>
          <w:rFonts w:ascii="Arial" w:cs="Arial" w:eastAsia="Arial" w:hAnsi="Arial"/>
          <w:sz w:val="16"/>
          <w:szCs w:val="16"/>
          <w:color w:val="0000FF"/>
        </w:rPr>
      </w:pPr>
      <w:hyperlink w:anchor="page49">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hyperlink>
      <w:r>
        <w:rPr>
          <w:rFonts w:ascii="Arial" w:cs="Arial" w:eastAsia="Arial" w:hAnsi="Arial"/>
          <w:sz w:val="16"/>
          <w:szCs w:val="16"/>
          <w:color w:val="000000"/>
        </w:rPr>
        <w:t>*</w:t>
      </w:r>
    </w:p>
    <w:p>
      <w:pPr>
        <w:spacing w:after="0" w:line="329" w:lineRule="exact"/>
        <w:rPr>
          <w:sz w:val="20"/>
          <w:szCs w:val="20"/>
          <w:color w:val="auto"/>
        </w:rPr>
      </w:pPr>
    </w:p>
    <w:p>
      <w:pPr>
        <w:ind w:left="1080" w:right="140" w:hanging="910"/>
        <w:spacing w:after="0" w:line="248" w:lineRule="auto"/>
        <w:tabs>
          <w:tab w:leader="none" w:pos="10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following financial information from Graham Holdings Company Quarterly Report on Form 10-Q for the period ended September 30, 2018, formatted in Extensible Business Reporting Language (XBRL): (i) Condensed Consolidated Statements of Operations for the Three and Nine Months Ended September 30, 2018 and 2017, (ii) Condensed Consolidated Statements of Comprehensive Income for the Three and Nine Months Ended September 30, 2018 and 2017, (iii) Condensed Consolidated Balance Sheets as of September 30, 2018 and December 31, 2017, (iv) Condensed Consolidated Statements of Cash Flows for the Nine Months Ended September 30, 2018 and 2017, and (v) Notes to Condensed Consolidated Financial Statements. Pursuant to Rule 406T of Regulation S-T, these interactive data files are deemed "furnished" and not "filed" or part of a registration statement or prospectus for purposes of Sections 11 or 12 of the Securities Act of 1933, are deemed "furnished" and not "filed" for purposes of Section 18 of the Securities Exchange Act of 1934, and otherwise are not subject to liability under these sections.</w:t>
      </w:r>
    </w:p>
    <w:p>
      <w:pPr>
        <w:spacing w:after="0" w:line="17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4"/>
          <w:szCs w:val="14"/>
          <w:color w:val="auto"/>
        </w:rPr>
        <w:t>*   Furnished herewith.</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97"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t>SIGNATURES</w:t>
      </w:r>
    </w:p>
    <w:p>
      <w:pPr>
        <w:spacing w:after="0" w:line="319"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7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57"/>
        </w:trPr>
        <w:tc>
          <w:tcPr>
            <w:tcW w:w="37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61"/>
        </w:trPr>
        <w:tc>
          <w:tcPr>
            <w:tcW w:w="3720" w:type="dxa"/>
            <w:vAlign w:val="bottom"/>
          </w:tcPr>
          <w:p>
            <w:pPr>
              <w:spacing w:after="0"/>
              <w:rPr>
                <w:sz w:val="20"/>
                <w:szCs w:val="20"/>
                <w:color w:val="auto"/>
              </w:rPr>
            </w:pPr>
            <w:r>
              <w:rPr>
                <w:rFonts w:ascii="Arial" w:cs="Arial" w:eastAsia="Arial" w:hAnsi="Arial"/>
                <w:sz w:val="18"/>
                <w:szCs w:val="18"/>
                <w:color w:val="auto"/>
              </w:rPr>
              <w:t>Date: October 31, 2018</w:t>
            </w:r>
          </w:p>
        </w:tc>
        <w:tc>
          <w:tcPr>
            <w:tcW w:w="356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176"/>
        </w:trPr>
        <w:tc>
          <w:tcPr>
            <w:tcW w:w="37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Timothy J. O’Shaughnessy,</w:t>
            </w:r>
          </w:p>
        </w:tc>
      </w:tr>
      <w:tr>
        <w:trPr>
          <w:trHeight w:val="162"/>
        </w:trPr>
        <w:tc>
          <w:tcPr>
            <w:tcW w:w="37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President &amp; Chief Executive Officer</w:t>
            </w:r>
          </w:p>
        </w:tc>
      </w:tr>
      <w:tr>
        <w:trPr>
          <w:trHeight w:val="190"/>
        </w:trPr>
        <w:tc>
          <w:tcPr>
            <w:tcW w:w="37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59"/>
        </w:trPr>
        <w:tc>
          <w:tcPr>
            <w:tcW w:w="3720" w:type="dxa"/>
            <w:vAlign w:val="bottom"/>
          </w:tcPr>
          <w:p>
            <w:pPr>
              <w:spacing w:after="0"/>
              <w:rPr>
                <w:sz w:val="20"/>
                <w:szCs w:val="20"/>
                <w:color w:val="auto"/>
              </w:rPr>
            </w:pPr>
            <w:r>
              <w:rPr>
                <w:rFonts w:ascii="Arial" w:cs="Arial" w:eastAsia="Arial" w:hAnsi="Arial"/>
                <w:sz w:val="18"/>
                <w:szCs w:val="18"/>
                <w:color w:val="auto"/>
              </w:rPr>
              <w:t>Date: October 31, 2018</w:t>
            </w:r>
          </w:p>
        </w:tc>
        <w:tc>
          <w:tcPr>
            <w:tcW w:w="356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176"/>
        </w:trPr>
        <w:tc>
          <w:tcPr>
            <w:tcW w:w="37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Wallace R. Cooney,</w:t>
            </w:r>
          </w:p>
        </w:tc>
      </w:tr>
      <w:tr>
        <w:trPr>
          <w:trHeight w:val="162"/>
        </w:trPr>
        <w:tc>
          <w:tcPr>
            <w:tcW w:w="37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Chief Financial Officer</w:t>
            </w:r>
          </w:p>
        </w:tc>
      </w:tr>
      <w:tr>
        <w:trPr>
          <w:trHeight w:val="190"/>
        </w:trPr>
        <w:tc>
          <w:tcPr>
            <w:tcW w:w="37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620"/>
        </w:trPr>
        <w:tc>
          <w:tcPr>
            <w:tcW w:w="3720" w:type="dxa"/>
            <w:vAlign w:val="bottom"/>
          </w:tcPr>
          <w:p>
            <w:pPr>
              <w:spacing w:after="0"/>
              <w:rPr>
                <w:sz w:val="24"/>
                <w:szCs w:val="24"/>
                <w:color w:val="auto"/>
              </w:rPr>
            </w:pPr>
          </w:p>
        </w:tc>
        <w:tc>
          <w:tcPr>
            <w:tcW w:w="3560" w:type="dxa"/>
            <w:vAlign w:val="bottom"/>
          </w:tcPr>
          <w:p>
            <w:pPr>
              <w:jc w:val="right"/>
              <w:ind w:right="1410"/>
              <w:spacing w:after="0"/>
              <w:rPr>
                <w:sz w:val="20"/>
                <w:szCs w:val="20"/>
                <w:color w:val="auto"/>
              </w:rPr>
            </w:pPr>
            <w:r>
              <w:rPr>
                <w:rFonts w:ascii="Arial" w:cs="Arial" w:eastAsia="Arial" w:hAnsi="Arial"/>
                <w:sz w:val="18"/>
                <w:szCs w:val="18"/>
                <w:color w:val="auto"/>
              </w:rPr>
              <w:t>43</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863"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198" w:lineRule="exact"/>
        <w:rPr>
          <w:sz w:val="20"/>
          <w:szCs w:val="20"/>
          <w:color w:val="auto"/>
        </w:rPr>
      </w:pPr>
    </w:p>
    <w:p>
      <w:pPr>
        <w:ind w:left="800" w:hanging="468"/>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11" w:lineRule="exact"/>
        <w:rPr>
          <w:rFonts w:ascii="Arial" w:cs="Arial" w:eastAsia="Arial" w:hAnsi="Arial"/>
          <w:sz w:val="18"/>
          <w:szCs w:val="18"/>
          <w:color w:val="auto"/>
        </w:rPr>
      </w:pPr>
    </w:p>
    <w:p>
      <w:pPr>
        <w:ind w:left="340" w:right="580" w:hanging="8"/>
        <w:spacing w:after="0" w:line="303"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8"/>
        <w:spacing w:after="0" w:line="309"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56"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300" w:right="40" w:hanging="320"/>
        <w:spacing w:after="0" w:line="256"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340" w:right="300" w:hanging="8"/>
        <w:spacing w:after="0" w:line="303"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0"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960" w:hanging="320"/>
        <w:spacing w:after="0" w:line="262"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ectPr>
          <w:pgSz w:w="11900" w:h="16838" w:orient="portrait"/>
          <w:cols w:equalWidth="0" w:num="1">
            <w:col w:w="11420"/>
          </w:cols>
          <w:pgMar w:left="240" w:top="382"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198" w:lineRule="exact"/>
        <w:rPr>
          <w:sz w:val="20"/>
          <w:szCs w:val="20"/>
          <w:color w:val="auto"/>
        </w:rPr>
      </w:pPr>
    </w:p>
    <w:p>
      <w:pPr>
        <w:ind w:left="800" w:hanging="468"/>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11" w:lineRule="exact"/>
        <w:rPr>
          <w:rFonts w:ascii="Arial" w:cs="Arial" w:eastAsia="Arial" w:hAnsi="Arial"/>
          <w:sz w:val="18"/>
          <w:szCs w:val="18"/>
          <w:color w:val="auto"/>
        </w:rPr>
      </w:pPr>
    </w:p>
    <w:p>
      <w:pPr>
        <w:ind w:left="340" w:right="580" w:hanging="8"/>
        <w:spacing w:after="0" w:line="303"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8"/>
        <w:spacing w:after="0" w:line="309"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5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300" w:right="40" w:hanging="320"/>
        <w:spacing w:after="0" w:line="25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340" w:right="300" w:hanging="8"/>
        <w:spacing w:after="0" w:line="303"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0"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960" w:hanging="320"/>
        <w:spacing w:after="0" w:line="262"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ectPr>
          <w:pgSz w:w="11900" w:h="16838" w:orient="portrait"/>
          <w:cols w:equalWidth="0" w:num="1">
            <w:col w:w="11420"/>
          </w:cols>
          <w:pgMar w:left="240" w:top="382"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September 30, 2018 (the “Report”), Timothy J. O’Shaughnessy, Chief Executive Officer of the Company and Wallace R. Cooney, Chief Financial Officer of the Company, each hereby certifies, pursuant to 18 U.S.C. Section 1350, as adopted pursuant to Section 906 of the Sarbanes-Oxley Act of 2002, that:</w:t>
      </w:r>
    </w:p>
    <w:p>
      <w:pPr>
        <w:spacing w:after="0" w:line="150"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520" w:hanging="332"/>
        <w:spacing w:after="0" w:line="262"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sectPr>
      <w:pgSz w:w="11900" w:h="16838" w:orient="portrait"/>
      <w:cols w:equalWidth="0" w:num="1">
        <w:col w:w="11420"/>
      </w:cols>
      <w:pgMar w:left="240" w:top="3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Roman"/>
      <w:start w:val="1"/>
    </w:lvl>
  </w:abstractNum>
  <w:abstractNum w:abstractNumId="3">
    <w:nsid w:val="4DB127F8"/>
    <w:multiLevelType w:val="hybridMultilevel"/>
    <w:lvl w:ilvl="0">
      <w:lvlJc w:val="left"/>
      <w:lvlText w:val="%1."/>
      <w:numFmt w:val="decimal"/>
      <w:start w:val="5"/>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32"/>
    </w:lvl>
  </w:abstractNum>
  <w:abstractNum w:abstractNumId="12">
    <w:nsid w:val="7FDCC233"/>
    <w:multiLevelType w:val="hybridMultilevel"/>
    <w:lvl w:ilvl="0">
      <w:lvlJc w:val="left"/>
      <w:lvlText w:val="*"/>
      <w:numFmt w:val="bullet"/>
      <w:start w:val="1"/>
    </w:lvl>
    <w:lvl w:ilvl="1">
      <w:lvlJc w:val="left"/>
      <w:lvlText w:val="%2"/>
      <w:numFmt w:val="decimal"/>
      <w:start w:val="10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0" Type="http://schemas.openxmlformats.org/officeDocument/2006/relationships/hyperlink" Target="http://www.sec.gov/Archives/edgar/data/104889/000095013304000785/w94191exv3w1.htm" TargetMode="External"/><Relationship Id="rId21" Type="http://schemas.openxmlformats.org/officeDocument/2006/relationships/hyperlink" Target="http://www.sec.gov/Archives/edgar/data/104889/000095015713000428/ex3-1.htm" TargetMode="External"/><Relationship Id="rId22" Type="http://schemas.openxmlformats.org/officeDocument/2006/relationships/hyperlink" Target="http://www.sec.gov/Archives/edgar/data/104889/000095015713000428/ex3-2.htm" TargetMode="External"/><Relationship Id="rId23" Type="http://schemas.openxmlformats.org/officeDocument/2006/relationships/hyperlink" Target="http://www.sec.gov/Archives/edgar/data/104889/000095015718000572/ex4-1.htm" TargetMode="External"/><Relationship Id="rId24" Type="http://schemas.openxmlformats.org/officeDocument/2006/relationships/hyperlink" Target="http://www.sec.gov/Archives/edgar/data/104889/000010488918000036/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2019-12-28T18:48:07Z</dcterms:created>
  <dcterms:modified xsi:type="dcterms:W3CDTF">2019-12-28T18:48:07Z</dcterms:modified>
</cp:coreProperties>
</file>