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60"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2017</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6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60"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40"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552"/>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231"/>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75" w:lineRule="exact"/>
        <w:rPr>
          <w:sz w:val="24"/>
          <w:szCs w:val="24"/>
          <w:color w:val="auto"/>
        </w:rPr>
      </w:pPr>
    </w:p>
    <w:p>
      <w:pPr>
        <w:ind w:right="8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2" w:lineRule="exact"/>
        <w:rPr>
          <w:sz w:val="24"/>
          <w:szCs w:val="24"/>
          <w:color w:val="auto"/>
        </w:rPr>
      </w:pPr>
    </w:p>
    <w:p>
      <w:pPr>
        <w:ind w:right="6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6" w:lineRule="exact"/>
        <w:rPr>
          <w:sz w:val="24"/>
          <w:szCs w:val="24"/>
          <w:color w:val="auto"/>
        </w:rPr>
      </w:pPr>
    </w:p>
    <w:p>
      <w:pPr>
        <w:ind w:right="36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 reporting company” and “emerging growth company” in Rule 12b-2 of the Exchange Act.</w:t>
      </w:r>
    </w:p>
    <w:p>
      <w:pPr>
        <w:spacing w:after="0" w:line="151" w:lineRule="exact"/>
        <w:rPr>
          <w:sz w:val="24"/>
          <w:szCs w:val="24"/>
          <w:color w:val="auto"/>
        </w:rPr>
      </w:pPr>
    </w:p>
    <w:tbl>
      <w:tblPr>
        <w:tblLayout w:type="fixed"/>
        <w:tblInd w:w="280" w:type="dxa"/>
        <w:tblCellMar>
          <w:top w:w="0" w:type="dxa"/>
          <w:left w:w="0" w:type="dxa"/>
          <w:bottom w:w="0" w:type="dxa"/>
          <w:right w:w="0" w:type="dxa"/>
        </w:tblCellMar>
      </w:tblPr>
      <w:tr>
        <w:trPr>
          <w:trHeight w:val="189"/>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Large accelerated</w:t>
            </w:r>
          </w:p>
        </w:tc>
        <w:tc>
          <w:tcPr>
            <w:tcW w:w="7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2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2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7"/>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72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filer</w:t>
            </w:r>
          </w:p>
        </w:tc>
        <w:tc>
          <w:tcPr>
            <w:tcW w:w="62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600" w:type="dxa"/>
            <w:vAlign w:val="bottom"/>
            <w:vMerge w:val="continue"/>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14"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April 28, 2017:</w:t>
      </w:r>
    </w:p>
    <w:p>
      <w:pPr>
        <w:spacing w:after="0" w:line="158"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4,626,753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6"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6"/>
        </w:trPr>
        <w:tc>
          <w:tcPr>
            <w:tcW w:w="840" w:type="dxa"/>
            <w:vAlign w:val="bottom"/>
          </w:tcPr>
          <w:p>
            <w:pPr>
              <w:spacing w:after="0"/>
              <w:rPr>
                <w:sz w:val="20"/>
                <w:szCs w:val="20"/>
                <w:color w:val="auto"/>
              </w:rPr>
            </w:pPr>
            <w:r>
              <w:rPr>
                <w:rFonts w:ascii="Arial" w:cs="Arial" w:eastAsia="Arial" w:hAnsi="Arial"/>
                <w:sz w:val="16"/>
                <w:szCs w:val="16"/>
                <w:color w:val="auto"/>
              </w:rPr>
              <w:t>Item 1.</w:t>
            </w:r>
          </w:p>
        </w:tc>
        <w:tc>
          <w:tcPr>
            <w:tcW w:w="10340" w:type="dxa"/>
            <w:vAlign w:val="bottom"/>
          </w:tcPr>
          <w:p>
            <w:pPr>
              <w:ind w:left="8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a. Condensed Consolidated Statements of Operations (Unaudited) for the Three Months Ended March 31, 2017 and 2016</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1</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b. Condensed Consolidated Statements of Comprehensive Income (Unaudited) for the Three Months Ended March 31, 2017 and 2016</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c. Condensed Consolidated Balance Sheets at March 31, 2017 (Unaudited) and December 31, 2016</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3</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d. Condensed Consolidated Statements of Cash Flows (Unaudited) for the Three Months Ended March 31, 2017 and 2016</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4</w:t>
              </w:r>
            </w:hyperlink>
          </w:p>
        </w:tc>
      </w:tr>
      <w:tr>
        <w:trPr>
          <w:trHeight w:val="466"/>
        </w:trPr>
        <w:tc>
          <w:tcPr>
            <w:tcW w:w="840" w:type="dxa"/>
            <w:vAlign w:val="bottom"/>
          </w:tcPr>
          <w:p>
            <w:pPr>
              <w:spacing w:after="0"/>
              <w:rPr>
                <w:sz w:val="24"/>
                <w:szCs w:val="24"/>
                <w:color w:val="auto"/>
              </w:rPr>
            </w:pPr>
          </w:p>
        </w:tc>
        <w:tc>
          <w:tcPr>
            <w:tcW w:w="10340" w:type="dxa"/>
            <w:vAlign w:val="bottom"/>
          </w:tcPr>
          <w:p>
            <w:pPr>
              <w:ind w:left="8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5</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19</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3.</w:t>
            </w:r>
          </w:p>
        </w:tc>
        <w:tc>
          <w:tcPr>
            <w:tcW w:w="10340" w:type="dxa"/>
            <w:vAlign w:val="bottom"/>
          </w:tcPr>
          <w:p>
            <w:pPr>
              <w:ind w:left="8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26</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4.</w:t>
            </w:r>
          </w:p>
        </w:tc>
        <w:tc>
          <w:tcPr>
            <w:tcW w:w="10340" w:type="dxa"/>
            <w:vAlign w:val="bottom"/>
          </w:tcPr>
          <w:p>
            <w:pPr>
              <w:ind w:left="8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26</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840" w:type="dxa"/>
            <w:vAlign w:val="bottom"/>
          </w:tcPr>
          <w:p>
            <w:pPr>
              <w:spacing w:after="0"/>
              <w:rPr>
                <w:sz w:val="20"/>
                <w:szCs w:val="20"/>
                <w:color w:val="auto"/>
              </w:rPr>
            </w:pPr>
            <w:r>
              <w:rPr>
                <w:rFonts w:ascii="Arial" w:cs="Arial" w:eastAsia="Arial" w:hAnsi="Arial"/>
                <w:sz w:val="16"/>
                <w:szCs w:val="16"/>
                <w:color w:val="auto"/>
              </w:rPr>
              <w:t>Item 1A.</w:t>
            </w:r>
          </w:p>
        </w:tc>
        <w:tc>
          <w:tcPr>
            <w:tcW w:w="10340" w:type="dxa"/>
            <w:vAlign w:val="bottom"/>
          </w:tcPr>
          <w:p>
            <w:pPr>
              <w:ind w:left="80"/>
              <w:spacing w:after="0"/>
              <w:rPr>
                <w:sz w:val="20"/>
                <w:szCs w:val="20"/>
                <w:color w:val="auto"/>
              </w:rPr>
            </w:pPr>
            <w:r>
              <w:rPr>
                <w:rFonts w:ascii="Arial" w:cs="Arial" w:eastAsia="Arial" w:hAnsi="Arial"/>
                <w:sz w:val="16"/>
                <w:szCs w:val="16"/>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26</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Item 2.</w:t>
            </w:r>
          </w:p>
        </w:tc>
        <w:tc>
          <w:tcPr>
            <w:tcW w:w="10340" w:type="dxa"/>
            <w:vAlign w:val="bottom"/>
          </w:tcPr>
          <w:p>
            <w:pPr>
              <w:ind w:left="80"/>
              <w:spacing w:after="0"/>
              <w:rPr>
                <w:sz w:val="20"/>
                <w:szCs w:val="20"/>
                <w:color w:val="auto"/>
              </w:rPr>
            </w:pPr>
            <w:r>
              <w:rPr>
                <w:rFonts w:ascii="Arial" w:cs="Arial" w:eastAsia="Arial" w:hAnsi="Arial"/>
                <w:sz w:val="16"/>
                <w:szCs w:val="16"/>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27</w:t>
              </w:r>
            </w:hyperlink>
          </w:p>
        </w:tc>
      </w:tr>
      <w:tr>
        <w:trPr>
          <w:trHeight w:val="520"/>
        </w:trPr>
        <w:tc>
          <w:tcPr>
            <w:tcW w:w="840" w:type="dxa"/>
            <w:vAlign w:val="bottom"/>
          </w:tcPr>
          <w:p>
            <w:pPr>
              <w:spacing w:after="0"/>
              <w:rPr>
                <w:sz w:val="20"/>
                <w:szCs w:val="20"/>
                <w:color w:val="auto"/>
              </w:rPr>
            </w:pPr>
            <w:r>
              <w:rPr>
                <w:rFonts w:ascii="Arial" w:cs="Arial" w:eastAsia="Arial" w:hAnsi="Arial"/>
                <w:sz w:val="16"/>
                <w:szCs w:val="16"/>
                <w:color w:val="auto"/>
              </w:rPr>
              <w:t>Item 6.</w:t>
            </w:r>
          </w:p>
        </w:tc>
        <w:tc>
          <w:tcPr>
            <w:tcW w:w="10340" w:type="dxa"/>
            <w:vAlign w:val="bottom"/>
          </w:tcPr>
          <w:p>
            <w:pPr>
              <w:ind w:left="8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28</w:t>
              </w:r>
            </w:hyperlink>
          </w:p>
        </w:tc>
      </w:tr>
      <w:tr>
        <w:trPr>
          <w:trHeight w:val="466"/>
        </w:trPr>
        <w:tc>
          <w:tcPr>
            <w:tcW w:w="840" w:type="dxa"/>
            <w:vAlign w:val="bottom"/>
          </w:tcPr>
          <w:p>
            <w:pPr>
              <w:spacing w:after="0"/>
              <w:rPr>
                <w:sz w:val="20"/>
                <w:szCs w:val="20"/>
                <w:color w:val="auto"/>
              </w:rPr>
            </w:pPr>
            <w:r>
              <w:rPr>
                <w:rFonts w:ascii="Arial" w:cs="Arial" w:eastAsia="Arial" w:hAnsi="Arial"/>
                <w:sz w:val="16"/>
                <w:szCs w:val="16"/>
                <w:color w:val="auto"/>
              </w:rPr>
              <w:t>Signatures</w:t>
            </w:r>
          </w:p>
        </w:tc>
        <w:tc>
          <w:tcPr>
            <w:tcW w:w="103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29</w:t>
              </w:r>
            </w:hyperlink>
          </w:p>
        </w:tc>
      </w:tr>
    </w:tbl>
    <w:p>
      <w:pPr>
        <w:sectPr>
          <w:pgSz w:w="11900" w:h="16838" w:orient="portrait"/>
          <w:cols w:equalWidth="0" w:num="1">
            <w:col w:w="11360"/>
          </w:cols>
          <w:pgMar w:left="280" w:top="71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9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372,975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401,006</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64,116</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68,158</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145,626</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132,576</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582,717</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601,740</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300,666</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291,632</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231,509</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235,213</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14,652</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16,761</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6,836</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6,262</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553,663</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549,868</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29,054</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51,872</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649</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1,363</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(8,129)</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(7,948)</w:t>
            </w: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849</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15,096</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0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23,786</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60,615</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2,700</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22,400</w:t>
            </w:r>
          </w:p>
        </w:tc>
        <w:tc>
          <w:tcPr>
            <w:tcW w:w="0" w:type="dxa"/>
            <w:vAlign w:val="bottom"/>
          </w:tcPr>
          <w:p>
            <w:pPr>
              <w:spacing w:after="0"/>
              <w:rPr>
                <w:sz w:val="1"/>
                <w:szCs w:val="1"/>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21,086</w:t>
            </w:r>
          </w:p>
        </w:tc>
        <w:tc>
          <w:tcPr>
            <w:tcW w:w="4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38,215</w:t>
            </w:r>
          </w:p>
        </w:tc>
        <w:tc>
          <w:tcPr>
            <w:tcW w:w="0" w:type="dxa"/>
            <w:vAlign w:val="bottom"/>
          </w:tcPr>
          <w:p>
            <w:pPr>
              <w:spacing w:after="0"/>
              <w:rPr>
                <w:sz w:val="1"/>
                <w:szCs w:val="1"/>
                <w:color w:val="auto"/>
              </w:rPr>
            </w:pPr>
          </w:p>
        </w:tc>
      </w:tr>
      <w:tr>
        <w:trPr>
          <w:trHeight w:val="283"/>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21,086</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37,780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67"/>
        </w:trPr>
        <w:tc>
          <w:tcPr>
            <w:tcW w:w="880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5,535</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5,623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80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3.75</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67"/>
        </w:trPr>
        <w:tc>
          <w:tcPr>
            <w:tcW w:w="880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5,569</w:t>
            </w: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9"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March 31</w:t>
            </w:r>
          </w:p>
        </w:tc>
      </w:tr>
      <w:tr>
        <w:trPr>
          <w:trHeight w:val="258"/>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2016</w:t>
            </w:r>
          </w:p>
        </w:tc>
      </w:tr>
    </w:tbl>
    <w:p>
      <w:pPr>
        <w:spacing w:after="0" w:line="36" w:lineRule="exact"/>
        <w:rPr>
          <w:sz w:val="20"/>
          <w:szCs w:val="20"/>
          <w:color w:val="auto"/>
        </w:rPr>
      </w:pPr>
    </w:p>
    <w:p>
      <w:pPr>
        <w:sectPr>
          <w:pgSz w:w="11900" w:h="16838" w:orient="portrait"/>
          <w:cols w:equalWidth="0" w:num="1">
            <w:col w:w="11420"/>
          </w:cols>
          <w:pgMar w:left="240" w:top="711"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available-for-sale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for the period,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3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3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(expense) benefit related to items of other comprehensive income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left="400" w:hanging="394"/>
        <w:spacing w:after="0"/>
        <w:tabs>
          <w:tab w:leader="none" w:pos="4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21,086   </w:t>
      </w:r>
      <w:r>
        <w:rPr>
          <w:rFonts w:ascii="Arial" w:cs="Arial" w:eastAsia="Arial" w:hAnsi="Arial"/>
          <w:sz w:val="16"/>
          <w:szCs w:val="16"/>
          <w:color w:val="auto"/>
        </w:rPr>
        <w:t>$    38,215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16"/>
          <w:szCs w:val="16"/>
          <w:b w:val="1"/>
          <w:bCs w:val="1"/>
          <w:color w:val="auto"/>
        </w:rPr>
        <w:t>13,668</w:t>
      </w:r>
      <w:r>
        <w:rPr>
          <w:sz w:val="20"/>
          <w:szCs w:val="20"/>
          <w:color w:val="auto"/>
        </w:rPr>
        <w:tab/>
      </w:r>
      <w:r>
        <w:rPr>
          <w:rFonts w:ascii="Arial" w:cs="Arial" w:eastAsia="Arial" w:hAnsi="Arial"/>
          <w:sz w:val="16"/>
          <w:szCs w:val="16"/>
          <w:color w:val="auto"/>
        </w:rPr>
        <w:t>3,845</w:t>
      </w:r>
    </w:p>
    <w:p>
      <w:pPr>
        <w:spacing w:after="0" w:line="356" w:lineRule="exact"/>
        <w:rPr>
          <w:sz w:val="20"/>
          <w:szCs w:val="20"/>
          <w:color w:val="auto"/>
        </w:rPr>
      </w:pPr>
    </w:p>
    <w:p>
      <w:pPr>
        <w:ind w:left="500"/>
        <w:spacing w:after="0"/>
        <w:tabs>
          <w:tab w:leader="none" w:pos="1740" w:val="left"/>
        </w:tabs>
        <w:rPr>
          <w:sz w:val="20"/>
          <w:szCs w:val="20"/>
          <w:color w:val="auto"/>
        </w:rPr>
      </w:pPr>
      <w:r>
        <w:rPr>
          <w:rFonts w:ascii="Arial" w:cs="Arial" w:eastAsia="Arial" w:hAnsi="Arial"/>
          <w:sz w:val="16"/>
          <w:szCs w:val="16"/>
          <w:b w:val="1"/>
          <w:bCs w:val="1"/>
          <w:color w:val="auto"/>
        </w:rPr>
        <w:t>9,558</w:t>
      </w:r>
      <w:r>
        <w:rPr>
          <w:sz w:val="20"/>
          <w:szCs w:val="20"/>
          <w:color w:val="auto"/>
        </w:rPr>
        <w:tab/>
      </w:r>
      <w:r>
        <w:rPr>
          <w:rFonts w:ascii="Arial" w:cs="Arial" w:eastAsia="Arial" w:hAnsi="Arial"/>
          <w:sz w:val="16"/>
          <w:szCs w:val="16"/>
          <w:color w:val="auto"/>
        </w:rPr>
        <w:t>343</w:t>
      </w:r>
    </w:p>
    <w:p>
      <w:pPr>
        <w:spacing w:after="0" w:line="8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5"/>
          <w:szCs w:val="15"/>
          <w:color w:val="auto"/>
        </w:rPr>
        <w:t>(1,754)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jc w:val="both"/>
        <w:ind w:left="500"/>
        <w:spacing w:after="0"/>
        <w:tabs>
          <w:tab w:leader="none" w:pos="1560" w:val="left"/>
        </w:tabs>
        <w:rPr>
          <w:sz w:val="20"/>
          <w:szCs w:val="20"/>
          <w:color w:val="auto"/>
        </w:rPr>
      </w:pPr>
      <w:r>
        <w:rPr>
          <w:rFonts w:ascii="Arial" w:cs="Arial" w:eastAsia="Arial" w:hAnsi="Arial"/>
          <w:sz w:val="16"/>
          <w:szCs w:val="16"/>
          <w:b w:val="1"/>
          <w:bCs w:val="1"/>
          <w:color w:val="auto"/>
        </w:rPr>
        <w:t>9,558</w:t>
      </w:r>
      <w:r>
        <w:rPr>
          <w:sz w:val="20"/>
          <w:szCs w:val="20"/>
          <w:color w:val="auto"/>
        </w:rPr>
        <w:tab/>
      </w:r>
      <w:r>
        <w:rPr>
          <w:rFonts w:ascii="Arial" w:cs="Arial" w:eastAsia="Arial" w:hAnsi="Arial"/>
          <w:sz w:val="16"/>
          <w:szCs w:val="16"/>
          <w:color w:val="auto"/>
        </w:rPr>
        <w:t>(1,411)</w:t>
      </w:r>
    </w:p>
    <w:p>
      <w:pPr>
        <w:spacing w:after="0" w:line="376" w:lineRule="exact"/>
        <w:rPr>
          <w:sz w:val="20"/>
          <w:szCs w:val="20"/>
          <w:color w:val="auto"/>
        </w:rPr>
      </w:pPr>
    </w:p>
    <w:p>
      <w:pPr>
        <w:ind w:left="1760" w:hanging="1133"/>
        <w:spacing w:after="0"/>
        <w:tabs>
          <w:tab w:leader="none" w:pos="17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104</w:t>
      </w:r>
    </w:p>
    <w:p>
      <w:pPr>
        <w:spacing w:after="0" w:line="66"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(1,823)</w:t>
      </w:r>
      <w:r>
        <w:rPr>
          <w:rFonts w:ascii="Arial" w:cs="Arial" w:eastAsia="Arial" w:hAnsi="Arial"/>
          <w:sz w:val="16"/>
          <w:szCs w:val="16"/>
          <w:color w:val="auto"/>
        </w:rPr>
        <w:t>290</w:t>
      </w:r>
    </w:p>
    <w:p>
      <w:pPr>
        <w:spacing w:after="0" w:line="99"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(1,703)</w:t>
      </w:r>
      <w:r>
        <w:rPr>
          <w:rFonts w:ascii="Arial" w:cs="Arial" w:eastAsia="Arial" w:hAnsi="Arial"/>
          <w:sz w:val="16"/>
          <w:szCs w:val="16"/>
          <w:color w:val="auto"/>
        </w:rPr>
        <w:t>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-147320</wp:posOffset>
            </wp:positionV>
            <wp:extent cx="13722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6" w:lineRule="exact"/>
        <w:rPr>
          <w:sz w:val="20"/>
          <w:szCs w:val="20"/>
          <w:color w:val="auto"/>
        </w:rPr>
      </w:pPr>
    </w:p>
    <w:p>
      <w:pPr>
        <w:ind w:left="1860" w:hanging="1287"/>
        <w:spacing w:after="0"/>
        <w:tabs>
          <w:tab w:leader="none" w:pos="18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79"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21,399</w:t>
      </w:r>
      <w:r>
        <w:rPr>
          <w:rFonts w:ascii="Arial" w:cs="Arial" w:eastAsia="Arial" w:hAnsi="Arial"/>
          <w:sz w:val="16"/>
          <w:szCs w:val="16"/>
          <w:color w:val="auto"/>
        </w:rPr>
        <w:t>2,828</w:t>
      </w:r>
    </w:p>
    <w:p>
      <w:pPr>
        <w:spacing w:after="0" w:line="86"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(3,117)</w:t>
      </w:r>
      <w:r>
        <w:rPr>
          <w:rFonts w:ascii="Arial" w:cs="Arial" w:eastAsia="Arial" w:hAnsi="Arial"/>
          <w:sz w:val="16"/>
          <w:szCs w:val="16"/>
          <w:color w:val="auto"/>
        </w:rPr>
        <w:t>407</w:t>
      </w:r>
    </w:p>
    <w:p>
      <w:pPr>
        <w:spacing w:after="0" w:line="99"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18,282</w:t>
      </w:r>
      <w:r>
        <w:rPr>
          <w:rFonts w:ascii="Arial" w:cs="Arial" w:eastAsia="Arial" w:hAnsi="Arial"/>
          <w:sz w:val="16"/>
          <w:szCs w:val="16"/>
          <w:color w:val="auto"/>
        </w:rPr>
        <w:t>3,235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-147320</wp:posOffset>
            </wp:positionV>
            <wp:extent cx="1372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-499110</wp:posOffset>
            </wp:positionV>
            <wp:extent cx="1372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ind w:left="400"/>
        <w:spacing w:after="0"/>
        <w:tabs>
          <w:tab w:leader="none" w:pos="1520" w:val="left"/>
        </w:tabs>
        <w:rPr>
          <w:sz w:val="20"/>
          <w:szCs w:val="20"/>
          <w:color w:val="auto"/>
        </w:rPr>
      </w:pPr>
      <w:r>
        <w:rPr>
          <w:rFonts w:ascii="Arial" w:cs="Arial" w:eastAsia="Arial" w:hAnsi="Arial"/>
          <w:sz w:val="16"/>
          <w:szCs w:val="16"/>
          <w:b w:val="1"/>
          <w:bCs w:val="1"/>
          <w:color w:val="auto"/>
        </w:rPr>
        <w:t>39,368</w:t>
      </w:r>
      <w:r>
        <w:rPr>
          <w:sz w:val="20"/>
          <w:szCs w:val="20"/>
          <w:color w:val="auto"/>
        </w:rPr>
        <w:tab/>
      </w:r>
      <w:r>
        <w:rPr>
          <w:rFonts w:ascii="Arial" w:cs="Arial" w:eastAsia="Arial" w:hAnsi="Arial"/>
          <w:sz w:val="16"/>
          <w:szCs w:val="16"/>
          <w:color w:val="auto"/>
        </w:rPr>
        <w:t>41,450</w:t>
      </w:r>
    </w:p>
    <w:p>
      <w:pPr>
        <w:spacing w:after="0" w:line="86" w:lineRule="exact"/>
        <w:rPr>
          <w:sz w:val="20"/>
          <w:szCs w:val="20"/>
          <w:color w:val="auto"/>
        </w:rPr>
      </w:pPr>
    </w:p>
    <w:p>
      <w:pPr>
        <w:jc w:val="both"/>
        <w:ind w:right="60" w:firstLine="729"/>
        <w:spacing w:after="0" w:line="409" w:lineRule="auto"/>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(435)</w:t>
      </w:r>
      <w:r>
        <w:rPr>
          <w:rFonts w:ascii="Arial" w:cs="Arial" w:eastAsia="Arial" w:hAnsi="Arial"/>
          <w:sz w:val="16"/>
          <w:szCs w:val="16"/>
          <w:b w:val="1"/>
          <w:bCs w:val="1"/>
          <w:color w:val="auto"/>
        </w:rPr>
        <w:t xml:space="preserve"> $ 39,368 </w:t>
      </w:r>
      <w:r>
        <w:rPr>
          <w:rFonts w:ascii="Arial" w:cs="Arial" w:eastAsia="Arial" w:hAnsi="Arial"/>
          <w:sz w:val="16"/>
          <w:szCs w:val="16"/>
          <w:color w:val="auto"/>
        </w:rPr>
        <w:t>$ 41,015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-68580</wp:posOffset>
            </wp:positionV>
            <wp:extent cx="13722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-51435</wp:posOffset>
            </wp:positionV>
            <wp:extent cx="1372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-248920</wp:posOffset>
            </wp:positionV>
            <wp:extent cx="13722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2">
            <w:col w:w="8560" w:space="720"/>
            <w:col w:w="2140"/>
          </w:cols>
          <w:pgMar w:left="240" w:top="711"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8"/>
        </w:trPr>
        <w:tc>
          <w:tcPr>
            <w:tcW w:w="8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632,787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648,885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24,555</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21,931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456,558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448,241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493,804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615,101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47,734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41,635</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35,736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34,818</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68,717</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60,735</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1,759,891</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1,871,346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243,330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233,664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60,287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58,806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1,179,431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1,122,954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93,203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66,026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153,924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107,939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836,430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881,593</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15,818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17,246</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73,791</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73,096</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4,416,105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4,432,670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444,677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500,726</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321,058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312,107</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6,158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6,128</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7,100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21"/>
                <w:szCs w:val="21"/>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778,993</w:t>
            </w:r>
          </w:p>
        </w:tc>
        <w:tc>
          <w:tcPr>
            <w:tcW w:w="28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818,961</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Benefits Other Than Pensions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22,270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21,859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193,060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195,910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67,850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65,554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373,534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379,092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12,584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487,186</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485,719</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1,935,477</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1,979,679</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363,361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364,363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5,595,826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5,588,942</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 net of tax</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(13,330)</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(26,998)</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available-for-sale securities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98,666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92,931</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169,808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170,830</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(376)</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(3,753,377)</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(3,756,850)</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2,480,578</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2,452,941</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4,416,105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4,432,670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00"/>
          </w:cols>
          <w:pgMar w:left="240" w:top="697" w:right="259"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697" w:right="259" w:bottom="0" w:gutter="0" w:footer="0" w:header="0"/>
          <w:type w:val="continuous"/>
        </w:sectPr>
      </w:pPr>
    </w:p>
    <w:bookmarkStart w:id="5" w:name="page6"/>
    <w:bookmarkEnd w:id="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21,086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38,215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21,488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23,023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(14,688)</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(12,059)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2,866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3,254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Loss (gain) on disposition of businesses, property, plant and equipment, investments and other assets, net</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335</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(20,449)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(gain) loss</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(1,728)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5,443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earnings of affiliates, net of distributions</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(649)</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Provision for deferred income taxes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7,443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2,037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122,605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41,749</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(55,584)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(45,930)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4,603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17,695</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(6,490)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17,926</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Other assets and other liabilities, net</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(9,489)</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(9,187)</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91,901</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60,882</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(85,415)</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(198,179)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(15,664)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(10,690)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from disposition of businesses, property, plant and equipment, investments and other assets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1,748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21,285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sales of marketable equity securities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4,392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marketable equity securities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(13,271)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equity affiliates and cost method investments</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(865)</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(389)</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Return of investment in equity affiliate</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(99,996)</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(196,852)</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(7,102)</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(6,938)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(395)</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(81,346)</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(2,092)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13,427</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(9,589)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(74,857)</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4,210</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1,095</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(13,474)</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(209,732)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670,816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774,952</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657,342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565,220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11" w:right="239" w:bottom="1440" w:gutter="0" w:footer="0" w:header="0"/>
        </w:sectPr>
      </w:pPr>
    </w:p>
    <w:bookmarkStart w:id="7" w:name="page8"/>
    <w:bookmarkEnd w:id="7"/>
    <w:p>
      <w:pPr>
        <w:ind w:left="43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The Company's other business operations include home health and hospice services and manufacturing.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20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months ended March 31, 2017 and 2016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2016.</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Early adoption is permitted only as of annual reporting periods beginning after December 15, 2016. The standard permits two implementation approaches, full retrospective, requiring retrospective application of the new guidance with a restatement of prior years, or modified retrospective, requiring prospective application of the new guidance with disclosure of results under the old guidance in the first year of adoption. The Company anticipates adopting the standard using the modified retrospective approach. The Company is in the process of evaluating the impact of this new guidance on its Condensed Consolidated Financial Statements and believes such evaluation will extend over several future periods because of the significance of the changes to the Company’s policies and business processes.</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7" w:right="239" w:bottom="1440" w:gutter="0" w:footer="0" w:header="0"/>
        </w:sectPr>
      </w:pPr>
    </w:p>
    <w:bookmarkStart w:id="8" w:name="page9"/>
    <w:bookmarkEnd w:id="8"/>
    <w:p>
      <w:pPr>
        <w:ind w:right="180"/>
        <w:spacing w:after="0" w:line="235" w:lineRule="auto"/>
        <w:rPr>
          <w:sz w:val="20"/>
          <w:szCs w:val="20"/>
          <w:color w:val="auto"/>
        </w:rPr>
      </w:pPr>
      <w:r>
        <w:rPr>
          <w:rFonts w:ascii="Arial" w:cs="Arial" w:eastAsia="Arial" w:hAnsi="Arial"/>
          <w:sz w:val="18"/>
          <w:szCs w:val="18"/>
          <w:color w:val="auto"/>
        </w:rPr>
        <w:t>after December 15, 2017. Early adoption is not permitted. The Company is in the process of evaluating the impact of this new guidance on its Condensed Consolidated Financial Statements.</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requires lessees and lessors to recognize and measure leases at the beginning of the earliest period presented using a modified retrospective approach. The Company is in the process of evaluating the impact of this new guidance on its Condensed Consolidated Financial Statements.</w:t>
      </w:r>
    </w:p>
    <w:p>
      <w:pPr>
        <w:spacing w:after="0" w:line="136"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In March 2016, the FASB issued new guidance that simplifies the accounting for stock-based compensation. The new guidance (i) requires all excess tax benefits and tax deficiencies to be recognized in the income statement with the tax effects of vested or exercised awards treated as discrete items. Additionally, excess tax benefits will be recognized regardless of whether the benefit reduces taxes payable in the current period, effectively eliminating the APIC pool, (ii) concludes excess tax benefits should be classified as an operating activity in the statement of cash flows, (iii) requires an entity to make an entity-wide accounting policy election to either estimate a forfeiture rate for awards or account for forfeitures as they occur, (iv) changes the threshold for equity classification for cash settlements of awards for withholding requirements to the maximum statutory tax rate in the applicable jurisdiction and (v) concludes cash paid by an employer when directly withholding shares for tax-withholding purposes should be classified as a financing activity in the statement of cash flows. The guidance is effective for interim and fiscal years beginning after December 15, 2016. The Company adopted the new guidance as of January 1, 2017. As a result of adoption, the Company recognized a $5.9 million excess tax benefit as a discrete item in its tax provision related to the vesting of restricted stock awards in the first quarter of 2017. This tax benefit is classified as an operating activity on the Condensed Consolidated Statement of Cash Flows. Additionally, the Company elected to account for forfeitures of stock awards as they occur and not estimate a forfeiture rate. The Company does not expect this election to have a material impact on its financial statements.</w:t>
      </w:r>
    </w:p>
    <w:p>
      <w:pPr>
        <w:spacing w:after="0" w:line="14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 November 2016, the FASB issued new guidance that clarifies how restricted cash and restricted cash equivalents should be presented in the statement of cash flows. The guidance requires the cash flow statement to show changes in the total of cash, cash equivalents, restricted cash and restricted cash equivalents, which eliminates the presentation of transfers between cash and cash equivalents and restricted cash and cash equivalents. The guidance is effective for interim and fiscal years beginning after December 15, 2017, with early adoption permitted. The Company adopted the new guidance retrospectively as of December 31, 2016. The prior period has been adjusted to reflect this adoption, as detailed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5"/>
          </w:tcPr>
          <w:p>
            <w:pPr>
              <w:jc w:val="right"/>
              <w:ind w:right="482"/>
              <w:spacing w:after="0"/>
              <w:rPr>
                <w:sz w:val="20"/>
                <w:szCs w:val="20"/>
                <w:color w:val="auto"/>
              </w:rPr>
            </w:pPr>
            <w:r>
              <w:rPr>
                <w:rFonts w:ascii="Arial" w:cs="Arial" w:eastAsia="Arial" w:hAnsi="Arial"/>
                <w:sz w:val="14"/>
                <w:szCs w:val="14"/>
                <w:b w:val="1"/>
                <w:bCs w:val="1"/>
                <w:color w:val="auto"/>
              </w:rPr>
              <w:t>Three Months Ended March 31, 2016</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143"/>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123"/>
              <w:spacing w:after="0"/>
              <w:rPr>
                <w:sz w:val="20"/>
                <w:szCs w:val="20"/>
                <w:color w:val="auto"/>
              </w:rPr>
            </w:pPr>
            <w:r>
              <w:rPr>
                <w:rFonts w:ascii="Arial" w:cs="Arial" w:eastAsia="Arial" w:hAnsi="Arial"/>
                <w:sz w:val="14"/>
                <w:szCs w:val="14"/>
                <w:b w:val="1"/>
                <w:bCs w:val="1"/>
                <w:color w:val="auto"/>
              </w:rPr>
              <w:t>Previously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27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3"/>
                <w:szCs w:val="23"/>
                <w:color w:val="auto"/>
              </w:rPr>
            </w:pPr>
          </w:p>
        </w:tc>
        <w:tc>
          <w:tcPr>
            <w:tcW w:w="1040" w:type="dxa"/>
            <w:vAlign w:val="bottom"/>
          </w:tcPr>
          <w:p>
            <w:pPr>
              <w:jc w:val="center"/>
              <w:ind w:right="123"/>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4"/>
                <w:szCs w:val="14"/>
                <w:b w:val="1"/>
                <w:bCs w:val="1"/>
                <w:color w:val="auto"/>
              </w:rPr>
              <w:t>Adjustment</w:t>
            </w:r>
          </w:p>
        </w:tc>
        <w:tc>
          <w:tcPr>
            <w:tcW w:w="280" w:type="dxa"/>
            <w:vAlign w:val="bottom"/>
          </w:tcPr>
          <w:p>
            <w:pPr>
              <w:spacing w:after="0"/>
              <w:rPr>
                <w:sz w:val="23"/>
                <w:szCs w:val="23"/>
                <w:color w:val="auto"/>
              </w:rPr>
            </w:pPr>
          </w:p>
        </w:tc>
        <w:tc>
          <w:tcPr>
            <w:tcW w:w="940" w:type="dxa"/>
            <w:vAlign w:val="bottom"/>
          </w:tcPr>
          <w:p>
            <w:pPr>
              <w:jc w:val="right"/>
              <w:ind w:right="202"/>
              <w:spacing w:after="0"/>
              <w:rPr>
                <w:sz w:val="20"/>
                <w:szCs w:val="20"/>
                <w:color w:val="auto"/>
              </w:rPr>
            </w:pPr>
            <w:r>
              <w:rPr>
                <w:rFonts w:ascii="Arial" w:cs="Arial" w:eastAsia="Arial" w:hAnsi="Arial"/>
                <w:sz w:val="14"/>
                <w:szCs w:val="14"/>
                <w:b w:val="1"/>
                <w:bCs w:val="1"/>
                <w:color w:val="auto"/>
              </w:rPr>
              <w:t>Adopted</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(13,888)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13,888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46,994</w:t>
            </w:r>
          </w:p>
        </w:tc>
        <w:tc>
          <w:tcPr>
            <w:tcW w:w="200" w:type="dxa"/>
            <w:vAlign w:val="bottom"/>
          </w:tcPr>
          <w:p>
            <w:pPr>
              <w:spacing w:after="0"/>
              <w:rPr>
                <w:sz w:val="23"/>
                <w:szCs w:val="23"/>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13,888</w:t>
            </w:r>
          </w:p>
        </w:tc>
        <w:tc>
          <w:tcPr>
            <w:tcW w:w="28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60,882</w:t>
            </w:r>
          </w:p>
        </w:tc>
        <w:tc>
          <w:tcPr>
            <w:tcW w:w="0" w:type="dxa"/>
            <w:vAlign w:val="bottom"/>
          </w:tcPr>
          <w:p>
            <w:pPr>
              <w:spacing w:after="0"/>
              <w:rPr>
                <w:sz w:val="1"/>
                <w:szCs w:val="1"/>
                <w:color w:val="auto"/>
              </w:rPr>
            </w:pPr>
          </w:p>
        </w:tc>
      </w:tr>
      <w:tr>
        <w:trPr>
          <w:trHeight w:val="513"/>
        </w:trPr>
        <w:tc>
          <w:tcPr>
            <w:tcW w:w="778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 and Restricted Cash</w:t>
            </w:r>
          </w:p>
        </w:tc>
        <w:tc>
          <w:tcPr>
            <w:tcW w:w="16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(223,620)</w:t>
            </w:r>
          </w:p>
        </w:tc>
        <w:tc>
          <w:tcPr>
            <w:tcW w:w="200" w:type="dxa"/>
            <w:vAlign w:val="bottom"/>
          </w:tcPr>
          <w:p>
            <w:pPr>
              <w:spacing w:after="0"/>
              <w:rPr>
                <w:sz w:val="24"/>
                <w:szCs w:val="24"/>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13,888</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(209,732)</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at Beginning of Year</w:t>
            </w:r>
          </w:p>
        </w:tc>
        <w:tc>
          <w:tcPr>
            <w:tcW w:w="16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754,207</w:t>
            </w:r>
          </w:p>
        </w:tc>
        <w:tc>
          <w:tcPr>
            <w:tcW w:w="200" w:type="dxa"/>
            <w:vAlign w:val="bottom"/>
          </w:tcPr>
          <w:p>
            <w:pPr>
              <w:spacing w:after="0"/>
              <w:rPr>
                <w:sz w:val="23"/>
                <w:szCs w:val="23"/>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20,745</w:t>
            </w:r>
          </w:p>
        </w:tc>
        <w:tc>
          <w:tcPr>
            <w:tcW w:w="28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774,952</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at End of Year</w:t>
            </w:r>
          </w:p>
        </w:tc>
        <w:tc>
          <w:tcPr>
            <w:tcW w:w="16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530,587</w:t>
            </w:r>
          </w:p>
        </w:tc>
        <w:tc>
          <w:tcPr>
            <w:tcW w:w="200" w:type="dxa"/>
            <w:vAlign w:val="bottom"/>
          </w:tcPr>
          <w:p>
            <w:pPr>
              <w:spacing w:after="0"/>
              <w:rPr>
                <w:sz w:val="23"/>
                <w:szCs w:val="23"/>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34,633</w:t>
            </w:r>
          </w:p>
        </w:tc>
        <w:tc>
          <w:tcPr>
            <w:tcW w:w="28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565,220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In January 2017, the FASB issued new guidance which simplifies the subsequent measurement of goodwill. The new guidance eliminates Step 2 from the goodwill impairment test, which required entities to determine the implied fair value of goodwill as of the test date to measure a goodwill impairment charge. Instead, an entity should continue to test goodwill for impairment by comparing the fair value of a reporting unit with its carrying amount (Step 1), and an impairment charge will be recognized for the amount by which the carrying amount exceeds the reporting unit's fair value. The guidance is effective for interim and fiscal years beginning after December 15, 2019. Early adoption is permitted. The Company is in the process of evaluating the impact of this new guidance on its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19" w:right="239" w:bottom="1440" w:gutter="0" w:footer="0" w:header="0"/>
        </w:sectPr>
      </w:pPr>
    </w:p>
    <w:bookmarkStart w:id="9" w:name="page10"/>
    <w:bookmarkEnd w:id="9"/>
    <w:p>
      <w:pPr>
        <w:ind w:right="100"/>
        <w:spacing w:after="0" w:line="223" w:lineRule="auto"/>
        <w:rPr>
          <w:sz w:val="20"/>
          <w:szCs w:val="20"/>
          <w:color w:val="auto"/>
        </w:rPr>
      </w:pPr>
      <w:r>
        <w:rPr>
          <w:rFonts w:ascii="Arial" w:cs="Arial" w:eastAsia="Arial" w:hAnsi="Arial"/>
          <w:sz w:val="18"/>
          <w:szCs w:val="18"/>
          <w:color w:val="auto"/>
        </w:rPr>
        <w:t>In March 2017, the FASB issued new guidance that changes the presentation of net periodic pension cost and net periodic postretirement benefit cost for defined benefit plans. The guidance requires an issuer to disaggregate the service cost component of net periodic pension and postretirement benefit cost from other components. Under the new guidance, service cost will be included in the same line item(s) as other compensation costs arising from services rendered by employees during the period, while the other components will be recognized after income from operations. The guidance is effective for interim and fiscal years beginning after December 15, 2017. The guidance must be applied retrospectively; however, a practical expedient is available which permits an employer to use amounts previously disclosed in its pension and postretirement plans footnote for the prior comparative periods. The Company will adopt the new standard in the first quarter of 2018, and expects the following changes to its financial statements upon adoption, as detailed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181"/>
              <w:spacing w:after="0"/>
              <w:rPr>
                <w:sz w:val="20"/>
                <w:szCs w:val="20"/>
                <w:color w:val="auto"/>
              </w:rPr>
            </w:pPr>
            <w:r>
              <w:rPr>
                <w:rFonts w:ascii="Arial" w:cs="Arial" w:eastAsia="Arial" w:hAnsi="Arial"/>
                <w:sz w:val="14"/>
                <w:szCs w:val="14"/>
                <w:b w:val="1"/>
                <w:bCs w:val="1"/>
                <w:color w:val="auto"/>
              </w:rPr>
              <w:t>Non-operating</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181"/>
              <w:spacing w:after="0"/>
              <w:rPr>
                <w:sz w:val="20"/>
                <w:szCs w:val="20"/>
                <w:color w:val="auto"/>
              </w:rPr>
            </w:pPr>
            <w:r>
              <w:rPr>
                <w:rFonts w:ascii="Arial" w:cs="Arial" w:eastAsia="Arial" w:hAnsi="Arial"/>
                <w:sz w:val="14"/>
                <w:szCs w:val="14"/>
                <w:b w:val="1"/>
                <w:bCs w:val="1"/>
                <w:color w:val="auto"/>
              </w:rPr>
              <w:t>pension and</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0" w:type="dxa"/>
            <w:vAlign w:val="bottom"/>
          </w:tcPr>
          <w:p>
            <w:pPr>
              <w:jc w:val="right"/>
              <w:ind w:right="341"/>
              <w:spacing w:after="0"/>
              <w:rPr>
                <w:sz w:val="20"/>
                <w:szCs w:val="20"/>
                <w:color w:val="auto"/>
              </w:rPr>
            </w:pPr>
            <w:r>
              <w:rPr>
                <w:rFonts w:ascii="Arial" w:cs="Arial" w:eastAsia="Arial" w:hAnsi="Arial"/>
                <w:sz w:val="14"/>
                <w:szCs w:val="14"/>
                <w:b w:val="1"/>
                <w:bCs w:val="1"/>
                <w:color w:val="auto"/>
              </w:rPr>
              <w:t>Income from</w:t>
            </w: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postretirement benefit</w:t>
            </w:r>
          </w:p>
        </w:tc>
        <w:tc>
          <w:tcPr>
            <w:tcW w:w="280" w:type="dxa"/>
            <w:vAlign w:val="bottom"/>
          </w:tcPr>
          <w:p>
            <w:pPr>
              <w:spacing w:after="0"/>
              <w:rPr>
                <w:sz w:val="14"/>
                <w:szCs w:val="14"/>
                <w:color w:val="auto"/>
              </w:rPr>
            </w:pPr>
          </w:p>
        </w:tc>
        <w:tc>
          <w:tcPr>
            <w:tcW w:w="1380" w:type="dxa"/>
            <w:vAlign w:val="bottom"/>
          </w:tcPr>
          <w:p>
            <w:pPr>
              <w:jc w:val="right"/>
              <w:ind w:right="221"/>
              <w:spacing w:after="0"/>
              <w:rPr>
                <w:sz w:val="20"/>
                <w:szCs w:val="20"/>
                <w:color w:val="auto"/>
              </w:rPr>
            </w:pPr>
            <w:r>
              <w:rPr>
                <w:rFonts w:ascii="Arial" w:cs="Arial" w:eastAsia="Arial" w:hAnsi="Arial"/>
                <w:sz w:val="14"/>
                <w:szCs w:val="14"/>
                <w:b w:val="1"/>
                <w:bCs w:val="1"/>
                <w:color w:val="auto"/>
              </w:rPr>
              <w:t>Income Before</w:t>
            </w:r>
          </w:p>
        </w:tc>
      </w:tr>
      <w:tr>
        <w:trPr>
          <w:trHeight w:val="19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Operations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income</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Income Taxes</w:t>
            </w:r>
          </w:p>
        </w:tc>
      </w:tr>
      <w:tr>
        <w:trPr>
          <w:trHeight w:val="250"/>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2017</w:t>
            </w:r>
          </w:p>
        </w:tc>
        <w:tc>
          <w:tcPr>
            <w:tcW w:w="1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29,054</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23,786</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(18,801)</w:t>
            </w:r>
          </w:p>
        </w:tc>
        <w:tc>
          <w:tcPr>
            <w:tcW w:w="280" w:type="dxa"/>
            <w:vAlign w:val="bottom"/>
          </w:tcPr>
          <w:p>
            <w:pPr>
              <w:spacing w:after="0"/>
              <w:rPr>
                <w:sz w:val="23"/>
                <w:szCs w:val="23"/>
                <w:color w:val="auto"/>
              </w:rPr>
            </w:pP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18,801</w:t>
            </w:r>
          </w:p>
        </w:tc>
        <w:tc>
          <w:tcPr>
            <w:tcW w:w="28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10,253</w:t>
            </w:r>
          </w:p>
        </w:tc>
        <w:tc>
          <w:tcPr>
            <w:tcW w:w="280" w:type="dxa"/>
            <w:vAlign w:val="bottom"/>
          </w:tcPr>
          <w:p>
            <w:pPr>
              <w:spacing w:after="0"/>
              <w:rPr>
                <w:sz w:val="23"/>
                <w:szCs w:val="23"/>
                <w:color w:val="auto"/>
              </w:rPr>
            </w:pP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18,801</w:t>
            </w:r>
          </w:p>
        </w:tc>
        <w:tc>
          <w:tcPr>
            <w:tcW w:w="28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23,786</w:t>
            </w:r>
          </w:p>
        </w:tc>
      </w:tr>
      <w:tr>
        <w:trPr>
          <w:trHeight w:val="486"/>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2016</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51,872</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60,615</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(15,677)</w:t>
            </w:r>
          </w:p>
        </w:tc>
        <w:tc>
          <w:tcPr>
            <w:tcW w:w="280" w:type="dxa"/>
            <w:vAlign w:val="bottom"/>
          </w:tcPr>
          <w:p>
            <w:pPr>
              <w:spacing w:after="0"/>
              <w:rPr>
                <w:sz w:val="23"/>
                <w:szCs w:val="23"/>
                <w:color w:val="auto"/>
              </w:rPr>
            </w:pP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15,677</w:t>
            </w:r>
          </w:p>
        </w:tc>
        <w:tc>
          <w:tcPr>
            <w:tcW w:w="28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36,195</w:t>
            </w:r>
          </w:p>
        </w:tc>
        <w:tc>
          <w:tcPr>
            <w:tcW w:w="280" w:type="dxa"/>
            <w:vAlign w:val="bottom"/>
          </w:tcPr>
          <w:p>
            <w:pPr>
              <w:spacing w:after="0"/>
              <w:rPr>
                <w:sz w:val="23"/>
                <w:szCs w:val="23"/>
                <w:color w:val="auto"/>
              </w:rPr>
            </w:pP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15,677</w:t>
            </w:r>
          </w:p>
        </w:tc>
        <w:tc>
          <w:tcPr>
            <w:tcW w:w="28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60,615</w:t>
            </w:r>
          </w:p>
        </w:tc>
      </w:tr>
      <w:tr>
        <w:trPr>
          <w:trHeight w:val="486"/>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Twelve Months Ended December 31, 2016</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As Reported</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303,534</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250,658</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Adjustment</w:t>
            </w:r>
          </w:p>
        </w:tc>
        <w:tc>
          <w:tcPr>
            <w:tcW w:w="1820" w:type="dxa"/>
            <w:vAlign w:val="bottom"/>
          </w:tcPr>
          <w:p>
            <w:pPr>
              <w:spacing w:after="0"/>
              <w:rPr>
                <w:sz w:val="23"/>
                <w:szCs w:val="23"/>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(80,665)</w:t>
            </w:r>
          </w:p>
        </w:tc>
        <w:tc>
          <w:tcPr>
            <w:tcW w:w="280" w:type="dxa"/>
            <w:vAlign w:val="bottom"/>
          </w:tcPr>
          <w:p>
            <w:pPr>
              <w:spacing w:after="0"/>
              <w:rPr>
                <w:sz w:val="23"/>
                <w:szCs w:val="23"/>
                <w:color w:val="auto"/>
              </w:rPr>
            </w:pP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80,665</w:t>
            </w:r>
          </w:p>
        </w:tc>
        <w:tc>
          <w:tcPr>
            <w:tcW w:w="28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4840" w:type="dxa"/>
            <w:vAlign w:val="bottom"/>
          </w:tcPr>
          <w:p>
            <w:pPr>
              <w:ind w:left="180"/>
              <w:spacing w:after="0"/>
              <w:rPr>
                <w:sz w:val="20"/>
                <w:szCs w:val="20"/>
                <w:color w:val="auto"/>
              </w:rPr>
            </w:pPr>
            <w:r>
              <w:rPr>
                <w:rFonts w:ascii="Arial" w:cs="Arial" w:eastAsia="Arial" w:hAnsi="Arial"/>
                <w:sz w:val="16"/>
                <w:szCs w:val="16"/>
                <w:color w:val="auto"/>
              </w:rPr>
              <w:t>Upon Adoption</w:t>
            </w:r>
          </w:p>
        </w:tc>
        <w:tc>
          <w:tcPr>
            <w:tcW w:w="1820" w:type="dxa"/>
            <w:vAlign w:val="bottom"/>
          </w:tcPr>
          <w:p>
            <w:pPr>
              <w:spacing w:after="0"/>
              <w:rPr>
                <w:sz w:val="23"/>
                <w:szCs w:val="23"/>
                <w:color w:val="auto"/>
              </w:rPr>
            </w:pPr>
          </w:p>
        </w:tc>
        <w:tc>
          <w:tcPr>
            <w:tcW w:w="1400" w:type="dxa"/>
            <w:vAlign w:val="bottom"/>
          </w:tcPr>
          <w:p>
            <w:pPr>
              <w:jc w:val="right"/>
              <w:ind w:right="81"/>
              <w:spacing w:after="0"/>
              <w:rPr>
                <w:sz w:val="20"/>
                <w:szCs w:val="20"/>
                <w:color w:val="auto"/>
              </w:rPr>
            </w:pPr>
            <w:r>
              <w:rPr>
                <w:rFonts w:ascii="Arial" w:cs="Arial" w:eastAsia="Arial" w:hAnsi="Arial"/>
                <w:sz w:val="16"/>
                <w:szCs w:val="16"/>
                <w:color w:val="auto"/>
              </w:rPr>
              <w:t>222,869</w:t>
            </w:r>
          </w:p>
        </w:tc>
        <w:tc>
          <w:tcPr>
            <w:tcW w:w="280" w:type="dxa"/>
            <w:vAlign w:val="bottom"/>
          </w:tcPr>
          <w:p>
            <w:pPr>
              <w:spacing w:after="0"/>
              <w:rPr>
                <w:sz w:val="23"/>
                <w:szCs w:val="23"/>
                <w:color w:val="auto"/>
              </w:rPr>
            </w:pPr>
          </w:p>
        </w:tc>
        <w:tc>
          <w:tcPr>
            <w:tcW w:w="1420" w:type="dxa"/>
            <w:vAlign w:val="bottom"/>
          </w:tcPr>
          <w:p>
            <w:pPr>
              <w:jc w:val="right"/>
              <w:ind w:right="61"/>
              <w:spacing w:after="0"/>
              <w:rPr>
                <w:sz w:val="20"/>
                <w:szCs w:val="20"/>
                <w:color w:val="auto"/>
              </w:rPr>
            </w:pPr>
            <w:r>
              <w:rPr>
                <w:rFonts w:ascii="Arial" w:cs="Arial" w:eastAsia="Arial" w:hAnsi="Arial"/>
                <w:sz w:val="16"/>
                <w:szCs w:val="16"/>
                <w:color w:val="auto"/>
              </w:rPr>
              <w:t>80,665</w:t>
            </w:r>
          </w:p>
        </w:tc>
        <w:tc>
          <w:tcPr>
            <w:tcW w:w="280" w:type="dxa"/>
            <w:vAlign w:val="bottom"/>
          </w:tcPr>
          <w:p>
            <w:pPr>
              <w:spacing w:after="0"/>
              <w:rPr>
                <w:sz w:val="23"/>
                <w:szCs w:val="23"/>
                <w:color w:val="auto"/>
              </w:rPr>
            </w:pP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250,658</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66"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As of March 31, 2017 and December 31, 2016, the Company had commercial paper and money market investments of $442.9 million and $485.1 million, respectively, that are classified as cash, cash equivalents and restricted cash in the Company's Condensed Consolidated Balance Sheets.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2016</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269,343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269,343</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164,444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154,886</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433,787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424,229</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There were no purchases of marketable equity securities during the first three months of 2017. The Company settled on $13.3 million of marketable equity securities during the first three months of 2016, of which $12.9 million were purchased in the first quarter.</w:t>
      </w:r>
    </w:p>
    <w:p>
      <w:pPr>
        <w:spacing w:after="0" w:line="135"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There were no sales of marketable equity securities for the first three months of 2017. During the first three months of 2016, the net realized gains from the sales of marketable equity securities were $1.8 million. The total proceeds from such sales were $6.0 million, of which $1.6 million settled in April 2016.</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As of March 31, 2017, the Company held interests in several affiliates; Residential Healthcare (Residential) held a 40% interest in Residential Home Health Illinois, a 42.5% interest in Residential Hospice Illinois and a 40% interest in the joint venture formed between Residential and a Michigan hospital; and Celtic Healthcare (Celtic) held a 40% interest in the joint venture formed between Celtic Healthcare and Allegheny Health Network (AHN). For the three months ended March 31, 2017, the Company recorded $4.6 million in revenue for services provided to the affiliates of Celtic and Residential.</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agreed to loan the joint venture £25 million, of which, £11.0 million was advanced in 2016. The loan will be repayable over 25 years at an interest rate of 7% and the loan is guaranteed by the University of York.</w:t>
      </w:r>
    </w:p>
    <w:p>
      <w:pPr>
        <w:sectPr>
          <w:pgSz w:w="11900" w:h="16838" w:orient="portrait"/>
          <w:cols w:equalWidth="0" w:num="1">
            <w:col w:w="11420"/>
          </w:cols>
          <w:pgMar w:left="240" w:top="7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19"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ACQUISITIONS AND DISPOSITIONS OF BUSINESSES</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In April 2017, the Company acquired Hoover Treated Wood Products, Inc., a Thomson, GA-based supplier of pressure</w:t>
      </w:r>
      <w:r>
        <w:rPr>
          <w:rFonts w:ascii="Arial" w:cs="Arial" w:eastAsia="Arial" w:hAnsi="Arial"/>
          <w:sz w:val="18"/>
          <w:szCs w:val="18"/>
          <w:b w:val="1"/>
          <w:bCs w:val="1"/>
          <w:color w:val="auto"/>
        </w:rPr>
        <w:t xml:space="preserve"> </w:t>
      </w:r>
      <w:r>
        <w:rPr>
          <w:rFonts w:ascii="Arial" w:cs="Arial" w:eastAsia="Arial" w:hAnsi="Arial"/>
          <w:sz w:val="18"/>
          <w:szCs w:val="18"/>
          <w:color w:val="auto"/>
        </w:rPr>
        <w:t>impregnated kiln-dried lumber and plywood products for fire retardant and preservative applications for approximately $205 million, net of cash acquired.</w:t>
      </w:r>
    </w:p>
    <w:p>
      <w:pPr>
        <w:spacing w:after="0" w:line="136"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In the first three months of 2017, the Company acquired four businesses, two in its television broadcasting division and two in its education division for $86.5 million in cash and contingent consideration, and the assumption of $59.1 million in certain pension and postretirement obligations.</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In January 2016, Kaplan acquired a 100% interest in Mander Portman Woodward, a leading provider of high-quality, bespoke education to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reason for these acquisitions is based on several strategic benefits expected to be realized in the future. Both of these acquisitions are included in Kaplan International.</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 September 2016, Group Dekko, Inc.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Dekko is included in other businesses.</w:t>
      </w:r>
    </w:p>
    <w:p>
      <w:pPr>
        <w:spacing w:after="0" w:line="135"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Acquisition-related costs of $1.1 million related to these 2017 acquisitions were expensed as incurred. The aggregate purchase price of the 2017 and 2016 acquisitions was allocated as follows (2017 on a preliminary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Purchase Price Allocation</w:t>
            </w:r>
          </w:p>
        </w:tc>
      </w:tr>
      <w:tr>
        <w:trPr>
          <w:trHeight w:val="250"/>
        </w:trPr>
        <w:tc>
          <w:tcPr>
            <w:tcW w:w="8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21"/>
                <w:szCs w:val="21"/>
                <w:color w:val="auto"/>
              </w:rPr>
            </w:pPr>
          </w:p>
        </w:tc>
      </w:tr>
      <w:tr>
        <w:trPr>
          <w:trHeight w:val="197"/>
        </w:trPr>
        <w:tc>
          <w:tcPr>
            <w:tcW w:w="8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March 31, 2017</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0"/>
        </w:trPr>
        <w:tc>
          <w:tcPr>
            <w:tcW w:w="84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b w:val="1"/>
                <w:bCs w:val="1"/>
                <w:color w:val="auto"/>
              </w:rPr>
              <w:t>386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8,538</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14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b w:val="1"/>
                <w:bCs w:val="1"/>
                <w:color w:val="auto"/>
              </w:rPr>
              <w:t>130</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2,298</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b w:val="1"/>
                <w:bCs w:val="1"/>
                <w:color w:val="auto"/>
              </w:rPr>
              <w:t>8,960</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3,940</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b w:val="1"/>
                <w:bCs w:val="1"/>
                <w:color w:val="auto"/>
              </w:rPr>
              <w:t>42,632</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184,118</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14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b w:val="1"/>
                <w:bCs w:val="1"/>
                <w:color w:val="auto"/>
              </w:rPr>
              <w:t>26,600</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53,110</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14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b w:val="1"/>
                <w:bCs w:val="1"/>
                <w:color w:val="auto"/>
              </w:rPr>
              <w:t>53,307</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28,267</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Pension and other postretirement benefits liabilities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(59,116)</w:t>
            </w:r>
          </w:p>
        </w:tc>
        <w:tc>
          <w:tcPr>
            <w:tcW w:w="20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(1,217)</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(21,892)</w:t>
            </w:r>
          </w:p>
        </w:tc>
      </w:tr>
      <w:tr>
        <w:trPr>
          <w:trHeight w:val="283"/>
        </w:trPr>
        <w:tc>
          <w:tcPr>
            <w:tcW w:w="84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13,733</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(11,009)</w:t>
            </w:r>
          </w:p>
        </w:tc>
      </w:tr>
      <w:tr>
        <w:trPr>
          <w:trHeight w:val="240"/>
        </w:trPr>
        <w:tc>
          <w:tcPr>
            <w:tcW w:w="846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85,415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247,370</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2017 fair values recorded were based upon preliminary valuations and the estimates and assumptions used in such valuations are subject to change, which could be significant, within the measurement period (up to one year from the acquisition date). The recording of deferred tax assets or liabilities, working capital and the final amount of residual goodwill and other intangibles are not yet finalized.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No goodwill is expected to be deducted for the acquisitions completed in 2017. The Company expects to deduct $22.2 million of goodwill for income tax purposes for the acquisitions completed in 2016.</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7" w:right="239" w:bottom="1440" w:gutter="0" w:footer="0" w:header="0"/>
        </w:sectPr>
      </w:pPr>
    </w:p>
    <w:bookmarkStart w:id="11" w:name="page12"/>
    <w:bookmarkEnd w:id="11"/>
    <w:p>
      <w:pPr>
        <w:ind w:right="140"/>
        <w:spacing w:after="0" w:line="225"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include aggregate revenues and operating loss for the companies acquired in 2017 of $5.5 million and $0.2 million, respectively, for the first three months of 2017. The following unaudited pro forma financial information presents the Company’s results as if the 2017 acquisitions had occurred at the beginning of 2016. The unaudited pro forma information also includes the 2016 acquisitions as if they occurred at the beginning of 2015:</w:t>
      </w:r>
    </w:p>
    <w:p>
      <w:pPr>
        <w:spacing w:after="0" w:line="138"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584,152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614,753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3"/>
                <w:szCs w:val="23"/>
                <w:color w:val="auto"/>
              </w:rPr>
            </w:pP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21,099</w:t>
            </w:r>
          </w:p>
        </w:tc>
        <w:tc>
          <w:tcPr>
            <w:tcW w:w="44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39,567</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2017, Graham Healthcare Group (GHG) completed the sale of Celtic Healthcare of Maryland. The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GHG are included in other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was included in Kaplan Corporate and Other.</w:t>
      </w:r>
    </w:p>
    <w:p>
      <w:pPr>
        <w:spacing w:after="0" w:line="122"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and Residential combined their business operations to form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 amount payable. The Company now owns 90% of GHG. Because the noncontrolling interest is now mandatorily redeemable by the Company by 2026, it is reported as a noncurrent liability at March 31, 2017.</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1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66"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Amortization of intangible assets for the three months ended March 31, 2017 and 2016 was $6.8 million and $6.3 million, respectively. Amortization of intangible assets is estimated to be approximately $22 million for the remainder of 2017, $26 million in 2018, $23 million in 2019, $21 million in 2020, $15 million in 2021 and $47 million thereafter.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261"/>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200" w:type="dxa"/>
            <w:vAlign w:val="bottom"/>
          </w:tcPr>
          <w:p>
            <w:pPr>
              <w:jc w:val="right"/>
              <w:ind w:right="441"/>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1,111,003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168,345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202,141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1,481,489</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(7,685)</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(358,535)</w:t>
            </w:r>
          </w:p>
        </w:tc>
      </w:tr>
      <w:tr>
        <w:trPr>
          <w:trHeight w:val="251"/>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760,153</w:t>
            </w:r>
          </w:p>
        </w:tc>
        <w:tc>
          <w:tcPr>
            <w:tcW w:w="24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168,345</w:t>
            </w:r>
          </w:p>
        </w:tc>
        <w:tc>
          <w:tcPr>
            <w:tcW w:w="30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194,456</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1,122,954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20,851</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21,781</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42,632</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(412)</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(412)</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14,257</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14,257</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2017</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1,146,111</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190,126</w:t>
            </w:r>
          </w:p>
        </w:tc>
        <w:tc>
          <w:tcPr>
            <w:tcW w:w="30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201,729</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1,537,966</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(350,850)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(7,685)</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(358,535)</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795,261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190,126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194,044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1,179,431</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421"/>
              <w:spacing w:after="0"/>
              <w:rPr>
                <w:sz w:val="20"/>
                <w:szCs w:val="20"/>
                <w:color w:val="auto"/>
              </w:rPr>
            </w:pPr>
            <w:r>
              <w:rPr>
                <w:rFonts w:ascii="Arial" w:cs="Arial" w:eastAsia="Arial" w:hAnsi="Arial"/>
                <w:sz w:val="14"/>
                <w:szCs w:val="14"/>
                <w:b w:val="1"/>
                <w:bCs w:val="1"/>
                <w:color w:val="auto"/>
              </w:rPr>
              <w:t>Higher</w:t>
            </w:r>
          </w:p>
        </w:tc>
        <w:tc>
          <w:tcPr>
            <w:tcW w:w="280" w:type="dxa"/>
            <w:vAlign w:val="bottom"/>
          </w:tcPr>
          <w:p>
            <w:pPr>
              <w:spacing w:after="0"/>
              <w:rPr>
                <w:sz w:val="14"/>
                <w:szCs w:val="14"/>
                <w:color w:val="auto"/>
              </w:rPr>
            </w:pPr>
          </w:p>
        </w:tc>
        <w:tc>
          <w:tcPr>
            <w:tcW w:w="1200" w:type="dxa"/>
            <w:vAlign w:val="bottom"/>
          </w:tcPr>
          <w:p>
            <w:pPr>
              <w:jc w:val="right"/>
              <w:ind w:right="501"/>
              <w:spacing w:after="0"/>
              <w:rPr>
                <w:sz w:val="20"/>
                <w:szCs w:val="20"/>
                <w:color w:val="auto"/>
              </w:rPr>
            </w:pPr>
            <w:r>
              <w:rPr>
                <w:rFonts w:ascii="Arial" w:cs="Arial" w:eastAsia="Arial" w:hAnsi="Arial"/>
                <w:sz w:val="14"/>
                <w:szCs w:val="14"/>
                <w:b w:val="1"/>
                <w:bCs w:val="1"/>
                <w:color w:val="auto"/>
              </w:rPr>
              <w:t>Test</w:t>
            </w:r>
          </w:p>
        </w:tc>
        <w:tc>
          <w:tcPr>
            <w:tcW w:w="240" w:type="dxa"/>
            <w:vAlign w:val="bottom"/>
          </w:tcPr>
          <w:p>
            <w:pPr>
              <w:spacing w:after="0"/>
              <w:rPr>
                <w:sz w:val="14"/>
                <w:szCs w:val="14"/>
                <w:color w:val="auto"/>
              </w:rPr>
            </w:pPr>
          </w:p>
        </w:tc>
        <w:tc>
          <w:tcPr>
            <w:tcW w:w="120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Education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Preparation</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International</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December 31, 2016</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389,720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166,098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555,185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1,111,003</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51"/>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141,129</w:t>
            </w:r>
          </w:p>
        </w:tc>
        <w:tc>
          <w:tcPr>
            <w:tcW w:w="280" w:type="dxa"/>
            <w:vAlign w:val="bottom"/>
          </w:tcPr>
          <w:p>
            <w:pPr>
              <w:spacing w:after="0"/>
              <w:rPr>
                <w:sz w:val="21"/>
                <w:szCs w:val="21"/>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63,839</w:t>
            </w:r>
          </w:p>
        </w:tc>
        <w:tc>
          <w:tcPr>
            <w:tcW w:w="24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555,185</w:t>
            </w:r>
          </w:p>
        </w:tc>
        <w:tc>
          <w:tcPr>
            <w:tcW w:w="4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760,153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20,851</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20,851</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28</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14,229</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14,257</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2017</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2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389,748</w:t>
            </w:r>
          </w:p>
        </w:tc>
        <w:tc>
          <w:tcPr>
            <w:tcW w:w="28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166,098</w:t>
            </w:r>
          </w:p>
        </w:tc>
        <w:tc>
          <w:tcPr>
            <w:tcW w:w="24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590,265</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1,146,111</w:t>
            </w:r>
          </w:p>
        </w:tc>
      </w:tr>
      <w:tr>
        <w:trPr>
          <w:trHeight w:val="283"/>
        </w:trPr>
        <w:tc>
          <w:tcPr>
            <w:tcW w:w="56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(248,591)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(350,850)</w:t>
            </w:r>
          </w:p>
        </w:tc>
      </w:tr>
      <w:tr>
        <w:trPr>
          <w:trHeight w:val="264"/>
        </w:trPr>
        <w:tc>
          <w:tcPr>
            <w:tcW w:w="562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141,157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63,839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590,265</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795,261</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2017</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2016</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520" w:type="dxa"/>
            <w:vAlign w:val="bottom"/>
          </w:tcPr>
          <w:p>
            <w:pPr>
              <w:jc w:val="center"/>
              <w:ind w:right="141"/>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20" w:type="dxa"/>
            <w:vAlign w:val="bottom"/>
          </w:tcPr>
          <w:p>
            <w:pPr>
              <w:jc w:val="center"/>
              <w:ind w:right="161"/>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840" w:type="dxa"/>
            <w:vAlign w:val="bottom"/>
          </w:tcPr>
          <w:p>
            <w:pPr>
              <w:jc w:val="center"/>
              <w:ind w:right="14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284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1–10 years (1)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131,975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60,389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71,586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129,616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55,863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73,753</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56,270</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30,654</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25,616</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55,240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29,670</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25,570</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45,900</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638</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45,262</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9,051</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4,565</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4,486</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5,601</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4,368</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1,730</w:t>
            </w:r>
          </w:p>
        </w:tc>
        <w:tc>
          <w:tcPr>
            <w:tcW w:w="240" w:type="dxa"/>
            <w:vAlign w:val="bottom"/>
          </w:tcPr>
          <w:p>
            <w:pPr>
              <w:spacing w:after="0"/>
              <w:rPr>
                <w:sz w:val="23"/>
                <w:szCs w:val="23"/>
                <w:color w:val="auto"/>
              </w:rPr>
            </w:pPr>
          </w:p>
        </w:tc>
        <w:tc>
          <w:tcPr>
            <w:tcW w:w="1220" w:type="dxa"/>
            <w:vAlign w:val="bottom"/>
          </w:tcPr>
          <w:p>
            <w:pPr>
              <w:jc w:val="right"/>
              <w:ind w:right="141"/>
              <w:spacing w:after="0"/>
              <w:rPr>
                <w:sz w:val="20"/>
                <w:szCs w:val="20"/>
                <w:color w:val="auto"/>
              </w:rPr>
            </w:pPr>
            <w:r>
              <w:rPr>
                <w:rFonts w:ascii="Arial" w:cs="Arial" w:eastAsia="Arial" w:hAnsi="Arial"/>
                <w:sz w:val="16"/>
                <w:szCs w:val="16"/>
                <w:b w:val="1"/>
                <w:bCs w:val="1"/>
                <w:color w:val="auto"/>
              </w:rPr>
              <w:t>1,464</w:t>
            </w:r>
          </w:p>
        </w:tc>
        <w:tc>
          <w:tcPr>
            <w:tcW w:w="18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266</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1,730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1,404</w:t>
            </w:r>
          </w:p>
        </w:tc>
        <w:tc>
          <w:tcPr>
            <w:tcW w:w="2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83"/>
        </w:trPr>
        <w:tc>
          <w:tcPr>
            <w:tcW w:w="2840" w:type="dxa"/>
            <w:vAlign w:val="bottom"/>
          </w:tcPr>
          <w:p>
            <w:pPr>
              <w:ind w:left="180"/>
              <w:spacing w:after="0"/>
              <w:rPr>
                <w:sz w:val="20"/>
                <w:szCs w:val="20"/>
                <w:color w:val="auto"/>
              </w:rPr>
            </w:pPr>
            <w:r>
              <w:rPr>
                <w:rFonts w:ascii="Arial" w:cs="Arial" w:eastAsia="Arial" w:hAnsi="Arial"/>
                <w:sz w:val="16"/>
                <w:szCs w:val="16"/>
                <w:color w:val="auto"/>
              </w:rPr>
              <w:t>Other</w:t>
            </w:r>
          </w:p>
        </w:tc>
        <w:tc>
          <w:tcPr>
            <w:tcW w:w="1520" w:type="dxa"/>
            <w:vAlign w:val="bottom"/>
          </w:tcPr>
          <w:p>
            <w:pPr>
              <w:jc w:val="center"/>
              <w:ind w:right="141"/>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12,030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5,322</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6,708</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12,030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4,973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256,956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103,032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153,924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204,217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96,278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107,939</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84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65,953</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65,192</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26,600</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84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650</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834</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93,203</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66,026</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12700</wp:posOffset>
            </wp:positionV>
            <wp:extent cx="6515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29845</wp:posOffset>
            </wp:positionV>
            <wp:extent cx="6515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12700</wp:posOffset>
            </wp:positionV>
            <wp:extent cx="668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29845</wp:posOffset>
            </wp:positionV>
            <wp:extent cx="668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63"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Company's student and customer relationships’ minimum useful life was 2 years as of December 31, 2016.</w:t>
      </w:r>
    </w:p>
    <w:p>
      <w:pPr>
        <w:sectPr>
          <w:pgSz w:w="11900" w:h="16838" w:orient="portrait"/>
          <w:cols w:equalWidth="0" w:num="1">
            <w:col w:w="11420"/>
          </w:cols>
          <w:pgMar w:left="240" w:top="697" w:right="239" w:bottom="1138"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697" w:right="239" w:bottom="1138"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1200" w:type="dxa"/>
            <w:vAlign w:val="bottom"/>
          </w:tcPr>
          <w:p>
            <w:pPr>
              <w:jc w:val="right"/>
              <w:ind w:right="1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306"/>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7.25% unsecured notes due February 1, 2019 </w:t>
            </w:r>
            <w:r>
              <w:rPr>
                <w:rFonts w:ascii="Arial" w:cs="Arial" w:eastAsia="Arial" w:hAnsi="Arial"/>
                <w:sz w:val="21"/>
                <w:szCs w:val="21"/>
                <w:color w:val="auto"/>
                <w:vertAlign w:val="superscript"/>
              </w:rPr>
              <w:t>(1)</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399,166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399,052</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92,856</w:t>
            </w:r>
          </w:p>
        </w:tc>
        <w:tc>
          <w:tcPr>
            <w:tcW w:w="24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91,316</w:t>
            </w:r>
          </w:p>
        </w:tc>
        <w:tc>
          <w:tcPr>
            <w:tcW w:w="0" w:type="dxa"/>
            <w:vAlign w:val="bottom"/>
          </w:tcPr>
          <w:p>
            <w:pPr>
              <w:spacing w:after="0"/>
              <w:rPr>
                <w:sz w:val="1"/>
                <w:szCs w:val="1"/>
                <w:color w:val="auto"/>
              </w:rPr>
            </w:pPr>
          </w:p>
        </w:tc>
      </w:tr>
      <w:tr>
        <w:trPr>
          <w:trHeight w:val="228"/>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1,322</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62"/>
              <w:spacing w:after="0"/>
              <w:rPr>
                <w:sz w:val="20"/>
                <w:szCs w:val="20"/>
                <w:color w:val="auto"/>
              </w:rPr>
            </w:pPr>
            <w:r>
              <w:rPr>
                <w:rFonts w:ascii="Arial" w:cs="Arial" w:eastAsia="Arial" w:hAnsi="Arial"/>
                <w:sz w:val="16"/>
                <w:szCs w:val="16"/>
                <w:b w:val="1"/>
                <w:bCs w:val="1"/>
                <w:color w:val="auto"/>
              </w:rPr>
              <w:t>493,344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491,847</w:t>
            </w:r>
          </w:p>
        </w:tc>
        <w:tc>
          <w:tcPr>
            <w:tcW w:w="0" w:type="dxa"/>
            <w:vAlign w:val="bottom"/>
          </w:tcPr>
          <w:p>
            <w:pPr>
              <w:spacing w:after="0"/>
              <w:rPr>
                <w:sz w:val="1"/>
                <w:szCs w:val="1"/>
                <w:color w:val="auto"/>
              </w:rPr>
            </w:pP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(6,158)</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(6,128)</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487,186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485,719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March 31, 2017 and December 31, 2016, respectively.</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carrying value is net of $0.5 million of unamortized debt issuance costs as of March 31, 2017 and December 31, 2016,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March 31, 2017 is at interest rates from 2% and 6% and matures from 2019 to 2025.</w:t>
      </w:r>
    </w:p>
    <w:p>
      <w:pPr>
        <w:spacing w:after="0" w:line="144"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July 14, 2016, Kaplan entered into a Facility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 As of March 31, 2017, the Company is in compliance with all financial covenants.</w:t>
      </w:r>
    </w:p>
    <w:p>
      <w:pPr>
        <w:spacing w:after="0" w:line="138"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4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the three months ended March 31, 2017 and 2016, the Company had average borrowings outstanding of approximately $ 493.0 million and $399.9 million, respectively, at average annual interest rates of approximately 6.3% and 7.2%, respectively. During the three months ended March 31, 2017 and 2016, the Company incurred net interest expense of $6.8 million and $7.4 million, respectively.</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At March 31, 2017, the fair value of the Company’s 7.25% unsecured notes, based on quoted market prices (Level 2 fair value assessment), totaled $431.8 million, compared with the carrying amount of $399.2 million. At December 31, 2016, the fair value of the Company’s 7.25% unsecured notes, based on quoted market prices (Level 2 fair value assessment), totaled $438.7 million, compared with the carrying amount of $399.1 million. The carrying value of the Company’s other unsecured debt at March 31, 2017 approximates fair value.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As of March 31, 2017</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442,864</w:t>
            </w:r>
          </w:p>
        </w:tc>
        <w:tc>
          <w:tcPr>
            <w:tcW w:w="320" w:type="dxa"/>
            <w:vAlign w:val="bottom"/>
          </w:tcPr>
          <w:p>
            <w:pPr>
              <w:jc w:val="right"/>
              <w:ind w:right="17"/>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7"/>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442,864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433,787</w:t>
            </w:r>
          </w:p>
        </w:tc>
        <w:tc>
          <w:tcPr>
            <w:tcW w:w="3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433,787</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5,702</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17,069</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22,771</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439,489</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459,933</w:t>
            </w: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899,422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43,949</w:t>
            </w:r>
          </w:p>
        </w:tc>
        <w:tc>
          <w:tcPr>
            <w:tcW w:w="320" w:type="dxa"/>
            <w:vAlign w:val="bottom"/>
          </w:tcPr>
          <w:p>
            <w:pPr>
              <w:jc w:val="right"/>
              <w:ind w:right="17"/>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7"/>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43,949</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(6)</w:t>
            </w:r>
          </w:p>
        </w:tc>
        <w:tc>
          <w:tcPr>
            <w:tcW w:w="2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488</w:t>
            </w:r>
          </w:p>
        </w:tc>
        <w:tc>
          <w:tcPr>
            <w:tcW w:w="3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488</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12,584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12,584</w:t>
            </w:r>
          </w:p>
        </w:tc>
        <w:tc>
          <w:tcPr>
            <w:tcW w:w="0" w:type="dxa"/>
            <w:vAlign w:val="bottom"/>
          </w:tcPr>
          <w:p>
            <w:pPr>
              <w:spacing w:after="0"/>
              <w:rPr>
                <w:sz w:val="1"/>
                <w:szCs w:val="1"/>
                <w:color w:val="auto"/>
              </w:rPr>
            </w:pPr>
          </w:p>
        </w:tc>
      </w:tr>
      <w:tr>
        <w:trPr>
          <w:trHeight w:val="261"/>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44,437</w:t>
            </w: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12,584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57,021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9"/>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435,258</w:t>
            </w:r>
          </w:p>
        </w:tc>
        <w:tc>
          <w:tcPr>
            <w:tcW w:w="3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435,258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Commercial paper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49,882</w:t>
            </w:r>
          </w:p>
        </w:tc>
        <w:tc>
          <w:tcPr>
            <w:tcW w:w="3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49,882</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424,229</w:t>
            </w:r>
          </w:p>
        </w:tc>
        <w:tc>
          <w:tcPr>
            <w:tcW w:w="3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424,229</w:t>
            </w:r>
          </w:p>
        </w:tc>
        <w:tc>
          <w:tcPr>
            <w:tcW w:w="0" w:type="dxa"/>
            <w:vAlign w:val="bottom"/>
          </w:tcPr>
          <w:p>
            <w:pPr>
              <w:spacing w:after="0"/>
              <w:rPr>
                <w:sz w:val="1"/>
                <w:szCs w:val="1"/>
                <w:color w:val="auto"/>
              </w:rPr>
            </w:pPr>
          </w:p>
        </w:tc>
      </w:tr>
      <w:tr>
        <w:trPr>
          <w:trHeight w:val="230"/>
        </w:trPr>
        <w:tc>
          <w:tcPr>
            <w:tcW w:w="6520" w:type="dxa"/>
            <w:vAlign w:val="bottom"/>
          </w:tcPr>
          <w:p>
            <w:pPr>
              <w:ind w:left="40"/>
              <w:spacing w:after="0" w:line="231"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6,957</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17,055</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24,012</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481,068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452,313</w:t>
            </w: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933,381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46,300</w:t>
            </w:r>
          </w:p>
        </w:tc>
        <w:tc>
          <w:tcPr>
            <w:tcW w:w="3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46,300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365</w:t>
            </w:r>
          </w:p>
        </w:tc>
        <w:tc>
          <w:tcPr>
            <w:tcW w:w="320" w:type="dxa"/>
            <w:vAlign w:val="bottom"/>
          </w:tcPr>
          <w:p>
            <w:pPr>
              <w:spacing w:after="0"/>
              <w:rPr>
                <w:sz w:val="23"/>
                <w:szCs w:val="23"/>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0"/>
        </w:trPr>
        <w:tc>
          <w:tcPr>
            <w:tcW w:w="6520" w:type="dxa"/>
            <w:vAlign w:val="bottom"/>
          </w:tcPr>
          <w:p>
            <w:pPr>
              <w:ind w:left="40"/>
              <w:spacing w:after="0" w:line="231"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12,584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12,584</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46,665</w:t>
            </w: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12,584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59,249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 and the value considers the liquidity of the counterparty.</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three months or less are included in cash and cash equivalents.</w:t>
      </w:r>
    </w:p>
    <w:p>
      <w:pPr>
        <w:spacing w:after="0" w:line="41"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41" w:lineRule="exact"/>
        <w:rPr>
          <w:rFonts w:ascii="Arial" w:cs="Arial" w:eastAsia="Arial" w:hAnsi="Arial"/>
          <w:sz w:val="14"/>
          <w:szCs w:val="14"/>
          <w:color w:val="auto"/>
        </w:rPr>
      </w:pPr>
    </w:p>
    <w:p>
      <w:pPr>
        <w:ind w:left="420" w:right="420" w:hanging="412"/>
        <w:spacing w:after="0" w:line="239" w:lineRule="auto"/>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30" w:lineRule="exact"/>
        <w:rPr>
          <w:rFonts w:ascii="Arial" w:cs="Arial" w:eastAsia="Arial" w:hAnsi="Arial"/>
          <w:sz w:val="14"/>
          <w:szCs w:val="14"/>
          <w:color w:val="auto"/>
        </w:rPr>
      </w:pPr>
    </w:p>
    <w:p>
      <w:pPr>
        <w:ind w:left="420" w:right="4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152" w:lineRule="exact"/>
        <w:rPr>
          <w:rFonts w:ascii="Arial" w:cs="Arial" w:eastAsia="Arial" w:hAnsi="Arial"/>
          <w:sz w:val="14"/>
          <w:szCs w:val="14"/>
          <w:color w:val="auto"/>
        </w:rPr>
      </w:pPr>
    </w:p>
    <w:p>
      <w:pPr>
        <w:ind w:left="420" w:right="160" w:hanging="412"/>
        <w:spacing w:after="0" w:line="239" w:lineRule="auto"/>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180" w:hanging="412"/>
        <w:spacing w:after="0" w:line="239" w:lineRule="auto"/>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an EBITDA multiple, adjusted for working capital and other items, which approximates fair value.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6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ectPr>
          <w:pgSz w:w="11900" w:h="16838" w:orient="portrait"/>
          <w:cols w:equalWidth="0" w:num="1">
            <w:col w:w="11420"/>
          </w:cols>
          <w:pgMar w:left="240" w:top="697" w:right="2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697" w:right="239" w:bottom="1440" w:gutter="0" w:footer="0" w:header="0"/>
          <w:type w:val="continuous"/>
        </w:sectPr>
      </w:pPr>
    </w:p>
    <w:bookmarkStart w:id="15" w:name="page16"/>
    <w:bookmarkEnd w:id="15"/>
    <w:p>
      <w:pPr>
        <w:ind w:right="120"/>
        <w:spacing w:after="0" w:line="235"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36"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21,086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37,780</w:t>
            </w:r>
          </w:p>
        </w:tc>
        <w:tc>
          <w:tcPr>
            <w:tcW w:w="0" w:type="dxa"/>
            <w:vAlign w:val="bottom"/>
          </w:tcPr>
          <w:p>
            <w:pPr>
              <w:spacing w:after="0"/>
              <w:rPr>
                <w:sz w:val="1"/>
                <w:szCs w:val="1"/>
                <w:color w:val="auto"/>
              </w:rPr>
            </w:pP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(14,202)</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(13,758)</w:t>
            </w:r>
          </w:p>
        </w:tc>
        <w:tc>
          <w:tcPr>
            <w:tcW w:w="0" w:type="dxa"/>
            <w:vAlign w:val="bottom"/>
          </w:tcPr>
          <w:p>
            <w:pPr>
              <w:spacing w:after="0"/>
              <w:rPr>
                <w:sz w:val="1"/>
                <w:szCs w:val="1"/>
                <w:color w:val="auto"/>
              </w:rPr>
            </w:pPr>
          </w:p>
        </w:tc>
      </w:tr>
      <w:tr>
        <w:trPr>
          <w:trHeight w:val="251"/>
        </w:trPr>
        <w:tc>
          <w:tcPr>
            <w:tcW w:w="890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1"/>
                <w:szCs w:val="21"/>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6,884</w:t>
            </w:r>
          </w:p>
        </w:tc>
        <w:tc>
          <w:tcPr>
            <w:tcW w:w="42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24,022</w:t>
            </w:r>
          </w:p>
        </w:tc>
        <w:tc>
          <w:tcPr>
            <w:tcW w:w="0" w:type="dxa"/>
            <w:vAlign w:val="bottom"/>
          </w:tcPr>
          <w:p>
            <w:pPr>
              <w:spacing w:after="0"/>
              <w:rPr>
                <w:sz w:val="1"/>
                <w:szCs w:val="1"/>
                <w:color w:val="auto"/>
              </w:rPr>
            </w:pP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99.04%</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98.64%</w:t>
            </w:r>
          </w:p>
        </w:tc>
        <w:tc>
          <w:tcPr>
            <w:tcW w:w="0" w:type="dxa"/>
            <w:vAlign w:val="bottom"/>
          </w:tcPr>
          <w:p>
            <w:pPr>
              <w:spacing w:after="0"/>
              <w:rPr>
                <w:sz w:val="1"/>
                <w:szCs w:val="1"/>
                <w:color w:val="auto"/>
              </w:rPr>
            </w:pPr>
          </w:p>
        </w:tc>
      </w:tr>
      <w:tr>
        <w:trPr>
          <w:trHeight w:val="251"/>
        </w:trPr>
        <w:tc>
          <w:tcPr>
            <w:tcW w:w="8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6,818</w:t>
            </w:r>
          </w:p>
        </w:tc>
        <w:tc>
          <w:tcPr>
            <w:tcW w:w="420" w:type="dxa"/>
            <w:vAlign w:val="bottom"/>
          </w:tcPr>
          <w:p>
            <w:pPr>
              <w:spacing w:after="0"/>
              <w:rPr>
                <w:sz w:val="21"/>
                <w:szCs w:val="21"/>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23,695</w:t>
            </w:r>
          </w:p>
        </w:tc>
        <w:tc>
          <w:tcPr>
            <w:tcW w:w="0" w:type="dxa"/>
            <w:vAlign w:val="bottom"/>
          </w:tcPr>
          <w:p>
            <w:pPr>
              <w:spacing w:after="0"/>
              <w:rPr>
                <w:sz w:val="1"/>
                <w:szCs w:val="1"/>
                <w:color w:val="auto"/>
              </w:rPr>
            </w:pP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14,066</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13,574</w:t>
            </w:r>
          </w:p>
        </w:tc>
        <w:tc>
          <w:tcPr>
            <w:tcW w:w="0" w:type="dxa"/>
            <w:vAlign w:val="bottom"/>
          </w:tcPr>
          <w:p>
            <w:pPr>
              <w:spacing w:after="0"/>
              <w:rPr>
                <w:sz w:val="1"/>
                <w:szCs w:val="1"/>
                <w:color w:val="auto"/>
              </w:rPr>
            </w:pPr>
          </w:p>
        </w:tc>
      </w:tr>
      <w:tr>
        <w:trPr>
          <w:trHeight w:val="267"/>
        </w:trPr>
        <w:tc>
          <w:tcPr>
            <w:tcW w:w="8900" w:type="dxa"/>
            <w:vAlign w:val="bottom"/>
          </w:tcPr>
          <w:p>
            <w:pPr>
              <w:ind w:left="2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20,884</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37,269</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90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4"/>
        </w:trPr>
        <w:tc>
          <w:tcPr>
            <w:tcW w:w="8900" w:type="dxa"/>
            <w:vAlign w:val="bottom"/>
          </w:tcPr>
          <w:p>
            <w:pPr>
              <w:ind w:left="180"/>
              <w:spacing w:after="0"/>
              <w:rPr>
                <w:sz w:val="20"/>
                <w:szCs w:val="20"/>
                <w:color w:val="auto"/>
              </w:rPr>
            </w:pPr>
            <w:r>
              <w:rPr>
                <w:rFonts w:ascii="Arial" w:cs="Arial" w:eastAsia="Arial" w:hAnsi="Arial"/>
                <w:sz w:val="16"/>
                <w:szCs w:val="16"/>
                <w:color w:val="auto"/>
              </w:rPr>
              <w:t>Numerator for 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20,884</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37,271</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180"/>
              <w:spacing w:after="0"/>
              <w:rPr>
                <w:sz w:val="20"/>
                <w:szCs w:val="20"/>
                <w:color w:val="auto"/>
              </w:rPr>
            </w:pPr>
            <w:r>
              <w:rPr>
                <w:rFonts w:ascii="Arial" w:cs="Arial" w:eastAsia="Arial" w:hAnsi="Arial"/>
                <w:sz w:val="16"/>
                <w:szCs w:val="16"/>
                <w:color w:val="auto"/>
              </w:rPr>
              <w:t>Denominator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5,535</w:t>
            </w:r>
          </w:p>
        </w:tc>
        <w:tc>
          <w:tcPr>
            <w:tcW w:w="420" w:type="dxa"/>
            <w:vAlign w:val="bottom"/>
          </w:tcPr>
          <w:p>
            <w:pPr>
              <w:spacing w:after="0"/>
              <w:rPr>
                <w:sz w:val="23"/>
                <w:szCs w:val="23"/>
                <w:color w:val="auto"/>
              </w:rPr>
            </w:pPr>
          </w:p>
        </w:tc>
        <w:tc>
          <w:tcPr>
            <w:tcW w:w="840" w:type="dxa"/>
            <w:vAlign w:val="bottom"/>
          </w:tcPr>
          <w:p>
            <w:pPr>
              <w:jc w:val="right"/>
              <w:ind w:right="100"/>
              <w:spacing w:after="0"/>
              <w:rPr>
                <w:sz w:val="20"/>
                <w:szCs w:val="20"/>
                <w:color w:val="auto"/>
              </w:rPr>
            </w:pPr>
            <w:r>
              <w:rPr>
                <w:rFonts w:ascii="Arial" w:cs="Arial" w:eastAsia="Arial" w:hAnsi="Arial"/>
                <w:sz w:val="16"/>
                <w:szCs w:val="16"/>
                <w:color w:val="auto"/>
              </w:rPr>
              <w:t>5,623</w:t>
            </w:r>
          </w:p>
        </w:tc>
        <w:tc>
          <w:tcPr>
            <w:tcW w:w="0" w:type="dxa"/>
            <w:vAlign w:val="bottom"/>
          </w:tcPr>
          <w:p>
            <w:pPr>
              <w:spacing w:after="0"/>
              <w:rPr>
                <w:sz w:val="1"/>
                <w:szCs w:val="1"/>
                <w:color w:val="auto"/>
              </w:rPr>
            </w:pPr>
          </w:p>
        </w:tc>
      </w:tr>
      <w:tr>
        <w:trPr>
          <w:trHeight w:val="283"/>
        </w:trPr>
        <w:tc>
          <w:tcPr>
            <w:tcW w:w="890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34</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4"/>
        </w:trPr>
        <w:tc>
          <w:tcPr>
            <w:tcW w:w="8900" w:type="dxa"/>
            <w:vAlign w:val="bottom"/>
          </w:tcPr>
          <w:p>
            <w:pPr>
              <w:ind w:left="180"/>
              <w:spacing w:after="0"/>
              <w:rPr>
                <w:sz w:val="20"/>
                <w:szCs w:val="20"/>
                <w:color w:val="auto"/>
              </w:rPr>
            </w:pPr>
            <w:r>
              <w:rPr>
                <w:rFonts w:ascii="Arial" w:cs="Arial" w:eastAsia="Arial" w:hAnsi="Arial"/>
                <w:sz w:val="16"/>
                <w:szCs w:val="16"/>
                <w:color w:val="auto"/>
              </w:rPr>
              <w:t>Denominator for diluted earnings per share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5,569</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5,652</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8900" w:type="dxa"/>
            <w:vAlign w:val="bottom"/>
          </w:tcPr>
          <w:p>
            <w:pPr>
              <w:ind w:left="18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3.77</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900" w:type="dxa"/>
            <w:vAlign w:val="bottom"/>
          </w:tcPr>
          <w:p>
            <w:pPr>
              <w:ind w:left="18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3.75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15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20" w:type="dxa"/>
            <w:vAlign w:val="bottom"/>
            <w:tcBorders>
              <w:bottom w:val="single" w:sz="8" w:color="auto"/>
            </w:tcBorders>
          </w:tcPr>
          <w:p>
            <w:pPr>
              <w:jc w:val="right"/>
              <w:ind w:right="725"/>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520" w:type="dxa"/>
            <w:vAlign w:val="bottom"/>
          </w:tcPr>
          <w:p>
            <w:pPr>
              <w:ind w:left="820"/>
              <w:spacing w:after="0"/>
              <w:rPr>
                <w:sz w:val="20"/>
                <w:szCs w:val="20"/>
                <w:color w:val="auto"/>
              </w:rPr>
            </w:pPr>
            <w:r>
              <w:rPr>
                <w:rFonts w:ascii="Arial" w:cs="Arial" w:eastAsia="Arial" w:hAnsi="Arial"/>
                <w:sz w:val="16"/>
                <w:szCs w:val="16"/>
                <w:b w:val="1"/>
                <w:bCs w:val="1"/>
                <w:color w:val="auto"/>
              </w:rPr>
              <w:t>28</w:t>
            </w: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38</w:t>
            </w:r>
          </w:p>
        </w:tc>
      </w:tr>
    </w:tbl>
    <w:p>
      <w:pPr>
        <w:spacing w:after="0" w:line="167" w:lineRule="exact"/>
        <w:rPr>
          <w:sz w:val="20"/>
          <w:szCs w:val="20"/>
          <w:color w:val="auto"/>
        </w:rPr>
      </w:pPr>
    </w:p>
    <w:p>
      <w:pPr>
        <w:jc w:val="both"/>
        <w:ind w:right="140"/>
        <w:spacing w:after="0" w:line="227" w:lineRule="auto"/>
        <w:rPr>
          <w:sz w:val="20"/>
          <w:szCs w:val="20"/>
          <w:color w:val="auto"/>
        </w:rPr>
      </w:pPr>
      <w:r>
        <w:rPr>
          <w:rFonts w:ascii="Arial" w:cs="Arial" w:eastAsia="Arial" w:hAnsi="Arial"/>
          <w:sz w:val="18"/>
          <w:szCs w:val="18"/>
          <w:color w:val="auto"/>
        </w:rPr>
        <w:t>The diluted earnings per share amounts for the three months ended March 31, 2017 and March 31, 2016 exclude the effects of 102,000 stock options outstanding, as their inclusion would have been antidilutive due to a market condition. The diluted earnings per share amounts for the three months ended March 31, 2017 and March 31, 2016 exclude the effects of 5,450 and 6,100 restricted stock awards, respectively, as their inclusion would have been antidilutive due to a performance condition.</w:t>
      </w:r>
    </w:p>
    <w:p>
      <w:pPr>
        <w:spacing w:after="0" w:line="135" w:lineRule="exact"/>
        <w:rPr>
          <w:sz w:val="20"/>
          <w:szCs w:val="20"/>
          <w:color w:val="auto"/>
        </w:rPr>
      </w:pPr>
    </w:p>
    <w:p>
      <w:pPr>
        <w:ind w:right="940"/>
        <w:spacing w:after="0" w:line="235" w:lineRule="auto"/>
        <w:rPr>
          <w:sz w:val="20"/>
          <w:szCs w:val="20"/>
          <w:color w:val="auto"/>
        </w:rPr>
      </w:pPr>
      <w:r>
        <w:rPr>
          <w:rFonts w:ascii="Arial" w:cs="Arial" w:eastAsia="Arial" w:hAnsi="Arial"/>
          <w:sz w:val="18"/>
          <w:szCs w:val="18"/>
          <w:color w:val="auto"/>
        </w:rPr>
        <w:t>In the three months ended March 31, 2017, and March 31, 2016, the Company declared regular dividends totaling $2.54, and $2.42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AND POSTRETIREMENT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4,914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5,342</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11,986</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13,073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23"/>
                <w:szCs w:val="23"/>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b w:val="1"/>
                <w:bCs w:val="1"/>
                <w:color w:val="auto"/>
              </w:rPr>
              <w:t>(30,337)</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(30,548)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3"/>
                <w:szCs w:val="23"/>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b w:val="1"/>
                <w:bCs w:val="1"/>
                <w:color w:val="auto"/>
              </w:rPr>
              <w:t>43</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74</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(1,294)</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(14,688)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(12,059)</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719"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214</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246</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1,058</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1,096</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23"/>
                <w:szCs w:val="23"/>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b w:val="1"/>
                <w:bCs w:val="1"/>
                <w:color w:val="auto"/>
              </w:rPr>
              <w:t>114</w:t>
            </w:r>
          </w:p>
        </w:tc>
        <w:tc>
          <w:tcPr>
            <w:tcW w:w="4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114</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444</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665</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1,830</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2,121</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622"/>
              <w:spacing w:after="0"/>
              <w:rPr>
                <w:sz w:val="20"/>
                <w:szCs w:val="20"/>
                <w:color w:val="auto"/>
              </w:rPr>
            </w:pPr>
            <w:r>
              <w:rPr>
                <w:rFonts w:ascii="Arial" w:cs="Arial" w:eastAsia="Arial" w:hAnsi="Arial"/>
                <w:sz w:val="14"/>
                <w:szCs w:val="14"/>
                <w:b w:val="1"/>
                <w:bCs w:val="1"/>
                <w:color w:val="auto"/>
              </w:rPr>
              <w:t>March 31,</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2017</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2016</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50%</w:t>
            </w: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31%</w:t>
            </w: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2"/>
              <w:spacing w:after="0"/>
              <w:rPr>
                <w:sz w:val="20"/>
                <w:szCs w:val="20"/>
                <w:color w:val="auto"/>
              </w:rPr>
            </w:pPr>
            <w:r>
              <w:rPr>
                <w:rFonts w:ascii="Arial" w:cs="Arial" w:eastAsia="Arial" w:hAnsi="Arial"/>
                <w:sz w:val="16"/>
                <w:szCs w:val="16"/>
                <w:b w:val="1"/>
                <w:bCs w:val="1"/>
                <w:color w:val="auto"/>
              </w:rPr>
              <w:t>13%</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The Company manages approximately 45% of the pension assets internally, of which the majority is invested in a U.S. stock index fund with the remaining investments in Berkshire Hathaway stock and short-term fixed income securities. The remaining 55% of plan assets are still managed by two investment companies. The goal for the investments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from the Plan administrator. As of March 31, 2017, the investment managers can invest no more than 23% of the assets they manage in specified international exchanges, at the time the investment is made, and no less than 10% of the assets could be invested in fixed-income securities.</w:t>
      </w:r>
    </w:p>
    <w:p>
      <w:pPr>
        <w:spacing w:after="0" w:line="141"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2017. Types of concentrations that were evaluated include, but are not limited to, investment concentrations in a single entity, type of industry, foreign country and individual fund. At March 31, 2017 and December 31, 2016, the pension plan held investments in one common stock and one U.S. stock index fund that exceeded 10% of total plan assets. These investments were valued at $990.9 million and $978.8 million at March 31, 2017 and December 31, 2016, respectively, or approximately 47% and 48%, respectively, of total plan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2016</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257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346</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b w:val="1"/>
                <w:bCs w:val="1"/>
                <w:color w:val="auto"/>
              </w:rPr>
              <w:t>195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308</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23"/>
                <w:szCs w:val="23"/>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b w:val="1"/>
                <w:bCs w:val="1"/>
                <w:color w:val="auto"/>
              </w:rPr>
              <w:t>(37)</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(973)</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(558)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195</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1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gain (loss),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gain on sales of businesses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sales of marketable equity securities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net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Other Non-Operating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14605</wp:posOffset>
            </wp:positionV>
            <wp:extent cx="15862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3"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color w:val="auto"/>
        </w:rPr>
        <w:t>2016</w:t>
      </w:r>
    </w:p>
    <w:p>
      <w:pPr>
        <w:spacing w:after="0" w:line="100" w:lineRule="exact"/>
        <w:rPr>
          <w:sz w:val="20"/>
          <w:szCs w:val="20"/>
          <w:color w:val="auto"/>
        </w:rPr>
      </w:pPr>
    </w:p>
    <w:p>
      <w:pPr>
        <w:jc w:val="both"/>
        <w:ind w:left="580"/>
        <w:spacing w:after="0"/>
        <w:tabs>
          <w:tab w:leader="none" w:pos="1760" w:val="left"/>
        </w:tabs>
        <w:rPr>
          <w:sz w:val="20"/>
          <w:szCs w:val="20"/>
          <w:color w:val="auto"/>
        </w:rPr>
      </w:pPr>
      <w:r>
        <w:rPr>
          <w:rFonts w:ascii="Arial" w:cs="Arial" w:eastAsia="Arial" w:hAnsi="Arial"/>
          <w:sz w:val="16"/>
          <w:szCs w:val="16"/>
          <w:b w:val="1"/>
          <w:bCs w:val="1"/>
          <w:color w:val="auto"/>
        </w:rPr>
        <w:t>1,728</w:t>
      </w:r>
      <w:r>
        <w:rPr>
          <w:sz w:val="20"/>
          <w:szCs w:val="20"/>
          <w:color w:val="auto"/>
        </w:rPr>
        <w:tab/>
      </w:r>
      <w:r>
        <w:rPr>
          <w:rFonts w:ascii="Arial" w:cs="Arial" w:eastAsia="Arial" w:hAnsi="Arial"/>
          <w:sz w:val="16"/>
          <w:szCs w:val="16"/>
          <w:color w:val="auto"/>
        </w:rPr>
        <w:t>(5,443)</w:t>
      </w:r>
    </w:p>
    <w:p>
      <w:pPr>
        <w:spacing w:after="0" w:line="106" w:lineRule="exact"/>
        <w:rPr>
          <w:sz w:val="20"/>
          <w:szCs w:val="20"/>
          <w:color w:val="auto"/>
        </w:rPr>
      </w:pPr>
    </w:p>
    <w:p>
      <w:pPr>
        <w:ind w:left="1740" w:hanging="1075"/>
        <w:spacing w:after="0"/>
        <w:tabs>
          <w:tab w:leader="none" w:pos="174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18,931</w:t>
      </w:r>
    </w:p>
    <w:p>
      <w:pPr>
        <w:spacing w:after="0" w:line="66" w:lineRule="exact"/>
        <w:rPr>
          <w:rFonts w:ascii="Arial" w:cs="Arial" w:eastAsia="Arial" w:hAnsi="Arial"/>
          <w:sz w:val="16"/>
          <w:szCs w:val="16"/>
          <w:b w:val="1"/>
          <w:bCs w:val="1"/>
          <w:color w:val="auto"/>
        </w:rPr>
      </w:pPr>
    </w:p>
    <w:p>
      <w:pPr>
        <w:ind w:left="8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6"/>
          <w:szCs w:val="16"/>
          <w:color w:val="auto"/>
        </w:rPr>
        <w:t>1,754</w:t>
      </w:r>
    </w:p>
    <w:p>
      <w:pPr>
        <w:spacing w:after="0" w:line="106" w:lineRule="exact"/>
        <w:rPr>
          <w:sz w:val="20"/>
          <w:szCs w:val="20"/>
          <w:color w:val="auto"/>
        </w:rPr>
      </w:pPr>
    </w:p>
    <w:p>
      <w:pPr>
        <w:ind w:left="1900" w:hanging="1235"/>
        <w:spacing w:after="0"/>
        <w:tabs>
          <w:tab w:leader="none" w:pos="190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19050</wp:posOffset>
            </wp:positionV>
            <wp:extent cx="15862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60" w:lineRule="exact"/>
        <w:rPr>
          <w:sz w:val="20"/>
          <w:szCs w:val="20"/>
          <w:color w:val="auto"/>
        </w:rPr>
      </w:pPr>
    </w:p>
    <w:p>
      <w:pPr>
        <w:spacing w:after="0"/>
        <w:tabs>
          <w:tab w:leader="none" w:pos="700" w:val="left"/>
          <w:tab w:leader="none" w:pos="1220" w:val="left"/>
          <w:tab w:leader="none" w:pos="17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849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15,096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31750</wp:posOffset>
            </wp:positionV>
            <wp:extent cx="15862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48895</wp:posOffset>
            </wp:positionV>
            <wp:extent cx="15862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360" w:space="720"/>
            <w:col w:w="2340"/>
          </w:cols>
          <w:pgMar w:left="240" w:top="697" w:right="239" w:bottom="1440" w:gutter="0" w:footer="0" w:header="0"/>
        </w:sectPr>
      </w:pPr>
    </w:p>
    <w:p>
      <w:pPr>
        <w:spacing w:after="0" w:line="25" w:lineRule="exact"/>
        <w:rPr>
          <w:sz w:val="20"/>
          <w:szCs w:val="20"/>
          <w:color w:val="auto"/>
        </w:rPr>
      </w:pPr>
    </w:p>
    <w:p>
      <w:pPr>
        <w:ind w:right="1540"/>
        <w:spacing w:after="0" w:line="412" w:lineRule="auto"/>
        <w:rPr>
          <w:sz w:val="20"/>
          <w:szCs w:val="20"/>
          <w:color w:val="auto"/>
        </w:rPr>
      </w:pPr>
      <w:r>
        <w:rPr>
          <w:rFonts w:ascii="Arial" w:cs="Arial" w:eastAsia="Arial" w:hAnsi="Arial"/>
          <w:sz w:val="18"/>
          <w:szCs w:val="18"/>
          <w:color w:val="auto"/>
        </w:rPr>
        <w:t xml:space="preserve">In the first quarter of 2016, Kaplan sold Colloquy, which was a part of Kaplan corporate and other, for a gain of $18.9 million. </w:t>
      </w:r>
      <w:r>
        <w:rPr>
          <w:rFonts w:ascii="Arial" w:cs="Arial" w:eastAsia="Arial" w:hAnsi="Arial"/>
          <w:sz w:val="18"/>
          <w:szCs w:val="18"/>
          <w:b w:val="1"/>
          <w:bCs w:val="1"/>
          <w:color w:val="auto"/>
        </w:rPr>
        <w:t xml:space="preserve">10. ACCUMULATED OTHER COMPREHENSIVE INCOME (LOSS) </w:t>
      </w:r>
      <w:r>
        <w:rPr>
          <w:rFonts w:ascii="Arial" w:cs="Arial" w:eastAsia="Arial" w:hAnsi="Arial"/>
          <w:sz w:val="18"/>
          <w:szCs w:val="18"/>
          <w:color w:val="auto"/>
        </w:rPr>
        <w:t>The other comprehensive income consists of the following components: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2016</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Before-Tax</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rPr>
              <w:t>Income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After-Tax</w:t>
            </w:r>
          </w:p>
        </w:tc>
        <w:tc>
          <w:tcPr>
            <w:tcW w:w="1280" w:type="dxa"/>
            <w:vAlign w:val="bottom"/>
          </w:tcPr>
          <w:p>
            <w:pPr>
              <w:jc w:val="center"/>
              <w:ind w:right="88"/>
              <w:spacing w:after="0"/>
              <w:rPr>
                <w:sz w:val="20"/>
                <w:szCs w:val="20"/>
                <w:color w:val="auto"/>
              </w:rPr>
            </w:pPr>
            <w:r>
              <w:rPr>
                <w:rFonts w:ascii="Arial" w:cs="Arial" w:eastAsia="Arial" w:hAnsi="Arial"/>
                <w:sz w:val="14"/>
                <w:szCs w:val="14"/>
                <w:color w:val="auto"/>
                <w:w w:val="98"/>
              </w:rPr>
              <w:t>Before-Tax</w:t>
            </w:r>
          </w:p>
        </w:tc>
        <w:tc>
          <w:tcPr>
            <w:tcW w:w="860" w:type="dxa"/>
            <w:vAlign w:val="bottom"/>
          </w:tcPr>
          <w:p>
            <w:pPr>
              <w:jc w:val="center"/>
              <w:ind w:right="88"/>
              <w:spacing w:after="0"/>
              <w:rPr>
                <w:sz w:val="20"/>
                <w:szCs w:val="20"/>
                <w:color w:val="auto"/>
              </w:rPr>
            </w:pPr>
            <w:r>
              <w:rPr>
                <w:rFonts w:ascii="Arial" w:cs="Arial" w:eastAsia="Arial" w:hAnsi="Arial"/>
                <w:sz w:val="14"/>
                <w:szCs w:val="14"/>
                <w:color w:val="auto"/>
              </w:rPr>
              <w:t>Income</w:t>
            </w:r>
          </w:p>
        </w:tc>
        <w:tc>
          <w:tcPr>
            <w:tcW w:w="1080" w:type="dxa"/>
            <w:vAlign w:val="bottom"/>
          </w:tcPr>
          <w:p>
            <w:pPr>
              <w:jc w:val="center"/>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280" w:type="dxa"/>
            <w:vAlign w:val="bottom"/>
          </w:tcPr>
          <w:p>
            <w:pPr>
              <w:jc w:val="center"/>
              <w:ind w:right="88"/>
              <w:spacing w:after="0"/>
              <w:rPr>
                <w:sz w:val="20"/>
                <w:szCs w:val="20"/>
                <w:color w:val="auto"/>
              </w:rPr>
            </w:pPr>
            <w:r>
              <w:rPr>
                <w:rFonts w:ascii="Arial" w:cs="Arial" w:eastAsia="Arial" w:hAnsi="Arial"/>
                <w:sz w:val="14"/>
                <w:szCs w:val="14"/>
                <w:color w:val="auto"/>
                <w:w w:val="99"/>
              </w:rPr>
              <w:t>Amount</w:t>
            </w:r>
          </w:p>
        </w:tc>
        <w:tc>
          <w:tcPr>
            <w:tcW w:w="860" w:type="dxa"/>
            <w:vAlign w:val="bottom"/>
          </w:tcPr>
          <w:p>
            <w:pPr>
              <w:jc w:val="center"/>
              <w:ind w:right="88"/>
              <w:spacing w:after="0"/>
              <w:rPr>
                <w:sz w:val="20"/>
                <w:szCs w:val="20"/>
                <w:color w:val="auto"/>
              </w:rPr>
            </w:pPr>
            <w:r>
              <w:rPr>
                <w:rFonts w:ascii="Arial" w:cs="Arial" w:eastAsia="Arial" w:hAnsi="Arial"/>
                <w:sz w:val="14"/>
                <w:szCs w:val="14"/>
                <w:color w:val="auto"/>
                <w:w w:val="94"/>
              </w:rPr>
              <w:t>Tax</w:t>
            </w:r>
          </w:p>
        </w:tc>
        <w:tc>
          <w:tcPr>
            <w:tcW w:w="1080" w:type="dxa"/>
            <w:vAlign w:val="bottom"/>
          </w:tcPr>
          <w:p>
            <w:pPr>
              <w:jc w:val="center"/>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16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697"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(losses)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period, net</w:t>
      </w:r>
    </w:p>
    <w:p>
      <w:pPr>
        <w:spacing w:after="0" w:line="59" w:lineRule="exact"/>
        <w:rPr>
          <w:sz w:val="20"/>
          <w:szCs w:val="20"/>
          <w:color w:val="auto"/>
        </w:rPr>
      </w:pPr>
    </w:p>
    <w:p>
      <w:pPr>
        <w:ind w:left="340" w:right="160" w:hanging="161"/>
        <w:spacing w:after="0" w:line="260" w:lineRule="auto"/>
        <w:rPr>
          <w:sz w:val="20"/>
          <w:szCs w:val="20"/>
          <w:color w:val="auto"/>
        </w:rPr>
      </w:pPr>
      <w:r>
        <w:rPr>
          <w:rFonts w:ascii="Arial" w:cs="Arial" w:eastAsia="Arial" w:hAnsi="Arial"/>
          <w:sz w:val="16"/>
          <w:szCs w:val="16"/>
          <w:color w:val="auto"/>
        </w:rPr>
        <w:t>Reclassification of realized gain on sale of available-for-sale securities included in net income</w:t>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line="366" w:lineRule="auto"/>
        <w:rPr>
          <w:sz w:val="20"/>
          <w:szCs w:val="20"/>
          <w:color w:val="auto"/>
        </w:rPr>
      </w:pPr>
      <w:r>
        <w:rPr>
          <w:rFonts w:ascii="Arial" w:cs="Arial" w:eastAsia="Arial" w:hAnsi="Arial"/>
          <w:sz w:val="16"/>
          <w:szCs w:val="16"/>
          <w:color w:val="auto"/>
        </w:rPr>
        <w:t>Amortization of net prior service cost included in net income Amortization of net actuarial (gain) loss included in net income</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13,668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13,668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3,845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3,845</w:t>
            </w:r>
          </w:p>
        </w:tc>
      </w:tr>
      <w:tr>
        <w:trPr>
          <w:trHeight w:val="540"/>
        </w:trPr>
        <w:tc>
          <w:tcPr>
            <w:tcW w:w="28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9,558</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(3,823)</w:t>
            </w:r>
          </w:p>
        </w:tc>
        <w:tc>
          <w:tcPr>
            <w:tcW w:w="28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5,735</w:t>
            </w:r>
          </w:p>
        </w:tc>
        <w:tc>
          <w:tcPr>
            <w:tcW w:w="36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343</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w:t>
            </w:r>
          </w:p>
        </w:tc>
        <w:tc>
          <w:tcPr>
            <w:tcW w:w="3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445"/>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(1,754)</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701</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r>
      <w:tr>
        <w:trPr>
          <w:trHeight w:val="264"/>
        </w:trPr>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9,558</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(3,823)</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5,735</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(1,411)</w:t>
            </w: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564</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r>
      <w:tr>
        <w:trPr>
          <w:trHeight w:val="521"/>
        </w:trPr>
        <w:tc>
          <w:tcPr>
            <w:tcW w:w="28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120</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28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72</w:t>
            </w:r>
          </w:p>
        </w:tc>
        <w:tc>
          <w:tcPr>
            <w:tcW w:w="36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283"/>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(1,823)</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729</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(1,094)</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290</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w:t>
            </w:r>
          </w:p>
        </w:tc>
      </w:tr>
      <w:tr>
        <w:trPr>
          <w:trHeight w:val="264"/>
        </w:trPr>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(1,703)</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681</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(1,022)</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394</w:t>
            </w: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r>
      <w:tr>
        <w:trPr>
          <w:trHeight w:val="534"/>
        </w:trPr>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(124)</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21,399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18,282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2,828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4620" w:space="540"/>
            <w:col w:w="6260"/>
          </w:cols>
          <w:pgMar w:left="240" w:top="697"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40" w:type="dxa"/>
            <w:vAlign w:val="bottom"/>
          </w:tcPr>
          <w:p>
            <w:pPr>
              <w:jc w:val="center"/>
              <w:ind w:right="82"/>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1360" w:type="dxa"/>
            <w:vAlign w:val="bottom"/>
          </w:tcPr>
          <w:p>
            <w:pPr>
              <w:jc w:val="center"/>
              <w:ind w:right="83"/>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40" w:type="dxa"/>
            <w:vAlign w:val="bottom"/>
          </w:tcPr>
          <w:p>
            <w:pPr>
              <w:jc w:val="center"/>
              <w:ind w:right="82"/>
              <w:spacing w:after="0"/>
              <w:rPr>
                <w:sz w:val="20"/>
                <w:szCs w:val="20"/>
                <w:color w:val="auto"/>
              </w:rPr>
            </w:pPr>
            <w:r>
              <w:rPr>
                <w:rFonts w:ascii="Arial" w:cs="Arial" w:eastAsia="Arial" w:hAnsi="Arial"/>
                <w:sz w:val="14"/>
                <w:szCs w:val="14"/>
                <w:b w:val="1"/>
                <w:bCs w:val="1"/>
                <w:color w:val="auto"/>
              </w:rPr>
              <w:t>on Available-for-</w:t>
            </w:r>
          </w:p>
        </w:tc>
        <w:tc>
          <w:tcPr>
            <w:tcW w:w="24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Sale Securities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50"/>
        </w:trPr>
        <w:tc>
          <w:tcPr>
            <w:tcW w:w="4360" w:type="dxa"/>
            <w:vAlign w:val="bottom"/>
          </w:tcPr>
          <w:p>
            <w:pPr>
              <w:ind w:left="40"/>
              <w:spacing w:after="0"/>
              <w:rPr>
                <w:sz w:val="20"/>
                <w:szCs w:val="20"/>
                <w:color w:val="auto"/>
              </w:rPr>
            </w:pPr>
            <w:r>
              <w:rPr>
                <w:rFonts w:ascii="Arial" w:cs="Arial" w:eastAsia="Arial" w:hAnsi="Arial"/>
                <w:sz w:val="16"/>
                <w:szCs w:val="16"/>
                <w:color w:val="auto"/>
              </w:rPr>
              <w:t>Balance as of December 31, 2016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(26,998)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92,931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3"/>
              <w:spacing w:after="0"/>
              <w:rPr>
                <w:sz w:val="20"/>
                <w:szCs w:val="20"/>
                <w:color w:val="auto"/>
              </w:rPr>
            </w:pPr>
            <w:r>
              <w:rPr>
                <w:rFonts w:ascii="Arial" w:cs="Arial" w:eastAsia="Arial" w:hAnsi="Arial"/>
                <w:sz w:val="16"/>
                <w:szCs w:val="16"/>
                <w:color w:val="auto"/>
              </w:rPr>
              <w:t>170,830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236,486</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360" w:type="dxa"/>
            <w:vAlign w:val="bottom"/>
          </w:tcPr>
          <w:p>
            <w:pPr>
              <w:ind w:left="26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8"/>
                <w:szCs w:val="18"/>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b w:val="1"/>
                <w:bCs w:val="1"/>
                <w:color w:val="auto"/>
              </w:rPr>
              <w:t>13,668</w:t>
            </w:r>
          </w:p>
        </w:tc>
        <w:tc>
          <w:tcPr>
            <w:tcW w:w="220" w:type="dxa"/>
            <w:vAlign w:val="bottom"/>
          </w:tcPr>
          <w:p>
            <w:pPr>
              <w:spacing w:after="0"/>
              <w:rPr>
                <w:sz w:val="18"/>
                <w:szCs w:val="18"/>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b w:val="1"/>
                <w:bCs w:val="1"/>
                <w:color w:val="auto"/>
              </w:rPr>
              <w:t>5,735</w:t>
            </w:r>
          </w:p>
        </w:tc>
        <w:tc>
          <w:tcPr>
            <w:tcW w:w="240" w:type="dxa"/>
            <w:vAlign w:val="bottom"/>
          </w:tcPr>
          <w:p>
            <w:pPr>
              <w:spacing w:after="0"/>
              <w:rPr>
                <w:sz w:val="18"/>
                <w:szCs w:val="18"/>
                <w:color w:val="auto"/>
              </w:rPr>
            </w:pPr>
          </w:p>
        </w:tc>
        <w:tc>
          <w:tcPr>
            <w:tcW w:w="136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(124)</w:t>
            </w:r>
          </w:p>
        </w:tc>
        <w:tc>
          <w:tcPr>
            <w:tcW w:w="220" w:type="dxa"/>
            <w:vAlign w:val="bottom"/>
          </w:tcPr>
          <w:p>
            <w:pPr>
              <w:spacing w:after="0"/>
              <w:rPr>
                <w:sz w:val="18"/>
                <w:szCs w:val="18"/>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b w:val="1"/>
                <w:bCs w:val="1"/>
                <w:color w:val="auto"/>
              </w:rPr>
              <w:t>19,279</w:t>
            </w:r>
          </w:p>
        </w:tc>
      </w:tr>
      <w:tr>
        <w:trPr>
          <w:trHeight w:val="218"/>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36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 (loss)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(1,022)</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(997)</w:t>
            </w:r>
          </w:p>
        </w:tc>
      </w:tr>
      <w:tr>
        <w:trPr>
          <w:trHeight w:val="264"/>
        </w:trPr>
        <w:tc>
          <w:tcPr>
            <w:tcW w:w="436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net of tax</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13,668</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5,735</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(1,022)</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(99)</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18,282</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Balance as of March 31, 2017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(13,330)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98,666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169,808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254,768</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7"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9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March 31</w:t>
            </w:r>
          </w:p>
        </w:tc>
        <w:tc>
          <w:tcPr>
            <w:tcW w:w="34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67"/>
        </w:trPr>
        <w:tc>
          <w:tcPr>
            <w:tcW w:w="60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2016</w:t>
            </w:r>
          </w:p>
        </w:tc>
        <w:tc>
          <w:tcPr>
            <w:tcW w:w="34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Consolidated Statement of Operations</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p>
      <w:pPr>
        <w:sectPr>
          <w:pgSz w:w="11900" w:h="16838" w:orient="portrait"/>
          <w:cols w:equalWidth="0" w:num="1">
            <w:col w:w="11420"/>
          </w:cols>
          <w:pgMar w:left="240" w:top="719" w:right="239" w:bottom="1440" w:gutter="0" w:footer="0" w:header="0"/>
        </w:sectPr>
      </w:pP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tcPr>
          <w:p>
            <w:pPr>
              <w:ind w:left="140"/>
              <w:spacing w:after="0"/>
              <w:rPr>
                <w:sz w:val="20"/>
                <w:szCs w:val="20"/>
                <w:color w:val="auto"/>
              </w:rPr>
            </w:pPr>
            <w:r>
              <w:rPr>
                <w:rFonts w:ascii="Arial" w:cs="Arial" w:eastAsia="Arial" w:hAnsi="Arial"/>
                <w:sz w:val="16"/>
                <w:szCs w:val="16"/>
                <w:color w:val="auto"/>
              </w:rPr>
              <w:t>Realized gain for the period</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(1,754)</w:t>
            </w:r>
          </w:p>
        </w:tc>
      </w:tr>
      <w:tr>
        <w:trPr>
          <w:trHeight w:val="283"/>
        </w:trPr>
        <w:tc>
          <w:tcPr>
            <w:tcW w:w="6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701</w:t>
            </w:r>
          </w:p>
        </w:tc>
      </w:tr>
      <w:tr>
        <w:trPr>
          <w:trHeight w:val="264"/>
        </w:trPr>
        <w:tc>
          <w:tcPr>
            <w:tcW w:w="6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r>
      <w:tr>
        <w:trPr>
          <w:trHeight w:val="251"/>
        </w:trPr>
        <w:tc>
          <w:tcPr>
            <w:tcW w:w="6020" w:type="dxa"/>
            <w:vAlign w:val="bottom"/>
          </w:tcPr>
          <w:p>
            <w:pPr>
              <w:spacing w:after="0"/>
              <w:rPr>
                <w:sz w:val="20"/>
                <w:szCs w:val="20"/>
                <w:color w:val="auto"/>
              </w:rPr>
            </w:pPr>
            <w:r>
              <w:rPr>
                <w:rFonts w:ascii="Arial" w:cs="Arial" w:eastAsia="Arial" w:hAnsi="Arial"/>
                <w:sz w:val="16"/>
                <w:szCs w:val="16"/>
                <w:b w:val="1"/>
                <w:bCs w:val="1"/>
                <w:color w:val="auto"/>
              </w:rPr>
              <w:t>Pension and Other Postretirement Plans: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0"/>
        </w:trPr>
        <w:tc>
          <w:tcPr>
            <w:tcW w:w="602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240" w:type="dxa"/>
            <w:vAlign w:val="bottom"/>
          </w:tcPr>
          <w:p>
            <w:pPr>
              <w:spacing w:after="0"/>
              <w:rPr>
                <w:sz w:val="23"/>
                <w:szCs w:val="23"/>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120</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283"/>
        </w:trPr>
        <w:tc>
          <w:tcPr>
            <w:tcW w:w="6020" w:type="dxa"/>
            <w:vAlign w:val="bottom"/>
          </w:tcPr>
          <w:p>
            <w:pPr>
              <w:ind w:left="140"/>
              <w:spacing w:after="0"/>
              <w:rPr>
                <w:sz w:val="20"/>
                <w:szCs w:val="20"/>
                <w:color w:val="auto"/>
              </w:rPr>
            </w:pPr>
            <w:r>
              <w:rPr>
                <w:rFonts w:ascii="Arial" w:cs="Arial" w:eastAsia="Arial" w:hAnsi="Arial"/>
                <w:sz w:val="16"/>
                <w:szCs w:val="16"/>
                <w:color w:val="auto"/>
              </w:rPr>
              <w:t>Amortization of net actuarial (gain) loss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(1,823)</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290</w:t>
            </w:r>
          </w:p>
        </w:tc>
      </w:tr>
      <w:tr>
        <w:trPr>
          <w:trHeight w:val="251"/>
        </w:trPr>
        <w:tc>
          <w:tcPr>
            <w:tcW w:w="6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299"/>
              <w:spacing w:after="0"/>
              <w:rPr>
                <w:sz w:val="20"/>
                <w:szCs w:val="20"/>
                <w:color w:val="auto"/>
              </w:rPr>
            </w:pPr>
            <w:r>
              <w:rPr>
                <w:rFonts w:ascii="Arial" w:cs="Arial" w:eastAsia="Arial" w:hAnsi="Arial"/>
                <w:sz w:val="16"/>
                <w:szCs w:val="16"/>
                <w:b w:val="1"/>
                <w:bCs w:val="1"/>
                <w:color w:val="auto"/>
              </w:rPr>
              <w:t>(1,703)</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394</w:t>
            </w:r>
          </w:p>
        </w:tc>
      </w:tr>
      <w:tr>
        <w:trPr>
          <w:trHeight w:val="283"/>
        </w:trPr>
        <w:tc>
          <w:tcPr>
            <w:tcW w:w="6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681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64"/>
        </w:trPr>
        <w:tc>
          <w:tcPr>
            <w:tcW w:w="6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(1,022)</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r>
      <w:tr>
        <w:trPr>
          <w:trHeight w:val="251"/>
        </w:trPr>
        <w:tc>
          <w:tcPr>
            <w:tcW w:w="6020" w:type="dxa"/>
            <w:vAlign w:val="bottom"/>
          </w:tcPr>
          <w:p>
            <w:pPr>
              <w:spacing w:after="0"/>
              <w:rPr>
                <w:sz w:val="20"/>
                <w:szCs w:val="20"/>
                <w:color w:val="auto"/>
              </w:rPr>
            </w:pPr>
            <w:r>
              <w:rPr>
                <w:rFonts w:ascii="Arial" w:cs="Arial" w:eastAsia="Arial" w:hAnsi="Arial"/>
                <w:sz w:val="16"/>
                <w:szCs w:val="16"/>
                <w:b w:val="1"/>
                <w:bCs w:val="1"/>
                <w:color w:val="auto"/>
              </w:rPr>
              <w:t>Cash Flow Hedge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1560"/>
        <w:spacing w:after="0" w:line="421" w:lineRule="auto"/>
        <w:rPr>
          <w:sz w:val="20"/>
          <w:szCs w:val="20"/>
          <w:color w:val="auto"/>
        </w:rPr>
      </w:pPr>
      <w:r>
        <w:rPr>
          <w:rFonts w:ascii="Arial" w:cs="Arial" w:eastAsia="Arial" w:hAnsi="Arial"/>
          <w:sz w:val="14"/>
          <w:szCs w:val="14"/>
          <w:color w:val="auto"/>
        </w:rPr>
        <w:t>Other income, net Provision for Income Taxes Net of Tax</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Before tax</w:t>
      </w:r>
    </w:p>
    <w:p>
      <w:pPr>
        <w:spacing w:after="0" w:line="109" w:lineRule="exact"/>
        <w:rPr>
          <w:sz w:val="20"/>
          <w:szCs w:val="20"/>
          <w:color w:val="auto"/>
        </w:rPr>
      </w:pPr>
    </w:p>
    <w:p>
      <w:pPr>
        <w:ind w:right="1560"/>
        <w:spacing w:after="0" w:line="439" w:lineRule="auto"/>
        <w:rPr>
          <w:sz w:val="20"/>
          <w:szCs w:val="20"/>
          <w:color w:val="auto"/>
        </w:rPr>
      </w:pPr>
      <w:r>
        <w:rPr>
          <w:rFonts w:ascii="Arial" w:cs="Arial" w:eastAsia="Arial" w:hAnsi="Arial"/>
          <w:sz w:val="14"/>
          <w:szCs w:val="14"/>
          <w:color w:val="auto"/>
        </w:rPr>
        <w:t>Provision for Income Taxes Net of Tax</w:t>
      </w:r>
    </w:p>
    <w:p>
      <w:pPr>
        <w:spacing w:after="0" w:line="198" w:lineRule="exact"/>
        <w:rPr>
          <w:sz w:val="20"/>
          <w:szCs w:val="20"/>
          <w:color w:val="auto"/>
        </w:rPr>
      </w:pPr>
    </w:p>
    <w:p>
      <w:pPr>
        <w:sectPr>
          <w:pgSz w:w="11900" w:h="16838" w:orient="portrait"/>
          <w:cols w:equalWidth="0" w:num="2">
            <w:col w:w="8000" w:space="140"/>
            <w:col w:w="3280"/>
          </w:cols>
          <w:pgMar w:left="240" w:top="719"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31</w:t>
            </w:r>
          </w:p>
        </w:tc>
        <w:tc>
          <w:tcPr>
            <w:tcW w:w="3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w:t>
            </w: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w:t>
            </w:r>
          </w:p>
        </w:tc>
        <w:tc>
          <w:tcPr>
            <w:tcW w:w="3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70"/>
        </w:trPr>
        <w:tc>
          <w:tcPr>
            <w:tcW w:w="6060" w:type="dxa"/>
            <w:vAlign w:val="bottom"/>
          </w:tcPr>
          <w:p>
            <w:pPr>
              <w:jc w:val="right"/>
              <w:ind w:right="3263"/>
              <w:spacing w:after="0"/>
              <w:rPr>
                <w:sz w:val="20"/>
                <w:szCs w:val="20"/>
                <w:color w:val="auto"/>
              </w:rPr>
            </w:pPr>
            <w:r>
              <w:rPr>
                <w:rFonts w:ascii="Arial" w:cs="Arial" w:eastAsia="Arial" w:hAnsi="Arial"/>
                <w:sz w:val="16"/>
                <w:szCs w:val="16"/>
                <w:b w:val="1"/>
                <w:bCs w:val="1"/>
                <w:color w:val="auto"/>
              </w:rPr>
              <w:t>Total reclassification for the period</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w:t>
            </w:r>
          </w:p>
        </w:tc>
        <w:tc>
          <w:tcPr>
            <w:tcW w:w="186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6060" w:type="dxa"/>
            <w:vAlign w:val="bottom"/>
            <w:vMerge w:val="restart"/>
          </w:tcPr>
          <w:p>
            <w:pPr>
              <w:jc w:val="right"/>
              <w:ind w:right="5023"/>
              <w:spacing w:after="0"/>
              <w:rPr>
                <w:sz w:val="20"/>
                <w:szCs w:val="20"/>
                <w:color w:val="auto"/>
              </w:rPr>
            </w:pPr>
            <w:r>
              <w:rPr>
                <w:rFonts w:ascii="Arial" w:cs="Arial" w:eastAsia="Arial" w:hAnsi="Arial"/>
                <w:sz w:val="14"/>
                <w:szCs w:val="14"/>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w:t>
      </w:r>
    </w:p>
    <w:p>
      <w:pPr>
        <w:spacing w:after="0" w:line="14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Litigation, Legal and Other Matters. </w:t>
      </w:r>
      <w:r>
        <w:rPr>
          <w:rFonts w:ascii="Arial" w:cs="Arial" w:eastAsia="Arial" w:hAnsi="Arial"/>
          <w:sz w:val="18"/>
          <w:szCs w:val="18"/>
          <w:color w:val="auto"/>
        </w:rPr>
        <w:t>The Company and its subsidiaries are involved in various legal, regulatory and other proceedings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arise in the ordinary course of its business. Although the outcomes of these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legal, regulatory and other proceedings in excess of the amounts accrued could reach approximately $20 million.</w:t>
      </w:r>
    </w:p>
    <w:p>
      <w:pPr>
        <w:spacing w:after="0" w:line="117"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ED has undertaken program reviews at various KHE locations. Currently, there are five open program reviews, four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at campuses that were formerly a part of the KHE Campuses business, including the ED’s final reports on the program reviews at former KHE Hammond, IN, San Antonio, TX, Broomall, PA, and Pittsburgh, PA, locations. Kaplan retains responsibility for any financial obligation resulting from the ED program reviews at the KHE Campuses business that were open at the time of sale.</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On February 23, 2015, the ED began a review of Kaplan University. The review will assess Kaplan’s administration of its Title IV, HEA programs and will initially focus on the 2013 to 2014 and 2014 to 2015 award years. On December 17, 2015, Kaplan University received a notice from the ED that it had been placed on provisional certification status until September 30, 2018, in connection with the open and ongoing ED program review. The ED has not notified Kaplan University of any negative findings. However, at this time, Kaplan cannot predict the outcome of this review, when it will be completed or any liability or other limitations that the ED may place on Kaplan University as a result of this review. During the period of provisional certification, Kaplan University must obtain prior ED approval to open a new location, add an educational program, acquire another school or make any other significant change.</w:t>
      </w:r>
    </w:p>
    <w:p>
      <w:pPr>
        <w:spacing w:after="0" w:line="15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9"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BUSINESS SEGMENTS</w:t>
      </w:r>
    </w:p>
    <w:p>
      <w:pPr>
        <w:spacing w:after="0" w:line="166" w:lineRule="exact"/>
        <w:rPr>
          <w:sz w:val="20"/>
          <w:szCs w:val="20"/>
          <w:color w:val="auto"/>
        </w:rPr>
      </w:pPr>
    </w:p>
    <w:p>
      <w:pPr>
        <w:ind w:right="920"/>
        <w:spacing w:after="0" w:line="235" w:lineRule="auto"/>
        <w:rPr>
          <w:sz w:val="20"/>
          <w:szCs w:val="20"/>
          <w:color w:val="auto"/>
        </w:rPr>
      </w:pPr>
      <w:r>
        <w:rPr>
          <w:rFonts w:ascii="Arial" w:cs="Arial" w:eastAsia="Arial" w:hAnsi="Arial"/>
          <w:sz w:val="18"/>
          <w:szCs w:val="18"/>
          <w:color w:val="auto"/>
        </w:rPr>
        <w:t>The Company has four reportable segments: Kaplan Higher Education, Kaplan Test Preparation, Kaplan International and television broadcasting.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372,897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401,076</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91,496</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92,018</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118,324</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108,716</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7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582,717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601,740</w:t>
            </w:r>
          </w:p>
        </w:tc>
        <w:tc>
          <w:tcPr>
            <w:tcW w:w="0" w:type="dxa"/>
            <w:vAlign w:val="bottom"/>
          </w:tcPr>
          <w:p>
            <w:pPr>
              <w:spacing w:after="0"/>
              <w:rPr>
                <w:sz w:val="1"/>
                <w:szCs w:val="1"/>
                <w:color w:val="auto"/>
              </w:rPr>
            </w:pPr>
          </w:p>
        </w:tc>
      </w:tr>
      <w:tr>
        <w:trPr>
          <w:trHeight w:val="251"/>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9,031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14,488</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25,969</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41,220</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(10,564)</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(5,730)</w:t>
            </w:r>
          </w:p>
        </w:tc>
        <w:tc>
          <w:tcPr>
            <w:tcW w:w="0" w:type="dxa"/>
            <w:vAlign w:val="bottom"/>
          </w:tcPr>
          <w:p>
            <w:pPr>
              <w:spacing w:after="0"/>
              <w:rPr>
                <w:sz w:val="1"/>
                <w:szCs w:val="1"/>
                <w:color w:val="auto"/>
              </w:rPr>
            </w:pPr>
          </w:p>
        </w:tc>
      </w:tr>
      <w:tr>
        <w:trPr>
          <w:trHeight w:val="283"/>
        </w:trPr>
        <w:tc>
          <w:tcPr>
            <w:tcW w:w="8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4,618</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29,054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51,872</w:t>
            </w:r>
          </w:p>
        </w:tc>
        <w:tc>
          <w:tcPr>
            <w:tcW w:w="0" w:type="dxa"/>
            <w:vAlign w:val="bottom"/>
          </w:tcPr>
          <w:p>
            <w:pPr>
              <w:spacing w:after="0"/>
              <w:rPr>
                <w:sz w:val="1"/>
                <w:szCs w:val="1"/>
                <w:color w:val="auto"/>
              </w:rPr>
            </w:pPr>
          </w:p>
        </w:tc>
      </w:tr>
      <w:tr>
        <w:trPr>
          <w:trHeight w:val="251"/>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Equity in Earnings of Affiliates, Net</w:t>
            </w:r>
          </w:p>
        </w:tc>
        <w:tc>
          <w:tcPr>
            <w:tcW w:w="220" w:type="dxa"/>
            <w:vAlign w:val="bottom"/>
          </w:tcPr>
          <w:p>
            <w:pPr>
              <w:spacing w:after="0"/>
              <w:rPr>
                <w:sz w:val="21"/>
                <w:szCs w:val="21"/>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649</w:t>
            </w:r>
          </w:p>
        </w:tc>
        <w:tc>
          <w:tcPr>
            <w:tcW w:w="36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70"/>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2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(6,766)</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(7,357)</w:t>
            </w:r>
          </w:p>
        </w:tc>
        <w:tc>
          <w:tcPr>
            <w:tcW w:w="0" w:type="dxa"/>
            <w:vAlign w:val="bottom"/>
          </w:tcPr>
          <w:p>
            <w:pPr>
              <w:spacing w:after="0"/>
              <w:rPr>
                <w:sz w:val="1"/>
                <w:szCs w:val="1"/>
                <w:color w:val="auto"/>
              </w:rPr>
            </w:pPr>
          </w:p>
        </w:tc>
      </w:tr>
      <w:tr>
        <w:trPr>
          <w:trHeight w:val="283"/>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Other Income, Net</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849</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15,096</w:t>
            </w:r>
          </w:p>
        </w:tc>
        <w:tc>
          <w:tcPr>
            <w:tcW w:w="0" w:type="dxa"/>
            <w:vAlign w:val="bottom"/>
          </w:tcPr>
          <w:p>
            <w:pPr>
              <w:spacing w:after="0"/>
              <w:rPr>
                <w:sz w:val="1"/>
                <w:szCs w:val="1"/>
                <w:color w:val="auto"/>
              </w:rPr>
            </w:pPr>
          </w:p>
        </w:tc>
      </w:tr>
      <w:tr>
        <w:trPr>
          <w:trHeight w:val="264"/>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23,786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60,615</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8,584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11,103</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2,594</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2,377</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3,184</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3,027</w:t>
            </w:r>
          </w:p>
        </w:tc>
        <w:tc>
          <w:tcPr>
            <w:tcW w:w="0" w:type="dxa"/>
            <w:vAlign w:val="bottom"/>
          </w:tcPr>
          <w:p>
            <w:pPr>
              <w:spacing w:after="0"/>
              <w:rPr>
                <w:sz w:val="1"/>
                <w:szCs w:val="1"/>
                <w:color w:val="auto"/>
              </w:rPr>
            </w:pPr>
          </w:p>
        </w:tc>
      </w:tr>
      <w:tr>
        <w:trPr>
          <w:trHeight w:val="283"/>
        </w:trPr>
        <w:tc>
          <w:tcPr>
            <w:tcW w:w="8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290</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14,652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16,761</w:t>
            </w:r>
          </w:p>
        </w:tc>
        <w:tc>
          <w:tcPr>
            <w:tcW w:w="0" w:type="dxa"/>
            <w:vAlign w:val="bottom"/>
          </w:tcPr>
          <w:p>
            <w:pPr>
              <w:spacing w:after="0"/>
              <w:rPr>
                <w:sz w:val="1"/>
                <w:szCs w:val="1"/>
                <w:color w:val="auto"/>
              </w:rPr>
            </w:pPr>
          </w:p>
        </w:tc>
      </w:tr>
      <w:tr>
        <w:trPr>
          <w:trHeight w:val="251"/>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1,120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902</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4,814</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4,518</w:t>
            </w:r>
          </w:p>
        </w:tc>
        <w:tc>
          <w:tcPr>
            <w:tcW w:w="0" w:type="dxa"/>
            <w:vAlign w:val="bottom"/>
          </w:tcPr>
          <w:p>
            <w:pPr>
              <w:spacing w:after="0"/>
              <w:rPr>
                <w:sz w:val="1"/>
                <w:szCs w:val="1"/>
                <w:color w:val="auto"/>
              </w:rPr>
            </w:pPr>
          </w:p>
        </w:tc>
      </w:tr>
      <w:tr>
        <w:trPr>
          <w:trHeight w:val="283"/>
        </w:trPr>
        <w:tc>
          <w:tcPr>
            <w:tcW w:w="8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6,836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6,262</w:t>
            </w:r>
          </w:p>
        </w:tc>
        <w:tc>
          <w:tcPr>
            <w:tcW w:w="0" w:type="dxa"/>
            <w:vAlign w:val="bottom"/>
          </w:tcPr>
          <w:p>
            <w:pPr>
              <w:spacing w:after="0"/>
              <w:rPr>
                <w:sz w:val="1"/>
                <w:szCs w:val="1"/>
                <w:color w:val="auto"/>
              </w:rPr>
            </w:pPr>
          </w:p>
        </w:tc>
      </w:tr>
      <w:tr>
        <w:trPr>
          <w:trHeight w:val="251"/>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2,706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3,109</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493</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70"/>
        </w:trPr>
        <w:tc>
          <w:tcPr>
            <w:tcW w:w="870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b w:val="1"/>
                <w:bCs w:val="1"/>
                <w:color w:val="auto"/>
              </w:rPr>
              <w:t>483</w:t>
            </w:r>
          </w:p>
        </w:tc>
        <w:tc>
          <w:tcPr>
            <w:tcW w:w="3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83"/>
        </w:trPr>
        <w:tc>
          <w:tcPr>
            <w:tcW w:w="870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(18,370)</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(15,861)</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(14,688)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(12,059)</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8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381"/>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280" w:type="dxa"/>
            <w:vAlign w:val="bottom"/>
          </w:tcPr>
          <w:p>
            <w:pPr>
              <w:jc w:val="right"/>
              <w:ind w:right="221"/>
              <w:spacing w:after="0"/>
              <w:rPr>
                <w:sz w:val="20"/>
                <w:szCs w:val="20"/>
                <w:color w:val="auto"/>
              </w:rPr>
            </w:pPr>
            <w:r>
              <w:rPr>
                <w:rFonts w:ascii="Arial" w:cs="Arial" w:eastAsia="Arial" w:hAnsi="Arial"/>
                <w:sz w:val="14"/>
                <w:szCs w:val="14"/>
                <w:color w:val="auto"/>
              </w:rPr>
              <w:t>December 31,</w:t>
            </w:r>
          </w:p>
        </w:tc>
      </w:tr>
      <w:tr>
        <w:trPr>
          <w:trHeight w:val="19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2016</w:t>
            </w:r>
          </w:p>
        </w:tc>
      </w:tr>
      <w:tr>
        <w:trPr>
          <w:trHeight w:val="22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1,475,285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1,479,267</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445,278</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336,631</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698,908</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796,935</w:t>
            </w: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466,130</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455,209</w:t>
            </w:r>
          </w:p>
        </w:tc>
      </w:tr>
      <w:tr>
        <w:trPr>
          <w:trHeight w:val="264"/>
        </w:trPr>
        <w:tc>
          <w:tcPr>
            <w:tcW w:w="834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3,085,601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3,068,042</w:t>
            </w: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6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433,787</w:t>
            </w:r>
          </w:p>
        </w:tc>
        <w:tc>
          <w:tcPr>
            <w:tcW w:w="28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424,229</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60" w:type="dxa"/>
            <w:vAlign w:val="bottom"/>
          </w:tcPr>
          <w:p>
            <w:pPr>
              <w:spacing w:after="0"/>
              <w:rPr>
                <w:sz w:val="23"/>
                <w:szCs w:val="23"/>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b w:val="1"/>
                <w:bCs w:val="1"/>
                <w:color w:val="auto"/>
              </w:rPr>
              <w:t>60,287</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58,806</w:t>
            </w:r>
          </w:p>
        </w:tc>
      </w:tr>
      <w:tr>
        <w:trPr>
          <w:trHeight w:val="28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836,430</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881,593</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4,416,105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4,432,670</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97" w:right="239" w:bottom="36" w:gutter="0" w:footer="0" w:header="0"/>
        </w:sectPr>
      </w:pPr>
    </w:p>
    <w:bookmarkStart w:id="20" w:name="page21"/>
    <w:bookmarkEnd w:id="20"/>
    <w:p>
      <w:pPr>
        <w:jc w:val="center"/>
        <w:ind w:right="-2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019"/>
          </w:cols>
          <w:pgMar w:left="1440" w:top="368" w:right="1440"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9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9"/>
                <w:szCs w:val="19"/>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144,310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165,549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64,568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66,462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164,562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169,287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(557)</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372,897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401,076</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12,604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21,306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(2,864)</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7,707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4,897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(8,469)</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(9,405)</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9,031</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14,488</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3,431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4,175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1,341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1,781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3,682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5,060</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130</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8,584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11,103</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1,120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1,681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2,044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1,905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911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87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2,706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3,109</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75"/>
        </w:trPr>
        <w:tc>
          <w:tcPr>
            <w:tcW w:w="3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5"/>
                <w:szCs w:val="15"/>
                <w:color w:val="auto"/>
              </w:rPr>
            </w:pPr>
          </w:p>
        </w:tc>
        <w:tc>
          <w:tcPr>
            <w:tcW w:w="1280" w:type="dxa"/>
            <w:vAlign w:val="bottom"/>
          </w:tcPr>
          <w:p>
            <w:pPr>
              <w:jc w:val="right"/>
              <w:ind w:right="222"/>
              <w:spacing w:after="0"/>
              <w:rPr>
                <w:sz w:val="20"/>
                <w:szCs w:val="20"/>
                <w:color w:val="auto"/>
              </w:rPr>
            </w:pPr>
            <w:r>
              <w:rPr>
                <w:rFonts w:ascii="Arial" w:cs="Arial" w:eastAsia="Arial" w:hAnsi="Arial"/>
                <w:sz w:val="14"/>
                <w:szCs w:val="14"/>
                <w:color w:val="auto"/>
              </w:rPr>
              <w:t>December 31,</w:t>
            </w:r>
          </w:p>
        </w:tc>
      </w:tr>
      <w:tr>
        <w:trPr>
          <w:trHeight w:val="196"/>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2016</w:t>
            </w:r>
          </w:p>
        </w:tc>
      </w:tr>
      <w:tr>
        <w:trPr>
          <w:trHeight w:val="250"/>
        </w:trPr>
        <w:tc>
          <w:tcPr>
            <w:tcW w:w="398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4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4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321,573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373,127</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133,061</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133,709</w:t>
            </w:r>
          </w:p>
        </w:tc>
      </w:tr>
      <w:tr>
        <w:trPr>
          <w:trHeight w:val="270"/>
        </w:trPr>
        <w:tc>
          <w:tcPr>
            <w:tcW w:w="398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1,000,432</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950,922</w:t>
            </w:r>
          </w:p>
        </w:tc>
      </w:tr>
      <w:tr>
        <w:trPr>
          <w:trHeight w:val="283"/>
        </w:trPr>
        <w:tc>
          <w:tcPr>
            <w:tcW w:w="398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4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20,219</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21,509</w:t>
            </w:r>
          </w:p>
        </w:tc>
      </w:tr>
      <w:tr>
        <w:trPr>
          <w:trHeight w:val="264"/>
        </w:trPr>
        <w:tc>
          <w:tcPr>
            <w:tcW w:w="3980" w:type="dxa"/>
            <w:vAlign w:val="bottom"/>
          </w:tcPr>
          <w:p>
            <w:pPr>
              <w:spacing w:after="0"/>
              <w:rPr>
                <w:sz w:val="22"/>
                <w:szCs w:val="22"/>
                <w:color w:val="auto"/>
              </w:rPr>
            </w:pPr>
          </w:p>
        </w:tc>
        <w:tc>
          <w:tcPr>
            <w:tcW w:w="46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b w:val="1"/>
                <w:bCs w:val="1"/>
                <w:color w:val="auto"/>
              </w:rPr>
              <w:t>1,475,285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1,479,267</w:t>
            </w:r>
          </w:p>
        </w:tc>
      </w:tr>
      <w:tr>
        <w:trPr>
          <w:trHeight w:val="608"/>
        </w:trPr>
        <w:tc>
          <w:tcPr>
            <w:tcW w:w="3980" w:type="dxa"/>
            <w:vAlign w:val="bottom"/>
          </w:tcPr>
          <w:p>
            <w:pPr>
              <w:spacing w:after="0"/>
              <w:rPr>
                <w:sz w:val="24"/>
                <w:szCs w:val="24"/>
                <w:color w:val="auto"/>
              </w:rPr>
            </w:pPr>
          </w:p>
        </w:tc>
        <w:tc>
          <w:tcPr>
            <w:tcW w:w="4360" w:type="dxa"/>
            <w:vAlign w:val="bottom"/>
          </w:tcPr>
          <w:p>
            <w:pPr>
              <w:jc w:val="right"/>
              <w:ind w:right="2436"/>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66"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Company reported net income attributable to common shares of $21.1 million ($3.75 per share) for the first quarter of 2017, compared to $37.8 million ($6.59 per share) for the first quarter of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2017:</w:t>
      </w:r>
    </w:p>
    <w:p>
      <w:pPr>
        <w:spacing w:after="0" w:line="144"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$1.7 million in non-operating foreign currency gains (after-tax impact of $1.1 million, or $0.19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2016:</w:t>
      </w:r>
    </w:p>
    <w:p>
      <w:pPr>
        <w:spacing w:after="0" w:line="144"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$18.9 million non-operating gain arising from the sale of a business (after-tax impact of $11.9 million, or $2.08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$1.8 million gain on sale of marketable equity securities (after-tax impact of $1.1 million, or $0.19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$5.4 million in non-operating foreign currency losses (after-tax impact of $3.4 million, or $0.60 per share).</w:t>
      </w:r>
    </w:p>
    <w:p>
      <w:pPr>
        <w:spacing w:after="0" w:line="14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Revenue for the first quarter of 2017 was $582.7 million, down 3% from $601.7 million in the first quarter of 2016. Revenues declined at the education and television broadcasting divisions, offset by an increase in other businesses. The Company reported operating income of $29.1 million for the first quarter of 2017, compared to $51.9 million for the first quarter of 2016. The operating income decline is driven by lower earnings at the television broadcasting division largely due to a new NBC contract for the Company's NBC affiliates in Houston and Detroit, and a decrease in earnings at Kaplan Higher Education (KHE) due to lower enrollments at Kaplan University. Operating results for other businesses were also down for the quarter.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Education division revenue totaled $372.9 million for the first quarter of 2017, down 7% from revenue of $401.1 million for the same period of 2016. Kaplan reported operating income of $9.0 million for the first quarter of 2017, compared to $14.5 million for the first quarter of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first quarter of 2017 compared to 2016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2016</w:t>
            </w:r>
          </w:p>
        </w:tc>
        <w:tc>
          <w:tcPr>
            <w:tcW w:w="14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40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144,310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165,549</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64,568</w:t>
            </w:r>
          </w:p>
        </w:tc>
        <w:tc>
          <w:tcPr>
            <w:tcW w:w="4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66,462</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164,562</w:t>
            </w:r>
          </w:p>
        </w:tc>
        <w:tc>
          <w:tcPr>
            <w:tcW w:w="4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169,287</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14</w:t>
            </w:r>
          </w:p>
        </w:tc>
        <w:tc>
          <w:tcPr>
            <w:tcW w:w="4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83"/>
        </w:trPr>
        <w:tc>
          <w:tcPr>
            <w:tcW w:w="74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(557)</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40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372,897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401,076</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12,604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21,306</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(2,864)</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(2,310)</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7,707</w:t>
            </w:r>
          </w:p>
        </w:tc>
        <w:tc>
          <w:tcPr>
            <w:tcW w:w="44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4,897</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(7,349)</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(7,724)</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40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(1,120)</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(1,681)</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83"/>
        </w:trPr>
        <w:tc>
          <w:tcPr>
            <w:tcW w:w="740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53</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400" w:type="dxa"/>
            <w:vAlign w:val="bottom"/>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9,031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14,488</w:t>
            </w:r>
          </w:p>
        </w:tc>
        <w:tc>
          <w:tcPr>
            <w:tcW w:w="1440" w:type="dxa"/>
            <w:vAlign w:val="bottom"/>
          </w:tcPr>
          <w:p>
            <w:pPr>
              <w:jc w:val="right"/>
              <w:ind w:right="30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and other continuing education businesses.</w:t>
      </w:r>
    </w:p>
    <w:p>
      <w:pPr>
        <w:sectPr>
          <w:pgSz w:w="11900" w:h="16838" w:orient="portrait"/>
          <w:cols w:equalWidth="0" w:num="1">
            <w:col w:w="11420"/>
          </w:cols>
          <w:pgMar w:left="240" w:top="697"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697" w:right="239" w:bottom="1440" w:gutter="0" w:footer="0" w:header="0"/>
          <w:type w:val="continuous"/>
        </w:sectPr>
      </w:pPr>
    </w:p>
    <w:bookmarkStart w:id="23" w:name="page24"/>
    <w:bookmarkEnd w:id="23"/>
    <w:p>
      <w:pPr>
        <w:ind w:right="240"/>
        <w:spacing w:after="0" w:line="229" w:lineRule="auto"/>
        <w:rPr>
          <w:sz w:val="20"/>
          <w:szCs w:val="20"/>
          <w:color w:val="auto"/>
        </w:rPr>
      </w:pPr>
      <w:r>
        <w:rPr>
          <w:rFonts w:ascii="Arial" w:cs="Arial" w:eastAsia="Arial" w:hAnsi="Arial"/>
          <w:sz w:val="18"/>
          <w:szCs w:val="18"/>
          <w:color w:val="auto"/>
        </w:rPr>
        <w:t>In the first quarter of 2017, KHE revenue was down 13%, due to declines in average enrollments at Kaplan University, offset by increased revenues at the domestic professional and other continuing education businesses. KHE operating results declined in the first quarter of 2017 due primarily to lower enrollment at Kaplan University.</w:t>
      </w:r>
    </w:p>
    <w:p>
      <w:pPr>
        <w:spacing w:after="0" w:line="1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New higher education student enrollments at Kaplan University were up 2% in the first quarter of 2017; however, total students at Kaplan University were 32,536 at March 31, 2017, down 13% from March 31,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enrollments at March 31, 2017 and 2016, by degree and certificate programs,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25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As of March 31</w:t>
            </w:r>
          </w:p>
        </w:tc>
      </w:tr>
      <w:tr>
        <w:trPr>
          <w:trHeight w:val="264"/>
        </w:trPr>
        <w:tc>
          <w:tcPr>
            <w:tcW w:w="89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2017</w:t>
            </w: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2016</w:t>
            </w:r>
          </w:p>
        </w:tc>
      </w:tr>
      <w:tr>
        <w:trPr>
          <w:trHeight w:val="250"/>
        </w:trPr>
        <w:tc>
          <w:tcPr>
            <w:tcW w:w="890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8.7%</w:t>
            </w: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17.7%</w:t>
            </w:r>
          </w:p>
        </w:tc>
        <w:tc>
          <w:tcPr>
            <w:tcW w:w="106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70"/>
        </w:trPr>
        <w:tc>
          <w:tcPr>
            <w:tcW w:w="890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460" w:type="dxa"/>
            <w:vAlign w:val="bottom"/>
          </w:tcPr>
          <w:p>
            <w:pPr>
              <w:jc w:val="right"/>
              <w:ind w:right="202"/>
              <w:spacing w:after="0"/>
              <w:rPr>
                <w:sz w:val="20"/>
                <w:szCs w:val="20"/>
                <w:color w:val="auto"/>
              </w:rPr>
            </w:pPr>
            <w:r>
              <w:rPr>
                <w:rFonts w:ascii="Arial" w:cs="Arial" w:eastAsia="Arial" w:hAnsi="Arial"/>
                <w:sz w:val="16"/>
                <w:szCs w:val="16"/>
                <w:b w:val="1"/>
                <w:bCs w:val="1"/>
                <w:color w:val="auto"/>
              </w:rPr>
              <w:t>51.0%</w:t>
            </w:r>
          </w:p>
        </w:tc>
        <w:tc>
          <w:tcPr>
            <w:tcW w:w="106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83"/>
        </w:trPr>
        <w:tc>
          <w:tcPr>
            <w:tcW w:w="8900" w:type="dxa"/>
            <w:vAlign w:val="bottom"/>
          </w:tcPr>
          <w:p>
            <w:pPr>
              <w:ind w:left="40"/>
              <w:spacing w:after="0"/>
              <w:rPr>
                <w:sz w:val="20"/>
                <w:szCs w:val="20"/>
                <w:color w:val="auto"/>
              </w:rPr>
            </w:pPr>
            <w:r>
              <w:rPr>
                <w:rFonts w:ascii="Arial" w:cs="Arial" w:eastAsia="Arial" w:hAnsi="Arial"/>
                <w:sz w:val="16"/>
                <w:szCs w:val="16"/>
                <w:color w:val="auto"/>
              </w:rPr>
              <w:t>Master’s</w:t>
            </w: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22.6%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264"/>
        </w:trPr>
        <w:tc>
          <w:tcPr>
            <w:tcW w:w="8900" w:type="dxa"/>
            <w:vAlign w:val="bottom"/>
          </w:tcPr>
          <w:p>
            <w:pPr>
              <w:spacing w:after="0"/>
              <w:rPr>
                <w:sz w:val="22"/>
                <w:szCs w:val="22"/>
                <w:color w:val="auto"/>
              </w:rPr>
            </w:pPr>
          </w:p>
        </w:tc>
        <w:tc>
          <w:tcPr>
            <w:tcW w:w="1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100.0%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3% for the first quarter of 2017. Enrollments, excluding the new economy skills training offerings, were down 3% for the first three months of 2017. In comparison to 2016, KTP operating results were down 24% in the first quarter of 2017 due to lower revenues. Operating losses for the new economy skills training programs were $3.8 million and $4.1 million for the first quarter of 2017 and 2016, respectively.</w:t>
      </w:r>
    </w:p>
    <w:p>
      <w:pPr>
        <w:spacing w:after="0" w:line="135"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January and February 2016, Kaplan acquired Mander Portman Woodward, a leading provider of high-quality, bespoke education to UK and international students in London, Cambridge and Birmingham; and Osborne Books, an education publisher of learning resources for accounting qualifications in the UK.</w:t>
      </w:r>
    </w:p>
    <w:p>
      <w:pPr>
        <w:spacing w:after="0" w:line="135" w:lineRule="exact"/>
        <w:rPr>
          <w:sz w:val="20"/>
          <w:szCs w:val="20"/>
          <w:color w:val="auto"/>
        </w:rPr>
      </w:pPr>
    </w:p>
    <w:p>
      <w:pPr>
        <w:jc w:val="both"/>
        <w:ind w:right="260"/>
        <w:spacing w:after="0" w:line="229" w:lineRule="auto"/>
        <w:rPr>
          <w:sz w:val="20"/>
          <w:szCs w:val="20"/>
          <w:color w:val="auto"/>
        </w:rPr>
      </w:pPr>
      <w:r>
        <w:rPr>
          <w:rFonts w:ascii="Arial" w:cs="Arial" w:eastAsia="Arial" w:hAnsi="Arial"/>
          <w:sz w:val="18"/>
          <w:szCs w:val="18"/>
          <w:color w:val="auto"/>
        </w:rPr>
        <w:t>Kaplan International revenue declined 3% for the first quarter of 2017; on a constant currency basis, revenue increased 4% primarily due to growth in Pathways enrollments. Operating income increased in the first quarter of 2017, due largely to the improved Pathways and English-language results, partially offset by a decline in Singapore.</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 that is included in other non-operating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continues to operate both stations under their current network affiliations.</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Revenue at the television broadcasting division decreased 1% to $91.5 million in the first quarter of 2017, from $92.0 million in the same period of 2016. Excluding revenue from the two newly acquired stations, revenue declined 6% due to a $4.2 million decrease in political advertising revenue and lower network revenue, offset by $2.9 million in higher retransmission revenues. As previously disclosed, the Company's NBC affiliates in Houston and Detroit are operating under a new contract with NBC effective January 1, 2017 that has resulted in a significant increase in network fees in 2017, compared to 2016. Operating income for the first quarter of 2017 decreased 37% to $26.0 million, from $41.2 million in the same period of 2016 due to the significantly higher network fees and lower revenues. The Company's television broadcasting division stations are operating under a new retransmission contract with Comcast effective April 1, 2017.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1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Businesses’ operating results for the first quarter of 2017 compared to 2016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r>
      <w:tr>
        <w:trPr>
          <w:trHeight w:val="276"/>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61,898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56,675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36,899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35,880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12,574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10,655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6,953</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118,324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108,716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58,233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55,538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37,825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33,361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17,082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15,748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11,922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128,888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114,446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3,665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1,137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(926)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(4,508)</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(2,970)</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(8,795)</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(6,416)</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(10,564)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(5,730)</w:t>
            </w: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1,508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1,873</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1,069</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246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361</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92</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3,184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3,077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1,654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4,814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4,518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166</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264"/>
        </w:trPr>
        <w:tc>
          <w:tcPr>
            <w:tcW w:w="812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483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w:t>
            </w:r>
          </w:p>
        </w:tc>
      </w:tr>
    </w:tbl>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Manufacturing includes three businesses: Dekko, a manufacturer of electrical workspace solutions, architectural lighting and electrical components and assemblies; Joyce/Dayton Corp., a Dayton, OH-based manufacturer of screw jacks and other linear motion systems; and Forney, a global supplier of products and systems that control and monitor combustion processes in electric utility and industrial applications. In September 2016, Dekko acquired Electri-Cable Assemblies (ECA), a Shelton, CT-based manufacturer of power, data and electrical solutions for the office furniture industry.</w:t>
      </w:r>
    </w:p>
    <w:p>
      <w:pPr>
        <w:spacing w:after="0" w:line="137"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Manufacturing revenues and operating income increased in the first three months of 2017 due to growth and improved results at Dekko, including the ECA acquisition.</w:t>
      </w:r>
    </w:p>
    <w:p>
      <w:pPr>
        <w:spacing w:after="0" w:line="1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April 2017, the Company acquired Hoover Treated Wood Products, Inc., a Thomson, GA-based supplier of pressure impregnated kiln-dried lumber and plywood products for fire retardant and preservative applications.</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Graham Healthcare Group (GHG) provides home health and hospice services in three states. In June 2016, the Company acquired the outstanding 20% redeemable noncontrolling interest in Residential Healthcare (Residential). Also in June 2016, Celtic Healthcare (Celtic) and Residential combined their business operations and the Company now owns 90% of the combined entity, known as GHG. Healthcare revenues increased 3% in the first three months of 2017, while operating results were down due largely to an increase in information systems and other integration costs.</w:t>
      </w:r>
    </w:p>
    <w:p>
      <w:pPr>
        <w:sectPr>
          <w:pgSz w:w="11900" w:h="16838" w:orient="portrait"/>
          <w:cols w:equalWidth="0" w:num="1">
            <w:col w:w="11420"/>
          </w:cols>
          <w:pgMar w:left="240" w:top="697" w:right="239" w:bottom="26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697" w:right="239" w:bottom="260" w:gutter="0" w:footer="0" w:header="0"/>
          <w:type w:val="continuous"/>
        </w:sectPr>
      </w:pPr>
    </w:p>
    <w:bookmarkStart w:id="25" w:name="page26"/>
    <w:bookmarkEnd w:id="25"/>
    <w:p>
      <w:pPr>
        <w:ind w:right="100"/>
        <w:spacing w:after="0" w:line="229"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revenues increased 18% in the first quarter of 2017, due to continued growth in digital advertising service revenues. SocialCode reported operating losses of $4.5 million for the first quarter of 2017, compared to $3.0 million in the first quarter of 2016.</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the first quarter of 2017 adversely affected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The total pension credit for the Company’s traditional defined benefit plan was $18.5 million and $16.0 million in the first three months of 2017 and 2016,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Without the pension credit, corporate office expenses declined slightly in the first three months of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At March 31, 2017, the Company held interests in a number of home health and hospice joint ventures, and interests in several other affiliates. The Company recorded equity in earnings of affiliates of $0.6 million for the first quarter of 2017, compared to $1.0 million for the first quarter of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 recorded total other non-operating income, net, of $0.8 million for the first quarter of 2017, compared to $15.1 million for the first quarter of 2016. The 2017 amounts included $1.7 million in foreign currency gains, partially offset by other items. The 2016 amounts included an $18.9 million gain on the sale of a business and a $1.8 million gain on the sale of marketable equity securities, offset by $5.4 million in foreign currency losses and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incurred net interest expense of $6.8 million for the first quarter of 2017, compared to $7.4 million for the first quarter of 2016. At March 31, 2017, the Company had $493.3 million in borrowings outstanding at an average interest rate of 6.3% and cash, marketable equity securities and other investments of $1,113.9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effective tax rate for the first three months of 2017 was 11.4%, compared to 37.0% for the first three months of 2016. The low effective tax rate in the first quarter of 2017 is due to a $5.9 million income tax benefit related to the vesting of restricted stock awards. In the first quarter of 2017, the Company adopted a new accounting standard that requires all excess income tax benefits and deficiencies from stock compensation to be recorded as discrete items in the provision for income taxes. Excluding this $5.9 million benefit, the overall income tax rate in the first quarter of 2017 was 36.3%.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calculation of diluted earnings per share for the first quarter of 2017 was based on 5,568,903 weighted average shares outstanding, compared to 5,651,655 for the first quarter of 2016. At March 31, 2017, there were 5,590,529 shares outstanding. On May 14, 2015, the Board of Directors authorized the Company to acquire up to 500,000 shares of its Class B common stock; the Company has remaining authorization for 223,526 shares as of March 31,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University Transaction</w:t>
      </w:r>
    </w:p>
    <w:p>
      <w:pPr>
        <w:spacing w:after="0" w:line="16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On April 27, 2017, certain Kaplan subsidiaries entered into a Contribution and Transfer Agreement (Transfer Agreement) to contribute the institutional assets and operations of Kaplan University (KU) to a new, nonprofit, public-benefit corporation (New University) affiliated with Purdue University (Purdue) in exchange for a Transition and Operations Support Agreement (TOSA) to provide key non-academic operations support to New University for an initial term of 30 years with a buy-out option after six years.</w:t>
      </w:r>
    </w:p>
    <w:p>
      <w:pPr>
        <w:spacing w:after="0" w:line="135"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Subject to the terms and conditions of the Transfer Agreement, KU, which specializes in online education and is accredited by the Higher Learning Commission of the North Central Association of Colleges and Schools (HLC), will transfer certain assets of its Title IV-authorized and accredited academic institution to New University. New</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719" w:right="279" w:bottom="1440" w:gutter="0" w:footer="0" w:header="0"/>
        </w:sectPr>
      </w:pPr>
    </w:p>
    <w:bookmarkStart w:id="26" w:name="page27"/>
    <w:bookmarkEnd w:id="26"/>
    <w:p>
      <w:pPr>
        <w:ind w:right="60"/>
        <w:spacing w:after="0" w:line="235" w:lineRule="auto"/>
        <w:rPr>
          <w:sz w:val="20"/>
          <w:szCs w:val="20"/>
          <w:color w:val="auto"/>
        </w:rPr>
      </w:pPr>
      <w:r>
        <w:rPr>
          <w:rFonts w:ascii="Arial" w:cs="Arial" w:eastAsia="Arial" w:hAnsi="Arial"/>
          <w:sz w:val="18"/>
          <w:szCs w:val="18"/>
          <w:color w:val="auto"/>
        </w:rPr>
        <w:t>University will operate as a new Indiana public university, as authorized by the Indiana legislature, affiliated with Purdue University and focused on expanding access to education for non-traditional adult learners.</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New University will initially consist of the seven schools and colleges that now comprise KU (excluding the Kaplan University School of Professional and Continuing Education (KU-PACE)), which together offer more than 100 diploma, certificate, associate, bachelor, masters and doctoral degree programs, as well as 15 campus and learning center locations. Current online and campus KU students, approximately 32,000, will transfer to New University. Current full-time and adjunct faculty and staff at KU, approximately 3,000 employees, will also transfer to New University. New University will be governed by its own board of trustees that will fully control all of the functions of New University, the members of which will be appointed by Purdue. Upon approval by its accreditor, New University will have its own institutional accreditation and maintain its own faculty and administrative operations.</w:t>
      </w:r>
    </w:p>
    <w:p>
      <w:pPr>
        <w:spacing w:after="0" w:line="139"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In addition, as part of the transfer of KU’s academic institution, students, academic personnel, faculty and operations, and property leases for KU’s campuses and learning centers, KU also will transfer Kaplan-owned academic curriculum and content related to KU courses (collectively and including such specific assets as described in the Transfer Agreement, the “Institutional Assets”). The transfer does not include any of the assets of KU-PACE, which provides professional training and exam preparation for professional certifications and licensures, nor does it include the transfer of other Kaplan businesses such as Kaplan Test Preparation and Kaplan International.</w:t>
      </w:r>
    </w:p>
    <w:p>
      <w:pPr>
        <w:spacing w:after="0" w:line="137"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Kaplan will receive nominal cash consideration upon transfer of KU’s Institutional Assets. In exchange for KU’s Institutional Assets, upon closing of the transactions contemplated by the Transfer Agreement, the parties will enter into the TOSA. Under the TOSA, Kaplan will provide operations support activities to New University including, but not limited to, technology support, help-desk functions, human resources support for transferred faculty and employees, admissions support, financial aid administration, marketing and advertising, back-office business functions, international student recruiting and certain test preparation services.</w:t>
      </w:r>
    </w:p>
    <w:p>
      <w:pPr>
        <w:spacing w:after="0" w:line="137" w:lineRule="exact"/>
        <w:rPr>
          <w:sz w:val="20"/>
          <w:szCs w:val="20"/>
          <w:color w:val="auto"/>
        </w:rPr>
      </w:pPr>
    </w:p>
    <w:p>
      <w:pPr>
        <w:ind w:right="160"/>
        <w:spacing w:after="0" w:line="222"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fee, unless and until New University has first covered all of its operating costs. In addition, during each of New University’s first five years, prior to any payment to Kaplan, New University is entitled to a priority payment of $10 million per year beyond costs, which will be paid out of New University’s revenue. To the extent New University’s revenue is insufficient to pay the $10 million per year priority payment, Kaplan is required to advance an amount to New University to cover such insufficiency. In addition, if New University achieves cost savings in its budgeted operating costs, then New University may be entitled to a payment equal to 20 percent of such savings (the “Efficiency Payment”). To the extent that there are sufficient revenues to pay the Efficiency Payment, pay the priority payment and to reimburse New University for its direct expenses, Kaplan will receive reimbursement for Kaplan’s costs of providing the support activities in addition to a fee equal to 12.5 percent of New University’s revenue.</w:t>
      </w:r>
    </w:p>
    <w:p>
      <w:pPr>
        <w:spacing w:after="0" w:line="141"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TOSA has a 30-year initial term, which will automatically renew for five-year periods unless terminated. After the sixth year, New University has the right to terminate the agreement upon payment of a termination fee equal to 1.25 times New University’s revenue for the preceding 12-month period (the “Buy-out Fee”), which payment would be made pursuant to a 10-year note, and at New University’s election, it may receive for no additional consideration certain assets used by Kaplan to provide the support activities pursuant to the TOSA. At the end of the 30-year term, if New University does not renew the TOSA, New University would be obligated to make a final payment of six times the fees paid or payable during the preceding 12-month period, which payment would be made pursuant to a 10-year note, and at New University’s election, it may receive for no additional consideration certain assets used by Kaplan to provide the support activities pursuant to the TOSA.</w:t>
      </w:r>
    </w:p>
    <w:p>
      <w:pPr>
        <w:spacing w:after="0" w:line="13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Either party may terminate the TOSA at any time if New University generates (i) $ 25 million in cash operating losses for three consecutive years or (ii) aggregate cash operating losses greater than $75 million at any point during the initial term. Operating loss is defined as the amount of revenue New University generates minus the sum of (1) New University’s and Kaplan’s respective costs in performing academic and support functions and (2) the $10 million priority payment to New University in each of the first five years. Upon termination for any reason, New University would retain the assets that Kaplan contributed pursuant to the Transfer Agreement. Each party also has certain termination rights in connection with a material default or material breach of the TOSA by the other party.</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Kaplan, on the one hand, and Purdue, on the other hand, will indemnify each other for damages arising from the indemnifying party’s breaches of its representations and warranties and covenants under the Transfer Agreement as well as for damages arising from certain specified liabilities, subject to certain limitations set forth in the Transfer Agreement.</w:t>
      </w:r>
    </w:p>
    <w:p>
      <w:pPr>
        <w:spacing w:after="0" w:line="137"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Consummation of the transactions contemplated by the Transfer Agreement is subject to various closing conditions, including, among others, regulatory approvals from the U.S. Department of Education, the Indiana Commission for Higher Education and HLC, which is the regional accreditor of both Purdue and Kaplan University, and certain other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19" w:right="239" w:bottom="1440" w:gutter="0" w:footer="0" w:header="0"/>
        </w:sectPr>
      </w:pPr>
    </w:p>
    <w:bookmarkStart w:id="27" w:name="page28"/>
    <w:bookmarkEnd w:id="27"/>
    <w:p>
      <w:pPr>
        <w:ind w:right="100"/>
        <w:spacing w:after="0" w:line="229" w:lineRule="auto"/>
        <w:rPr>
          <w:sz w:val="20"/>
          <w:szCs w:val="20"/>
          <w:color w:val="auto"/>
        </w:rPr>
      </w:pPr>
      <w:r>
        <w:rPr>
          <w:rFonts w:ascii="Arial" w:cs="Arial" w:eastAsia="Arial" w:hAnsi="Arial"/>
          <w:sz w:val="18"/>
          <w:szCs w:val="18"/>
          <w:color w:val="auto"/>
        </w:rPr>
        <w:t>state educational agencies and accreditors of programs. Kaplan is unable to predict with certainty when and if such approvals will be obtained; however, it expects that all approvals will not be received until the fourth quarter of 2017. If the transaction is not consummated by April 30, 2018, either party may terminate the Transfer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April 2017, the Company acquired Hoover Treated Wood Products, Inc., a Thomson, GA-based supplier of pressure</w:t>
      </w:r>
      <w:r>
        <w:rPr>
          <w:rFonts w:ascii="Arial" w:cs="Arial" w:eastAsia="Arial" w:hAnsi="Arial"/>
          <w:sz w:val="18"/>
          <w:szCs w:val="18"/>
          <w:b w:val="1"/>
          <w:bCs w:val="1"/>
          <w:color w:val="auto"/>
        </w:rPr>
        <w:t xml:space="preserve"> </w:t>
      </w:r>
      <w:r>
        <w:rPr>
          <w:rFonts w:ascii="Arial" w:cs="Arial" w:eastAsia="Arial" w:hAnsi="Arial"/>
          <w:sz w:val="18"/>
          <w:szCs w:val="18"/>
          <w:color w:val="auto"/>
        </w:rPr>
        <w:t>impregnated kiln-dried lumber and plywood products for fire retardant and preservative applications for approximately $205 million, net of cash acquired.</w:t>
      </w:r>
    </w:p>
    <w:p>
      <w:pPr>
        <w:spacing w:after="0" w:line="136"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In the first three months of 2017, the Company acquired four businesses, two in its television broadcasting division and two in its education division for $86.5 million in cash and contingent consideration, and the assumption of $59.1 million in certain pension and postretirement obligations.</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In January 2016, Kaplan acquired a 100% interest in Mander Portman Woodward, a leading provider of high-quality, bespoke education to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reason for these acquisitions is based on several strategic benefits expected to be realized in the future. Both of these acquisitions are included in Kaplan International.</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In September 2016, Group Dekko, Inc. (Dekko) acquired a 100% interest in Electri-Cable Assemblies (ECA),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Dekko is included in other businesses.</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2017, Graham Healthcare Group (GHG) completed the sale of Celtic Healthcare of Maryland. The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GHG are included in other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January 2016, Kaplan completed the sale of Colloquy, which was included in Kaplan Corporate and Other.</w:t>
      </w:r>
    </w:p>
    <w:p>
      <w:pPr>
        <w:spacing w:after="0" w:line="122"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 June 2016, Residential and a Michigan hospital formed a joint venture to provide home health services to patients in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and Residential combined their business operations to form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 The minority shareholders have an option to put their shares to the Company starting in 2020, and are required to put a percentage of their shares in 2022 and 2024, with the remaining shares required to be put by the minority shareholders in 2026. The redemption value is based on an EBITDA multiple, adjusted for working capital and other items, computed annually, with no limit on the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19" w:right="239" w:bottom="1440" w:gutter="0" w:footer="0" w:header="0"/>
        </w:sectPr>
      </w:pPr>
    </w:p>
    <w:bookmarkStart w:id="28" w:name="page29"/>
    <w:bookmarkEnd w:id="28"/>
    <w:p>
      <w:pPr>
        <w:ind w:right="160"/>
        <w:spacing w:after="0" w:line="235" w:lineRule="auto"/>
        <w:rPr>
          <w:sz w:val="20"/>
          <w:szCs w:val="20"/>
          <w:color w:val="auto"/>
        </w:rPr>
      </w:pPr>
      <w:r>
        <w:rPr>
          <w:rFonts w:ascii="Arial" w:cs="Arial" w:eastAsia="Arial" w:hAnsi="Arial"/>
          <w:sz w:val="18"/>
          <w:szCs w:val="18"/>
          <w:color w:val="auto"/>
        </w:rPr>
        <w:t>amount payable. The Company now owns 90% of GHG. Because the noncontrolling interest is now mandatorily redeemable by the Company by 2026, it is reported as a noncurrent liability at March 31,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jc w:val="both"/>
        <w:ind w:right="220"/>
        <w:spacing w:after="0" w:line="229" w:lineRule="auto"/>
        <w:rPr>
          <w:sz w:val="20"/>
          <w:szCs w:val="20"/>
          <w:color w:val="auto"/>
        </w:rPr>
      </w:pPr>
      <w:r>
        <w:rPr>
          <w:rFonts w:ascii="Arial" w:cs="Arial" w:eastAsia="Arial" w:hAnsi="Arial"/>
          <w:sz w:val="18"/>
          <w:szCs w:val="18"/>
          <w:color w:val="auto"/>
        </w:rPr>
        <w:t>During the first three months of 2017, the Company’s capital expenditures totaled $ 14.6 million. This amount includes assets acquired during the year, whereas the amounts reflected in the Company's Condensed Statements of Cash Flows are based on cash payments made during the relevant periods. The Company estimates that its capital expenditures will be in the range of $70 million to $80 million in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were $493.3 million and $491.8 million, at March 31, 2017 and December 31, 2016, respectively.</w:t>
      </w:r>
    </w:p>
    <w:p>
      <w:pPr>
        <w:spacing w:after="0" w:line="144"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At March 31, 2017, the Company had cash and cash equivalents, restricted cash and investments in marketable securities and other investments totaling $ 1,113.9 million, compared with $1,119.1 million at December 31, 2016. The Company’s net cash provided by operating activities, as reported in the Company’s Condensed Consolidated Statements of Cash Flows, was $91.9 million for the first three months of 2017, compared to $60.9 million for the first three months of 2016. The increase is largely due to significant cash receipts from customers received in the first quarter of 2017 compared to 2016.</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On June 29, 2015, the Company entered into a credit agreement (the Credit Agreement) providing for a U.S. $ 200 million five-year revolving credit facility (the Facility). The Company may draw on the Facility for general corporate purposes. The Facility will expire on July 1, 2020, unless the Company and the banks agree to extend the term. The Credit Agreement contains terms and conditions, including remedies in the event of a default by the Company, typical of facilities of this type.</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July 14, 2016, Kaplan entered into a Facility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w:t>
      </w:r>
    </w:p>
    <w:p>
      <w:pPr>
        <w:spacing w:after="0" w:line="141"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Condensed Consolidated Balance Sheets until earnings are affected by the variability of cash flows.</w:t>
      </w:r>
    </w:p>
    <w:p>
      <w:pPr>
        <w:spacing w:after="0" w:line="141"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At March 31, 2017 and December 31, 2016, the Company had working capital of $980.9 million and $1,052.4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sufficient liquidity to meet its various cash needs throughout 2017.</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July 2016, Kaplan International Holdings Limited (KIHL) entered into an agreement with University of York International Pathway College LLP (York International College) to loan the LLP approximately £25 million over the next eighteen months, to construct an academic building in the UK to be used by the College. York International College is a limited liability partnership joint venture between Kaplan York Limited (a subsidiary of Kaplan International Colleges UK Limited) and a subsidiary of the University of York, that operates a pathways college. The loan will be repayable over 25 years at an interest rate of 7% and the loan is guaranteed by the University of York. While there is no strict requirement to make annual principal and interest payments, interest will be rolled up</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9" w:right="239" w:bottom="1440" w:gutter="0" w:footer="0" w:header="0"/>
        </w:sectPr>
      </w:pPr>
    </w:p>
    <w:bookmarkStart w:id="29" w:name="page30"/>
    <w:bookmarkEnd w:id="29"/>
    <w:p>
      <w:pPr>
        <w:ind w:right="300"/>
        <w:spacing w:after="0" w:line="229" w:lineRule="auto"/>
        <w:rPr>
          <w:sz w:val="20"/>
          <w:szCs w:val="20"/>
          <w:color w:val="auto"/>
        </w:rPr>
      </w:pPr>
      <w:r>
        <w:rPr>
          <w:rFonts w:ascii="Arial" w:cs="Arial" w:eastAsia="Arial" w:hAnsi="Arial"/>
          <w:sz w:val="18"/>
          <w:szCs w:val="18"/>
          <w:color w:val="auto"/>
        </w:rPr>
        <w:t>and accrue interest at 7% if no such payments are made. The loan becomes due and payable if the partnership agreement with Kaplan is terminated. In the second half of 2016, KIHL advanced approximately £11.0 million to York International College. In the first quarter of 2017, there was no additional advance made.</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2016 Annual Report filed on Form 10-K have not otherwise changed significantly.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6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March 31, 2017.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66"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March 31, 2017 that has materially affected, or is reasonably likely to materially affect, the Company’s internal control over financial reporting.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Company faces a number of significant risks and uncertainties in connection with its operations. If any of the events or developments described below occurs, it could have a material adverse effect on the Company’s business, financial condition or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Other than as subsequently discussed, there have been no material changes to the Risk Factors disclosed in our 2016 Form 10-K.</w:t>
      </w:r>
    </w:p>
    <w:p>
      <w:pPr>
        <w:spacing w:after="0" w:line="122" w:lineRule="exact"/>
        <w:rPr>
          <w:sz w:val="20"/>
          <w:szCs w:val="20"/>
          <w:color w:val="auto"/>
        </w:rPr>
      </w:pPr>
    </w:p>
    <w:p>
      <w:pPr>
        <w:ind w:left="260" w:hanging="252"/>
        <w:spacing w:after="0" w:line="228" w:lineRule="auto"/>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The Proposed Transfer of Kaplan University is Subject to Receipt of Regulatory Approvals, that if not Obtained, Could Delay or Prevent Consummation of the Proposed Transaction and Could Disrupt the Business of Kaplan University During the Pendency of the Transaction</w:t>
      </w:r>
    </w:p>
    <w:p>
      <w:pPr>
        <w:spacing w:after="0" w:line="6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On April 27, 2017, Kaplan Higher Education and Iowa College Acquisition LLC, (collectively, “Kaplan”), subsidiaries of the Company, entered into an agreement with Purdue University (“Purdue”) to contribute the Kaplan University institution and its institutional assets and operations to a new, non-profit, public-benefit corporation (“New University”) affiliated with Purdue in exchange for an agreement pursuant to which Kaplan will provide key non-academic operations support services to New University for an initial term of 30 years with a buy-out option after six years (collectively, the “Transaction”). Before the proposed Transaction may be consummated, regulatory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19" w:right="259" w:bottom="1440" w:gutter="0" w:footer="0" w:header="0"/>
        </w:sectPr>
      </w:pPr>
    </w:p>
    <w:bookmarkStart w:id="30" w:name="page31"/>
    <w:bookmarkEnd w:id="30"/>
    <w:p>
      <w:pPr>
        <w:spacing w:after="0" w:line="221" w:lineRule="auto"/>
        <w:rPr>
          <w:sz w:val="20"/>
          <w:szCs w:val="20"/>
          <w:color w:val="auto"/>
        </w:rPr>
      </w:pPr>
      <w:r>
        <w:rPr>
          <w:rFonts w:ascii="Arial" w:cs="Arial" w:eastAsia="Arial" w:hAnsi="Arial"/>
          <w:sz w:val="18"/>
          <w:szCs w:val="18"/>
          <w:color w:val="auto"/>
        </w:rPr>
        <w:t>approvals, including from the U.S. Department of Education, the Indiana Commission for Higher Education and the Higher Learning Commission of the North Central Association of Colleges and Schools must be obtained and other closing conditions must be satisfied. There can be no assurances that these regulatory approvals will be obtained on the currently contemplated timeline or at all. In addition, as a condition to granting these regulatory approvals, a regulatory authority may require changes to the agreement pursuant to which Kaplan will provide post-closing support services and these changes may negatively impact our financial condition and results of operations. A material delay in obtaining such approvals may create uncertainty or otherwise have negative consequences, including adverse changes in our relationships with our students, vendors and faculty, adverse impacts on employee recruiting and retention efforts, and diversion of management’s attention and internal resources from ongoing business, any of which may materially and adversely affect our financial condition and results of operations. In addition, during the pendency of the transaction, Kaplan will be required to operate its business in the ordinary course of business consistent with past practice and will be restricted from taking certain actions with respect to its business. We cannot predict with certainty whether and when any of the required closing conditions will be satisfied. Whether or not the proposed Transaction is consummated, while it is pending, Kaplan will continue to incur costs, fees, expenses and charges related to the proposed Transaction. Moreover, if the Transaction is consummated, Kaplan may not be able to achieve the expected benefits of the Transaction and may be required to advance amounts to New University, including to fund a $10 million per year priority payment to New University during the first five years following closing.</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Purchases of Equity Securities by the Issuer and Affiliated Purchasers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March 31, 2017, the Company purchased shares of its Class B Common Stock as set forth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260" w:type="dxa"/>
            <w:vAlign w:val="bottom"/>
          </w:tcPr>
          <w:p>
            <w:pPr>
              <w:jc w:val="right"/>
              <w:ind w:right="44"/>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8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4"/>
                <w:szCs w:val="14"/>
                <w:b w:val="1"/>
                <w:bCs w:val="1"/>
                <w:color w:val="auto"/>
              </w:rPr>
              <w:t>Paid per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2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Plan*</w:t>
            </w: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January</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224,276</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February</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750</w:t>
            </w:r>
          </w:p>
        </w:tc>
        <w:tc>
          <w:tcPr>
            <w:tcW w:w="30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526.90</w:t>
            </w: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223,526</w:t>
            </w:r>
          </w:p>
        </w:tc>
      </w:tr>
      <w:tr>
        <w:trPr>
          <w:trHeight w:val="283"/>
        </w:trPr>
        <w:tc>
          <w:tcPr>
            <w:tcW w:w="4800" w:type="dxa"/>
            <w:vAlign w:val="bottom"/>
          </w:tcPr>
          <w:p>
            <w:pPr>
              <w:ind w:left="40"/>
              <w:spacing w:after="0"/>
              <w:rPr>
                <w:sz w:val="20"/>
                <w:szCs w:val="20"/>
                <w:color w:val="auto"/>
              </w:rPr>
            </w:pPr>
            <w:r>
              <w:rPr>
                <w:rFonts w:ascii="Arial" w:cs="Arial" w:eastAsia="Arial" w:hAnsi="Arial"/>
                <w:sz w:val="16"/>
                <w:szCs w:val="16"/>
                <w:color w:val="auto"/>
              </w:rPr>
              <w:t>March</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44"/>
              <w:spacing w:after="0"/>
              <w:rPr>
                <w:sz w:val="20"/>
                <w:szCs w:val="20"/>
                <w:color w:val="auto"/>
              </w:rPr>
            </w:pPr>
            <w:r>
              <w:rPr>
                <w:rFonts w:ascii="Arial" w:cs="Arial" w:eastAsia="Arial" w:hAnsi="Arial"/>
                <w:sz w:val="16"/>
                <w:szCs w:val="16"/>
                <w:color w:val="auto"/>
              </w:rPr>
              <w:t>223,526</w:t>
            </w:r>
          </w:p>
        </w:tc>
      </w:tr>
      <w:tr>
        <w:trPr>
          <w:trHeight w:val="237"/>
        </w:trPr>
        <w:tc>
          <w:tcPr>
            <w:tcW w:w="480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750</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526.90</w:t>
            </w:r>
          </w:p>
        </w:tc>
        <w:tc>
          <w:tcPr>
            <w:tcW w:w="1700" w:type="dxa"/>
            <w:vAlign w:val="bottom"/>
          </w:tcPr>
          <w:p>
            <w:pPr>
              <w:ind w:left="1420"/>
              <w:spacing w:after="0"/>
              <w:rPr>
                <w:sz w:val="20"/>
                <w:szCs w:val="20"/>
                <w:color w:val="auto"/>
              </w:rPr>
            </w:pPr>
            <w:r>
              <w:rPr>
                <w:rFonts w:ascii="Arial" w:cs="Arial" w:eastAsia="Arial" w:hAnsi="Arial"/>
                <w:sz w:val="16"/>
                <w:szCs w:val="16"/>
                <w:color w:val="auto"/>
              </w:rPr>
              <w:t>—</w:t>
            </w:r>
          </w:p>
        </w:tc>
        <w:tc>
          <w:tcPr>
            <w:tcW w:w="2260" w:type="dxa"/>
            <w:vAlign w:val="bottom"/>
          </w:tcPr>
          <w:p>
            <w:pPr>
              <w:spacing w:after="0"/>
              <w:rPr>
                <w:sz w:val="20"/>
                <w:szCs w:val="20"/>
                <w:color w:val="auto"/>
              </w:rPr>
            </w:pPr>
          </w:p>
        </w:tc>
      </w:tr>
    </w:tbl>
    <w:p>
      <w:pPr>
        <w:spacing w:after="0" w:line="170" w:lineRule="exact"/>
        <w:rPr>
          <w:sz w:val="20"/>
          <w:szCs w:val="20"/>
          <w:color w:val="auto"/>
        </w:rPr>
      </w:pPr>
    </w:p>
    <w:p>
      <w:pPr>
        <w:ind w:firstLine="8"/>
        <w:spacing w:after="0" w:line="237" w:lineRule="auto"/>
        <w:tabs>
          <w:tab w:leader="none" w:pos="1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May 14, 2015 the Company’s Board of Directors authorized the Company to purchase, on the open market or otherwise, up to 500,000 shares of its Class B Common Stock. There is no expiration date for that authorization. In the first quarter of 2017, 750 shares were purchased from a recipient of vested awards of restricted shares at market price.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19"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920" w:type="dxa"/>
            <w:vAlign w:val="bottom"/>
          </w:tcPr>
          <w:p>
            <w:pPr>
              <w:ind w:left="180"/>
              <w:spacing w:after="0"/>
              <w:rPr>
                <w:sz w:val="20"/>
                <w:szCs w:val="20"/>
                <w:color w:val="auto"/>
              </w:rPr>
            </w:pPr>
            <w:r>
              <w:rPr>
                <w:rFonts w:ascii="Arial" w:cs="Arial" w:eastAsia="Arial" w:hAnsi="Arial"/>
                <w:sz w:val="16"/>
                <w:szCs w:val="16"/>
                <w:color w:val="auto"/>
              </w:rPr>
              <w:t>3.1</w:t>
            </w:r>
          </w:p>
        </w:tc>
        <w:tc>
          <w:tcPr>
            <w:tcW w:w="10500" w:type="dxa"/>
            <w:vAlign w:val="bottom"/>
          </w:tcPr>
          <w:p>
            <w:pPr>
              <w:ind w:left="16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Amendment, effective November 29, 2013, to the Restated Certificate of Incorporation of the Company (incorporated by reference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to Exhibit 3.1 to the Company’s 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3.3</w:t>
            </w:r>
          </w:p>
        </w:tc>
        <w:tc>
          <w:tcPr>
            <w:tcW w:w="10500" w:type="dxa"/>
            <w:vAlign w:val="bottom"/>
          </w:tcPr>
          <w:p>
            <w:pPr>
              <w:ind w:left="160"/>
              <w:spacing w:after="0"/>
              <w:rPr>
                <w:sz w:val="20"/>
                <w:szCs w:val="20"/>
                <w:color w:val="auto"/>
              </w:rPr>
            </w:pPr>
            <w:r>
              <w:rPr>
                <w:rFonts w:ascii="Arial" w:cs="Arial" w:eastAsia="Arial" w:hAnsi="Arial"/>
                <w:sz w:val="16"/>
                <w:szCs w:val="16"/>
                <w:color w:val="auto"/>
              </w:rPr>
              <w:t>By-Laws of the Company as amended and restated through November 29, 2013 (incorporated by reference to Exhibit 3.2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4.1</w:t>
            </w:r>
          </w:p>
        </w:tc>
        <w:tc>
          <w:tcPr>
            <w:tcW w:w="10500" w:type="dxa"/>
            <w:vAlign w:val="bottom"/>
          </w:tcPr>
          <w:p>
            <w:pPr>
              <w:ind w:left="16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4.2</w:t>
            </w:r>
          </w:p>
        </w:tc>
        <w:tc>
          <w:tcPr>
            <w:tcW w:w="10500" w:type="dxa"/>
            <w:vAlign w:val="bottom"/>
          </w:tcPr>
          <w:p>
            <w:pPr>
              <w:ind w:left="160"/>
              <w:spacing w:after="0"/>
              <w:rPr>
                <w:sz w:val="20"/>
                <w:szCs w:val="20"/>
                <w:color w:val="auto"/>
              </w:rPr>
            </w:pPr>
            <w:r>
              <w:rPr>
                <w:rFonts w:ascii="Arial" w:cs="Arial" w:eastAsia="Arial" w:hAnsi="Arial"/>
                <w:sz w:val="16"/>
                <w:szCs w:val="16"/>
                <w:color w:val="auto"/>
              </w:rPr>
              <w:t>Five Year Credit Agreement, dated as of June 29, 2015, among the Company, and certain of its domestic subsidiaries as guarantors, the</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several lenders from time to time party thereto, Wells Fargo Bank, National Association, as Administrative Agent and JPMorgan Chase Bank,</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N.A., as Syndication Agent. (incorporated by reference to Exhibit 10.1 to the Company’s Current Report on Form 8-K dated June 29, 2015).</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31.1</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31.2</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Section 1350 Certification of the Chief Executive Officer and the Chief Financial Officer.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80" w:right="120" w:hanging="910"/>
        <w:spacing w:after="0" w:line="248" w:lineRule="auto"/>
        <w:tabs>
          <w:tab w:leader="none" w:pos="10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March 31, 2017, formatted in Extensible Business Reporting Language (XBRL): (i) Condensed Consolidated Statements of Operations for the Three Months Ended March 31, 2107 and 2016, (ii) Condensed Consolidated Statements of Comprehensive Income for the Three Months Ended March 31, 2017 and 2016, (iii) Condensed Consolidated Balance Sheets as of March 31, 2017 and December 31, 2016, (iv) Condensed Consolidated Statements of Cash Flows for the Three Months Ended March 31, 2017 and 2016,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7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Furnished herewith.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auto"/>
        </w:rPr>
        <w:t>SIGNATURES</w:t>
      </w:r>
    </w:p>
    <w:p>
      <w:pPr>
        <w:spacing w:after="0" w:line="31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5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61"/>
        </w:trPr>
        <w:tc>
          <w:tcPr>
            <w:tcW w:w="3520" w:type="dxa"/>
            <w:vAlign w:val="bottom"/>
          </w:tcPr>
          <w:p>
            <w:pPr>
              <w:spacing w:after="0"/>
              <w:rPr>
                <w:sz w:val="20"/>
                <w:szCs w:val="20"/>
                <w:color w:val="auto"/>
              </w:rPr>
            </w:pPr>
            <w:r>
              <w:rPr>
                <w:rFonts w:ascii="Arial" w:cs="Arial" w:eastAsia="Arial" w:hAnsi="Arial"/>
                <w:sz w:val="18"/>
                <w:szCs w:val="18"/>
                <w:color w:val="auto"/>
              </w:rPr>
              <w:t>Date: May 3, 2017</w:t>
            </w:r>
          </w:p>
        </w:tc>
        <w:tc>
          <w:tcPr>
            <w:tcW w:w="37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76"/>
        </w:trPr>
        <w:tc>
          <w:tcPr>
            <w:tcW w:w="35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Timothy J. O’Shaughnessy,</w:t>
            </w:r>
          </w:p>
        </w:tc>
      </w:tr>
      <w:tr>
        <w:trPr>
          <w:trHeight w:val="162"/>
        </w:trPr>
        <w:tc>
          <w:tcPr>
            <w:tcW w:w="3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5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59"/>
        </w:trPr>
        <w:tc>
          <w:tcPr>
            <w:tcW w:w="3520" w:type="dxa"/>
            <w:vAlign w:val="bottom"/>
          </w:tcPr>
          <w:p>
            <w:pPr>
              <w:spacing w:after="0"/>
              <w:rPr>
                <w:sz w:val="20"/>
                <w:szCs w:val="20"/>
                <w:color w:val="auto"/>
              </w:rPr>
            </w:pPr>
            <w:r>
              <w:rPr>
                <w:rFonts w:ascii="Arial" w:cs="Arial" w:eastAsia="Arial" w:hAnsi="Arial"/>
                <w:sz w:val="18"/>
                <w:szCs w:val="18"/>
                <w:color w:val="auto"/>
              </w:rPr>
              <w:t>Date: May 3, 2017</w:t>
            </w:r>
          </w:p>
        </w:tc>
        <w:tc>
          <w:tcPr>
            <w:tcW w:w="376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76"/>
        </w:trPr>
        <w:tc>
          <w:tcPr>
            <w:tcW w:w="35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Wallace R. Cooney,</w:t>
            </w:r>
          </w:p>
        </w:tc>
      </w:tr>
      <w:tr>
        <w:trPr>
          <w:trHeight w:val="162"/>
        </w:trPr>
        <w:tc>
          <w:tcPr>
            <w:tcW w:w="35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Senior Vice President-Finance</w:t>
            </w:r>
          </w:p>
        </w:tc>
      </w:tr>
      <w:tr>
        <w:trPr>
          <w:trHeight w:val="190"/>
        </w:trPr>
        <w:tc>
          <w:tcPr>
            <w:tcW w:w="35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20"/>
        </w:trPr>
        <w:tc>
          <w:tcPr>
            <w:tcW w:w="3520" w:type="dxa"/>
            <w:vAlign w:val="bottom"/>
          </w:tcPr>
          <w:p>
            <w:pPr>
              <w:spacing w:after="0"/>
              <w:rPr>
                <w:sz w:val="24"/>
                <w:szCs w:val="24"/>
                <w:color w:val="auto"/>
              </w:rPr>
            </w:pPr>
          </w:p>
        </w:tc>
        <w:tc>
          <w:tcPr>
            <w:tcW w:w="3760" w:type="dxa"/>
            <w:vAlign w:val="bottom"/>
          </w:tcPr>
          <w:p>
            <w:pPr>
              <w:jc w:val="right"/>
              <w:ind w:right="1410"/>
              <w:spacing w:after="0"/>
              <w:rPr>
                <w:sz w:val="20"/>
                <w:szCs w:val="20"/>
                <w:color w:val="auto"/>
              </w:rPr>
            </w:pPr>
            <w:r>
              <w:rPr>
                <w:rFonts w:ascii="Arial" w:cs="Arial" w:eastAsia="Arial" w:hAnsi="Arial"/>
                <w:sz w:val="18"/>
                <w:szCs w:val="18"/>
                <w:color w:val="auto"/>
              </w:rPr>
              <w:t>29</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863"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2017</w:t>
      </w:r>
    </w:p>
    <w:p>
      <w:pPr>
        <w:sectPr>
          <w:pgSz w:w="11900" w:h="16838" w:orient="portrait"/>
          <w:cols w:equalWidth="0" w:num="1">
            <w:col w:w="11420"/>
          </w:cols>
          <w:pgMar w:left="240" w:top="382"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Senior Vice President-Finance (principal financial officer) of Graham Holdings Company (the “Registrant”), certify that:</w:t>
      </w:r>
    </w:p>
    <w:p>
      <w:pPr>
        <w:spacing w:after="0" w:line="198" w:lineRule="exact"/>
        <w:rPr>
          <w:sz w:val="20"/>
          <w:szCs w:val="20"/>
          <w:color w:val="auto"/>
        </w:rPr>
      </w:pPr>
    </w:p>
    <w:p>
      <w:pPr>
        <w:ind w:left="800" w:hanging="46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11"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2017</w:t>
      </w:r>
    </w:p>
    <w:p>
      <w:pPr>
        <w:sectPr>
          <w:pgSz w:w="11900" w:h="16838" w:orient="portrait"/>
          <w:cols w:equalWidth="0" w:num="1">
            <w:col w:w="11420"/>
          </w:cols>
          <w:pgMar w:left="240" w:top="38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March 31, 2017 (the “Report”), Timothy J. O'Shaughnessy, Chief Executive Officer of the Company and Wallace R. Cooney, Senior Vice President-Finance of the Company, each hereby certifies, pursuant to 18 U.S.C. Section 1350, as adopted pursuant to Section 906 of the Sarbanes-Oxley Act of 2002, that:</w:t>
      </w:r>
    </w:p>
    <w:p>
      <w:pPr>
        <w:spacing w:after="0" w:line="15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2017</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55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 2017</w:t>
      </w:r>
    </w:p>
    <w:sectPr>
      <w:pgSz w:w="11900" w:h="16838" w:orient="portrait"/>
      <w:cols w:equalWidth="0" w:num="1">
        <w:col w:w="11420"/>
      </w:cols>
      <w:pgMar w:left="240" w:top="3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emdash "/>
      <w:numFmt w:val="bullet"/>
      <w:start w:val="1"/>
    </w:lvl>
  </w:abstractNum>
  <w:abstractNum w:abstractNumId="4">
    <w:nsid w:val="109CF92E"/>
    <w:multiLevelType w:val="hybridMultilevel"/>
    <w:lvl w:ilvl="0">
      <w:lvlJc w:val="left"/>
      <w:lvlText w:val="%1"/>
      <w:numFmt w:val="decimal"/>
      <w:start w:val="120"/>
    </w:lvl>
  </w:abstractNum>
  <w:abstractNum w:abstractNumId="5">
    <w:nsid w:val="DED7263"/>
    <w:multiLevelType w:val="hybridMultilevel"/>
    <w:lvl w:ilvl="0">
      <w:lvlJc w:val="left"/>
      <w:lvlText w:val="(%1)"/>
      <w:numFmt w:val="decimal"/>
      <w:start w:val="124"/>
    </w:lvl>
  </w:abstractNum>
  <w:abstractNum w:abstractNumId="6">
    <w:nsid w:val="7FDCC233"/>
    <w:multiLevelType w:val="hybridMultilevel"/>
    <w:lvl w:ilvl="0">
      <w:lvlJc w:val="left"/>
      <w:lvlText w:val="\emdash "/>
      <w:numFmt w:val="bullet"/>
      <w:start w:val="1"/>
    </w:lvl>
  </w:abstractNum>
  <w:abstractNum w:abstractNumId="7">
    <w:nsid w:val="1BEFD79F"/>
    <w:multiLevelType w:val="hybridMultilevel"/>
    <w:lvl w:ilvl="0">
      <w:lvlJc w:val="left"/>
      <w:lvlText w:val="(%1)"/>
      <w:numFmt w:val="lowerRoman"/>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342"/>
    </w:lvl>
  </w:abstractNum>
  <w:abstractNum w:abstractNumId="12">
    <w:nsid w:val="519B500D"/>
    <w:multiLevelType w:val="hybridMultilevel"/>
    <w:lvl w:ilvl="0">
      <w:lvlJc w:val="left"/>
      <w:lvlText w:val="(%1)"/>
      <w:numFmt w:val="decimal"/>
      <w:start w:val="537"/>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lvl w:ilvl="1">
      <w:lvlJc w:val="left"/>
      <w:lvlText w:val="%2"/>
      <w:numFmt w:val="decimal"/>
      <w:start w:val="10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2019-12-29T07:17:52Z</dcterms:created>
  <dcterms:modified xsi:type="dcterms:W3CDTF">2019-12-29T07:17:52Z</dcterms:modified>
</cp:coreProperties>
</file>