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135255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79"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6"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86" w:lineRule="exact"/>
        <w:rPr>
          <w:sz w:val="24"/>
          <w:szCs w:val="24"/>
          <w:color w:val="auto"/>
        </w:rPr>
      </w:pPr>
    </w:p>
    <w:tbl>
      <w:tblPr>
        <w:tblLayout w:type="fixed"/>
        <w:tblInd w:w="1160" w:type="dxa"/>
        <w:tblCellMar>
          <w:top w:w="0" w:type="dxa"/>
          <w:left w:w="0" w:type="dxa"/>
          <w:bottom w:w="0" w:type="dxa"/>
          <w:right w:w="0" w:type="dxa"/>
        </w:tblCellMar>
      </w:tblPr>
      <w:tr>
        <w:trPr>
          <w:trHeight w:val="239"/>
        </w:trPr>
        <w:tc>
          <w:tcPr>
            <w:tcW w:w="6580" w:type="dxa"/>
            <w:vAlign w:val="bottom"/>
          </w:tcPr>
          <w:p>
            <w:pPr>
              <w:jc w:val="center"/>
              <w:ind w:right="310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580" w:type="dxa"/>
            <w:vAlign w:val="bottom"/>
          </w:tcPr>
          <w:p>
            <w:pPr>
              <w:jc w:val="center"/>
              <w:ind w:right="308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580" w:type="dxa"/>
            <w:vAlign w:val="bottom"/>
          </w:tcPr>
          <w:p>
            <w:pPr>
              <w:jc w:val="center"/>
              <w:ind w:right="308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580" w:type="dxa"/>
            <w:vAlign w:val="bottom"/>
          </w:tcPr>
          <w:p>
            <w:pPr>
              <w:jc w:val="center"/>
              <w:ind w:right="3100"/>
              <w:spacing w:after="0"/>
              <w:rPr>
                <w:sz w:val="20"/>
                <w:szCs w:val="20"/>
                <w:color w:val="auto"/>
              </w:rPr>
            </w:pPr>
            <w:r>
              <w:rPr>
                <w:rFonts w:ascii="Arial" w:cs="Arial" w:eastAsia="Arial" w:hAnsi="Arial"/>
                <w:sz w:val="18"/>
                <w:szCs w:val="18"/>
                <w:b w:val="1"/>
                <w:bCs w:val="1"/>
                <w:color w:val="auto"/>
                <w:w w:val="99"/>
              </w:rPr>
              <w:t>1150 15th Street, N.W. Washington, D.C.</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20071</w:t>
            </w:r>
          </w:p>
        </w:tc>
      </w:tr>
      <w:tr>
        <w:trPr>
          <w:trHeight w:val="218"/>
        </w:trPr>
        <w:tc>
          <w:tcPr>
            <w:tcW w:w="6580" w:type="dxa"/>
            <w:vAlign w:val="bottom"/>
          </w:tcPr>
          <w:p>
            <w:pPr>
              <w:jc w:val="center"/>
              <w:ind w:right="310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377"/>
        </w:trPr>
        <w:tc>
          <w:tcPr>
            <w:tcW w:w="6580" w:type="dxa"/>
            <w:vAlign w:val="bottom"/>
          </w:tcPr>
          <w:p>
            <w:pPr>
              <w:jc w:val="right"/>
              <w:ind w:right="1340"/>
              <w:spacing w:after="0"/>
              <w:rPr>
                <w:sz w:val="20"/>
                <w:szCs w:val="20"/>
                <w:color w:val="auto"/>
              </w:rPr>
            </w:pPr>
            <w:r>
              <w:rPr>
                <w:rFonts w:ascii="Arial" w:cs="Arial" w:eastAsia="Arial" w:hAnsi="Arial"/>
                <w:sz w:val="18"/>
                <w:szCs w:val="18"/>
                <w:b w:val="1"/>
                <w:bCs w:val="1"/>
                <w:color w:val="auto"/>
              </w:rPr>
              <w:t>(202) 334-6000</w:t>
            </w:r>
          </w:p>
        </w:tc>
        <w:tc>
          <w:tcPr>
            <w:tcW w:w="1440" w:type="dxa"/>
            <w:vAlign w:val="bottom"/>
          </w:tcPr>
          <w:p>
            <w:pPr>
              <w:spacing w:after="0"/>
              <w:rPr>
                <w:sz w:val="24"/>
                <w:szCs w:val="24"/>
                <w:color w:val="auto"/>
              </w:rPr>
            </w:pPr>
          </w:p>
        </w:tc>
      </w:tr>
      <w:tr>
        <w:trPr>
          <w:trHeight w:val="190"/>
        </w:trPr>
        <w:tc>
          <w:tcPr>
            <w:tcW w:w="6580" w:type="dxa"/>
            <w:vAlign w:val="bottom"/>
          </w:tcPr>
          <w:p>
            <w:pPr>
              <w:jc w:val="center"/>
              <w:ind w:left="24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15" w:lineRule="exact"/>
        <w:rPr>
          <w:sz w:val="24"/>
          <w:szCs w:val="24"/>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3"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3" w:lineRule="exact"/>
        <w:rPr>
          <w:sz w:val="24"/>
          <w:szCs w:val="24"/>
          <w:color w:val="auto"/>
        </w:rPr>
      </w:pPr>
    </w:p>
    <w:p>
      <w:pPr>
        <w:ind w:right="34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74" w:lineRule="exact"/>
        <w:rPr>
          <w:sz w:val="24"/>
          <w:szCs w:val="24"/>
          <w:color w:val="auto"/>
        </w:rPr>
      </w:pPr>
    </w:p>
    <w:p>
      <w:pPr>
        <w:ind w:left="40"/>
        <w:spacing w:after="0" w:line="189" w:lineRule="exact"/>
        <w:tabs>
          <w:tab w:leader="none" w:pos="2560" w:val="left"/>
          <w:tab w:leader="none" w:pos="5060" w:val="left"/>
          <w:tab w:leader="none" w:pos="5520" w:val="left"/>
          <w:tab w:leader="none" w:pos="806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spacing w:after="0" w:line="207" w:lineRule="exact"/>
        <w:tabs>
          <w:tab w:leader="none" w:pos="8260" w:val="left"/>
          <w:tab w:leader="none" w:pos="9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w:t>
        <w:tab/>
        <w:t xml:space="preserve">No </w:t>
      </w:r>
      <w:r>
        <w:rPr>
          <w:rFonts w:ascii="MS PGothic" w:cs="MS PGothic" w:eastAsia="MS PGothic" w:hAnsi="MS PGothic"/>
          <w:sz w:val="18"/>
          <w:szCs w:val="18"/>
          <w:color w:val="auto"/>
        </w:rPr>
        <w:t>☒</w:t>
      </w:r>
      <w:r>
        <w:rPr>
          <w:rFonts w:ascii="Arial" w:cs="Arial" w:eastAsia="Arial" w:hAnsi="Arial"/>
          <w:sz w:val="16"/>
          <w:szCs w:val="16"/>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May 2, 2014:</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1,169,073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6,236,106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54"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10400" w:type="dxa"/>
            <w:vAlign w:val="bottom"/>
          </w:tcPr>
          <w:p>
            <w:pPr>
              <w:ind w:left="2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a. Condensed Consolidated Statements of Operations (Unaudited) for the Three Months Ended March 31, 2014 and 2013</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b. Condensed Consolidated Statements of Comprehensive Income (Unaudited) for the Three Months Ended March 31, 2014 and 2013</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c. Condensed Consolidated Balance Sheets at March 31, 2014 (Unaudited) and December 31, 2013</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d. Condensed Consolidated Statements of Cash Flows (Unaudited) for the Three Months Ended March 31, 2014 and 2013</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10400" w:type="dxa"/>
            <w:vAlign w:val="bottom"/>
          </w:tcPr>
          <w:p>
            <w:pPr>
              <w:ind w:left="2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19</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10400" w:type="dxa"/>
            <w:vAlign w:val="bottom"/>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25</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4.</w:t>
            </w:r>
          </w:p>
        </w:tc>
        <w:tc>
          <w:tcPr>
            <w:tcW w:w="10400" w:type="dxa"/>
            <w:vAlign w:val="bottom"/>
          </w:tcPr>
          <w:p>
            <w:pPr>
              <w:ind w:left="2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25</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80" w:type="dxa"/>
            <w:vAlign w:val="bottom"/>
          </w:tcPr>
          <w:p>
            <w:pPr>
              <w:spacing w:after="0"/>
              <w:rPr>
                <w:sz w:val="20"/>
                <w:szCs w:val="20"/>
                <w:color w:val="auto"/>
              </w:rPr>
            </w:pPr>
            <w:r>
              <w:rPr>
                <w:rFonts w:ascii="Arial" w:cs="Arial" w:eastAsia="Arial" w:hAnsi="Arial"/>
                <w:sz w:val="16"/>
                <w:szCs w:val="16"/>
                <w:color w:val="auto"/>
              </w:rPr>
              <w:t>Item 6.</w:t>
            </w:r>
          </w:p>
        </w:tc>
        <w:tc>
          <w:tcPr>
            <w:tcW w:w="10400" w:type="dxa"/>
            <w:vAlign w:val="bottom"/>
          </w:tcPr>
          <w:p>
            <w:pPr>
              <w:ind w:left="2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26</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w w:val="99"/>
              </w:rPr>
              <w:t>Signatures</w:t>
            </w:r>
          </w:p>
        </w:tc>
        <w:tc>
          <w:tcPr>
            <w:tcW w:w="104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27</w:t>
              </w:r>
            </w:hyperlink>
          </w:p>
        </w:tc>
      </w:tr>
    </w:tbl>
    <w:p>
      <w:pPr>
        <w:sectPr>
          <w:pgSz w:w="11900" w:h="16838" w:orient="portrait"/>
          <w:cols w:equalWidth="0" w:num="1">
            <w:col w:w="11360"/>
          </w:cols>
          <w:pgMar w:left="280" w:top="57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3"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526,174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527,815</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191,128</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186,790</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78,247</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69,122</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45,012</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36,865</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840,561</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820,592</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379,069</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376,545</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325,637</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334,224</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53,245</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58,959</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3,081</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3,717</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761,032</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773,445</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79,529</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47,147</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4,052</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599</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(8,820)</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(8,960)</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133,273</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208,633</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38,032</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77,400</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15,800</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3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131,233</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22,232</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1,072</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(16,973)</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132,305</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5,259</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219</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3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132,524</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(426)</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132,098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131,026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21,691</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1,072</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(16,973)</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132,098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17.71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0.14</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67"/>
        </w:trPr>
        <w:tc>
          <w:tcPr>
            <w:tcW w:w="880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17.85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7,275</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80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17.65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0.14</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67"/>
        </w:trPr>
        <w:tc>
          <w:tcPr>
            <w:tcW w:w="880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17.79</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7,352</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7,266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62"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2"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132,305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5,259</w:t>
            </w:r>
          </w:p>
        </w:tc>
        <w:tc>
          <w:tcPr>
            <w:tcW w:w="0" w:type="dxa"/>
            <w:vAlign w:val="bottom"/>
          </w:tcPr>
          <w:p>
            <w:pPr>
              <w:spacing w:after="0"/>
              <w:rPr>
                <w:sz w:val="1"/>
                <w:szCs w:val="1"/>
                <w:color w:val="auto"/>
              </w:rPr>
            </w:pPr>
          </w:p>
        </w:tc>
      </w:tr>
      <w:tr>
        <w:trPr>
          <w:trHeight w:val="270"/>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Before Tax</w:t>
            </w: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Translation adjustments arising during the period</w:t>
            </w:r>
          </w:p>
        </w:tc>
        <w:tc>
          <w:tcPr>
            <w:tcW w:w="3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746</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270"/>
        </w:trPr>
        <w:tc>
          <w:tcPr>
            <w:tcW w:w="8920" w:type="dxa"/>
            <w:vAlign w:val="bottom"/>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Unrealized gains for the period, net</w:t>
            </w:r>
          </w:p>
        </w:tc>
        <w:tc>
          <w:tcPr>
            <w:tcW w:w="3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27,738</w:t>
            </w:r>
          </w:p>
        </w:tc>
        <w:tc>
          <w:tcPr>
            <w:tcW w:w="4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49,078</w:t>
            </w:r>
          </w:p>
        </w:tc>
        <w:tc>
          <w:tcPr>
            <w:tcW w:w="0" w:type="dxa"/>
            <w:vAlign w:val="bottom"/>
          </w:tcPr>
          <w:p>
            <w:pPr>
              <w:spacing w:after="0"/>
              <w:rPr>
                <w:sz w:val="1"/>
                <w:szCs w:val="1"/>
                <w:color w:val="auto"/>
              </w:rPr>
            </w:pPr>
          </w:p>
        </w:tc>
      </w:tr>
      <w:tr>
        <w:trPr>
          <w:trHeight w:val="238"/>
        </w:trPr>
        <w:tc>
          <w:tcPr>
            <w:tcW w:w="8920" w:type="dxa"/>
            <w:vAlign w:val="bottom"/>
          </w:tcPr>
          <w:p>
            <w:pPr>
              <w:ind w:left="280"/>
              <w:spacing w:after="0"/>
              <w:rPr>
                <w:sz w:val="20"/>
                <w:szCs w:val="20"/>
                <w:color w:val="auto"/>
              </w:rPr>
            </w:pPr>
            <w:r>
              <w:rPr>
                <w:rFonts w:ascii="Arial" w:cs="Arial" w:eastAsia="Arial" w:hAnsi="Arial"/>
                <w:sz w:val="16"/>
                <w:szCs w:val="16"/>
                <w:color w:val="auto"/>
              </w:rPr>
              <w:t>Reclassification adjustment for write-down and realization of loss (gain) on sale of available-for-sale securities included</w:t>
            </w:r>
          </w:p>
        </w:tc>
        <w:tc>
          <w:tcPr>
            <w:tcW w:w="380" w:type="dxa"/>
            <w:vAlign w:val="bottom"/>
          </w:tcPr>
          <w:p>
            <w:pPr>
              <w:spacing w:after="0"/>
              <w:rPr>
                <w:sz w:val="20"/>
                <w:szCs w:val="20"/>
                <w:color w:val="auto"/>
              </w:rPr>
            </w:pPr>
          </w:p>
        </w:tc>
        <w:tc>
          <w:tcPr>
            <w:tcW w:w="9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785</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920" w:type="dxa"/>
            <w:vAlign w:val="bottom"/>
          </w:tcPr>
          <w:p>
            <w:pPr>
              <w:ind w:left="440"/>
              <w:spacing w:after="0"/>
              <w:rPr>
                <w:sz w:val="20"/>
                <w:szCs w:val="20"/>
                <w:color w:val="auto"/>
              </w:rPr>
            </w:pPr>
            <w:r>
              <w:rPr>
                <w:rFonts w:ascii="Arial" w:cs="Arial" w:eastAsia="Arial" w:hAnsi="Arial"/>
                <w:sz w:val="16"/>
                <w:szCs w:val="16"/>
                <w:color w:val="auto"/>
              </w:rPr>
              <w:t>in net income</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51"/>
        </w:trPr>
        <w:tc>
          <w:tcPr>
            <w:tcW w:w="8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28,523</w:t>
            </w:r>
          </w:p>
        </w:tc>
        <w:tc>
          <w:tcPr>
            <w:tcW w:w="4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48,527</w:t>
            </w: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1">
            <w:col w:w="11420"/>
          </w:cols>
          <w:pgMar w:left="240" w:top="576" w:right="239" w:bottom="1440" w:gutter="0" w:footer="0" w:header="0"/>
        </w:sect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Settlement gain included in net income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expense related to items of other comprehensive income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loss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39"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900" w:hanging="1235"/>
        <w:spacing w:after="0"/>
        <w:tabs>
          <w:tab w:leader="none" w:pos="19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(437)</w:t>
      </w:r>
    </w:p>
    <w:p>
      <w:pPr>
        <w:spacing w:after="0" w:line="66"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6"/>
          <w:szCs w:val="16"/>
          <w:b w:val="1"/>
          <w:bCs w:val="1"/>
          <w:color w:val="auto"/>
        </w:rPr>
        <w:t>(7,182)</w:t>
      </w:r>
      <w:r>
        <w:rPr>
          <w:sz w:val="20"/>
          <w:szCs w:val="20"/>
          <w:color w:val="auto"/>
        </w:rPr>
        <w:tab/>
      </w:r>
      <w:r>
        <w:rPr>
          <w:rFonts w:ascii="Arial" w:cs="Arial" w:eastAsia="Arial" w:hAnsi="Arial"/>
          <w:sz w:val="16"/>
          <w:szCs w:val="16"/>
          <w:color w:val="auto"/>
        </w:rPr>
        <w:t>2,317</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5"/>
          <w:szCs w:val="15"/>
          <w:color w:val="auto"/>
        </w:rPr>
        <w:t>(3,471)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31750</wp:posOffset>
            </wp:positionV>
            <wp:extent cx="1586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0" w:lineRule="exact"/>
        <w:rPr>
          <w:sz w:val="20"/>
          <w:szCs w:val="20"/>
          <w:color w:val="auto"/>
        </w:rPr>
      </w:pPr>
    </w:p>
    <w:p>
      <w:pPr>
        <w:jc w:val="both"/>
        <w:ind w:left="540"/>
        <w:spacing w:after="0"/>
        <w:tabs>
          <w:tab w:leader="none" w:pos="1760" w:val="left"/>
        </w:tabs>
        <w:rPr>
          <w:sz w:val="20"/>
          <w:szCs w:val="20"/>
          <w:color w:val="auto"/>
        </w:rPr>
      </w:pPr>
      <w:r>
        <w:rPr>
          <w:rFonts w:ascii="Arial" w:cs="Arial" w:eastAsia="Arial" w:hAnsi="Arial"/>
          <w:sz w:val="16"/>
          <w:szCs w:val="16"/>
          <w:b w:val="1"/>
          <w:bCs w:val="1"/>
          <w:color w:val="auto"/>
        </w:rPr>
        <w:t>(7,284)</w:t>
      </w:r>
      <w:r>
        <w:rPr>
          <w:sz w:val="20"/>
          <w:szCs w:val="20"/>
          <w:color w:val="auto"/>
        </w:rPr>
        <w:tab/>
      </w:r>
      <w:r>
        <w:rPr>
          <w:rFonts w:ascii="Arial" w:cs="Arial" w:eastAsia="Arial" w:hAnsi="Arial"/>
          <w:sz w:val="16"/>
          <w:szCs w:val="16"/>
          <w:color w:val="auto"/>
        </w:rPr>
        <w:t>(1,591)</w:t>
      </w:r>
    </w:p>
    <w:p>
      <w:pPr>
        <w:spacing w:after="0" w:line="106" w:lineRule="exact"/>
        <w:rPr>
          <w:sz w:val="20"/>
          <w:szCs w:val="20"/>
          <w:color w:val="auto"/>
        </w:rPr>
      </w:pPr>
    </w:p>
    <w:p>
      <w:pPr>
        <w:ind w:left="2060" w:hanging="1341"/>
        <w:spacing w:after="0"/>
        <w:tabs>
          <w:tab w:leader="none" w:pos="20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30</w:t>
      </w:r>
    </w:p>
    <w:p>
      <w:pPr>
        <w:spacing w:after="0" w:line="79"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22,157</w:t>
      </w:r>
      <w:r>
        <w:rPr>
          <w:rFonts w:ascii="Arial" w:cs="Arial" w:eastAsia="Arial" w:hAnsi="Arial"/>
          <w:sz w:val="16"/>
          <w:szCs w:val="16"/>
          <w:color w:val="auto"/>
        </w:rPr>
        <w:t>42,775</w:t>
      </w:r>
    </w:p>
    <w:p>
      <w:pPr>
        <w:spacing w:after="0" w:line="86" w:lineRule="exact"/>
        <w:rPr>
          <w:rFonts w:ascii="Arial" w:cs="Arial" w:eastAsia="Arial" w:hAnsi="Arial"/>
          <w:sz w:val="16"/>
          <w:szCs w:val="16"/>
          <w:b w:val="1"/>
          <w:bCs w:val="1"/>
          <w:color w:val="auto"/>
        </w:rPr>
      </w:pPr>
    </w:p>
    <w:p>
      <w:pPr>
        <w:ind w:left="5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(8,566)</w:t>
      </w:r>
      <w:r>
        <w:rPr>
          <w:rFonts w:ascii="Arial" w:cs="Arial" w:eastAsia="Arial" w:hAnsi="Arial"/>
          <w:sz w:val="16"/>
          <w:szCs w:val="16"/>
          <w:color w:val="auto"/>
        </w:rPr>
        <w:t>(18,787)</w:t>
      </w:r>
    </w:p>
    <w:p>
      <w:pPr>
        <w:spacing w:after="0" w:line="99"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13,591</w:t>
      </w:r>
      <w:r>
        <w:rPr>
          <w:rFonts w:ascii="Arial" w:cs="Arial" w:eastAsia="Arial" w:hAnsi="Arial"/>
          <w:sz w:val="16"/>
          <w:szCs w:val="16"/>
          <w:color w:val="auto"/>
        </w:rPr>
        <w:t>23,988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31750</wp:posOffset>
            </wp:positionV>
            <wp:extent cx="1586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-147320</wp:posOffset>
            </wp:positionV>
            <wp:extent cx="1586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-499110</wp:posOffset>
            </wp:positionV>
            <wp:extent cx="1586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0"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6"/>
          <w:szCs w:val="16"/>
          <w:b w:val="1"/>
          <w:bCs w:val="1"/>
          <w:color w:val="auto"/>
        </w:rPr>
        <w:t>145,896</w:t>
      </w:r>
      <w:r>
        <w:rPr>
          <w:sz w:val="20"/>
          <w:szCs w:val="20"/>
          <w:color w:val="auto"/>
        </w:rPr>
        <w:tab/>
      </w:r>
      <w:r>
        <w:rPr>
          <w:rFonts w:ascii="Arial" w:cs="Arial" w:eastAsia="Arial" w:hAnsi="Arial"/>
          <w:sz w:val="16"/>
          <w:szCs w:val="16"/>
          <w:color w:val="auto"/>
        </w:rPr>
        <w:t>29,247</w:t>
      </w:r>
    </w:p>
    <w:p>
      <w:pPr>
        <w:spacing w:after="0" w:line="106" w:lineRule="exact"/>
        <w:rPr>
          <w:sz w:val="20"/>
          <w:szCs w:val="20"/>
          <w:color w:val="auto"/>
        </w:rPr>
      </w:pPr>
    </w:p>
    <w:p>
      <w:pPr>
        <w:ind w:left="1900" w:hanging="1181"/>
        <w:spacing w:after="0"/>
        <w:tabs>
          <w:tab w:leader="none" w:pos="19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(118)</w:t>
      </w:r>
    </w:p>
    <w:p>
      <w:pPr>
        <w:spacing w:after="0" w:line="7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146,115   </w:t>
      </w:r>
      <w:r>
        <w:rPr>
          <w:rFonts w:ascii="Arial" w:cs="Arial" w:eastAsia="Arial" w:hAnsi="Arial"/>
          <w:sz w:val="16"/>
          <w:szCs w:val="16"/>
          <w:color w:val="auto"/>
        </w:rPr>
        <w:t>$29,129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31750</wp:posOffset>
            </wp:positionV>
            <wp:extent cx="1586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48895</wp:posOffset>
            </wp:positionV>
            <wp:extent cx="15862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-147320</wp:posOffset>
            </wp:positionV>
            <wp:extent cx="15862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ectPr>
          <w:pgSz w:w="11900" w:h="16838" w:orient="portrait"/>
          <w:cols w:equalWidth="0" w:num="2">
            <w:col w:w="8360" w:space="720"/>
            <w:col w:w="2340"/>
          </w:cols>
          <w:pgMar w:left="240" w:top="576" w:right="239" w:bottom="1440" w:gutter="0" w:footer="0" w:header="0"/>
          <w:type w:val="continuous"/>
        </w:sectPr>
      </w:pPr>
    </w:p>
    <w:bookmarkStart w:id="4" w:name="page5"/>
    <w:bookmarkEnd w:id="4"/>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642,833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569,719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52,035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83,769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645,594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522,318</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406,293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428,653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3,234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80,431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77,013</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Current assets held for sale</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1,830,817</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1,702,387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845,868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927,542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20,953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15,754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1,241,949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1,288,622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519,128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541,278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36,494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39,588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1,250,658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1,245,505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61,383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50,370</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Noncurrent Assets Held for Sale</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113,312</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5,920,562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5,811,046</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393,962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505,699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55,278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70,447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58,411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393,289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366,831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19,051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49,389</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981,416</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934,109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35,709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36,219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207,346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211,526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84,420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86,000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779,803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778,735</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403,160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447,608</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2,491,854</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2,494,197</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5,579</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5,896</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Preferred Stock</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10,665</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10,665</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289,402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288,129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4,877,200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4,782,777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net of tax</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25,759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25,013</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190,776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173,663</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497,075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501,446</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(525)</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(2,487,492)</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(2,490,333)</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Common Stockholders’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3,412,195</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3,300,067</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269</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3,412,464</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3,300,288</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5,920,562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5,811,046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915" w:orient="portrait"/>
          <w:cols w:equalWidth="0" w:num="1">
            <w:col w:w="11400"/>
          </w:cols>
          <w:pgMar w:left="240" w:top="576" w:right="259" w:bottom="0" w:gutter="0" w:footer="0" w:header="0"/>
        </w:sect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915" w:orient="portrait"/>
          <w:cols w:equalWidth="0" w:num="1">
            <w:col w:w="11400"/>
          </w:cols>
          <w:pgMar w:left="240" w:top="576" w:right="25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82"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132,305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5,259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54,124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65,973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3,081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3,717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 expense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(16,600)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4,390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4,490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14,258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(gain) loss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(5,037)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4,614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(4,052)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4,660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loss on sale of property, plant and equipment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(127,259)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accounts receivable, net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23,498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23,020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(112,811)</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(43,487)</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in deferred revenue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25,739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15,529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in income taxes payable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73,236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2,273</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21,536</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(20,837)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77,055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74,018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157,314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3,636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commercial paper, marketable equity securities and other investments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(101,241)</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(36,562)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(36,462)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(5,608)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13,903</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(19,051)</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 of short-term borrowing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(240,121)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(4,196)</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3,311</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(19,032)</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(241,228)</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1,188</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6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73,114</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(211,779)</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569,719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512,431</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642,833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300,652</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cable systems and television broadcasting (through the ownership and operation of six television broadcast stations).</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On April 11, 2014, the Company announced that it had entered into an exchange agreement that will result in the disposal of WPLG, its Miami-based television station. The operating results of WPLG have been presented in income (loss) from discontinued operations, net of tax, for all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16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three months ended March 31, 2014 and 2013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2013.</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Assets Held for Sale </w:t>
      </w:r>
      <w:r>
        <w:rPr>
          <w:rFonts w:ascii="Arial" w:cs="Arial" w:eastAsia="Arial" w:hAnsi="Arial"/>
          <w:sz w:val="18"/>
          <w:szCs w:val="18"/>
          <w:color w:val="auto"/>
        </w:rPr>
        <w:t>– An asset or business is classified as held for sale when (i) management commits to a plan to sell the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(ii) the asset or 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16"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April 2014, the Financial Accounting Standards Board (FASB) issued new</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that modifies the requirements for reporting discontinued operations. The new guidance requires the reporting of the disposal of an entity or component of an entity as discontinued operations if the disposal represents a strategic shift that has or will have a major effect on the entity’s operations and financial results. The new guidance also expands the disclosures for discontinued operations and requires new disclosures related to individually material disposals that do not meet the definition of a discontinued operation. This guidance is effective for interim and fiscal years beginning after December 15, 2014. Early adoption is permitted for disposals that have not been reported in financial statements previously issued or available for issuance. The Company is in the process of evaluating the impact of this new guidance on its condensed consolidated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DISCONTINUED OPERATIONS</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April 11, 2014, the Company and Berkshire Hathaway Inc. announced that they have signed an agreement for Berkshire to acquire a wholly-owned subsidiary of the Company that includes WPLG, the Company's Miami-based television station, a number of Berkshire shares currently held by the Company and an amount of cash in exchange for approximately 1.6 million shares of Graham Holdings Class B common stock currently owned by Berkshire. The transaction is expected to close in the second or third quarter of 2014.</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October 1, 2013, the Company completed the sale of most of its newspaper publishing businesses. The publishing businesses sold include The Washington Post, Express, The Gazette Newspapers, Southern Maryland Newspapers, Greater Washington Publishing, Fairfax County Times and El Tiempo Latino and related websites (Publishing Subsidiaries).</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March 2013, the Company completed the sale of The Herald which resulted in a pre-tax loss of $0.1 million that was recorded in the first quarter of 2013.</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results of operations of WPLG, the Publishing Subsidiaries and The Herald are included in the Company’s Consolidated Statements of Operations as Income (Loss) from Discontinued Operations, Net of Tax, for all periods presented. The assets of WPLG have been classified on the Company’s condensed consolidated balance sheet as assets held for sale as of March 31, 2014. The Company did not reclassify its Statements of Cash Flows or prior Condensed Consolidated Balance Sheets to reflect the various discontinued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the major classes of assets included in assets held for sale at March 31, 2014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481"/>
              <w:spacing w:after="0"/>
              <w:rPr>
                <w:sz w:val="20"/>
                <w:szCs w:val="20"/>
                <w:color w:val="auto"/>
              </w:rPr>
            </w:pPr>
            <w:r>
              <w:rPr>
                <w:rFonts w:ascii="Arial" w:cs="Arial" w:eastAsia="Arial" w:hAnsi="Arial"/>
                <w:sz w:val="14"/>
                <w:szCs w:val="14"/>
                <w:b w:val="1"/>
                <w:bCs w:val="1"/>
                <w:color w:val="auto"/>
              </w:rPr>
              <w:t>As of</w:t>
            </w:r>
          </w:p>
        </w:tc>
      </w:tr>
      <w:tr>
        <w:trPr>
          <w:trHeight w:val="22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March 31, 2014</w:t>
            </w:r>
          </w:p>
        </w:tc>
      </w:tr>
      <w:tr>
        <w:trPr>
          <w:trHeight w:val="236"/>
        </w:trPr>
        <w:tc>
          <w:tcPr>
            <w:tcW w:w="994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397</w:t>
            </w:r>
          </w:p>
        </w:tc>
      </w:tr>
      <w:tr>
        <w:trPr>
          <w:trHeight w:val="240"/>
        </w:trPr>
        <w:tc>
          <w:tcPr>
            <w:tcW w:w="9940" w:type="dxa"/>
            <w:vAlign w:val="bottom"/>
          </w:tcPr>
          <w:p>
            <w:pPr>
              <w:ind w:left="40"/>
              <w:spacing w:after="0"/>
              <w:rPr>
                <w:sz w:val="20"/>
                <w:szCs w:val="20"/>
                <w:color w:val="auto"/>
              </w:rPr>
            </w:pPr>
            <w:r>
              <w:rPr>
                <w:rFonts w:ascii="Arial" w:cs="Arial" w:eastAsia="Arial" w:hAnsi="Arial"/>
                <w:sz w:val="16"/>
                <w:szCs w:val="16"/>
                <w:b w:val="1"/>
                <w:bCs w:val="1"/>
                <w:color w:val="auto"/>
              </w:rPr>
              <w:t>Current Assets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397</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7"/>
        </w:trPr>
        <w:tc>
          <w:tcPr>
            <w:tcW w:w="99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b w:val="1"/>
                <w:bCs w:val="1"/>
                <w:color w:val="auto"/>
              </w:rPr>
              <w:t>30,954</w:t>
            </w:r>
          </w:p>
        </w:tc>
      </w:tr>
      <w:tr>
        <w:trPr>
          <w:trHeight w:val="243"/>
        </w:trPr>
        <w:tc>
          <w:tcPr>
            <w:tcW w:w="9940" w:type="dxa"/>
            <w:vAlign w:val="bottom"/>
          </w:tcPr>
          <w:p>
            <w:pPr>
              <w:ind w:left="40"/>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b w:val="1"/>
                <w:bCs w:val="1"/>
                <w:color w:val="auto"/>
              </w:rPr>
              <w:t>60,206</w:t>
            </w:r>
          </w:p>
        </w:tc>
      </w:tr>
      <w:tr>
        <w:trPr>
          <w:trHeight w:val="243"/>
        </w:trPr>
        <w:tc>
          <w:tcPr>
            <w:tcW w:w="9940" w:type="dxa"/>
            <w:vAlign w:val="bottom"/>
          </w:tcPr>
          <w:p>
            <w:pPr>
              <w:ind w:left="40"/>
              <w:spacing w:after="0"/>
              <w:rPr>
                <w:sz w:val="20"/>
                <w:szCs w:val="20"/>
                <w:color w:val="auto"/>
              </w:rPr>
            </w:pPr>
            <w:r>
              <w:rPr>
                <w:rFonts w:ascii="Arial" w:cs="Arial" w:eastAsia="Arial" w:hAnsi="Arial"/>
                <w:sz w:val="16"/>
                <w:szCs w:val="16"/>
                <w:color w:val="auto"/>
              </w:rPr>
              <w:t>Indefinite-lived intangible assets, net</w:t>
            </w:r>
          </w:p>
        </w:tc>
        <w:tc>
          <w:tcPr>
            <w:tcW w:w="18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b w:val="1"/>
                <w:bCs w:val="1"/>
                <w:color w:val="auto"/>
              </w:rPr>
              <w:t>22,150</w:t>
            </w:r>
          </w:p>
        </w:tc>
      </w:tr>
      <w:tr>
        <w:trPr>
          <w:trHeight w:val="256"/>
        </w:trPr>
        <w:tc>
          <w:tcPr>
            <w:tcW w:w="9940" w:type="dxa"/>
            <w:vAlign w:val="bottom"/>
          </w:tcPr>
          <w:p>
            <w:pPr>
              <w:ind w:left="40"/>
              <w:spacing w:after="0"/>
              <w:rPr>
                <w:sz w:val="20"/>
                <w:szCs w:val="20"/>
                <w:color w:val="auto"/>
              </w:rPr>
            </w:pPr>
            <w:r>
              <w:rPr>
                <w:rFonts w:ascii="Arial" w:cs="Arial" w:eastAsia="Arial" w:hAnsi="Arial"/>
                <w:sz w:val="16"/>
                <w:szCs w:val="16"/>
                <w:color w:val="auto"/>
              </w:rPr>
              <w:t>Deferred charges and other assets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w:t>
            </w:r>
          </w:p>
        </w:tc>
      </w:tr>
      <w:tr>
        <w:trPr>
          <w:trHeight w:val="240"/>
        </w:trPr>
        <w:tc>
          <w:tcPr>
            <w:tcW w:w="9940" w:type="dxa"/>
            <w:vAlign w:val="bottom"/>
          </w:tcPr>
          <w:p>
            <w:pPr>
              <w:ind w:left="40"/>
              <w:spacing w:after="0"/>
              <w:rPr>
                <w:sz w:val="20"/>
                <w:szCs w:val="20"/>
                <w:color w:val="auto"/>
              </w:rPr>
            </w:pPr>
            <w:r>
              <w:rPr>
                <w:rFonts w:ascii="Arial" w:cs="Arial" w:eastAsia="Arial" w:hAnsi="Arial"/>
                <w:sz w:val="16"/>
                <w:szCs w:val="16"/>
                <w:b w:val="1"/>
                <w:bCs w:val="1"/>
                <w:color w:val="auto"/>
              </w:rPr>
              <w:t>Noncurrent Assets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113,312</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In the first quarter of 2014, an after-tax adjustment of $3.0 million was made to reduce the $100.0 million after-tax gain on the sale of the Publishing Subsidiaries previously reported in the fourth quarter of 2013, as a result of changes in estimates related to liabilities retained as part of the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(loss) from discontinued operations, net of tax, is presented below:</w:t>
      </w:r>
    </w:p>
    <w:p>
      <w:pPr>
        <w:spacing w:after="0" w:line="199"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16,274</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141,974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(10,134)</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(168,077)</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6,140</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(26,103)</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Expense (benefit) from income taxes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(9,176)</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Income (Loss) from Discontinued Operations</w:t>
            </w:r>
          </w:p>
        </w:tc>
        <w:tc>
          <w:tcPr>
            <w:tcW w:w="32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4,114</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(16,927)</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Loss on sales of discontinued operations</w:t>
            </w:r>
          </w:p>
        </w:tc>
        <w:tc>
          <w:tcPr>
            <w:tcW w:w="32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(4,737)</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Benefit from income taxes on sales of discontinued operations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(1,695)</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1,072</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62" w:right="239" w:bottom="1440" w:gutter="0" w:footer="0" w:header="0"/>
        </w:sectPr>
      </w:pPr>
    </w:p>
    <w:bookmarkStart w:id="9" w:name="page10"/>
    <w:bookmarkEnd w:id="9"/>
    <w:p>
      <w:pPr>
        <w:ind w:right="160"/>
        <w:spacing w:after="0" w:line="235" w:lineRule="auto"/>
        <w:rPr>
          <w:sz w:val="20"/>
          <w:szCs w:val="20"/>
          <w:color w:val="auto"/>
        </w:rPr>
      </w:pPr>
      <w:r>
        <w:rPr>
          <w:rFonts w:ascii="Arial" w:cs="Arial" w:eastAsia="Arial" w:hAnsi="Arial"/>
          <w:sz w:val="18"/>
          <w:szCs w:val="18"/>
          <w:color w:val="auto"/>
        </w:rPr>
        <w:t>The following table summarizes the 2013 quarterly operating results of the Company following the reclassification of the operations discussed above as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39"/>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140" w:type="dxa"/>
            <w:vAlign w:val="bottom"/>
          </w:tcPr>
          <w:p>
            <w:pPr>
              <w:jc w:val="right"/>
              <w:ind w:right="359"/>
              <w:spacing w:after="0"/>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4"/>
                <w:szCs w:val="14"/>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200" w:type="dxa"/>
            <w:vAlign w:val="bottom"/>
          </w:tcPr>
          <w:p>
            <w:pPr>
              <w:jc w:val="right"/>
              <w:ind w:right="15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7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527,815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548,230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546,452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555,011</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2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186,790</w:t>
            </w:r>
          </w:p>
        </w:tc>
        <w:tc>
          <w:tcPr>
            <w:tcW w:w="34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192,273</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190,302</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186,297</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2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69,122</w:t>
            </w:r>
          </w:p>
        </w:tc>
        <w:tc>
          <w:tcPr>
            <w:tcW w:w="34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79,898</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73,549</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87,692</w:t>
            </w:r>
          </w:p>
        </w:tc>
        <w:tc>
          <w:tcPr>
            <w:tcW w:w="0" w:type="dxa"/>
            <w:vAlign w:val="bottom"/>
          </w:tcPr>
          <w:p>
            <w:pPr>
              <w:spacing w:after="0"/>
              <w:rPr>
                <w:sz w:val="1"/>
                <w:szCs w:val="1"/>
                <w:color w:val="auto"/>
              </w:rPr>
            </w:pP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36,865</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50,103</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48,651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42,635</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820,592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870,504</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858,954</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871,635</w:t>
            </w:r>
          </w:p>
        </w:tc>
        <w:tc>
          <w:tcPr>
            <w:tcW w:w="0" w:type="dxa"/>
            <w:vAlign w:val="bottom"/>
          </w:tcPr>
          <w:p>
            <w:pPr>
              <w:spacing w:after="0"/>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2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376,545</w:t>
            </w:r>
          </w:p>
        </w:tc>
        <w:tc>
          <w:tcPr>
            <w:tcW w:w="34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394,841</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395,436</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375,876</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334,224</w:t>
            </w:r>
          </w:p>
        </w:tc>
        <w:tc>
          <w:tcPr>
            <w:tcW w:w="34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319,170</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327,560</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332,207</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58,959</w:t>
            </w:r>
          </w:p>
        </w:tc>
        <w:tc>
          <w:tcPr>
            <w:tcW w:w="34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56,879</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54,705</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58,954</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3,717</w:t>
            </w:r>
          </w:p>
        </w:tc>
        <w:tc>
          <w:tcPr>
            <w:tcW w:w="34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3,313</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2,837</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773,445</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774,203</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780,538</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774,018</w:t>
            </w:r>
          </w:p>
        </w:tc>
        <w:tc>
          <w:tcPr>
            <w:tcW w:w="0" w:type="dxa"/>
            <w:vAlign w:val="bottom"/>
          </w:tcPr>
          <w:p>
            <w:pPr>
              <w:spacing w:after="0"/>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2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47,147</w:t>
            </w:r>
          </w:p>
        </w:tc>
        <w:tc>
          <w:tcPr>
            <w:tcW w:w="3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96,301</w:t>
            </w:r>
          </w:p>
        </w:tc>
        <w:tc>
          <w:tcPr>
            <w:tcW w:w="22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78,416</w:t>
            </w:r>
          </w:p>
        </w:tc>
        <w:tc>
          <w:tcPr>
            <w:tcW w:w="2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97,617</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3,418</w:t>
            </w:r>
          </w:p>
        </w:tc>
        <w:tc>
          <w:tcPr>
            <w:tcW w:w="34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3,868</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5,892</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510</w:t>
            </w:r>
          </w:p>
        </w:tc>
        <w:tc>
          <w:tcPr>
            <w:tcW w:w="34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522</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642</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(8,960)</w:t>
            </w: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(9,048)</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(9,221)</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(8,838)</w:t>
            </w:r>
          </w:p>
        </w:tc>
        <w:tc>
          <w:tcPr>
            <w:tcW w:w="0" w:type="dxa"/>
            <w:vAlign w:val="bottom"/>
          </w:tcPr>
          <w:p>
            <w:pPr>
              <w:spacing w:after="0"/>
              <w:rPr>
                <w:sz w:val="1"/>
                <w:szCs w:val="1"/>
                <w:color w:val="auto"/>
              </w:rPr>
            </w:pP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(4,083)</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(12,858)</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8,110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w:t>
            </w:r>
          </w:p>
        </w:tc>
        <w:tc>
          <w:tcPr>
            <w:tcW w:w="0" w:type="dxa"/>
            <w:vAlign w:val="bottom"/>
          </w:tcPr>
          <w:p>
            <w:pPr>
              <w:spacing w:after="0"/>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38,032</w:t>
            </w:r>
          </w:p>
        </w:tc>
        <w:tc>
          <w:tcPr>
            <w:tcW w:w="3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78,785</w:t>
            </w:r>
          </w:p>
        </w:tc>
        <w:tc>
          <w:tcPr>
            <w:tcW w:w="22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83,839</w:t>
            </w:r>
          </w:p>
        </w:tc>
        <w:tc>
          <w:tcPr>
            <w:tcW w:w="2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74,486</w:t>
            </w:r>
          </w:p>
        </w:tc>
        <w:tc>
          <w:tcPr>
            <w:tcW w:w="0" w:type="dxa"/>
            <w:vAlign w:val="bottom"/>
          </w:tcPr>
          <w:p>
            <w:pPr>
              <w:spacing w:after="0"/>
              <w:rPr>
                <w:sz w:val="1"/>
                <w:szCs w:val="1"/>
                <w:color w:val="auto"/>
              </w:rPr>
            </w:pP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15,800</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31,700</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29,900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24,100</w:t>
            </w:r>
          </w:p>
        </w:tc>
        <w:tc>
          <w:tcPr>
            <w:tcW w:w="0" w:type="dxa"/>
            <w:vAlign w:val="bottom"/>
          </w:tcPr>
          <w:p>
            <w:pPr>
              <w:spacing w:after="0"/>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22,232</w:t>
            </w:r>
          </w:p>
        </w:tc>
        <w:tc>
          <w:tcPr>
            <w:tcW w:w="3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47,085</w:t>
            </w:r>
          </w:p>
        </w:tc>
        <w:tc>
          <w:tcPr>
            <w:tcW w:w="22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53,939</w:t>
            </w:r>
          </w:p>
        </w:tc>
        <w:tc>
          <w:tcPr>
            <w:tcW w:w="2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50,386</w:t>
            </w:r>
          </w:p>
        </w:tc>
        <w:tc>
          <w:tcPr>
            <w:tcW w:w="0" w:type="dxa"/>
            <w:vAlign w:val="bottom"/>
          </w:tcPr>
          <w:p>
            <w:pPr>
              <w:spacing w:after="0"/>
              <w:rPr>
                <w:sz w:val="1"/>
                <w:szCs w:val="1"/>
                <w:color w:val="auto"/>
              </w:rPr>
            </w:pP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(16,973)</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(1,951)</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106,142</w:t>
            </w:r>
          </w:p>
        </w:tc>
        <w:tc>
          <w:tcPr>
            <w:tcW w:w="0" w:type="dxa"/>
            <w:vAlign w:val="bottom"/>
          </w:tcPr>
          <w:p>
            <w:pPr>
              <w:spacing w:after="0"/>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5,259</w:t>
            </w:r>
          </w:p>
        </w:tc>
        <w:tc>
          <w:tcPr>
            <w:tcW w:w="3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45,134</w:t>
            </w:r>
          </w:p>
        </w:tc>
        <w:tc>
          <w:tcPr>
            <w:tcW w:w="22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30,424</w:t>
            </w:r>
          </w:p>
        </w:tc>
        <w:tc>
          <w:tcPr>
            <w:tcW w:w="2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156,528</w:t>
            </w:r>
          </w:p>
        </w:tc>
        <w:tc>
          <w:tcPr>
            <w:tcW w:w="0" w:type="dxa"/>
            <w:vAlign w:val="bottom"/>
          </w:tcPr>
          <w:p>
            <w:pPr>
              <w:spacing w:after="0"/>
              <w:rPr>
                <w:sz w:val="1"/>
                <w:szCs w:val="1"/>
                <w:color w:val="auto"/>
              </w:rPr>
            </w:pP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5,162</w:t>
            </w:r>
          </w:p>
        </w:tc>
        <w:tc>
          <w:tcPr>
            <w:tcW w:w="3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44,881</w:t>
            </w:r>
          </w:p>
        </w:tc>
        <w:tc>
          <w:tcPr>
            <w:tcW w:w="22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30,349</w:t>
            </w:r>
          </w:p>
        </w:tc>
        <w:tc>
          <w:tcPr>
            <w:tcW w:w="2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120"/>
              <w:spacing w:after="0"/>
              <w:rPr>
                <w:sz w:val="20"/>
                <w:szCs w:val="20"/>
                <w:color w:val="auto"/>
              </w:rPr>
            </w:pPr>
            <w:r>
              <w:rPr>
                <w:rFonts w:ascii="Arial" w:cs="Arial" w:eastAsia="Arial" w:hAnsi="Arial"/>
                <w:sz w:val="16"/>
                <w:szCs w:val="16"/>
                <w:b w:val="1"/>
                <w:bCs w:val="1"/>
                <w:color w:val="auto"/>
              </w:rPr>
              <w:t>Stockholders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4,718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120"/>
              <w:spacing w:after="0"/>
              <w:rPr>
                <w:sz w:val="20"/>
                <w:szCs w:val="20"/>
                <w:color w:val="auto"/>
              </w:rPr>
            </w:pPr>
            <w:r>
              <w:rPr>
                <w:rFonts w:ascii="Arial" w:cs="Arial" w:eastAsia="Arial" w:hAnsi="Arial"/>
                <w:sz w:val="16"/>
                <w:szCs w:val="16"/>
                <w:b w:val="1"/>
                <w:bCs w:val="1"/>
                <w:color w:val="auto"/>
              </w:rPr>
              <w:t>Stockholders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21,691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46,626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53,659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50,331</w:t>
            </w:r>
          </w:p>
        </w:tc>
        <w:tc>
          <w:tcPr>
            <w:tcW w:w="0" w:type="dxa"/>
            <w:vAlign w:val="bottom"/>
          </w:tcPr>
          <w:p>
            <w:pPr>
              <w:spacing w:after="0"/>
              <w:rPr>
                <w:sz w:val="1"/>
                <w:szCs w:val="1"/>
                <w:color w:val="auto"/>
              </w:rPr>
            </w:pP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(Loss) Income from discontinued operations, net of tax</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(16,973)</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(1,951)</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106,142</w:t>
            </w:r>
          </w:p>
        </w:tc>
        <w:tc>
          <w:tcPr>
            <w:tcW w:w="0" w:type="dxa"/>
            <w:vAlign w:val="bottom"/>
          </w:tcPr>
          <w:p>
            <w:pPr>
              <w:spacing w:after="0"/>
              <w:rPr>
                <w:sz w:val="1"/>
                <w:szCs w:val="1"/>
                <w:color w:val="auto"/>
              </w:rPr>
            </w:pPr>
          </w:p>
        </w:tc>
      </w:tr>
      <w:tr>
        <w:trPr>
          <w:trHeight w:val="204"/>
        </w:trPr>
        <w:tc>
          <w:tcPr>
            <w:tcW w:w="562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color w:val="auto"/>
              </w:rPr>
              <w:t>4,718</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44,675</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30,144</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00"/>
        </w:trPr>
        <w:tc>
          <w:tcPr>
            <w:tcW w:w="5620" w:type="dxa"/>
            <w:vAlign w:val="bottom"/>
          </w:tcPr>
          <w:p>
            <w:pPr>
              <w:ind w:left="360"/>
              <w:spacing w:after="0"/>
              <w:rPr>
                <w:sz w:val="20"/>
                <w:szCs w:val="20"/>
                <w:color w:val="auto"/>
              </w:rPr>
            </w:pPr>
            <w:r>
              <w:rPr>
                <w:rFonts w:ascii="Arial" w:cs="Arial" w:eastAsia="Arial" w:hAnsi="Arial"/>
                <w:sz w:val="16"/>
                <w:szCs w:val="16"/>
                <w:color w:val="auto"/>
              </w:rPr>
              <w:t>stockholders</w:t>
            </w:r>
          </w:p>
        </w:tc>
        <w:tc>
          <w:tcPr>
            <w:tcW w:w="2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120"/>
              <w:spacing w:after="0"/>
              <w:rPr>
                <w:sz w:val="20"/>
                <w:szCs w:val="20"/>
                <w:color w:val="auto"/>
              </w:rPr>
            </w:pPr>
            <w:r>
              <w:rPr>
                <w:rFonts w:ascii="Arial" w:cs="Arial" w:eastAsia="Arial" w:hAnsi="Arial"/>
                <w:sz w:val="16"/>
                <w:szCs w:val="16"/>
                <w:b w:val="1"/>
                <w:bCs w:val="1"/>
                <w:color w:val="auto"/>
              </w:rPr>
              <w:t>Common Stockholders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discontinued operations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67"/>
        </w:trPr>
        <w:tc>
          <w:tcPr>
            <w:tcW w:w="562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0.64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62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discontinued operations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67"/>
        </w:trPr>
        <w:tc>
          <w:tcPr>
            <w:tcW w:w="562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0.64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4" w:right="239" w:bottom="1440" w:gutter="0" w:footer="0" w:header="0"/>
          <w:type w:val="continuous"/>
        </w:sectPr>
      </w:pPr>
    </w:p>
    <w:bookmarkStart w:id="10" w:name="page11"/>
    <w:bookmarkEnd w:id="10"/>
    <w:p>
      <w:pPr>
        <w:ind w:right="300"/>
        <w:spacing w:after="0" w:line="235" w:lineRule="auto"/>
        <w:rPr>
          <w:sz w:val="20"/>
          <w:szCs w:val="20"/>
          <w:color w:val="auto"/>
        </w:rPr>
      </w:pPr>
      <w:r>
        <w:rPr>
          <w:rFonts w:ascii="Arial" w:cs="Arial" w:eastAsia="Arial" w:hAnsi="Arial"/>
          <w:sz w:val="18"/>
          <w:szCs w:val="18"/>
          <w:color w:val="auto"/>
        </w:rPr>
        <w:t>The following table summarizes the annual operating results of the Company following the reclassification of operations discussed above as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2,177,508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2,196,496</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755,662</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732,370</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310,261</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337,621</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178,254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118,063</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3,421,685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3,384,550</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1,542,698</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1,543,083</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1,313,161</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1,318,946</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229,497</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240,313</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13,598</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20,946</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3,250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111,593</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3,102,204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3,234,881</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319,481</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149,669</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13,215</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14,086</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2,264</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(36,067)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(35,944)</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Other expense, net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(5,456)</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275,142</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125,748</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101,500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73,400</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173,642</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52,348</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63,703</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79,839</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237,345</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132,187</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236,865</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132,113</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236,010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131,218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1">
            <w:col w:w="11420"/>
          </w:cols>
          <w:pgMar w:left="240" w:top="584" w:right="239" w:bottom="146" w:gutter="0" w:footer="0" w:header="0"/>
        </w:sectPr>
      </w:pPr>
    </w:p>
    <w:p>
      <w:pPr>
        <w:ind w:left="280"/>
        <w:spacing w:after="0"/>
        <w:rPr>
          <w:sz w:val="20"/>
          <w:szCs w:val="20"/>
          <w:color w:val="auto"/>
        </w:rPr>
      </w:pPr>
      <w:r>
        <w:rPr>
          <w:rFonts w:ascii="Arial" w:cs="Arial" w:eastAsia="Arial" w:hAnsi="Arial"/>
          <w:sz w:val="16"/>
          <w:szCs w:val="16"/>
          <w:color w:val="auto"/>
        </w:rPr>
        <w:t>Income from continuing operations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discontinued operations, net of tax</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06" w:lineRule="exact"/>
        <w:rPr>
          <w:sz w:val="20"/>
          <w:szCs w:val="20"/>
          <w:color w:val="auto"/>
        </w:rPr>
      </w:pPr>
    </w:p>
    <w:p>
      <w:pPr>
        <w:ind w:left="280" w:right="3100"/>
        <w:spacing w:after="0" w:line="366" w:lineRule="auto"/>
        <w:rPr>
          <w:sz w:val="20"/>
          <w:szCs w:val="20"/>
          <w:color w:val="auto"/>
        </w:rPr>
      </w:pPr>
      <w:r>
        <w:rPr>
          <w:rFonts w:ascii="Arial" w:cs="Arial" w:eastAsia="Arial" w:hAnsi="Arial"/>
          <w:sz w:val="16"/>
          <w:szCs w:val="16"/>
          <w:color w:val="auto"/>
        </w:rPr>
        <w:t>Basic income per common share from continuing operations Basic income per common share from discontinued operations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net income per common share</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280" w:right="2980"/>
        <w:spacing w:after="0" w:line="401" w:lineRule="auto"/>
        <w:rPr>
          <w:sz w:val="20"/>
          <w:szCs w:val="20"/>
          <w:color w:val="auto"/>
        </w:rPr>
      </w:pPr>
      <w:r>
        <w:rPr>
          <w:rFonts w:ascii="Arial" w:cs="Arial" w:eastAsia="Arial" w:hAnsi="Arial"/>
          <w:sz w:val="16"/>
          <w:szCs w:val="16"/>
          <w:color w:val="auto"/>
        </w:rPr>
        <w:t>Diluted income per common share from discontinued operations Diluted net income per common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172,307</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51,379</w:t>
            </w:r>
          </w:p>
        </w:tc>
      </w:tr>
      <w:tr>
        <w:trPr>
          <w:trHeight w:val="283"/>
        </w:trPr>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63,703</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79,839</w:t>
            </w:r>
          </w:p>
        </w:tc>
      </w:tr>
      <w:tr>
        <w:trPr>
          <w:trHeight w:val="264"/>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236,010</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131,218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8"/>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23.44</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6.54</w:t>
            </w:r>
          </w:p>
        </w:tc>
      </w:tr>
      <w:tr>
        <w:trPr>
          <w:trHeight w:val="283"/>
        </w:trPr>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8.66</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10.85</w:t>
            </w:r>
          </w:p>
        </w:tc>
      </w:tr>
      <w:tr>
        <w:trPr>
          <w:trHeight w:val="264"/>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32.10</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23.40</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6.54</w:t>
            </w:r>
          </w:p>
        </w:tc>
      </w:tr>
      <w:tr>
        <w:trPr>
          <w:trHeight w:val="283"/>
        </w:trPr>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8.65</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10.85</w:t>
            </w:r>
          </w:p>
        </w:tc>
      </w:tr>
      <w:tr>
        <w:trPr>
          <w:trHeight w:val="264"/>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32.05</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ectPr>
          <w:pgSz w:w="11900" w:h="16838" w:orient="portrait"/>
          <w:cols w:equalWidth="0" w:num="2">
            <w:col w:w="7860" w:space="720"/>
            <w:col w:w="2840"/>
          </w:cols>
          <w:pgMar w:left="240" w:top="584" w:right="239" w:bottom="146" w:gutter="0" w:footer="0" w:header="0"/>
          <w:type w:val="continuous"/>
        </w:sect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983"/>
              <w:spacing w:after="0"/>
              <w:rPr>
                <w:sz w:val="20"/>
                <w:szCs w:val="20"/>
                <w:color w:val="auto"/>
              </w:rPr>
            </w:pPr>
            <w:r>
              <w:rPr>
                <w:rFonts w:ascii="Arial" w:cs="Arial" w:eastAsia="Arial" w:hAnsi="Arial"/>
                <w:sz w:val="14"/>
                <w:szCs w:val="14"/>
                <w:b w:val="1"/>
                <w:bCs w:val="1"/>
                <w:color w:val="auto"/>
              </w:rPr>
              <w:t>As of</w:t>
            </w:r>
          </w:p>
        </w:tc>
      </w:tr>
      <w:tr>
        <w:trPr>
          <w:trHeight w:val="337"/>
        </w:trPr>
        <w:tc>
          <w:tcPr>
            <w:tcW w:w="8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03"/>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4"/>
                <w:szCs w:val="24"/>
                <w:color w:val="auto"/>
              </w:rPr>
            </w:pPr>
          </w:p>
        </w:tc>
        <w:tc>
          <w:tcPr>
            <w:tcW w:w="1120" w:type="dxa"/>
            <w:vAlign w:val="bottom"/>
          </w:tcPr>
          <w:p>
            <w:pPr>
              <w:jc w:val="right"/>
              <w:ind w:right="123"/>
              <w:spacing w:after="0"/>
              <w:rPr>
                <w:sz w:val="20"/>
                <w:szCs w:val="20"/>
                <w:color w:val="auto"/>
              </w:rPr>
            </w:pPr>
            <w:r>
              <w:rPr>
                <w:rFonts w:ascii="Arial" w:cs="Arial" w:eastAsia="Arial" w:hAnsi="Arial"/>
                <w:sz w:val="14"/>
                <w:szCs w:val="14"/>
                <w:color w:val="auto"/>
              </w:rPr>
              <w:t>December 31,</w:t>
            </w:r>
          </w:p>
        </w:tc>
      </w:tr>
      <w:tr>
        <w:trPr>
          <w:trHeight w:val="196"/>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2013</w:t>
            </w:r>
          </w:p>
        </w:tc>
      </w:tr>
      <w:tr>
        <w:trPr>
          <w:trHeight w:val="250"/>
        </w:trPr>
        <w:tc>
          <w:tcPr>
            <w:tcW w:w="89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192,736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197,718</w:t>
            </w:r>
          </w:p>
        </w:tc>
      </w:tr>
      <w:tr>
        <w:trPr>
          <w:trHeight w:val="283"/>
        </w:trPr>
        <w:tc>
          <w:tcPr>
            <w:tcW w:w="8920" w:type="dxa"/>
            <w:vAlign w:val="bottom"/>
          </w:tcPr>
          <w:p>
            <w:pPr>
              <w:ind w:left="40"/>
              <w:spacing w:after="0"/>
              <w:rPr>
                <w:sz w:val="20"/>
                <w:szCs w:val="20"/>
                <w:color w:val="auto"/>
              </w:rPr>
            </w:pPr>
            <w:r>
              <w:rPr>
                <w:rFonts w:ascii="Arial" w:cs="Arial" w:eastAsia="Arial" w:hAnsi="Arial"/>
                <w:sz w:val="16"/>
                <w:szCs w:val="16"/>
                <w:color w:val="auto"/>
              </w:rPr>
              <w:t>Net unrealized gains</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317,961</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289,438</w:t>
            </w:r>
          </w:p>
        </w:tc>
      </w:tr>
      <w:tr>
        <w:trPr>
          <w:trHeight w:val="267"/>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510,697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487,156</w:t>
            </w: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There were no new investments in marketable equity securities during the first three months of 2014 and 2013. During the first three months of 2014, the proceeds from sales of marketable securities were $4.2 million, of which $0.4 million will settle in April 2014, and net realized losses from such sales were $0.3 million. During the first three months of 2013, the proceeds from sales of marketable securities were $2.1 million, and net realized gains on such sales were $0.6 million.</w:t>
      </w:r>
    </w:p>
    <w:p>
      <w:pPr>
        <w:spacing w:after="0" w:line="135"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As of March 31, 2014, the Company's investment in Corinthian Colleges, Inc., a publicly traded company, was in an unrealized loss position and the Company concluded that the loss was other-than-temporary and recorded a $0.5 million write-down of the investment in the first quarter of 2014.</w:t>
      </w:r>
    </w:p>
    <w:p>
      <w:pPr>
        <w:sectPr>
          <w:pgSz w:w="11900" w:h="16838" w:orient="portrait"/>
          <w:cols w:equalWidth="0" w:num="1">
            <w:col w:w="11420"/>
          </w:cols>
          <w:pgMar w:left="240" w:top="584" w:right="239" w:bottom="146"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140" w:right="1440" w:bottom="1440" w:gutter="0" w:footer="0" w:header="0"/>
        </w:sectPr>
      </w:pPr>
    </w:p>
    <w:bookmarkStart w:id="12" w:name="page13"/>
    <w:bookmarkEnd w:id="12"/>
    <w:p>
      <w:pPr>
        <w:ind w:right="100"/>
        <w:spacing w:after="0" w:line="229" w:lineRule="auto"/>
        <w:rPr>
          <w:sz w:val="20"/>
          <w:szCs w:val="20"/>
          <w:color w:val="auto"/>
        </w:rPr>
      </w:pPr>
      <w:r>
        <w:rPr>
          <w:rFonts w:ascii="Arial" w:cs="Arial" w:eastAsia="Arial" w:hAnsi="Arial"/>
          <w:sz w:val="18"/>
          <w:szCs w:val="18"/>
          <w:color w:val="auto"/>
        </w:rPr>
        <w:t>As of March 31, 2014, the Company held investments in commercial paper totaling $99.9 million with original maturities of 91 to 180 days. These investments are included in Investments in marketable equity securities and other investments in the Condensed Consolidated Balance Sheets.</w:t>
      </w:r>
    </w:p>
    <w:p>
      <w:pPr>
        <w:spacing w:after="0" w:line="137"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On April 1, 2014, the Company received a gross cash distribution of approximately $95 million from Classified Ventures' sale of apartments.com. In connection with this sale, the Company will record a pre-tax gain of approximately $92 million in the second quarter of 2014. The Company owns a 16.5% interest in Classified Ventures.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4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three months of 2014, the Company acquired one small business included in its education division; the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allocation comprised goodwill on a preliminary basis. In the first three months of 2013, the Company acquired one small business included in other business; the purchase price allocation mostly comprised goodwill and other intangible assets.</w:t>
      </w:r>
    </w:p>
    <w:p>
      <w:pPr>
        <w:spacing w:after="0" w:line="13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The operating results of VNA-TIP will be included in other businesses beginning in the second quarter of 2014.</w:t>
      </w:r>
    </w:p>
    <w:p>
      <w:pPr>
        <w:spacing w:after="0" w:line="11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April 11, 2014, the Company and Berkshire Hathaway Inc. announced that they have signed an agreement for Berkshire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a wholly-owned subsidiary of the Company that includes WPLG, the Company's Miami-based television station, a number of Berkshire shares currently held by the Company and an amount of cash in exchange for approximately 1.6 million shares of Graham Holdings Class B common stock currently owned by Berkshire. The transaction is expected to close in the second or third quarter of 2014.</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specific number of shares of each company and the amount of cash will be determined on the closing date based on certain factors, including the market prices of the shares of both companies at that time. The transaction is subject to FCC approval and other customary conditions. In addition, there are certain termination rights relating to minimum trading prices of the stock of each company immediately prior to closing and to a minimum value of the television station for purposes of the transaction on the closing date.</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October 1, 2013, the Company completed the sale of most of its newspaper publishing businesses. The publishing businesses sold include The Washington Post, Express, The Gazette Newspapers, Southern Maryland Newspapers, Greater Washington Publishing, Fairfax County Times and El Tiempo Latino and related websites (Publishing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completed the sale of certain assets of The Herald, a daily and Sunday newspaper headquartered in Everett, WA.</w:t>
      </w:r>
    </w:p>
    <w:p>
      <w:pPr>
        <w:spacing w:after="0" w:line="144" w:lineRule="exact"/>
        <w:rPr>
          <w:sz w:val="20"/>
          <w:szCs w:val="20"/>
          <w:color w:val="auto"/>
        </w:rPr>
      </w:pPr>
    </w:p>
    <w:p>
      <w:pPr>
        <w:ind w:right="1040"/>
        <w:spacing w:after="0" w:line="235" w:lineRule="auto"/>
        <w:rPr>
          <w:sz w:val="20"/>
          <w:szCs w:val="20"/>
          <w:color w:val="auto"/>
        </w:rPr>
      </w:pPr>
      <w:r>
        <w:rPr>
          <w:rFonts w:ascii="Arial" w:cs="Arial" w:eastAsia="Arial" w:hAnsi="Arial"/>
          <w:sz w:val="18"/>
          <w:szCs w:val="18"/>
          <w:color w:val="auto"/>
        </w:rPr>
        <w:t>Consequently, the Company’s income from continuing operations excludes these sold businesses, which have been reclassified to discontinued operations, net of tax (see Note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Amortization of intangible assets for the three months ended March 31, 2014 and 2013 was $3.1 million and $3.7 million, respectively. Amortization of intangible assets is estimated to be approximately $9 million for the remainder of 2014, $9 million in 2015, $7 million in 2016, $4 million in 2017, $4 million in 2018, and $3 million in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Company's wireless licenses have been reclassified to assets held for sale at March 31, 2014.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Cable</w:t>
            </w:r>
          </w:p>
        </w:tc>
        <w:tc>
          <w:tcPr>
            <w:tcW w:w="260" w:type="dxa"/>
            <w:vAlign w:val="bottom"/>
          </w:tcPr>
          <w:p>
            <w:pPr>
              <w:spacing w:after="0"/>
              <w:rPr>
                <w:sz w:val="14"/>
                <w:szCs w:val="14"/>
                <w:color w:val="auto"/>
              </w:rPr>
            </w:pPr>
          </w:p>
        </w:tc>
        <w:tc>
          <w:tcPr>
            <w:tcW w:w="1240" w:type="dxa"/>
            <w:vAlign w:val="bottom"/>
          </w:tcPr>
          <w:p>
            <w:pPr>
              <w:jc w:val="right"/>
              <w:ind w:right="301"/>
              <w:spacing w:after="0"/>
              <w:rPr>
                <w:sz w:val="20"/>
                <w:szCs w:val="20"/>
                <w:color w:val="auto"/>
              </w:rPr>
            </w:pPr>
            <w:r>
              <w:rPr>
                <w:rFonts w:ascii="Arial" w:cs="Arial" w:eastAsia="Arial" w:hAnsi="Arial"/>
                <w:sz w:val="14"/>
                <w:szCs w:val="14"/>
                <w:b w:val="1"/>
                <w:bCs w:val="1"/>
                <w:color w:val="auto"/>
              </w:rPr>
              <w:t>Television</w:t>
            </w:r>
          </w:p>
        </w:tc>
        <w:tc>
          <w:tcPr>
            <w:tcW w:w="200" w:type="dxa"/>
            <w:vAlign w:val="bottom"/>
          </w:tcPr>
          <w:p>
            <w:pPr>
              <w:spacing w:after="0"/>
              <w:rPr>
                <w:sz w:val="14"/>
                <w:szCs w:val="14"/>
                <w:color w:val="auto"/>
              </w:rPr>
            </w:pPr>
          </w:p>
        </w:tc>
        <w:tc>
          <w:tcPr>
            <w:tcW w:w="1040" w:type="dxa"/>
            <w:vAlign w:val="bottom"/>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Television</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Broadcasting</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50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1,073,433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85,488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203,165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34,877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1,396,963</w:t>
            </w:r>
          </w:p>
        </w:tc>
      </w:tr>
      <w:tr>
        <w:trPr>
          <w:trHeight w:val="283"/>
        </w:trPr>
        <w:tc>
          <w:tcPr>
            <w:tcW w:w="5160" w:type="dxa"/>
            <w:vAlign w:val="bottom"/>
          </w:tcPr>
          <w:p>
            <w:pPr>
              <w:ind w:left="50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51"/>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971,174</w:t>
            </w:r>
          </w:p>
        </w:tc>
        <w:tc>
          <w:tcPr>
            <w:tcW w:w="22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85,488</w:t>
            </w:r>
          </w:p>
        </w:tc>
        <w:tc>
          <w:tcPr>
            <w:tcW w:w="260" w:type="dxa"/>
            <w:vAlign w:val="bottom"/>
          </w:tcPr>
          <w:p>
            <w:pPr>
              <w:spacing w:after="0"/>
              <w:rPr>
                <w:sz w:val="21"/>
                <w:szCs w:val="21"/>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203,165</w:t>
            </w:r>
          </w:p>
        </w:tc>
        <w:tc>
          <w:tcPr>
            <w:tcW w:w="20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28,795</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1,288,622</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5,608</w:t>
            </w:r>
          </w:p>
        </w:tc>
        <w:tc>
          <w:tcPr>
            <w:tcW w:w="22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5,608</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Reclassification to assets held for sale</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(60,205)</w:t>
            </w:r>
          </w:p>
        </w:tc>
        <w:tc>
          <w:tcPr>
            <w:tcW w:w="2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(60,205)</w:t>
            </w:r>
          </w:p>
        </w:tc>
      </w:tr>
      <w:tr>
        <w:trPr>
          <w:trHeight w:val="283"/>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7,924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7,924</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50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1,086,965</w:t>
            </w:r>
          </w:p>
        </w:tc>
        <w:tc>
          <w:tcPr>
            <w:tcW w:w="22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85,488</w:t>
            </w:r>
          </w:p>
        </w:tc>
        <w:tc>
          <w:tcPr>
            <w:tcW w:w="26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142,960</w:t>
            </w:r>
          </w:p>
        </w:tc>
        <w:tc>
          <w:tcPr>
            <w:tcW w:w="2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34,877</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1,350,290</w:t>
            </w:r>
          </w:p>
        </w:tc>
      </w:tr>
      <w:tr>
        <w:trPr>
          <w:trHeight w:val="283"/>
        </w:trPr>
        <w:tc>
          <w:tcPr>
            <w:tcW w:w="5160" w:type="dxa"/>
            <w:vAlign w:val="bottom"/>
          </w:tcPr>
          <w:p>
            <w:pPr>
              <w:ind w:left="50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(108,341)</w:t>
            </w: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984,706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85,488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142,960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28,795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1,241,949</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00" w:type="dxa"/>
            <w:vAlign w:val="bottom"/>
          </w:tcPr>
          <w:p>
            <w:pPr>
              <w:jc w:val="right"/>
              <w:ind w:right="321"/>
              <w:spacing w:after="0"/>
              <w:rPr>
                <w:sz w:val="20"/>
                <w:szCs w:val="20"/>
                <w:color w:val="auto"/>
              </w:rPr>
            </w:pPr>
            <w:r>
              <w:rPr>
                <w:rFonts w:ascii="Arial" w:cs="Arial" w:eastAsia="Arial" w:hAnsi="Arial"/>
                <w:sz w:val="14"/>
                <w:szCs w:val="14"/>
                <w:b w:val="1"/>
                <w:bCs w:val="1"/>
                <w:color w:val="auto"/>
              </w:rPr>
              <w:t>Kaplan</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International</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50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409,016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152,187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512,230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1,073,433</w:t>
            </w:r>
          </w:p>
        </w:tc>
      </w:tr>
      <w:tr>
        <w:trPr>
          <w:trHeight w:val="283"/>
        </w:trPr>
        <w:tc>
          <w:tcPr>
            <w:tcW w:w="6280" w:type="dxa"/>
            <w:vAlign w:val="bottom"/>
          </w:tcPr>
          <w:p>
            <w:pPr>
              <w:ind w:left="50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51"/>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409,016</w:t>
            </w:r>
          </w:p>
        </w:tc>
        <w:tc>
          <w:tcPr>
            <w:tcW w:w="22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49,928</w:t>
            </w:r>
          </w:p>
        </w:tc>
        <w:tc>
          <w:tcPr>
            <w:tcW w:w="220" w:type="dxa"/>
            <w:vAlign w:val="bottom"/>
          </w:tcPr>
          <w:p>
            <w:pPr>
              <w:spacing w:after="0"/>
              <w:rPr>
                <w:sz w:val="21"/>
                <w:szCs w:val="21"/>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512,230</w:t>
            </w:r>
          </w:p>
        </w:tc>
        <w:tc>
          <w:tcPr>
            <w:tcW w:w="38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971,174</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5,608</w:t>
            </w:r>
          </w:p>
        </w:tc>
        <w:tc>
          <w:tcPr>
            <w:tcW w:w="22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5,608</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(76)</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8,000</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7,924</w:t>
            </w: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50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408,940</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157,795</w:t>
            </w:r>
          </w:p>
        </w:tc>
        <w:tc>
          <w:tcPr>
            <w:tcW w:w="22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520,230</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1,086,965</w:t>
            </w:r>
          </w:p>
        </w:tc>
      </w:tr>
      <w:tr>
        <w:trPr>
          <w:trHeight w:val="283"/>
        </w:trPr>
        <w:tc>
          <w:tcPr>
            <w:tcW w:w="6280" w:type="dxa"/>
            <w:vAlign w:val="bottom"/>
          </w:tcPr>
          <w:p>
            <w:pPr>
              <w:ind w:left="50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(102,259)</w:t>
            </w:r>
          </w:p>
        </w:tc>
      </w:tr>
      <w:tr>
        <w:trPr>
          <w:trHeight w:val="264"/>
        </w:trPr>
        <w:tc>
          <w:tcPr>
            <w:tcW w:w="62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408,940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55,536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520,230</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984,706</w:t>
            </w: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2014</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2013</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00" w:type="dxa"/>
            <w:vAlign w:val="bottom"/>
          </w:tcPr>
          <w:p>
            <w:pPr>
              <w:jc w:val="center"/>
              <w:ind w:left="42"/>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81"/>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13,565</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12,737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828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13,540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12,622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66,163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41,725</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24,438</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72,050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45,718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26,332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10,790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7,331</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3,459</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10,790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6,991</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22,359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16,660</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5,699</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22,327</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16,052</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83"/>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1–25 years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9,858</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7,788</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2,070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9,836</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7,572</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122,735</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86,241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36,494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128,543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88,955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39,588</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5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496,321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496,321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Wireless licenses</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22,150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7,171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7,171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15,636</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15,636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519,128</w:t>
            </w: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541,278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r>
      <w:tr>
        <w:trPr>
          <w:trHeight w:val="337"/>
        </w:trPr>
        <w:tc>
          <w:tcPr>
            <w:tcW w:w="8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8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color w:val="auto"/>
              </w:rPr>
              <w:t>December 31,</w:t>
            </w:r>
          </w:p>
        </w:tc>
      </w:tr>
      <w:tr>
        <w:trPr>
          <w:trHeight w:val="196"/>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w:t>
            </w:r>
          </w:p>
        </w:tc>
      </w:tr>
      <w:tr>
        <w:trPr>
          <w:trHeight w:val="250"/>
        </w:trPr>
        <w:tc>
          <w:tcPr>
            <w:tcW w:w="880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397,997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397,893</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AUD Revolving credit borrowing</w:t>
            </w:r>
          </w:p>
        </w:tc>
        <w:tc>
          <w:tcPr>
            <w:tcW w:w="200" w:type="dxa"/>
            <w:vAlign w:val="bottom"/>
          </w:tcPr>
          <w:p>
            <w:pPr>
              <w:spacing w:after="0"/>
              <w:rPr>
                <w:sz w:val="23"/>
                <w:szCs w:val="23"/>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46,231</w:t>
            </w:r>
          </w:p>
        </w:tc>
        <w:tc>
          <w:tcPr>
            <w:tcW w:w="2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44,625</w:t>
            </w: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8,321</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8,258</w:t>
            </w: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Pr>
          <w:p>
            <w:pPr>
              <w:spacing w:after="0"/>
              <w:rPr>
                <w:sz w:val="21"/>
                <w:szCs w:val="21"/>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452,549</w:t>
            </w:r>
          </w:p>
        </w:tc>
        <w:tc>
          <w:tcPr>
            <w:tcW w:w="22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450,776</w:t>
            </w: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(49,389)</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r>
      <w:tr>
        <w:trPr>
          <w:trHeight w:val="26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403,160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447,608</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Company’s other indebtedness at March 31, 2014 and December 31, 2013 is at interest rates from 0% to 6% and matures from 2014 to 2017.</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4" w:name="page15"/>
    <w:bookmarkEnd w:id="14"/>
    <w:p>
      <w:pPr>
        <w:jc w:val="both"/>
        <w:ind w:right="20"/>
        <w:spacing w:after="0" w:line="229" w:lineRule="auto"/>
        <w:rPr>
          <w:sz w:val="20"/>
          <w:szCs w:val="20"/>
          <w:color w:val="auto"/>
        </w:rPr>
      </w:pPr>
      <w:r>
        <w:rPr>
          <w:rFonts w:ascii="Arial" w:cs="Arial" w:eastAsia="Arial" w:hAnsi="Arial"/>
          <w:sz w:val="18"/>
          <w:szCs w:val="18"/>
          <w:color w:val="auto"/>
        </w:rPr>
        <w:t>During the three months ended March 31, 2014 and 2013, the Company had average borrowings outstanding of approximately $451.2 million and $ 516.7 million, respectively, at average annual interest rates of approximately 7.0%. During the three months ended March 31, 2014 and 2013, the Company incurred net interest expense of $8.2 million and $8.5 million, respectively.</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March 31, 2014, the fair value of the Company’s 7.25% unsecured notes, based on quoted market prices, totaled $469.0 million, compared with the carrying amount of $398.0 million. At December 31, 2013, the fair value of the Company’s 7.25% unsecured notes, based on quoted market prices, totaled $475.2 million, compared with the carrying amount of $397.9 million. The carrying value of the Company’s other unsecured debt at March 31, 2014 approximates fair value.</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584"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rPr>
              <w:t>As of March 31, 2014</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460,928</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460,928</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 (2)</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510,697</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510,697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Commercial paper (3)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99,893</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99,893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 (4)</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11,692</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23,312</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35,004</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622,282</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484,240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1,106,522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 (5)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64,614</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64,614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7.25% unsecured notes (6)</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469,012</w:t>
            </w:r>
          </w:p>
        </w:tc>
        <w:tc>
          <w:tcPr>
            <w:tcW w:w="3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469,012</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AUD revolving credit borrowing (6)</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46,231</w:t>
            </w:r>
          </w:p>
        </w:tc>
        <w:tc>
          <w:tcPr>
            <w:tcW w:w="3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46,231</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rate swap (7)</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875</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875</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580,732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580,732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4"/>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14"/>
                <w:szCs w:val="14"/>
                <w:b w:val="1"/>
                <w:bCs w:val="1"/>
                <w:color w:val="auto"/>
              </w:rPr>
              <w:t>As of December 31, 2013</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1">
            <w:col w:w="11420"/>
          </w:cols>
          <w:pgMar w:left="240" w:top="562" w:right="239" w:bottom="1440" w:gutter="0" w:footer="0" w:header="0"/>
        </w:sectPr>
      </w:pPr>
    </w:p>
    <w:p>
      <w:pPr>
        <w:ind w:left="40"/>
        <w:spacing w:after="0"/>
        <w:rPr>
          <w:sz w:val="20"/>
          <w:szCs w:val="20"/>
          <w:color w:val="auto"/>
        </w:rPr>
      </w:pPr>
      <w:r>
        <w:rPr>
          <w:rFonts w:ascii="Arial" w:cs="Arial" w:eastAsia="Arial" w:hAnsi="Arial"/>
          <w:sz w:val="16"/>
          <w:szCs w:val="16"/>
          <w:color w:val="auto"/>
        </w:rPr>
        <w:t>Money market investments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Marketable equity securities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investments (4)</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compensation plan liabilities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7.25% unsecured notes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AUD revolving credit borrowing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 (7)</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Liabilities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431,836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431,836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487,156</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487,156</w:t>
            </w:r>
          </w:p>
        </w:tc>
      </w:tr>
      <w:tr>
        <w:trPr>
          <w:trHeight w:val="28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11,826</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23,336</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35,162</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498,982</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455,172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954,154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8"/>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67,603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67,603</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475,224</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475,224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44,625</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44,625</w:t>
            </w:r>
          </w:p>
        </w:tc>
      </w:tr>
      <w:tr>
        <w:trPr>
          <w:trHeight w:val="28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1,047</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1,047</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588,499</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588,499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7060" w:space="720"/>
            <w:col w:w="3640"/>
          </w:cols>
          <w:pgMar w:left="240" w:top="562" w:right="239" w:bottom="1440" w:gutter="0" w:footer="0" w:header="0"/>
          <w:type w:val="continuous"/>
        </w:sect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commercial paper investments have original maturities greater than 90 days, but less than 180 days.</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(with original maturities greater than 90 days, but less than one year).</w:t>
      </w:r>
    </w:p>
    <w:p>
      <w:pPr>
        <w:spacing w:after="0" w:line="14" w:lineRule="exact"/>
        <w:rPr>
          <w:rFonts w:ascii="Arial" w:cs="Arial" w:eastAsia="Arial" w:hAnsi="Arial"/>
          <w:sz w:val="14"/>
          <w:szCs w:val="14"/>
          <w:color w:val="auto"/>
        </w:rPr>
      </w:pPr>
    </w:p>
    <w:p>
      <w:pPr>
        <w:ind w:left="420" w:right="620" w:hanging="412"/>
        <w:spacing w:after="0" w:line="251"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w:t>
      </w: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6 for carrying amount of these notes and borrowing.</w:t>
      </w:r>
    </w:p>
    <w:p>
      <w:pPr>
        <w:spacing w:after="0" w:line="14" w:lineRule="exact"/>
        <w:rPr>
          <w:rFonts w:ascii="Arial" w:cs="Arial" w:eastAsia="Arial" w:hAnsi="Arial"/>
          <w:sz w:val="14"/>
          <w:szCs w:val="14"/>
          <w:color w:val="auto"/>
        </w:rPr>
      </w:pPr>
    </w:p>
    <w:p>
      <w:pPr>
        <w:ind w:left="420" w:right="40" w:hanging="412"/>
        <w:spacing w:after="0" w:line="258"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62" w:right="239" w:bottom="1440" w:gutter="0" w:footer="0" w:header="0"/>
          <w:type w:val="continuous"/>
        </w:sectPr>
      </w:pPr>
    </w:p>
    <w:bookmarkStart w:id="16" w:name="page17"/>
    <w:bookmarkEnd w:id="16"/>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36"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258"/>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2013</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89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Income from continuing operations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131,026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21,691</w:t>
            </w: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(37,675)</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r>
      <w:tr>
        <w:trPr>
          <w:trHeight w:val="251"/>
        </w:trPr>
        <w:tc>
          <w:tcPr>
            <w:tcW w:w="890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93,351</w:t>
            </w:r>
          </w:p>
        </w:tc>
        <w:tc>
          <w:tcPr>
            <w:tcW w:w="42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21,691</w:t>
            </w: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98.33%</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97.38%</w:t>
            </w:r>
          </w:p>
        </w:tc>
      </w:tr>
      <w:tr>
        <w:trPr>
          <w:trHeight w:val="251"/>
        </w:trPr>
        <w:tc>
          <w:tcPr>
            <w:tcW w:w="8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91,790</w:t>
            </w:r>
          </w:p>
        </w:tc>
        <w:tc>
          <w:tcPr>
            <w:tcW w:w="42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21,122</w:t>
            </w:r>
          </w:p>
        </w:tc>
      </w:tr>
    </w:tbl>
    <w:p>
      <w:pPr>
        <w:spacing w:after="0" w:line="55"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Dividends-common stock outstanding</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Numerator for basic earnings per share</w:t>
      </w:r>
    </w:p>
    <w:p>
      <w:pPr>
        <w:spacing w:after="0" w:line="113" w:lineRule="exact"/>
        <w:rPr>
          <w:sz w:val="20"/>
          <w:szCs w:val="20"/>
          <w:color w:val="auto"/>
        </w:rPr>
      </w:pPr>
    </w:p>
    <w:p>
      <w:pPr>
        <w:ind w:left="180" w:right="3140" w:firstLine="108"/>
        <w:spacing w:after="0" w:line="387" w:lineRule="auto"/>
        <w:rPr>
          <w:sz w:val="20"/>
          <w:szCs w:val="20"/>
          <w:color w:val="auto"/>
        </w:rPr>
      </w:pPr>
      <w:r>
        <w:rPr>
          <w:rFonts w:ascii="Arial" w:cs="Arial" w:eastAsia="Arial" w:hAnsi="Arial"/>
          <w:sz w:val="16"/>
          <w:szCs w:val="16"/>
          <w:color w:val="auto"/>
        </w:rPr>
        <w:t>Add: Additional undistributed earnings due to dilutive stock options Numerator for diluted earnings per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basic earnings per share: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diluted earnings per share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Graham Holdings Company Common Stockholders: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Basic earnings per share from continuing operations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Diluted earnings per share from continuing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37,044</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128,834</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21,122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128,839</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21,122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78"/>
        </w:trPr>
        <w:tc>
          <w:tcPr>
            <w:tcW w:w="28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7,275</w:t>
            </w:r>
          </w:p>
        </w:tc>
        <w:tc>
          <w:tcPr>
            <w:tcW w:w="46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7,227</w:t>
            </w:r>
          </w:p>
        </w:tc>
      </w:tr>
      <w:tr>
        <w:trPr>
          <w:trHeight w:val="283"/>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r>
      <w:tr>
        <w:trPr>
          <w:trHeight w:val="264"/>
        </w:trPr>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7,301</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7,228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21"/>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17.71</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17.65</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8180" w:space="720"/>
            <w:col w:w="2520"/>
          </w:cols>
          <w:pgMar w:left="240" w:top="584" w:right="239" w:bottom="1440" w:gutter="0" w:footer="0" w:header="0"/>
          <w:type w:val="continuous"/>
        </w:sect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2013</w:t>
            </w:r>
          </w:p>
        </w:tc>
      </w:tr>
      <w:tr>
        <w:trPr>
          <w:trHeight w:val="250"/>
        </w:trPr>
        <w:tc>
          <w:tcPr>
            <w:tcW w:w="60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4320" w:type="dxa"/>
            <w:vAlign w:val="bottom"/>
          </w:tcPr>
          <w:p>
            <w:pPr>
              <w:jc w:val="right"/>
              <w:ind w:right="243"/>
              <w:spacing w:after="0"/>
              <w:rPr>
                <w:sz w:val="20"/>
                <w:szCs w:val="20"/>
                <w:color w:val="auto"/>
              </w:rPr>
            </w:pPr>
            <w:r>
              <w:rPr>
                <w:rFonts w:ascii="Arial" w:cs="Arial" w:eastAsia="Arial" w:hAnsi="Arial"/>
                <w:sz w:val="16"/>
                <w:szCs w:val="16"/>
                <w:b w:val="1"/>
                <w:bCs w:val="1"/>
                <w:color w:val="auto"/>
              </w:rPr>
              <w:t>51</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38</w:t>
            </w:r>
          </w:p>
        </w:tc>
      </w:tr>
    </w:tbl>
    <w:p>
      <w:pPr>
        <w:spacing w:after="0" w:line="167" w:lineRule="exact"/>
        <w:rPr>
          <w:sz w:val="20"/>
          <w:szCs w:val="20"/>
          <w:color w:val="auto"/>
        </w:rPr>
      </w:pPr>
    </w:p>
    <w:p>
      <w:pPr>
        <w:ind w:right="740"/>
        <w:spacing w:after="0" w:line="245" w:lineRule="auto"/>
        <w:rPr>
          <w:sz w:val="20"/>
          <w:szCs w:val="20"/>
          <w:color w:val="auto"/>
        </w:rPr>
      </w:pPr>
      <w:r>
        <w:rPr>
          <w:rFonts w:ascii="Arial" w:cs="Arial" w:eastAsia="Arial" w:hAnsi="Arial"/>
          <w:sz w:val="17"/>
          <w:szCs w:val="17"/>
          <w:color w:val="auto"/>
        </w:rPr>
        <w:t>For the first quarter of 2014 and 2013, the diluted earnings per share amounts exclude the effects of 5,000 and 85,861 stock options outstanding, respectively, as their inclusion would have been antidilutive. The first quarter of 2014 and 2013 diluted earnings per share amounts exclude the effects of 5,550 and 52,200 restricted stock awards, respectively, as their inclusion would have been antidilutive.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2014, the Company declared regular dividends totaling $5.10 per share. No dividends were paid in 2013.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type w:val="continuous"/>
        </w:sectPr>
      </w:pPr>
    </w:p>
    <w:bookmarkStart w:id="17" w:name="page18"/>
    <w:bookmarkEnd w:id="17"/>
    <w:p>
      <w:pPr>
        <w:ind w:right="56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cost arising from the Company’s defined benefit pension plans, including a portion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consists of the following components: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7,537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13,365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13,082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14,291</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(30,263)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(26,322)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82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909</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 loss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(7,038)</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2,147</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24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(16,600)</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4,390</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Early retirement programs expense</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4,490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14,258</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(Benefit)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(12,110)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18,648</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For the three months ended March 31, 2014 and 2013, the net periodic (benefit) cost for the Company's pension plans, as reported above, includes costs of $ 0.1 million and $7.1 million, respectively, reported in discontinued operations. The early retirement programs expense for the March 31, 2013 is included in discontinued operations.</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the first quarter of 2014, the Company recorded $4.5 million related to a Separation Incentive Program for certain Corporate employees, which will be funded from the assets of the Company's pension plan.</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 announced a Voluntary Retirement Incentive Program in February 2013, which was offered to certain employees of the Washington Post newspaper. The total early retirement program expense for this program was $20.4 million. Of this amount, $12.0 million was recorded in the first quarter of 2013 and $8.4 million was recorded in the second quarter of 2013. In addition, the Washington Post newspaper recorded $2.3 million in special separation benefits for a group of employees in the first quarter of 2013. The early retirement program expense and special separation benefits for these programs were funded from the assets of the Company’s pension plan and are included in discontinued operations, net of tax, in 2013.</w:t>
      </w:r>
    </w:p>
    <w:p>
      <w:pPr>
        <w:spacing w:after="0" w:line="13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373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429</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1,085</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1,023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12</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375</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711</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1,845</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2,177</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For the three months ended March 31, 2014 and 2013, the net periodic cost for the Company's SERP, as reported above, includes costs of $0.1 million and $0.3 million, respectively, reported in discontinued operations.</w:t>
      </w:r>
    </w:p>
    <w:p>
      <w:pPr>
        <w:spacing w:after="0" w:line="113"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337"/>
        </w:trPr>
        <w:tc>
          <w:tcPr>
            <w:tcW w:w="8700" w:type="dxa"/>
            <w:vAlign w:val="bottom"/>
          </w:tcPr>
          <w:p>
            <w:pPr>
              <w:spacing w:after="0"/>
              <w:rPr>
                <w:sz w:val="24"/>
                <w:szCs w:val="24"/>
                <w:color w:val="auto"/>
              </w:rPr>
            </w:pPr>
          </w:p>
        </w:tc>
        <w:tc>
          <w:tcPr>
            <w:tcW w:w="1580" w:type="dxa"/>
            <w:vAlign w:val="bottom"/>
          </w:tcPr>
          <w:p>
            <w:pPr>
              <w:jc w:val="right"/>
              <w:ind w:right="543"/>
              <w:spacing w:after="0"/>
              <w:rPr>
                <w:sz w:val="20"/>
                <w:szCs w:val="20"/>
                <w:color w:val="auto"/>
              </w:rPr>
            </w:pPr>
            <w:r>
              <w:rPr>
                <w:rFonts w:ascii="Arial" w:cs="Arial" w:eastAsia="Arial" w:hAnsi="Arial"/>
                <w:sz w:val="14"/>
                <w:szCs w:val="14"/>
                <w:b w:val="1"/>
                <w:bCs w:val="1"/>
                <w:color w:val="auto"/>
              </w:rPr>
              <w:t>March 31,</w:t>
            </w:r>
          </w:p>
        </w:tc>
        <w:tc>
          <w:tcPr>
            <w:tcW w:w="1140" w:type="dxa"/>
            <w:vAlign w:val="bottom"/>
          </w:tcPr>
          <w:p>
            <w:pPr>
              <w:jc w:val="right"/>
              <w:ind w:right="142"/>
              <w:spacing w:after="0"/>
              <w:rPr>
                <w:sz w:val="20"/>
                <w:szCs w:val="20"/>
                <w:color w:val="auto"/>
              </w:rPr>
            </w:pPr>
            <w:r>
              <w:rPr>
                <w:rFonts w:ascii="Arial" w:cs="Arial" w:eastAsia="Arial" w:hAnsi="Arial"/>
                <w:sz w:val="14"/>
                <w:szCs w:val="14"/>
                <w:color w:val="auto"/>
              </w:rPr>
              <w:t>December 31,</w:t>
            </w:r>
          </w:p>
        </w:tc>
      </w:tr>
      <w:tr>
        <w:trPr>
          <w:trHeight w:val="196"/>
        </w:trPr>
        <w:tc>
          <w:tcPr>
            <w:tcW w:w="87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2013</w:t>
            </w: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580" w:type="dxa"/>
            <w:vAlign w:val="bottom"/>
          </w:tcPr>
          <w:p>
            <w:pPr>
              <w:jc w:val="right"/>
              <w:ind w:right="223"/>
              <w:spacing w:after="0"/>
              <w:rPr>
                <w:sz w:val="20"/>
                <w:szCs w:val="20"/>
                <w:color w:val="auto"/>
              </w:rPr>
            </w:pPr>
            <w:r>
              <w:rPr>
                <w:rFonts w:ascii="Arial" w:cs="Arial" w:eastAsia="Arial" w:hAnsi="Arial"/>
                <w:sz w:val="16"/>
                <w:szCs w:val="16"/>
                <w:b w:val="1"/>
                <w:bCs w:val="1"/>
                <w:color w:val="auto"/>
              </w:rPr>
              <w:t>59%</w:t>
            </w: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870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580" w:type="dxa"/>
            <w:vAlign w:val="bottom"/>
          </w:tcPr>
          <w:p>
            <w:pPr>
              <w:jc w:val="right"/>
              <w:ind w:right="223"/>
              <w:spacing w:after="0"/>
              <w:rPr>
                <w:sz w:val="20"/>
                <w:szCs w:val="20"/>
                <w:color w:val="auto"/>
              </w:rPr>
            </w:pPr>
            <w:r>
              <w:rPr>
                <w:rFonts w:ascii="Arial" w:cs="Arial" w:eastAsia="Arial" w:hAnsi="Arial"/>
                <w:sz w:val="16"/>
                <w:szCs w:val="16"/>
                <w:b w:val="1"/>
                <w:bCs w:val="1"/>
                <w:color w:val="auto"/>
              </w:rPr>
              <w:t>13%</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3"/>
        </w:trPr>
        <w:tc>
          <w:tcPr>
            <w:tcW w:w="870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5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28%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64"/>
        </w:trPr>
        <w:tc>
          <w:tcPr>
            <w:tcW w:w="8700" w:type="dxa"/>
            <w:vAlign w:val="bottom"/>
          </w:tcPr>
          <w:p>
            <w:pPr>
              <w:spacing w:after="0"/>
              <w:rPr>
                <w:sz w:val="22"/>
                <w:szCs w:val="22"/>
                <w:color w:val="auto"/>
              </w:rPr>
            </w:pPr>
          </w:p>
        </w:tc>
        <w:tc>
          <w:tcPr>
            <w:tcW w:w="15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100%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March 31, 2014, the managers can invest no more than 24% of the assets in international stocks, at the time the investment is made, and no less than 10% of the assets could be invested in fixed-income securities. None of the assets is managed internally by the Company.</w:t>
      </w:r>
    </w:p>
    <w:p>
      <w:pPr>
        <w:sectPr>
          <w:pgSz w:w="11900" w:h="16838" w:orient="portrait"/>
          <w:cols w:equalWidth="0" w:num="1">
            <w:col w:w="11420"/>
          </w:cols>
          <w:pgMar w:left="240" w:top="562" w:right="2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562" w:right="239" w:bottom="1440" w:gutter="0" w:footer="0" w:header="0"/>
          <w:type w:val="continuous"/>
        </w:sectPr>
      </w:pPr>
    </w:p>
    <w:bookmarkStart w:id="18" w:name="page19"/>
    <w:bookmarkEnd w:id="18"/>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2014. Types of concentrations that were evaluated include, but are not limited to, investment concentrations in a single entity, type of industry, foreign country and individual fund. At March 31, 2014 and December 31, 2013, the pension plan held common stock in one investment that exceeded 10% of total plan assets. This investment was valued at $429.1 million and $382.1 million at March 31, 2014 and December 31, 2013, respectively, or approximately 18% and 16%, respectively, of total plan assets. Assets also included $ 219.5 million and $208.4 million of Berkshire Hathaway common stock at March 31, 2014 and December 31, 2013, respectively. At March 31, 2014 and December 31, 2013, the pension plan held investments in one foreign country that exceeded 10% of total plan assets. These investments were valued at $447.0 million and $398.9 million at March 31, 2014 and December 31, 2013, respectively, or approximately 19% and 17%, respectively, of total plan assets.</w:t>
      </w:r>
    </w:p>
    <w:p>
      <w:pPr>
        <w:spacing w:after="0" w:line="11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(benefit) arising from the Company’s other postretirement plans, including a portion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consists of the following components: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375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727</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362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510</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(196)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(1,360)</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(519)</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 (Benefit)</w:t>
            </w:r>
          </w:p>
        </w:tc>
        <w:tc>
          <w:tcPr>
            <w:tcW w:w="24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22</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Settlement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Cost (Benefit)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For the three months ended March 31, 2013, the net periodic benefit, as reported above, includes a benefit of $0.6 million included in discontinued operations. As part of the sale of The Herald, changes were made with respect to its postretirement medical plan, resulting in a $3.5 million settlement gain that is included in discontinued operations, net of tax, for the first quarter of 2013.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NON-OPERATING INCOME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4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258"/>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2013</w:t>
            </w: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Gain on sale of building</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127,670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4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5,037</w:t>
            </w: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(4,614)</w:t>
            </w: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(Losses) gains on sales or write-downs of marketable equity securities</w:t>
            </w:r>
          </w:p>
        </w:tc>
        <w:tc>
          <w:tcPr>
            <w:tcW w:w="3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(785)</w:t>
            </w:r>
          </w:p>
        </w:tc>
        <w:tc>
          <w:tcPr>
            <w:tcW w:w="4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542</w:t>
            </w: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1,351</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67"/>
        </w:trPr>
        <w:tc>
          <w:tcPr>
            <w:tcW w:w="8360" w:type="dxa"/>
            <w:vAlign w:val="bottom"/>
          </w:tcPr>
          <w:p>
            <w:pPr>
              <w:ind w:left="500"/>
              <w:spacing w:after="0"/>
              <w:rPr>
                <w:sz w:val="20"/>
                <w:szCs w:val="20"/>
                <w:color w:val="auto"/>
              </w:rPr>
            </w:pPr>
            <w:r>
              <w:rPr>
                <w:rFonts w:ascii="Arial" w:cs="Arial" w:eastAsia="Arial" w:hAnsi="Arial"/>
                <w:sz w:val="16"/>
                <w:szCs w:val="16"/>
                <w:b w:val="1"/>
                <w:bCs w:val="1"/>
                <w:color w:val="auto"/>
              </w:rPr>
              <w:t>Total Other Non-Operating Income (Expense)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133,273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March 27, 2014, the Company completed the sale of its headquarters building for approximately $158 million. In connection with the sale, the Company recorded a $127.7 million pre-tax gain in the first quarter of 2014. The headquarters building is used primarily by The Washington Post newspaper, which was sold by the Company in October 2013.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consists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2013</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rPr>
              <w:t>Before-Tax</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Income</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rPr>
              <w:t>After-Tax</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8"/>
              </w:rPr>
              <w:t>Before-Tax</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Income</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ind w:left="380"/>
              <w:spacing w:after="0"/>
              <w:rPr>
                <w:sz w:val="20"/>
                <w:szCs w:val="20"/>
                <w:color w:val="auto"/>
              </w:rPr>
            </w:pPr>
            <w:r>
              <w:rPr>
                <w:rFonts w:ascii="Arial" w:cs="Arial" w:eastAsia="Arial" w:hAnsi="Arial"/>
                <w:sz w:val="14"/>
                <w:szCs w:val="14"/>
                <w:b w:val="1"/>
                <w:bCs w:val="1"/>
                <w:color w:val="auto"/>
              </w:rPr>
              <w:t>Tax</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Tax</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747" w:right="239" w:bottom="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period, net</w:t>
      </w:r>
    </w:p>
    <w:p>
      <w:pPr>
        <w:spacing w:after="0" w:line="59" w:lineRule="exact"/>
        <w:rPr>
          <w:sz w:val="20"/>
          <w:szCs w:val="20"/>
          <w:color w:val="auto"/>
        </w:rPr>
      </w:pPr>
    </w:p>
    <w:p>
      <w:pPr>
        <w:ind w:left="340" w:hanging="161"/>
        <w:spacing w:after="0" w:line="253" w:lineRule="auto"/>
        <w:rPr>
          <w:sz w:val="20"/>
          <w:szCs w:val="20"/>
          <w:color w:val="auto"/>
        </w:rPr>
      </w:pPr>
      <w:r>
        <w:rPr>
          <w:rFonts w:ascii="Arial" w:cs="Arial" w:eastAsia="Arial" w:hAnsi="Arial"/>
          <w:sz w:val="16"/>
          <w:szCs w:val="16"/>
          <w:color w:val="auto"/>
        </w:rPr>
        <w:t>Reclassification adjustment for write-down and realization of loss (gain) on sale of available-for-sale securities included in net income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Settlement gain included in net income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746</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746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(4,191)</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(4,191)</w:t>
            </w:r>
          </w:p>
        </w:tc>
      </w:tr>
      <w:tr>
        <w:trPr>
          <w:trHeight w:val="540"/>
        </w:trPr>
        <w:tc>
          <w:tcPr>
            <w:tcW w:w="28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27,738</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(11,096)</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16,642</w:t>
            </w:r>
          </w:p>
        </w:tc>
        <w:tc>
          <w:tcPr>
            <w:tcW w:w="34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49,078</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(19,631)</w:t>
            </w: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29,447</w:t>
            </w:r>
          </w:p>
        </w:tc>
      </w:tr>
      <w:tr>
        <w:trPr>
          <w:trHeight w:val="634"/>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785</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471</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220</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64"/>
        </w:trPr>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28,523</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(11,410)</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17,113</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48,527</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(19,411)</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29,116</w:t>
            </w:r>
          </w:p>
        </w:tc>
      </w:tr>
      <w:tr>
        <w:trPr>
          <w:trHeight w:val="521"/>
        </w:trPr>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(102)</w:t>
            </w:r>
          </w:p>
        </w:tc>
        <w:tc>
          <w:tcPr>
            <w:tcW w:w="26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40</w:t>
            </w:r>
          </w:p>
        </w:tc>
        <w:tc>
          <w:tcPr>
            <w:tcW w:w="28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(62)</w:t>
            </w:r>
          </w:p>
        </w:tc>
        <w:tc>
          <w:tcPr>
            <w:tcW w:w="3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24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70"/>
        </w:trPr>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(7,182)</w:t>
            </w:r>
          </w:p>
        </w:tc>
        <w:tc>
          <w:tcPr>
            <w:tcW w:w="26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2,873</w:t>
            </w: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(4,309)</w:t>
            </w:r>
          </w:p>
        </w:tc>
        <w:tc>
          <w:tcPr>
            <w:tcW w:w="34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2,317</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(927)</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1,390</w:t>
            </w:r>
          </w:p>
        </w:tc>
      </w:tr>
      <w:tr>
        <w:trPr>
          <w:trHeight w:val="283"/>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(3,471)</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1,388</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w:t>
            </w:r>
          </w:p>
        </w:tc>
      </w:tr>
      <w:tr>
        <w:trPr>
          <w:trHeight w:val="264"/>
        </w:trPr>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(7,284)</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2,913</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(4,371)</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636</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r>
      <w:tr>
        <w:trPr>
          <w:trHeight w:val="534"/>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172</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103</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22,157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13,591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42,775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23,988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4800" w:space="360"/>
            <w:col w:w="6260"/>
          </w:cols>
          <w:pgMar w:left="240" w:top="747" w:right="239" w:bottom="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03"/>
              <w:spacing w:after="0"/>
              <w:rPr>
                <w:sz w:val="20"/>
                <w:szCs w:val="20"/>
                <w:color w:val="auto"/>
              </w:rPr>
            </w:pPr>
            <w:r>
              <w:rPr>
                <w:rFonts w:ascii="Arial" w:cs="Arial" w:eastAsia="Arial" w:hAnsi="Arial"/>
                <w:sz w:val="14"/>
                <w:szCs w:val="14"/>
                <w:b w:val="1"/>
                <w:bCs w:val="1"/>
                <w:color w:val="auto"/>
              </w:rPr>
              <w:t>Cumulative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60" w:type="dxa"/>
            <w:vAlign w:val="bottom"/>
          </w:tcPr>
          <w:p>
            <w:pPr>
              <w:jc w:val="center"/>
              <w:ind w:right="123"/>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424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25,013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173,663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501,446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699,494</w:t>
            </w:r>
          </w:p>
        </w:tc>
      </w:tr>
      <w:tr>
        <w:trPr>
          <w:trHeight w:val="218"/>
        </w:trPr>
        <w:tc>
          <w:tcPr>
            <w:tcW w:w="4240" w:type="dxa"/>
            <w:vAlign w:val="bottom"/>
          </w:tcPr>
          <w:p>
            <w:pPr>
              <w:ind w:left="36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240" w:type="dxa"/>
            <w:vAlign w:val="bottom"/>
          </w:tcPr>
          <w:p>
            <w:pPr>
              <w:ind w:left="52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b w:val="1"/>
                <w:bCs w:val="1"/>
                <w:color w:val="auto"/>
              </w:rPr>
              <w:t>746</w:t>
            </w:r>
          </w:p>
        </w:tc>
        <w:tc>
          <w:tcPr>
            <w:tcW w:w="260" w:type="dxa"/>
            <w:vAlign w:val="bottom"/>
          </w:tcPr>
          <w:p>
            <w:pPr>
              <w:spacing w:after="0"/>
              <w:rPr>
                <w:sz w:val="18"/>
                <w:szCs w:val="18"/>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16,642</w:t>
            </w:r>
          </w:p>
        </w:tc>
        <w:tc>
          <w:tcPr>
            <w:tcW w:w="240" w:type="dxa"/>
            <w:vAlign w:val="bottom"/>
          </w:tcPr>
          <w:p>
            <w:pPr>
              <w:spacing w:after="0"/>
              <w:rPr>
                <w:sz w:val="18"/>
                <w:szCs w:val="18"/>
                <w:color w:val="auto"/>
              </w:rPr>
            </w:pPr>
          </w:p>
        </w:tc>
        <w:tc>
          <w:tcPr>
            <w:tcW w:w="136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(24)</w:t>
            </w:r>
          </w:p>
        </w:tc>
        <w:tc>
          <w:tcPr>
            <w:tcW w:w="220" w:type="dxa"/>
            <w:vAlign w:val="bottom"/>
          </w:tcPr>
          <w:p>
            <w:pPr>
              <w:spacing w:after="0"/>
              <w:rPr>
                <w:sz w:val="18"/>
                <w:szCs w:val="18"/>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b w:val="1"/>
                <w:bCs w:val="1"/>
                <w:color w:val="auto"/>
              </w:rPr>
              <w:t>17,364</w:t>
            </w:r>
          </w:p>
        </w:tc>
      </w:tr>
      <w:tr>
        <w:trPr>
          <w:trHeight w:val="218"/>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240" w:type="dxa"/>
            <w:vAlign w:val="bottom"/>
          </w:tcPr>
          <w:p>
            <w:pPr>
              <w:ind w:left="50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471</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(4,371)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127</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(3,773)</w:t>
            </w:r>
          </w:p>
        </w:tc>
      </w:tr>
      <w:tr>
        <w:trPr>
          <w:trHeight w:val="264"/>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746</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17,113</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(4,371)</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103</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13,591</w:t>
            </w:r>
          </w:p>
        </w:tc>
      </w:tr>
      <w:tr>
        <w:trPr>
          <w:trHeight w:val="26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25,759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190,776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497,075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713,085</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16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March 31</w:t>
            </w:r>
          </w:p>
        </w:tc>
        <w:tc>
          <w:tcPr>
            <w:tcW w:w="37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Affected Line Item in the Condensed Consolidated</w:t>
            </w:r>
          </w:p>
        </w:tc>
        <w:tc>
          <w:tcPr>
            <w:tcW w:w="0" w:type="dxa"/>
            <w:vAlign w:val="bottom"/>
          </w:tcPr>
          <w:p>
            <w:pPr>
              <w:spacing w:after="0"/>
              <w:rPr>
                <w:sz w:val="1"/>
                <w:szCs w:val="1"/>
                <w:color w:val="auto"/>
              </w:rPr>
            </w:pPr>
          </w:p>
        </w:tc>
      </w:tr>
      <w:tr>
        <w:trPr>
          <w:trHeight w:val="67"/>
        </w:trPr>
        <w:tc>
          <w:tcPr>
            <w:tcW w:w="5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2014</w:t>
            </w:r>
          </w:p>
        </w:tc>
        <w:tc>
          <w:tcPr>
            <w:tcW w:w="1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2013</w:t>
            </w:r>
          </w:p>
        </w:tc>
        <w:tc>
          <w:tcPr>
            <w:tcW w:w="3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p>
      <w:pPr>
        <w:sectPr>
          <w:pgSz w:w="11900" w:h="16838" w:orient="portrait"/>
          <w:cols w:equalWidth="0" w:num="1">
            <w:col w:w="11420"/>
          </w:cols>
          <w:pgMar w:left="240" w:top="747" w:right="239" w:bottom="0" w:gutter="0" w:footer="0" w:header="0"/>
          <w:type w:val="continuous"/>
        </w:sectPr>
      </w:pP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60" w:type="dxa"/>
            <w:vAlign w:val="bottom"/>
          </w:tcPr>
          <w:p>
            <w:pPr>
              <w:ind w:left="140"/>
              <w:spacing w:after="0"/>
              <w:rPr>
                <w:sz w:val="20"/>
                <w:szCs w:val="20"/>
                <w:color w:val="auto"/>
              </w:rPr>
            </w:pPr>
            <w:r>
              <w:rPr>
                <w:rFonts w:ascii="Arial" w:cs="Arial" w:eastAsia="Arial" w:hAnsi="Arial"/>
                <w:sz w:val="16"/>
                <w:szCs w:val="16"/>
                <w:color w:val="auto"/>
              </w:rPr>
              <w:t>Realized loss (gains) for the period</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785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83"/>
        </w:trPr>
        <w:tc>
          <w:tcPr>
            <w:tcW w:w="5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(314)</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w:t>
            </w:r>
          </w:p>
        </w:tc>
      </w:tr>
      <w:tr>
        <w:trPr>
          <w:trHeight w:val="264"/>
        </w:trPr>
        <w:tc>
          <w:tcPr>
            <w:tcW w:w="5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471</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51"/>
        </w:trPr>
        <w:tc>
          <w:tcPr>
            <w:tcW w:w="5460" w:type="dxa"/>
            <w:vAlign w:val="bottom"/>
          </w:tcPr>
          <w:p>
            <w:pPr>
              <w:spacing w:after="0"/>
              <w:rPr>
                <w:sz w:val="20"/>
                <w:szCs w:val="20"/>
                <w:color w:val="auto"/>
              </w:rPr>
            </w:pPr>
            <w:r>
              <w:rPr>
                <w:rFonts w:ascii="Arial" w:cs="Arial" w:eastAsia="Arial" w:hAnsi="Arial"/>
                <w:sz w:val="16"/>
                <w:szCs w:val="16"/>
                <w:b w:val="1"/>
                <w:bCs w:val="1"/>
                <w:color w:val="auto"/>
              </w:rPr>
              <w:t>Pension and Other Postretirement Plans: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54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(102)</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70"/>
        </w:trPr>
        <w:tc>
          <w:tcPr>
            <w:tcW w:w="546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(7,182)</w:t>
            </w:r>
          </w:p>
        </w:tc>
        <w:tc>
          <w:tcPr>
            <w:tcW w:w="34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2,317</w:t>
            </w:r>
          </w:p>
        </w:tc>
      </w:tr>
      <w:tr>
        <w:trPr>
          <w:trHeight w:val="283"/>
        </w:trPr>
        <w:tc>
          <w:tcPr>
            <w:tcW w:w="5460" w:type="dxa"/>
            <w:vAlign w:val="bottom"/>
          </w:tcPr>
          <w:p>
            <w:pPr>
              <w:ind w:left="140"/>
              <w:spacing w:after="0"/>
              <w:rPr>
                <w:sz w:val="20"/>
                <w:szCs w:val="20"/>
                <w:color w:val="auto"/>
              </w:rPr>
            </w:pPr>
            <w:r>
              <w:rPr>
                <w:rFonts w:ascii="Arial" w:cs="Arial" w:eastAsia="Arial" w:hAnsi="Arial"/>
                <w:sz w:val="16"/>
                <w:szCs w:val="16"/>
                <w:color w:val="auto"/>
              </w:rPr>
              <w:t>Settlement gain</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251"/>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(7,284)</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(1,591)</w:t>
            </w:r>
          </w:p>
        </w:tc>
      </w:tr>
      <w:tr>
        <w:trPr>
          <w:trHeight w:val="283"/>
        </w:trPr>
        <w:tc>
          <w:tcPr>
            <w:tcW w:w="5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2,913</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636</w:t>
            </w:r>
          </w:p>
        </w:tc>
      </w:tr>
      <w:tr>
        <w:trPr>
          <w:trHeight w:val="264"/>
        </w:trPr>
        <w:tc>
          <w:tcPr>
            <w:tcW w:w="5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(4,371)</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r>
      <w:tr>
        <w:trPr>
          <w:trHeight w:val="251"/>
        </w:trPr>
        <w:tc>
          <w:tcPr>
            <w:tcW w:w="5460" w:type="dxa"/>
            <w:vAlign w:val="bottom"/>
          </w:tcPr>
          <w:p>
            <w:pPr>
              <w:spacing w:after="0"/>
              <w:rPr>
                <w:sz w:val="20"/>
                <w:szCs w:val="20"/>
                <w:color w:val="auto"/>
              </w:rPr>
            </w:pPr>
            <w:r>
              <w:rPr>
                <w:rFonts w:ascii="Arial" w:cs="Arial" w:eastAsia="Arial" w:hAnsi="Arial"/>
                <w:sz w:val="16"/>
                <w:szCs w:val="16"/>
                <w:b w:val="1"/>
                <w:bCs w:val="1"/>
                <w:color w:val="auto"/>
              </w:rPr>
              <w:t>Cash Flow Hedge</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Net of Tax</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Before tax</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Net of Tax</w:t>
      </w:r>
    </w:p>
    <w:p>
      <w:pPr>
        <w:spacing w:after="0" w:line="342" w:lineRule="exact"/>
        <w:rPr>
          <w:sz w:val="20"/>
          <w:szCs w:val="20"/>
          <w:color w:val="auto"/>
        </w:rPr>
      </w:pPr>
    </w:p>
    <w:p>
      <w:pPr>
        <w:sectPr>
          <w:pgSz w:w="11900" w:h="16838" w:orient="portrait"/>
          <w:cols w:equalWidth="0" w:num="2">
            <w:col w:w="7660" w:space="140"/>
            <w:col w:w="3620"/>
          </w:cols>
          <w:pgMar w:left="240" w:top="747" w:right="239" w:bottom="0" w:gutter="0" w:footer="0" w:header="0"/>
          <w:type w:val="continuous"/>
        </w:sectPr>
      </w:pPr>
    </w:p>
    <w:tbl>
      <w:tblPr>
        <w:tblLayout w:type="fixed"/>
        <w:tblInd w:w="4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212</w:t>
            </w:r>
          </w:p>
        </w:tc>
        <w:tc>
          <w:tcPr>
            <w:tcW w:w="34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283"/>
        </w:trPr>
        <w:tc>
          <w:tcPr>
            <w:tcW w:w="5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64"/>
        </w:trPr>
        <w:tc>
          <w:tcPr>
            <w:tcW w:w="5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127</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r>
      <w:tr>
        <w:trPr>
          <w:trHeight w:val="267"/>
        </w:trPr>
        <w:tc>
          <w:tcPr>
            <w:tcW w:w="5460" w:type="dxa"/>
            <w:vAlign w:val="bottom"/>
          </w:tcPr>
          <w:p>
            <w:pPr>
              <w:spacing w:after="0"/>
              <w:rPr>
                <w:sz w:val="20"/>
                <w:szCs w:val="20"/>
                <w:color w:val="auto"/>
              </w:rPr>
            </w:pPr>
            <w:r>
              <w:rPr>
                <w:rFonts w:ascii="Arial" w:cs="Arial" w:eastAsia="Arial" w:hAnsi="Arial"/>
                <w:sz w:val="16"/>
                <w:szCs w:val="16"/>
                <w:b w:val="1"/>
                <w:bCs w:val="1"/>
                <w:color w:val="auto"/>
              </w:rPr>
              <w:t>Total reclassification for the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(3,773)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Net of Tax</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Net of Tax</w:t>
      </w:r>
    </w:p>
    <w:p>
      <w:pPr>
        <w:spacing w:after="0" w:line="68" w:lineRule="exact"/>
        <w:rPr>
          <w:sz w:val="20"/>
          <w:szCs w:val="20"/>
          <w:color w:val="auto"/>
        </w:rPr>
      </w:pPr>
    </w:p>
    <w:p>
      <w:pPr>
        <w:sectPr>
          <w:pgSz w:w="11900" w:h="16838" w:orient="portrait"/>
          <w:cols w:equalWidth="0" w:num="2">
            <w:col w:w="7660" w:space="140"/>
            <w:col w:w="3620"/>
          </w:cols>
          <w:pgMar w:left="240" w:top="747" w:right="239" w:bottom="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28"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4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w:t>
      </w:r>
    </w:p>
    <w:p>
      <w:pPr>
        <w:sectPr>
          <w:pgSz w:w="11900" w:h="16838" w:orient="portrait"/>
          <w:cols w:equalWidth="0" w:num="1">
            <w:col w:w="11420"/>
          </w:cols>
          <w:pgMar w:left="240" w:top="747" w:right="239" w:bottom="0" w:gutter="0" w:footer="0" w:header="0"/>
          <w:type w:val="continuous"/>
        </w:sectPr>
      </w:pPr>
    </w:p>
    <w:bookmarkStart w:id="20" w:name="page21"/>
    <w:bookmarkEnd w:id="20"/>
    <w:p>
      <w:pPr>
        <w:ind w:right="360"/>
        <w:spacing w:after="0" w:line="235" w:lineRule="auto"/>
        <w:rPr>
          <w:sz w:val="20"/>
          <w:szCs w:val="20"/>
          <w:color w:val="auto"/>
        </w:rPr>
      </w:pPr>
      <w:r>
        <w:rPr>
          <w:rFonts w:ascii="Arial" w:cs="Arial" w:eastAsia="Arial" w:hAnsi="Arial"/>
          <w:sz w:val="18"/>
          <w:szCs w:val="18"/>
          <w:color w:val="auto"/>
        </w:rPr>
        <w:t>management is of the opinion that the exposure to future material losses from existing legal proceedings is not reasonably possible, or that future material losses in excess of the amounts accrued are not reasonably possible.</w:t>
      </w:r>
    </w:p>
    <w:p>
      <w:pPr>
        <w:spacing w:after="0" w:line="11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U.S. Department of Education (ED) undertakes program reviews at Title IV participating institutions.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three open program reviews, including Broomall, PA, as the Company is awaiting the ED’s final program review report. The Company does not expect the final program review reports to have a material impact on KHE; however, the results of these open reviews and their impact on Kaplan’s operations are uncertain.</w:t>
      </w:r>
    </w:p>
    <w:p>
      <w:pPr>
        <w:spacing w:after="0" w:line="115"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The 90/10 Rule</w:t>
      </w:r>
      <w:r>
        <w:rPr>
          <w:rFonts w:ascii="Arial" w:cs="Arial" w:eastAsia="Arial" w:hAnsi="Arial"/>
          <w:sz w:val="18"/>
          <w:szCs w:val="18"/>
          <w:color w:val="auto"/>
        </w:rPr>
        <w:t>. Under regulations referred to as the 90/10 rule, a KHE school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some of which programs were acquired by certain KHE campuses in 2013 from other Kaplan businesses. Absent the adoption of the changes mentioned above, and if current trends continue, management estimates that in 2014, three of the KHE Campuses’ OPEID units, representing approximately 1.7% of KHE’s 2013 revenues, could have a 90/10 ratio over 90%. As noted above, Kaplan is taking steps to address compliance with the 90/10 rule; however, there can be no guarantee that these measures will be adequate to prevent the 90/10 ratio at some of the schools from exceeding 90% in the future.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166"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The Company has six reportable segments: Kaplan Higher Education, Kaplan Test Preparation, Kaplan International, cable, television broadcasting and other businesses.</w:t>
      </w:r>
    </w:p>
    <w:p>
      <w:pPr>
        <w:spacing w:after="0" w:line="11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In April 2014, the Company announced it has entered into an agreement to sell WPLG, a television station serving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Miami market. WPLG results are included in discontinued operations, net of tax, for all periods presented. The television broadcasting segment operating results have been restated to reflect this change.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color w:val="auto"/>
        </w:rPr>
        <w:t>The following table summarizes the quarterly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980" w:type="dxa"/>
            <w:vAlign w:val="bottom"/>
          </w:tcPr>
          <w:p>
            <w:pPr>
              <w:jc w:val="right"/>
              <w:ind w:right="199"/>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6"/>
                <w:szCs w:val="16"/>
                <w:color w:val="auto"/>
              </w:rPr>
            </w:pPr>
          </w:p>
        </w:tc>
        <w:tc>
          <w:tcPr>
            <w:tcW w:w="880" w:type="dxa"/>
            <w:vAlign w:val="bottom"/>
          </w:tcPr>
          <w:p>
            <w:pPr>
              <w:jc w:val="right"/>
              <w:ind w:right="199"/>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7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526,174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527,815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548,230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546,452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555,011</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Cable</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203,921</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200,138</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204,550</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202,381</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200,240</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85,651</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68,902</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80,228</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73,488</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85,688</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24,913</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23,814</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37,572</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36,682</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30,735</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04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840,561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820,592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870,504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858,954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871,635</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2,522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23,726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17,035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14,596</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Cable</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41,162</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36,613</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44,710</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39,715</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48,697</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44,386</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29,111</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39,235</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32,847</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43,999</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(10,747)</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(8,542)</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(5,968)</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(5,046)</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(3,912)</w:t>
            </w:r>
          </w:p>
        </w:tc>
        <w:tc>
          <w:tcPr>
            <w:tcW w:w="0" w:type="dxa"/>
            <w:vAlign w:val="bottom"/>
          </w:tcPr>
          <w:p>
            <w:pPr>
              <w:spacing w:after="0"/>
              <w:rPr>
                <w:sz w:val="1"/>
                <w:szCs w:val="1"/>
                <w:color w:val="auto"/>
              </w:rPr>
            </w:pPr>
          </w:p>
        </w:tc>
      </w:tr>
      <w:tr>
        <w:trPr>
          <w:trHeight w:val="283"/>
        </w:trPr>
        <w:tc>
          <w:tcPr>
            <w:tcW w:w="50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2,206</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(5,402)</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(6,135)</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(5,763)</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79,529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47,147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96,301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78,416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97,617</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18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4,052</w:t>
            </w:r>
          </w:p>
        </w:tc>
        <w:tc>
          <w:tcPr>
            <w:tcW w:w="26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3,418</w:t>
            </w:r>
          </w:p>
        </w:tc>
        <w:tc>
          <w:tcPr>
            <w:tcW w:w="26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3,868</w:t>
            </w:r>
          </w:p>
        </w:tc>
        <w:tc>
          <w:tcPr>
            <w:tcW w:w="24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5,892</w:t>
            </w:r>
          </w:p>
        </w:tc>
        <w:tc>
          <w:tcPr>
            <w:tcW w:w="2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1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(8,221)</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(8,450)</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(8,526)</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(8,579)</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(8,248)</w:t>
            </w:r>
          </w:p>
        </w:tc>
        <w:tc>
          <w:tcPr>
            <w:tcW w:w="0" w:type="dxa"/>
            <w:vAlign w:val="bottom"/>
          </w:tcPr>
          <w:p>
            <w:pPr>
              <w:spacing w:after="0"/>
              <w:rPr>
                <w:sz w:val="1"/>
                <w:szCs w:val="1"/>
                <w:color w:val="auto"/>
              </w:rPr>
            </w:pPr>
          </w:p>
        </w:tc>
      </w:tr>
      <w:tr>
        <w:trPr>
          <w:trHeight w:val="283"/>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133,273</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(12,858)</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8,110</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208,633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38,032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78,785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83,839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74,486</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16,444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22,588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20,064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18,978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28,134</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Cable</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33,787</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33,733</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33,964</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32,946</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27,541</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1,994</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2,209</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2,214</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2,181</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2,142</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520</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429</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577</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83"/>
        </w:trPr>
        <w:tc>
          <w:tcPr>
            <w:tcW w:w="50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500</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53,245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58,959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56,879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54,705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58,954</w:t>
            </w:r>
          </w:p>
        </w:tc>
        <w:tc>
          <w:tcPr>
            <w:tcW w:w="0" w:type="dxa"/>
            <w:vAlign w:val="bottom"/>
          </w:tcPr>
          <w:p>
            <w:pPr>
              <w:spacing w:after="0"/>
              <w:rPr>
                <w:sz w:val="1"/>
                <w:szCs w:val="1"/>
                <w:color w:val="auto"/>
              </w:rPr>
            </w:pPr>
          </w:p>
        </w:tc>
      </w:tr>
      <w:tr>
        <w:trPr>
          <w:trHeight w:val="184"/>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40" w:type="dxa"/>
            <w:vAlign w:val="bottom"/>
          </w:tcPr>
          <w:p>
            <w:pPr>
              <w:ind w:left="200"/>
              <w:spacing w:after="0"/>
              <w:rPr>
                <w:sz w:val="20"/>
                <w:szCs w:val="20"/>
                <w:color w:val="auto"/>
              </w:rPr>
            </w:pPr>
            <w:r>
              <w:rPr>
                <w:rFonts w:ascii="Arial" w:cs="Arial" w:eastAsia="Arial" w:hAnsi="Arial"/>
                <w:sz w:val="16"/>
                <w:szCs w:val="16"/>
                <w:b w:val="1"/>
                <w:bCs w:val="1"/>
                <w:color w:val="auto"/>
              </w:rPr>
              <w:t>and Other Long-Lived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2,288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2,518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2,363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2,287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6,044</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Cable</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35</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758</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1,149</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893</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83"/>
        </w:trPr>
        <w:tc>
          <w:tcPr>
            <w:tcW w:w="50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6,981</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4,143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4,106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4,231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4,169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4,032</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Cable</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864</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882</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913</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973</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320</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1,344</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1,250</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1,297</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164</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2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134</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83"/>
        </w:trPr>
        <w:tc>
          <w:tcPr>
            <w:tcW w:w="50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(17,679)</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(9,129)</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(9,299)</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(14,287)</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(12,188)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summarizes annual financial information related to each of the Company’s business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2,177,508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2,196,496</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807,309</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787,117</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308,306</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328,396</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128,803</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72,837</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3,421,685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3,384,550</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51,301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(105,368)</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169,735</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154,581</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145,192</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162,131</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(23,468)</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(33,010)</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(23,279)</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(28,665)</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319,481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149,669</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13,215</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14,086</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(33,803)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(32,551)</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Other Expense, Net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(5,456)</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275,142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125,748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89,764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101,183</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128,184</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129,107</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8,746</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9,253</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2,177</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626</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229,497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240,313</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Intangible 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13,212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129,312</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220</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3,416</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3,016</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16,848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132,539</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16,538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11,584</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3,708</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3,961</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5,046</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610</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(41,836)</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(8,532)</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381"/>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8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2013</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1,745,562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1,921,037</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1,183,434</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1,215,320</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291,518</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383,251</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156,858</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171,539</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647,173</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371,484</w:t>
            </w: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4,024,545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4,062,631</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6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510,697</w:t>
            </w:r>
          </w:p>
        </w:tc>
        <w:tc>
          <w:tcPr>
            <w:tcW w:w="28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487,156</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20,953</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15,754</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1,250,658</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1,245,505</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 Held for Sale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113,709</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584" w:right="239" w:bottom="0" w:gutter="0" w:footer="0" w:header="0"/>
        </w:sectPr>
      </w:pPr>
    </w:p>
    <w:bookmarkStart w:id="23" w:name="page24"/>
    <w:bookmarkEnd w:id="23"/>
    <w:p>
      <w:pPr>
        <w:spacing w:after="0"/>
        <w:tabs>
          <w:tab w:leader="none" w:pos="8300" w:val="left"/>
          <w:tab w:leader="none" w:pos="8960" w:val="left"/>
          <w:tab w:leader="none" w:pos="9920" w:val="left"/>
          <w:tab w:leader="none" w:pos="10540" w:val="left"/>
        </w:tabs>
        <w:rPr>
          <w:sz w:val="20"/>
          <w:szCs w:val="20"/>
          <w:color w:val="auto"/>
        </w:rPr>
      </w:pPr>
      <w:r>
        <w:rPr>
          <w:rFonts w:ascii="Arial" w:cs="Arial" w:eastAsia="Arial" w:hAnsi="Arial"/>
          <w:sz w:val="16"/>
          <w:szCs w:val="16"/>
          <w:b w:val="1"/>
          <w:bCs w:val="1"/>
          <w:color w:val="auto"/>
        </w:rPr>
        <w:t>Total Assets</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5,920,562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5,811,046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48895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66040</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80"/>
          </w:cols>
          <w:pgMar w:left="28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9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253,779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271,860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67,804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68,943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202,867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184,813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2,604</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526,174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527,815</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13,144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5,101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(6,628)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(4,345)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10,882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6,397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(14,920)</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(11,340)</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2,522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7,740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13,439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3,784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4,758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4,708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3,996</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16,444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22,588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2,288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2,518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2,628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2,807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722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704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4,143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4,106</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2013</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653,409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859,208</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177,288</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173,435</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866,656</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864,507</w:t>
            </w:r>
          </w:p>
        </w:tc>
      </w:tr>
      <w:tr>
        <w:trPr>
          <w:trHeight w:val="283"/>
        </w:trPr>
        <w:tc>
          <w:tcPr>
            <w:tcW w:w="834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48,209</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23,887</w:t>
            </w: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1,745,562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1,921,037</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reported income from continuing operations attributable to common shares of $131.0 million ($17.65 per share) for the first</w:t>
      </w:r>
    </w:p>
    <w:p>
      <w:pPr>
        <w:spacing w:after="0" w:line="219" w:lineRule="auto"/>
        <w:rPr>
          <w:sz w:val="20"/>
          <w:szCs w:val="20"/>
          <w:color w:val="auto"/>
        </w:rPr>
      </w:pPr>
      <w:r>
        <w:rPr>
          <w:rFonts w:ascii="Arial" w:cs="Arial" w:eastAsia="Arial" w:hAnsi="Arial"/>
          <w:sz w:val="18"/>
          <w:szCs w:val="18"/>
          <w:color w:val="auto"/>
        </w:rPr>
        <w:t>quarter of 2014, compared to $21.7 million ($2.92 per share) for the first quarter of 2013. Net income attributable to common shares was</w:t>
      </w:r>
    </w:p>
    <w:p>
      <w:pPr>
        <w:spacing w:after="0" w:line="219" w:lineRule="auto"/>
        <w:rPr>
          <w:sz w:val="20"/>
          <w:szCs w:val="20"/>
          <w:color w:val="auto"/>
        </w:rPr>
      </w:pPr>
      <w:r>
        <w:rPr>
          <w:rFonts w:ascii="Arial" w:cs="Arial" w:eastAsia="Arial" w:hAnsi="Arial"/>
          <w:sz w:val="18"/>
          <w:szCs w:val="18"/>
          <w:color w:val="auto"/>
        </w:rPr>
        <w:t>$132.1 million ($17.79 per share) for the first quarter ended March 31, 2014, compared to $4.7 million ($0.64 per share) for the first quarter of</w:t>
      </w:r>
    </w:p>
    <w:p>
      <w:pPr>
        <w:spacing w:after="0" w:line="219" w:lineRule="auto"/>
        <w:rPr>
          <w:sz w:val="20"/>
          <w:szCs w:val="20"/>
          <w:color w:val="auto"/>
        </w:rPr>
      </w:pPr>
      <w:r>
        <w:rPr>
          <w:rFonts w:ascii="Arial" w:cs="Arial" w:eastAsia="Arial" w:hAnsi="Arial"/>
          <w:sz w:val="18"/>
          <w:szCs w:val="18"/>
          <w:color w:val="auto"/>
        </w:rPr>
        <w:t>last year. Net income includes $1.1 million ($0.14 per share) in income and $17.0 million ($2.28 per share) in losses from discontinued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first quarter of 2014 and 2013, respectively. (Refer to “Discontinued Operations” discussion below.)</w:t>
      </w:r>
    </w:p>
    <w:p>
      <w:pPr>
        <w:spacing w:after="0" w:line="30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On April 11, 2014, the Company and Berkshire Hathaway Inc. announced that they have signed an agreement for Berkshire to acquire a wholly-owned subsidiary of the Company that includes, among other things, WPLG, the Company's Miami-based television station. The transaction is expected to close in the second or third quarter of 2014. As a result, income from continuing operations excludes WPLG, which has been reclassified to discontinued operations, net of tax, for all periods presented.</w:t>
      </w:r>
    </w:p>
    <w:p>
      <w:pPr>
        <w:sectPr>
          <w:pgSz w:w="11900" w:h="16838" w:orient="portrait"/>
          <w:cols w:equalWidth="0" w:num="1">
            <w:col w:w="11420"/>
          </w:cols>
          <w:pgMar w:left="240" w:top="584" w:right="239" w:bottom="246"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84" w:right="239" w:bottom="246"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2014 are listed below:</w:t>
      </w:r>
    </w:p>
    <w:p>
      <w:pPr>
        <w:spacing w:after="0" w:line="30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$4.5 million in early retirement program expense at the corporate office (after-tax impact of $2.9 million, or $0.39 per share);</w:t>
      </w:r>
    </w:p>
    <w:p>
      <w:pPr>
        <w:spacing w:after="0" w:line="306"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$11.13 per share); and</w:t>
      </w:r>
    </w:p>
    <w:p>
      <w:pPr>
        <w:spacing w:after="0" w:line="306"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 million in non-operating unrealized foreign currency gains (after-tax impact of $3.2 million, or $0.44 per share).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2013 are listed below:</w:t>
      </w:r>
    </w:p>
    <w:p>
      <w:pPr>
        <w:spacing w:after="0" w:line="306"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$9.4 million in severance and restructuring charges at the education division (after-tax impact of $6.1 million, or $0.85 per share); and</w:t>
      </w:r>
    </w:p>
    <w:p>
      <w:pPr>
        <w:spacing w:after="0" w:line="306"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$4.6 million in non-operating unrealized foreign currency losses (after-tax impact of $3.0 million, or $0.41 per share).</w:t>
      </w:r>
    </w:p>
    <w:p>
      <w:pPr>
        <w:spacing w:after="0" w:line="30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Revenue for the first quarter of 2014 was $840.6 million, up 2% from $820.6 million in the first quarter of 2013. The Company reported operating income of $79.5 million in the first quarter of 2014, compared to $47.1 million in the first quarter of 2013. Revenues increased at the television broadcasting and cable divisions, while revenues at the education division were flat. Operating results improved in the first quarter at the television broadcasting, cable and education divisions.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Education division revenue totaled $526.2 million for the first quarter of 2014, essentially flat compared with revenue of $527.8 million for the first quarter of 2013. Kaplan reported first quarter 2014 operating income of $2.5 million, compared to an operating loss of $4.1 million in the first quarter of 2013. Operating results for the first quarter of 2013 include restructuring costs of $9.4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first quarter of 2014 compared to 2013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2013</w:t>
            </w:r>
          </w:p>
        </w:tc>
        <w:tc>
          <w:tcPr>
            <w:tcW w:w="15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253,779</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271,860</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67,804</w:t>
            </w:r>
          </w:p>
        </w:tc>
        <w:tc>
          <w:tcPr>
            <w:tcW w:w="5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68,943</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202,867</w:t>
            </w:r>
          </w:p>
        </w:tc>
        <w:tc>
          <w:tcPr>
            <w:tcW w:w="5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184,813</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Kaplan corporate</w:t>
            </w:r>
          </w:p>
        </w:tc>
        <w:tc>
          <w:tcPr>
            <w:tcW w:w="36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2,604</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83"/>
        </w:trPr>
        <w:tc>
          <w:tcPr>
            <w:tcW w:w="664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(290)</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526,174</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527,815</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13,144</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5,101</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23"/>
                <w:szCs w:val="23"/>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b w:val="1"/>
                <w:bCs w:val="1"/>
                <w:color w:val="auto"/>
              </w:rPr>
              <w:t>(6,628)</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(4,345)</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10,882</w:t>
            </w:r>
          </w:p>
        </w:tc>
        <w:tc>
          <w:tcPr>
            <w:tcW w:w="5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6,397</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Kaplan corporate</w:t>
            </w:r>
          </w:p>
        </w:tc>
        <w:tc>
          <w:tcPr>
            <w:tcW w:w="360" w:type="dxa"/>
            <w:vAlign w:val="bottom"/>
          </w:tcPr>
          <w:p>
            <w:pPr>
              <w:spacing w:after="0"/>
              <w:rPr>
                <w:sz w:val="23"/>
                <w:szCs w:val="23"/>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b w:val="1"/>
                <w:bCs w:val="1"/>
                <w:color w:val="auto"/>
              </w:rPr>
              <w:t>(12,632)</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(8,822)</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3"/>
                <w:szCs w:val="23"/>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b w:val="1"/>
                <w:bCs w:val="1"/>
                <w:color w:val="auto"/>
              </w:rPr>
              <w:t>(2,288)</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(2,518)</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3"/>
        </w:trPr>
        <w:tc>
          <w:tcPr>
            <w:tcW w:w="664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44</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6640" w:type="dxa"/>
            <w:vAlign w:val="bottom"/>
          </w:tcPr>
          <w:p>
            <w:pPr>
              <w:spacing w:after="0"/>
              <w:rPr>
                <w:sz w:val="23"/>
                <w:szCs w:val="23"/>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2,522</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In connection with these and other plans, KHE incurred $9.1 million in restructuring costs in the first quarter of 2013, including accelerated depreciation ($3.6 million), severance ($0.9 million), lease obligation losses ($3.7 million) and other items ($0.9 million). At the end of 2013, the KHE campus closures or mergers had been largely completed, though two campuses remain to be closed in the first half of 2014. In April 2014, KHE announced plans to close two additional ground campuses that will be completed by the end of 2015.</w:t>
      </w:r>
    </w:p>
    <w:p>
      <w:pPr>
        <w:sectPr>
          <w:pgSz w:w="11900" w:h="16838" w:orient="portrait"/>
          <w:cols w:equalWidth="0" w:num="1">
            <w:col w:w="11420"/>
          </w:cols>
          <w:pgMar w:left="240" w:top="746" w:right="2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46" w:right="239" w:bottom="1440" w:gutter="0" w:footer="0" w:header="0"/>
          <w:type w:val="continuous"/>
        </w:sectPr>
      </w:pPr>
    </w:p>
    <w:bookmarkStart w:id="26" w:name="page27"/>
    <w:bookmarkEnd w:id="26"/>
    <w:p>
      <w:pPr>
        <w:ind w:right="220"/>
        <w:spacing w:after="0" w:line="227" w:lineRule="auto"/>
        <w:rPr>
          <w:sz w:val="20"/>
          <w:szCs w:val="20"/>
          <w:color w:val="auto"/>
        </w:rPr>
      </w:pPr>
      <w:r>
        <w:rPr>
          <w:rFonts w:ascii="Arial" w:cs="Arial" w:eastAsia="Arial" w:hAnsi="Arial"/>
          <w:sz w:val="18"/>
          <w:szCs w:val="18"/>
          <w:color w:val="auto"/>
        </w:rPr>
        <w:t>In the first quarter of 2014, KHE revenue declined 7% due largely to declines in average enrollments that reflect weaker market demand over the past year, lower average tuition and the impact of closed campuses. KHE operating income increased in the first quarter of 2014 due largely to expense reductions associated with lower enrollments and recent restructuring efforts, as well as significant restructuring costs recorded in the first quarter of 2013.</w:t>
      </w:r>
    </w:p>
    <w:p>
      <w:pPr>
        <w:spacing w:after="0" w:line="135"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New student enrollments at KHE increased 7% in the first quarter of 2014 due to growth at Kaplan University, offset by the impact of closed campuses.</w:t>
      </w:r>
    </w:p>
    <w:p>
      <w:pPr>
        <w:spacing w:after="0" w:line="135"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Total students at March 31, 2014, were down 2% compared to March 31, 2013, but increased 9% compared to December 31, 2013. Excluding campuses closed or planned for closure, total students at March 31, 2014, were down 1% compared to March 31, 2013, but up 10% compared to December 31, 2013. A summary of student enrollments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bottom w:val="single" w:sz="8" w:color="auto"/>
            </w:tcBorders>
            <w:gridSpan w:val="2"/>
          </w:tcPr>
          <w:p>
            <w:pPr>
              <w:jc w:val="center"/>
              <w:ind w:left="1003"/>
              <w:spacing w:after="0"/>
              <w:rPr>
                <w:sz w:val="20"/>
                <w:szCs w:val="20"/>
                <w:color w:val="auto"/>
              </w:rPr>
            </w:pPr>
            <w:r>
              <w:rPr>
                <w:rFonts w:ascii="Arial" w:cs="Arial" w:eastAsia="Arial" w:hAnsi="Arial"/>
                <w:sz w:val="14"/>
                <w:szCs w:val="14"/>
                <w:b w:val="1"/>
                <w:bCs w:val="1"/>
                <w:color w:val="auto"/>
              </w:rPr>
              <w:t>Excluding Campuses Closing</w:t>
            </w:r>
          </w:p>
        </w:tc>
        <w:tc>
          <w:tcPr>
            <w:tcW w:w="1060" w:type="dxa"/>
            <w:vAlign w:val="bottom"/>
            <w:tcBorders>
              <w:bottom w:val="single" w:sz="8" w:color="auto"/>
            </w:tcBorders>
          </w:tcPr>
          <w:p>
            <w:pPr>
              <w:spacing w:after="0"/>
              <w:rPr>
                <w:sz w:val="17"/>
                <w:szCs w:val="17"/>
                <w:color w:val="auto"/>
              </w:rPr>
            </w:pPr>
          </w:p>
        </w:tc>
      </w:tr>
      <w:tr>
        <w:trPr>
          <w:trHeight w:val="250"/>
        </w:trPr>
        <w:tc>
          <w:tcPr>
            <w:tcW w:w="264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21"/>
                <w:szCs w:val="21"/>
                <w:color w:val="auto"/>
              </w:rPr>
            </w:pPr>
          </w:p>
        </w:tc>
      </w:tr>
      <w:tr>
        <w:trPr>
          <w:trHeight w:val="256"/>
        </w:trPr>
        <w:tc>
          <w:tcPr>
            <w:tcW w:w="2640" w:type="dxa"/>
            <w:vAlign w:val="bottom"/>
          </w:tcPr>
          <w:p>
            <w:pPr>
              <w:spacing w:after="0"/>
              <w:rPr>
                <w:sz w:val="22"/>
                <w:szCs w:val="22"/>
                <w:color w:val="auto"/>
              </w:rPr>
            </w:pPr>
          </w:p>
        </w:tc>
        <w:tc>
          <w:tcPr>
            <w:tcW w:w="1480" w:type="dxa"/>
            <w:vAlign w:val="bottom"/>
          </w:tcPr>
          <w:p>
            <w:pPr>
              <w:jc w:val="right"/>
              <w:ind w:right="403"/>
              <w:spacing w:after="0"/>
              <w:rPr>
                <w:sz w:val="20"/>
                <w:szCs w:val="20"/>
                <w:color w:val="auto"/>
              </w:rPr>
            </w:pPr>
            <w:r>
              <w:rPr>
                <w:rFonts w:ascii="Arial" w:cs="Arial" w:eastAsia="Arial" w:hAnsi="Arial"/>
                <w:sz w:val="14"/>
                <w:szCs w:val="14"/>
                <w:b w:val="1"/>
                <w:bCs w:val="1"/>
                <w:color w:val="auto"/>
              </w:rPr>
              <w:t>March 31,</w:t>
            </w:r>
          </w:p>
        </w:tc>
        <w:tc>
          <w:tcPr>
            <w:tcW w:w="1580" w:type="dxa"/>
            <w:vAlign w:val="bottom"/>
          </w:tcPr>
          <w:p>
            <w:pPr>
              <w:jc w:val="right"/>
              <w:ind w:right="363"/>
              <w:spacing w:after="0"/>
              <w:rPr>
                <w:sz w:val="20"/>
                <w:szCs w:val="20"/>
                <w:color w:val="auto"/>
              </w:rPr>
            </w:pPr>
            <w:r>
              <w:rPr>
                <w:rFonts w:ascii="Arial" w:cs="Arial" w:eastAsia="Arial" w:hAnsi="Arial"/>
                <w:sz w:val="14"/>
                <w:szCs w:val="14"/>
                <w:color w:val="auto"/>
              </w:rPr>
              <w:t>December 31,</w:t>
            </w:r>
          </w:p>
        </w:tc>
        <w:tc>
          <w:tcPr>
            <w:tcW w:w="1440" w:type="dxa"/>
            <w:vAlign w:val="bottom"/>
            <w:gridSpan w:val="2"/>
          </w:tcPr>
          <w:p>
            <w:pPr>
              <w:ind w:left="280"/>
              <w:spacing w:after="0"/>
              <w:rPr>
                <w:sz w:val="20"/>
                <w:szCs w:val="20"/>
                <w:color w:val="auto"/>
              </w:rPr>
            </w:pPr>
            <w:r>
              <w:rPr>
                <w:rFonts w:ascii="Arial" w:cs="Arial" w:eastAsia="Arial" w:hAnsi="Arial"/>
                <w:sz w:val="14"/>
                <w:szCs w:val="14"/>
                <w:color w:val="auto"/>
              </w:rPr>
              <w:t>March 31,</w:t>
            </w:r>
          </w:p>
        </w:tc>
        <w:tc>
          <w:tcPr>
            <w:tcW w:w="1460" w:type="dxa"/>
            <w:vAlign w:val="bottom"/>
          </w:tcPr>
          <w:p>
            <w:pPr>
              <w:jc w:val="right"/>
              <w:ind w:right="383"/>
              <w:spacing w:after="0"/>
              <w:rPr>
                <w:sz w:val="20"/>
                <w:szCs w:val="20"/>
                <w:color w:val="auto"/>
              </w:rPr>
            </w:pPr>
            <w:r>
              <w:rPr>
                <w:rFonts w:ascii="Arial" w:cs="Arial" w:eastAsia="Arial" w:hAnsi="Arial"/>
                <w:sz w:val="14"/>
                <w:szCs w:val="14"/>
                <w:b w:val="1"/>
                <w:bCs w:val="1"/>
                <w:color w:val="auto"/>
              </w:rPr>
              <w:t>March 31,</w:t>
            </w:r>
          </w:p>
        </w:tc>
        <w:tc>
          <w:tcPr>
            <w:tcW w:w="1760" w:type="dxa"/>
            <w:vAlign w:val="bottom"/>
          </w:tcPr>
          <w:p>
            <w:pPr>
              <w:jc w:val="right"/>
              <w:ind w:right="563"/>
              <w:spacing w:after="0"/>
              <w:rPr>
                <w:sz w:val="20"/>
                <w:szCs w:val="20"/>
                <w:color w:val="auto"/>
              </w:rPr>
            </w:pPr>
            <w:r>
              <w:rPr>
                <w:rFonts w:ascii="Arial" w:cs="Arial" w:eastAsia="Arial" w:hAnsi="Arial"/>
                <w:sz w:val="14"/>
                <w:szCs w:val="14"/>
                <w:color w:val="auto"/>
              </w:rPr>
              <w:t>December 31,</w:t>
            </w:r>
          </w:p>
        </w:tc>
        <w:tc>
          <w:tcPr>
            <w:tcW w:w="1060" w:type="dxa"/>
            <w:vAlign w:val="bottom"/>
          </w:tcPr>
          <w:p>
            <w:pPr>
              <w:jc w:val="right"/>
              <w:ind w:right="303"/>
              <w:spacing w:after="0"/>
              <w:rPr>
                <w:sz w:val="20"/>
                <w:szCs w:val="20"/>
                <w:color w:val="auto"/>
              </w:rPr>
            </w:pPr>
            <w:r>
              <w:rPr>
                <w:rFonts w:ascii="Arial" w:cs="Arial" w:eastAsia="Arial" w:hAnsi="Arial"/>
                <w:sz w:val="14"/>
                <w:szCs w:val="14"/>
                <w:color w:val="auto"/>
              </w:rPr>
              <w:t>March 31,</w:t>
            </w:r>
          </w:p>
        </w:tc>
      </w:tr>
      <w:tr>
        <w:trPr>
          <w:trHeight w:val="196"/>
        </w:trPr>
        <w:tc>
          <w:tcPr>
            <w:tcW w:w="2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2014</w:t>
            </w:r>
          </w:p>
        </w:tc>
        <w:tc>
          <w:tcPr>
            <w:tcW w:w="15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2013</w:t>
            </w:r>
          </w:p>
        </w:tc>
        <w:tc>
          <w:tcPr>
            <w:tcW w:w="13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2014</w:t>
            </w:r>
          </w:p>
        </w:tc>
        <w:tc>
          <w:tcPr>
            <w:tcW w:w="1760" w:type="dxa"/>
            <w:vAlign w:val="bottom"/>
            <w:tcBorders>
              <w:bottom w:val="single" w:sz="8" w:color="auto"/>
            </w:tcBorders>
          </w:tcPr>
          <w:p>
            <w:pPr>
              <w:jc w:val="center"/>
              <w:ind w:right="323"/>
              <w:spacing w:after="0"/>
              <w:rPr>
                <w:sz w:val="20"/>
                <w:szCs w:val="20"/>
                <w:color w:val="auto"/>
              </w:rPr>
            </w:pPr>
            <w:r>
              <w:rPr>
                <w:rFonts w:ascii="Arial" w:cs="Arial" w:eastAsia="Arial" w:hAnsi="Arial"/>
                <w:sz w:val="14"/>
                <w:szCs w:val="14"/>
                <w:color w:val="auto"/>
              </w:rPr>
              <w:t>2013</w:t>
            </w: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2013</w:t>
            </w:r>
          </w:p>
        </w:tc>
      </w:tr>
      <w:tr>
        <w:trPr>
          <w:trHeight w:val="250"/>
        </w:trPr>
        <w:tc>
          <w:tcPr>
            <w:tcW w:w="264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480" w:type="dxa"/>
            <w:vAlign w:val="bottom"/>
          </w:tcPr>
          <w:p>
            <w:pPr>
              <w:jc w:val="right"/>
              <w:ind w:right="143"/>
              <w:spacing w:after="0"/>
              <w:rPr>
                <w:sz w:val="20"/>
                <w:szCs w:val="20"/>
                <w:color w:val="auto"/>
              </w:rPr>
            </w:pPr>
            <w:r>
              <w:rPr>
                <w:rFonts w:ascii="Arial" w:cs="Arial" w:eastAsia="Arial" w:hAnsi="Arial"/>
                <w:sz w:val="16"/>
                <w:szCs w:val="16"/>
                <w:b w:val="1"/>
                <w:bCs w:val="1"/>
                <w:color w:val="auto"/>
              </w:rPr>
              <w:t>47,109</w:t>
            </w:r>
          </w:p>
        </w:tc>
        <w:tc>
          <w:tcPr>
            <w:tcW w:w="1580" w:type="dxa"/>
            <w:vAlign w:val="bottom"/>
          </w:tcPr>
          <w:p>
            <w:pPr>
              <w:jc w:val="right"/>
              <w:ind w:right="223"/>
              <w:spacing w:after="0"/>
              <w:rPr>
                <w:sz w:val="20"/>
                <w:szCs w:val="20"/>
                <w:color w:val="auto"/>
              </w:rPr>
            </w:pPr>
            <w:r>
              <w:rPr>
                <w:rFonts w:ascii="Arial" w:cs="Arial" w:eastAsia="Arial" w:hAnsi="Arial"/>
                <w:sz w:val="16"/>
                <w:szCs w:val="16"/>
                <w:color w:val="auto"/>
              </w:rPr>
              <w:t>42,816</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45,788</w:t>
            </w:r>
          </w:p>
        </w:tc>
        <w:tc>
          <w:tcPr>
            <w:tcW w:w="120" w:type="dxa"/>
            <w:vAlign w:val="bottom"/>
          </w:tcPr>
          <w:p>
            <w:pPr>
              <w:spacing w:after="0"/>
              <w:rPr>
                <w:sz w:val="21"/>
                <w:szCs w:val="21"/>
                <w:color w:val="auto"/>
              </w:rPr>
            </w:pPr>
          </w:p>
        </w:tc>
        <w:tc>
          <w:tcPr>
            <w:tcW w:w="1460" w:type="dxa"/>
            <w:vAlign w:val="bottom"/>
          </w:tcPr>
          <w:p>
            <w:pPr>
              <w:jc w:val="right"/>
              <w:ind w:right="123"/>
              <w:spacing w:after="0"/>
              <w:rPr>
                <w:sz w:val="20"/>
                <w:szCs w:val="20"/>
                <w:color w:val="auto"/>
              </w:rPr>
            </w:pPr>
            <w:r>
              <w:rPr>
                <w:rFonts w:ascii="Arial" w:cs="Arial" w:eastAsia="Arial" w:hAnsi="Arial"/>
                <w:sz w:val="16"/>
                <w:szCs w:val="16"/>
                <w:b w:val="1"/>
                <w:bCs w:val="1"/>
                <w:color w:val="auto"/>
              </w:rPr>
              <w:t>47,109</w:t>
            </w:r>
          </w:p>
        </w:tc>
        <w:tc>
          <w:tcPr>
            <w:tcW w:w="1760" w:type="dxa"/>
            <w:vAlign w:val="bottom"/>
          </w:tcPr>
          <w:p>
            <w:pPr>
              <w:jc w:val="right"/>
              <w:ind w:right="423"/>
              <w:spacing w:after="0"/>
              <w:rPr>
                <w:sz w:val="20"/>
                <w:szCs w:val="20"/>
                <w:color w:val="auto"/>
              </w:rPr>
            </w:pPr>
            <w:r>
              <w:rPr>
                <w:rFonts w:ascii="Arial" w:cs="Arial" w:eastAsia="Arial" w:hAnsi="Arial"/>
                <w:sz w:val="16"/>
                <w:szCs w:val="16"/>
                <w:color w:val="auto"/>
              </w:rPr>
              <w:t>42,816</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45,788</w:t>
            </w:r>
          </w:p>
        </w:tc>
      </w:tr>
      <w:tr>
        <w:trPr>
          <w:trHeight w:val="283"/>
        </w:trPr>
        <w:tc>
          <w:tcPr>
            <w:tcW w:w="264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4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18,842</w:t>
            </w:r>
          </w:p>
        </w:tc>
        <w:tc>
          <w:tcPr>
            <w:tcW w:w="15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17,417</w:t>
            </w: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21,408</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18,309</w:t>
            </w:r>
          </w:p>
        </w:tc>
        <w:tc>
          <w:tcPr>
            <w:tcW w:w="176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auto"/>
              </w:rPr>
              <w:t>16,868</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20,002</w:t>
            </w:r>
          </w:p>
        </w:tc>
      </w:tr>
      <w:tr>
        <w:trPr>
          <w:trHeight w:val="264"/>
        </w:trPr>
        <w:tc>
          <w:tcPr>
            <w:tcW w:w="2640" w:type="dxa"/>
            <w:vAlign w:val="bottom"/>
          </w:tcPr>
          <w:p>
            <w:pPr>
              <w:spacing w:after="0"/>
              <w:rPr>
                <w:sz w:val="22"/>
                <w:szCs w:val="22"/>
                <w:color w:val="auto"/>
              </w:rPr>
            </w:pPr>
          </w:p>
        </w:tc>
        <w:tc>
          <w:tcPr>
            <w:tcW w:w="14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65,951</w:t>
            </w:r>
          </w:p>
        </w:tc>
        <w:tc>
          <w:tcPr>
            <w:tcW w:w="15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60,233</w:t>
            </w: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67,196</w:t>
            </w:r>
          </w:p>
        </w:tc>
        <w:tc>
          <w:tcPr>
            <w:tcW w:w="120" w:type="dxa"/>
            <w:vAlign w:val="bottom"/>
          </w:tcPr>
          <w:p>
            <w:pPr>
              <w:spacing w:after="0"/>
              <w:rPr>
                <w:sz w:val="22"/>
                <w:szCs w:val="22"/>
                <w:color w:val="auto"/>
              </w:rPr>
            </w:pPr>
          </w:p>
        </w:tc>
        <w:tc>
          <w:tcPr>
            <w:tcW w:w="14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65,418</w:t>
            </w:r>
          </w:p>
        </w:tc>
        <w:tc>
          <w:tcPr>
            <w:tcW w:w="176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auto"/>
              </w:rPr>
              <w:t>59,684</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65,790</w:t>
            </w:r>
          </w:p>
        </w:tc>
      </w:tr>
      <w:tr>
        <w:trPr>
          <w:trHeight w:val="20"/>
        </w:trPr>
        <w:tc>
          <w:tcPr>
            <w:tcW w:w="2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March 31, 2014 and 2013,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w:t>
            </w:r>
          </w:p>
        </w:tc>
        <w:tc>
          <w:tcPr>
            <w:tcW w:w="1000" w:type="dxa"/>
            <w:vAlign w:val="bottom"/>
            <w:tcBorders>
              <w:bottom w:val="single" w:sz="8" w:color="auto"/>
            </w:tcBorders>
          </w:tcPr>
          <w:p>
            <w:pPr>
              <w:spacing w:after="0"/>
              <w:rPr>
                <w:sz w:val="17"/>
                <w:szCs w:val="17"/>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2013</w:t>
            </w:r>
          </w:p>
        </w:tc>
      </w:tr>
      <w:tr>
        <w:trPr>
          <w:trHeight w:val="250"/>
        </w:trPr>
        <w:tc>
          <w:tcPr>
            <w:tcW w:w="824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2180" w:type="dxa"/>
            <w:vAlign w:val="bottom"/>
          </w:tcPr>
          <w:p>
            <w:pPr>
              <w:jc w:val="right"/>
              <w:ind w:right="602"/>
              <w:spacing w:after="0"/>
              <w:rPr>
                <w:sz w:val="20"/>
                <w:szCs w:val="20"/>
                <w:color w:val="auto"/>
              </w:rPr>
            </w:pPr>
            <w:r>
              <w:rPr>
                <w:rFonts w:ascii="Arial" w:cs="Arial" w:eastAsia="Arial" w:hAnsi="Arial"/>
                <w:sz w:val="16"/>
                <w:szCs w:val="16"/>
                <w:b w:val="1"/>
                <w:bCs w:val="1"/>
                <w:color w:val="auto"/>
              </w:rPr>
              <w:t>21.6%</w:t>
            </w:r>
          </w:p>
        </w:tc>
        <w:tc>
          <w:tcPr>
            <w:tcW w:w="100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2180" w:type="dxa"/>
            <w:vAlign w:val="bottom"/>
          </w:tcPr>
          <w:p>
            <w:pPr>
              <w:jc w:val="right"/>
              <w:ind w:right="602"/>
              <w:spacing w:after="0"/>
              <w:rPr>
                <w:sz w:val="20"/>
                <w:szCs w:val="20"/>
                <w:color w:val="auto"/>
              </w:rPr>
            </w:pPr>
            <w:r>
              <w:rPr>
                <w:rFonts w:ascii="Arial" w:cs="Arial" w:eastAsia="Arial" w:hAnsi="Arial"/>
                <w:sz w:val="16"/>
                <w:szCs w:val="16"/>
                <w:b w:val="1"/>
                <w:bCs w:val="1"/>
                <w:color w:val="auto"/>
              </w:rPr>
              <w:t>30.6%</w:t>
            </w:r>
          </w:p>
        </w:tc>
        <w:tc>
          <w:tcPr>
            <w:tcW w:w="100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Bachelor’s</w:t>
            </w:r>
          </w:p>
        </w:tc>
        <w:tc>
          <w:tcPr>
            <w:tcW w:w="2180" w:type="dxa"/>
            <w:vAlign w:val="bottom"/>
          </w:tcPr>
          <w:p>
            <w:pPr>
              <w:jc w:val="right"/>
              <w:ind w:right="602"/>
              <w:spacing w:after="0"/>
              <w:rPr>
                <w:sz w:val="20"/>
                <w:szCs w:val="20"/>
                <w:color w:val="auto"/>
              </w:rPr>
            </w:pPr>
            <w:r>
              <w:rPr>
                <w:rFonts w:ascii="Arial" w:cs="Arial" w:eastAsia="Arial" w:hAnsi="Arial"/>
                <w:sz w:val="16"/>
                <w:szCs w:val="16"/>
                <w:b w:val="1"/>
                <w:bCs w:val="1"/>
                <w:color w:val="auto"/>
              </w:rPr>
              <w:t>32.3%</w:t>
            </w:r>
          </w:p>
        </w:tc>
        <w:tc>
          <w:tcPr>
            <w:tcW w:w="100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83"/>
        </w:trPr>
        <w:tc>
          <w:tcPr>
            <w:tcW w:w="8240" w:type="dxa"/>
            <w:vAlign w:val="bottom"/>
          </w:tcPr>
          <w:p>
            <w:pPr>
              <w:ind w:left="40"/>
              <w:spacing w:after="0"/>
              <w:rPr>
                <w:sz w:val="20"/>
                <w:szCs w:val="20"/>
                <w:color w:val="auto"/>
              </w:rPr>
            </w:pPr>
            <w:r>
              <w:rPr>
                <w:rFonts w:ascii="Arial" w:cs="Arial" w:eastAsia="Arial" w:hAnsi="Arial"/>
                <w:sz w:val="16"/>
                <w:szCs w:val="16"/>
                <w:color w:val="auto"/>
              </w:rPr>
              <w:t>Master’s</w:t>
            </w:r>
          </w:p>
        </w:tc>
        <w:tc>
          <w:tcPr>
            <w:tcW w:w="21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15.5%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64"/>
        </w:trPr>
        <w:tc>
          <w:tcPr>
            <w:tcW w:w="8240" w:type="dxa"/>
            <w:vAlign w:val="bottom"/>
          </w:tcPr>
          <w:p>
            <w:pPr>
              <w:spacing w:after="0"/>
              <w:rPr>
                <w:sz w:val="22"/>
                <w:szCs w:val="22"/>
                <w:color w:val="auto"/>
              </w:rPr>
            </w:pPr>
          </w:p>
        </w:tc>
        <w:tc>
          <w:tcPr>
            <w:tcW w:w="21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100.0%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2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2% for the first quarter of 2014. Enrollment increased 2% for the first quarter of 2014 due to growth in health and bar review programs, offset by declines in graduate programs. KTP operating results declined in the first three months of 2014 due largely to decreased revenues.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10% in the first quarter of 2014 due to enrollment growth in the pathways programs, English-language and Singapore higher education programs. Kaplan International operating income improved in the first quarter of 2014 due to improved earnings in the pathways and English-language programs.</w:t>
      </w:r>
    </w:p>
    <w:p>
      <w:pPr>
        <w:spacing w:after="0" w:line="135" w:lineRule="exact"/>
        <w:rPr>
          <w:sz w:val="20"/>
          <w:szCs w:val="20"/>
          <w:color w:val="auto"/>
        </w:rPr>
      </w:pPr>
    </w:p>
    <w:p>
      <w:pPr>
        <w:ind w:right="440"/>
        <w:spacing w:after="0" w:line="470" w:lineRule="auto"/>
        <w:rPr>
          <w:sz w:val="20"/>
          <w:szCs w:val="20"/>
          <w:color w:val="auto"/>
        </w:rPr>
      </w:pPr>
      <w:r>
        <w:rPr>
          <w:rFonts w:ascii="Arial" w:cs="Arial" w:eastAsia="Arial" w:hAnsi="Arial"/>
          <w:sz w:val="18"/>
          <w:szCs w:val="18"/>
          <w:color w:val="auto"/>
        </w:rPr>
        <w:t xml:space="preserve">Kaplan corporate represents unallocated expenses of Kaplan, Inc.’s corporate office, other minor businesses and certain shared activities. Kaplan continues to evaluate its cost structure and may develop additional restructuring plans in 2014. </w:t>
      </w:r>
      <w:r>
        <w:rPr>
          <w:rFonts w:ascii="Arial" w:cs="Arial" w:eastAsia="Arial" w:hAnsi="Arial"/>
          <w:sz w:val="18"/>
          <w:szCs w:val="18"/>
          <w:b w:val="1"/>
          <w:bCs w:val="1"/>
          <w:i w:val="1"/>
          <w:iCs w:val="1"/>
          <w:color w:val="auto"/>
        </w:rPr>
        <w:t>Cable</w:t>
      </w:r>
    </w:p>
    <w:p>
      <w:pPr>
        <w:spacing w:after="0" w:line="243"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Cable division revenue increased 2% in the first quarter of 2014 to $203.9 million, from $200.1 million for the first quarter of 2013. The revenue increase for the first three months of 2014 is due to growth of the division's Internet and commercial sales revenues, recent rate increases for many subscribers and a reduction in promotional discounts. The increase was partially offset by a 2% decline in total customers and a 4% decline in total PSUs, as the cable division continues to increase its focus on high-value customers and decrease its focus on marginal customers.</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Cable division operating income grew 12% in the first quarter of 2014 to $41.2 million, from $36.6 million in the first quarter of 2013. The division’s operating income improved in the first three months of 2014 due to increased revenues and tight cost controls that resulted in a small reduction in overall operating costs.</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At March 31, 2014, total customers were down 2% and Primary Service Units (PSUs) were down 4% due to a decline in video subscribers. PSUs include about 6,100 subscribers who receive free basic cable service, primarily local governments, schools and other organizations as required by various franchise agreements. A summary 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PSUs and total customers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w:t>
            </w:r>
          </w:p>
        </w:tc>
        <w:tc>
          <w:tcPr>
            <w:tcW w:w="920" w:type="dxa"/>
            <w:vAlign w:val="bottom"/>
            <w:tcBorders>
              <w:bottom w:val="single" w:sz="8" w:color="auto"/>
            </w:tcBorders>
          </w:tcPr>
          <w:p>
            <w:pPr>
              <w:spacing w:after="0"/>
              <w:rPr>
                <w:sz w:val="17"/>
                <w:szCs w:val="17"/>
                <w:color w:val="auto"/>
              </w:rPr>
            </w:pPr>
          </w:p>
        </w:tc>
      </w:tr>
      <w:tr>
        <w:trPr>
          <w:trHeight w:val="264"/>
        </w:trPr>
        <w:tc>
          <w:tcPr>
            <w:tcW w:w="84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102"/>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2013</w:t>
            </w:r>
          </w:p>
        </w:tc>
      </w:tr>
      <w:tr>
        <w:trPr>
          <w:trHeight w:val="250"/>
        </w:trPr>
        <w:tc>
          <w:tcPr>
            <w:tcW w:w="8460" w:type="dxa"/>
            <w:vAlign w:val="bottom"/>
          </w:tcPr>
          <w:p>
            <w:pPr>
              <w:ind w:left="40"/>
              <w:spacing w:after="0"/>
              <w:rPr>
                <w:sz w:val="20"/>
                <w:szCs w:val="20"/>
                <w:color w:val="auto"/>
              </w:rPr>
            </w:pPr>
            <w:r>
              <w:rPr>
                <w:rFonts w:ascii="Arial" w:cs="Arial" w:eastAsia="Arial" w:hAnsi="Arial"/>
                <w:sz w:val="16"/>
                <w:szCs w:val="16"/>
                <w:color w:val="auto"/>
              </w:rPr>
              <w:t>Video</w:t>
            </w:r>
          </w:p>
        </w:tc>
        <w:tc>
          <w:tcPr>
            <w:tcW w:w="2040" w:type="dxa"/>
            <w:vAlign w:val="bottom"/>
          </w:tcPr>
          <w:p>
            <w:pPr>
              <w:jc w:val="right"/>
              <w:ind w:right="702"/>
              <w:spacing w:after="0"/>
              <w:rPr>
                <w:sz w:val="20"/>
                <w:szCs w:val="20"/>
                <w:color w:val="auto"/>
              </w:rPr>
            </w:pPr>
            <w:r>
              <w:rPr>
                <w:rFonts w:ascii="Arial" w:cs="Arial" w:eastAsia="Arial" w:hAnsi="Arial"/>
                <w:sz w:val="16"/>
                <w:szCs w:val="16"/>
                <w:b w:val="1"/>
                <w:bCs w:val="1"/>
                <w:color w:val="auto"/>
              </w:rPr>
              <w:t>524,563</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588,180</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2040" w:type="dxa"/>
            <w:vAlign w:val="bottom"/>
          </w:tcPr>
          <w:p>
            <w:pPr>
              <w:jc w:val="right"/>
              <w:ind w:right="702"/>
              <w:spacing w:after="0"/>
              <w:rPr>
                <w:sz w:val="20"/>
                <w:szCs w:val="20"/>
                <w:color w:val="auto"/>
              </w:rPr>
            </w:pPr>
            <w:r>
              <w:rPr>
                <w:rFonts w:ascii="Arial" w:cs="Arial" w:eastAsia="Arial" w:hAnsi="Arial"/>
                <w:sz w:val="16"/>
                <w:szCs w:val="16"/>
                <w:b w:val="1"/>
                <w:bCs w:val="1"/>
                <w:color w:val="auto"/>
              </w:rPr>
              <w:t>484,168</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463,726</w:t>
            </w:r>
          </w:p>
        </w:tc>
      </w:tr>
      <w:tr>
        <w:trPr>
          <w:trHeight w:val="283"/>
        </w:trPr>
        <w:tc>
          <w:tcPr>
            <w:tcW w:w="8460" w:type="dxa"/>
            <w:vAlign w:val="bottom"/>
          </w:tcPr>
          <w:p>
            <w:pPr>
              <w:ind w:left="40"/>
              <w:spacing w:after="0"/>
              <w:rPr>
                <w:sz w:val="20"/>
                <w:szCs w:val="20"/>
                <w:color w:val="auto"/>
              </w:rPr>
            </w:pPr>
            <w:r>
              <w:rPr>
                <w:rFonts w:ascii="Arial" w:cs="Arial" w:eastAsia="Arial" w:hAnsi="Arial"/>
                <w:sz w:val="16"/>
                <w:szCs w:val="16"/>
                <w:color w:val="auto"/>
              </w:rPr>
              <w:t>Telephony</w:t>
            </w:r>
          </w:p>
        </w:tc>
        <w:tc>
          <w:tcPr>
            <w:tcW w:w="20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174,876</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185,717</w:t>
            </w:r>
          </w:p>
        </w:tc>
      </w:tr>
      <w:tr>
        <w:trPr>
          <w:trHeight w:val="26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20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1,183,607</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1,237,623</w:t>
            </w:r>
          </w:p>
        </w:tc>
      </w:tr>
      <w:tr>
        <w:trPr>
          <w:trHeight w:val="20"/>
        </w:trPr>
        <w:tc>
          <w:tcPr>
            <w:tcW w:w="84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20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714,010</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732,010</w:t>
            </w:r>
          </w:p>
        </w:tc>
      </w:tr>
      <w:tr>
        <w:trPr>
          <w:trHeight w:val="20"/>
        </w:trPr>
        <w:tc>
          <w:tcPr>
            <w:tcW w:w="84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at the television broadcasting division increased 24% to $85.7 million in the first quarter of 2014, from $68.9 million in the same period of 2013; operating income for the first quarter of 2014 was up 52% to $44.4 million, from $29.1 million in the same period of 2013. The increase in revenue and operating income is due to a $ 3.1 million increase in political advertising revenue, $9.5 million in incremental winter Olympics-related advertising revenue at the Company's NBC affiliates and $4.7 million in increased retransmission revenues.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As discussed above, the television broadcasting operating results exclude WPLG, the Company's Miami-based television station, which has been reclassified to discontinued operations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acquired by the Company in August 2013; and Trove, a digital team focused on emerging technologies and new product development.</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April 2014, Celtic Healthcare acquired the assets of VNA-TIP Healthcare of Bridgeton, MO. This acquisition will expand Celtic's home health and hospice service areas from Pennsylvania and Maryland to the Missouri and Illinois region.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obligations related to prior business dispositions. In the first quarter of 2014, the corporate office implemented a Separation Incentive Program that resulted in early retirement program expense of $4.5 million, which will be funded from the assets of the Company pension plan. Excluding early retirement program expense, the total pension credit for the Company's traditional defined benefit plan was $22.4 million and $9.2 million in the first quarter of 2014 and 2013,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a 16.5% interest in Classified Ventures, LLC and interests in several other affiliates.</w:t>
      </w:r>
    </w:p>
    <w:p>
      <w:pPr>
        <w:spacing w:after="0" w:line="14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Company’s equity in earnings of affiliates, net, was $4.1 million for the first quarter of 2014, compared to $3.4 million for the first quarter of 2013.</w:t>
      </w:r>
    </w:p>
    <w:p>
      <w:pPr>
        <w:spacing w:after="0" w:line="135"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On April 1, 2014, the Company received a gross cash distribution of approximately $95 million from Classified Ventures’ sale of apartments.com. In connection with this sale, the Company will record a pre-tax gain of approximately $92 million in the second quarter of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Company recorded total other non-operating income, net, of $133.3 million for the first quarter of 2014, compared to expense of $4.1 million for the first quarter of 2013. The first quarter 2014 non-operating income, net, included a pre-tax $ 127.7 million gain on the sale of the headquarters building, $5.0 million in unrealized foreign currency gains and other items. The first quarter 2013 non-operating expense, net, included $4.6 million in unrealized foreign currency losses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16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incurred net interest expense of $8.2 million for the first quarter of 2014, compared to $8.5 million for the first quarter of 2013. At March 31, 2014, the Company had $452.5 million in borrowings outstanding at an average interest rate of 7.0%.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effective tax rate for income from continuing operations for the first quarter of 2014 was 37.1%, compared to 41.5% for the first quarter of 2013. The higher effective tax rate in 2013 results mostly from losses in Australia for which no tax benefit is recorded.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April 11, 2014, the Company and Berkshire Hathaway Inc. announced that they have signed an agreement for Berkshire to acquire a wholly-owned subsidiary of the Company that includes WPLG, the Company's Miami-based television station, a number of Berkshire shares currently held by the Company and cash in exchange for approximately 1.6 million shares of Graham Holdings Class B common stock currently owned by Berkshire. The transaction is expected to close in the second or third quarter of 2014. As a result, income from continuing operations excludes WPLG, which has been reclassified to discontinued operations, net of tax, for all periods presented.</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specific number of shares of each company and the amount of cash will be determined on the closing date based on certain factors, including the market prices of the shares of both companies at that time. The transaction is subject to FCC approval and other customary conditions. In addition, there are certain termination rights relating to minimum trading prices of the stock of each company immediately prior to closing and to a minimum value of the television station for purposes of the transaction on the closing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jc w:val="both"/>
        <w:ind w:right="580"/>
        <w:spacing w:after="0" w:line="229" w:lineRule="auto"/>
        <w:rPr>
          <w:sz w:val="20"/>
          <w:szCs w:val="20"/>
          <w:color w:val="auto"/>
        </w:rPr>
      </w:pPr>
      <w:r>
        <w:rPr>
          <w:rFonts w:ascii="Arial" w:cs="Arial" w:eastAsia="Arial" w:hAnsi="Arial"/>
          <w:sz w:val="18"/>
          <w:szCs w:val="18"/>
          <w:color w:val="auto"/>
        </w:rPr>
        <w:t>The calculation of diluted earnings per share for the first quarter of 2014 was based on 7,352,230 weighted average shares outstanding, compared to 7,266,284 for the first quarter of 2013. At March 31, 2014, there were 7,401,499 shares outstanding and the Company had remaining authorization from the Board of Directors to purchase up to 159,219 shares of Class B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66"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The Department of Education (ED) convened a negotiated rulemaking committee in September 2013 to consider a new gainful employment rule that is expected to go into effect in July 2015. On March 25, 2014, the ED released a final draft regulation. The new proposed regulation requires that each educational program meet certain debt-to-earnings ratios and programmatic level loan cohort default rate metric. Programs that fail one of these proposed metrics multiple years in a row would become ineligible for Title IV aid. The proposed rule also includes revised requirements for program approval, public disclosure on certain outcomes (graduation, placement, repayment rates, and other consumer information) and a “certification” requirement that each program is included in the school’s accreditation grant and has programmatic level accreditation if required for licensure in the occupation. A new final regulation published on or before November 1, 2014, generally would have an effective date of July 1, 2015, although the ultimate effective date is unknown at this time. The Company cannot predict the ultimate timing or substance of gainful employment regulations, nor can the Company fully predict the impact on Kaplan programs or institutions. Moreover, some of the data needed to compute program eligibility under the final draft regulation are not readily accessible; graduate incomes would be compiled by the Social Security Administration. In addition, the continuing eligibility of programs for Title IV funding may be affected by factors beyond Kaplan’s control, such as changes in the actual or deemed income level of its graduates, changes in student borrowing levels, increases in interest rates, changes in the U.S. Federal poverty income level relevant for calculating one of the proposed metrics and other factors. As a result, the ultimate outcome of gainful employment regulation and its impact on Kaplan’s operations is uncertain. The proposed regulation could cause Kaplan to eliminate or limit enrollments in certain educational programs at some or all of its schools, could result in the loss of student access to Title IV programs and could have a material adverse impact on KHE revenues, operating income and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144"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three months of 2014, the Company acquired one small business included in its education division; the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allocation comprised goodwill on a preliminary basis. In the first three months of 2013, the Company acquired one small business included in other business; the purchase price allocation mostly comprised goodwill and other intangible assets.</w:t>
      </w:r>
    </w:p>
    <w:p>
      <w:pPr>
        <w:spacing w:after="0" w:line="13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The operating results of VNA-TIP will be included in other businesses beginning in the second quarter of 2014.</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62" w:right="259" w:bottom="1440" w:gutter="0" w:footer="0" w:header="0"/>
        </w:sectPr>
      </w:pPr>
    </w:p>
    <w:bookmarkStart w:id="29" w:name="page30"/>
    <w:bookmarkEnd w:id="29"/>
    <w:p>
      <w:pPr>
        <w:ind w:right="80"/>
        <w:spacing w:after="0" w:line="233"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April 11, 2014, the Company and Berkshire Hathaway Inc. announced that they have signed an agreement for Berkshire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a wholly-owned subsidiary of the Company that includes WPLG, the Company's Miami-based television station, a number of Berkshire shares currently held by the Company and an amount of cash in exchange for approximately 1.6 million shares of Graham Holdings Class B common stock currently owned by Berkshire. The transaction is expected to close in the second or third quarter of 2014.</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specific number of shares of each company and the amount of cash will be determined on the closing date based on certain factors, including the market prices of the shares of both companies at that time. The transaction is subject to FCC approval and other customary conditions. In addition, there are certain termination rights relating to minimum trading prices of the stock of each company immediately prior to closing and to a minimum value of the television station for purposes of the transaction on the closing date.</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October 1, 2013, the Company completed the sale of most of its newspaper publishing businesses. The publishing businesses sold include The Washington Post, Express, The Gazette Newspapers, Southern Maryland Newspapers, Greater Washington Publishing, Fairfax County Times and El Tiempo Latino and related websites (Publishing Subsidiaries).</w:t>
      </w:r>
    </w:p>
    <w:p>
      <w:pPr>
        <w:spacing w:after="0" w:line="137" w:lineRule="exact"/>
        <w:rPr>
          <w:sz w:val="20"/>
          <w:szCs w:val="20"/>
          <w:color w:val="auto"/>
        </w:rPr>
      </w:pPr>
    </w:p>
    <w:p>
      <w:pPr>
        <w:spacing w:after="0" w:line="407" w:lineRule="auto"/>
        <w:rPr>
          <w:sz w:val="20"/>
          <w:szCs w:val="20"/>
          <w:color w:val="auto"/>
        </w:rPr>
      </w:pPr>
      <w:r>
        <w:rPr>
          <w:rFonts w:ascii="Arial" w:cs="Arial" w:eastAsia="Arial" w:hAnsi="Arial"/>
          <w:sz w:val="18"/>
          <w:szCs w:val="18"/>
          <w:color w:val="auto"/>
        </w:rPr>
        <w:t xml:space="preserve">In March 2013, the Company completed the sale of certain assets of The Herald, a daily and Sunday newspaper headquartered in Everett, WA. </w:t>
      </w:r>
      <w:r>
        <w:rPr>
          <w:rFonts w:ascii="Arial" w:cs="Arial" w:eastAsia="Arial" w:hAnsi="Arial"/>
          <w:sz w:val="18"/>
          <w:szCs w:val="18"/>
          <w:b w:val="1"/>
          <w:bCs w:val="1"/>
          <w:i w:val="1"/>
          <w:iCs w:val="1"/>
          <w:color w:val="auto"/>
        </w:rPr>
        <w:t>Capital Expenditures</w:t>
      </w:r>
    </w:p>
    <w:p>
      <w:pPr>
        <w:ind w:right="700"/>
        <w:spacing w:after="0" w:line="235" w:lineRule="auto"/>
        <w:rPr>
          <w:sz w:val="20"/>
          <w:szCs w:val="20"/>
          <w:color w:val="auto"/>
        </w:rPr>
      </w:pPr>
      <w:r>
        <w:rPr>
          <w:rFonts w:ascii="Arial" w:cs="Arial" w:eastAsia="Arial" w:hAnsi="Arial"/>
          <w:sz w:val="18"/>
          <w:szCs w:val="18"/>
          <w:color w:val="auto"/>
        </w:rPr>
        <w:t>During the first three months of 2014, the Company’s capital expenditures totaled $36.6 million. The Company estimates that its capital expenditures will be in the range of $225 million to $250 million in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Company’s borrowings increased by $1.8 million, to $452.5 million at March 31, 2014, as compared to borrowings of $450.8 million at December 31, 2013</w:t>
      </w:r>
      <w:r>
        <w:rPr>
          <w:rFonts w:ascii="Arial" w:cs="Arial" w:eastAsia="Arial" w:hAnsi="Arial"/>
          <w:sz w:val="18"/>
          <w:szCs w:val="18"/>
          <w:i w:val="1"/>
          <w:iCs w:val="1"/>
          <w:color w:val="auto"/>
        </w:rPr>
        <w:t>.</w:t>
      </w:r>
      <w:r>
        <w:rPr>
          <w:rFonts w:ascii="Arial" w:cs="Arial" w:eastAsia="Arial" w:hAnsi="Arial"/>
          <w:sz w:val="18"/>
          <w:szCs w:val="18"/>
          <w:color w:val="auto"/>
        </w:rPr>
        <w:t xml:space="preserve"> At March 31, 2014, the Company had $642.8 million in cash and cash equivalents, compared to $569.7 million at December 31, 2013. Restricted cash at March 31, 2014, totaled $52.0 million, compared to $83.8 million at December 31, 2013. The Company had money market investments of $460.9 million and $431.8 million that are classified as cash, cash equivalents and restricted cash in the Company’s condensed consolidated Balance Sheets as of March 31, 2014 and December 31, 2013, respectively. As of March 31, 2014, the Company held investments in commercial paper totaling $99.9 million with original maturities over 90 days. The Company did not have any investments in commercial paper at December 31, 2013. For the first quarter of 2014, these investments are presented in the Company's Condensed Consolidated Statements of Cash Flows as net cash used in investing activities.</w:t>
      </w:r>
    </w:p>
    <w:p>
      <w:pPr>
        <w:spacing w:after="0" w:line="13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Company’s total debt outstanding of $452.5 million at March 31, 2014 included $398.0 million of 7.25% unsecured notes due February 1, 2019, $46.2 million of AUD 50 million borrowing and $8.3 million in other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March 27, 2014, the Company completed the sale of its headquarters building for approximately $158.0 million.</w:t>
      </w:r>
    </w:p>
    <w:p>
      <w:pPr>
        <w:spacing w:after="0" w:line="144" w:lineRule="exact"/>
        <w:rPr>
          <w:sz w:val="20"/>
          <w:szCs w:val="20"/>
          <w:color w:val="auto"/>
        </w:rPr>
      </w:pPr>
    </w:p>
    <w:p>
      <w:pPr>
        <w:ind w:right="1320"/>
        <w:spacing w:after="0" w:line="235" w:lineRule="auto"/>
        <w:rPr>
          <w:sz w:val="20"/>
          <w:szCs w:val="20"/>
          <w:color w:val="auto"/>
        </w:rPr>
      </w:pPr>
      <w:r>
        <w:rPr>
          <w:rFonts w:ascii="Arial" w:cs="Arial" w:eastAsia="Arial" w:hAnsi="Arial"/>
          <w:sz w:val="18"/>
          <w:szCs w:val="18"/>
          <w:color w:val="auto"/>
        </w:rPr>
        <w:t>On April 1, 2014, the Company received a gross cash distribution of approximately $95 million from Classified Ventures' sale of apartments.com.</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April 11, 2014, the Company and Berkshire Hathaway Inc. announced that they have signed an agreement for Berkshire to acquire a wholly-owned subsidiary of the Company that includes WPLG, the Company's Miami-based television station, a number of Berkshire shares currently held by the Company and cash in exchange for approximately 1.6 million shares of Graham Holdings Class B common stock currently owned by Berkshire. The transaction is expected to close in the second or third quarter of 2014.</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June 2011, the Company entered into a credit agreement (the Credit Agreement) providing for a U.S. $450 million, AUD 50 million four year revolving credit facility (the Facility), with each of the lenders party thereto, JPMorgan Chase Bank, N.A., as Administrative Agent (JP Morgan), and J.P. Morgan Australia Limited, as Australian Sub-Agent. The Facility will expire on June 17, 2015, unless the Company and the banks agree to extend the term.</w:t>
      </w:r>
    </w:p>
    <w:p>
      <w:pPr>
        <w:spacing w:after="0" w:line="135"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In September 2013, Standard and Poor’s affirmed the Company's “BBB” long-term corporate debt rating and changed the outlook from Negative to Stable. In addition, S&amp;P upgraded the Company’s short-term corporate debt rating from “A-3” to “A-2”. On March 12, 2014, Moody's placed the Company's senior unsecured rating and its Prime-2 commercial paper rating on review for downgrade. The Company’s current credit ratings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40" w:type="dxa"/>
            <w:vAlign w:val="bottom"/>
          </w:tcPr>
          <w:p>
            <w:pPr>
              <w:jc w:val="right"/>
              <w:ind w:right="343"/>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480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Moody’s</w:t>
            </w:r>
          </w:p>
        </w:tc>
        <w:tc>
          <w:tcPr>
            <w:tcW w:w="13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Long-term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Baa1</w:t>
            </w:r>
          </w:p>
        </w:tc>
        <w:tc>
          <w:tcPr>
            <w:tcW w:w="1340" w:type="dxa"/>
            <w:vAlign w:val="bottom"/>
          </w:tcPr>
          <w:p>
            <w:pPr>
              <w:jc w:val="right"/>
              <w:spacing w:after="0"/>
              <w:rPr>
                <w:sz w:val="20"/>
                <w:szCs w:val="20"/>
                <w:color w:val="auto"/>
              </w:rPr>
            </w:pPr>
            <w:r>
              <w:rPr>
                <w:rFonts w:ascii="Arial" w:cs="Arial" w:eastAsia="Arial" w:hAnsi="Arial"/>
                <w:sz w:val="16"/>
                <w:szCs w:val="16"/>
                <w:color w:val="auto"/>
              </w:rPr>
              <w:t>BBB</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Short-term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Prime-2</w:t>
            </w:r>
          </w:p>
        </w:tc>
        <w:tc>
          <w:tcPr>
            <w:tcW w:w="1340" w:type="dxa"/>
            <w:vAlign w:val="bottom"/>
          </w:tcPr>
          <w:p>
            <w:pPr>
              <w:jc w:val="right"/>
              <w:spacing w:after="0"/>
              <w:rPr>
                <w:sz w:val="20"/>
                <w:szCs w:val="20"/>
                <w:color w:val="auto"/>
              </w:rPr>
            </w:pPr>
            <w:r>
              <w:rPr>
                <w:rFonts w:ascii="Arial" w:cs="Arial" w:eastAsia="Arial" w:hAnsi="Arial"/>
                <w:sz w:val="16"/>
                <w:szCs w:val="16"/>
                <w:color w:val="auto"/>
              </w:rPr>
              <w:t>A-2</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62" w:right="239" w:bottom="1440" w:gutter="0" w:footer="0" w:header="0"/>
        </w:sectPr>
      </w:pPr>
    </w:p>
    <w:bookmarkStart w:id="30" w:name="page31"/>
    <w:bookmarkEnd w:id="30"/>
    <w:p>
      <w:pPr>
        <w:ind w:right="20"/>
        <w:spacing w:after="0" w:line="229" w:lineRule="auto"/>
        <w:rPr>
          <w:sz w:val="20"/>
          <w:szCs w:val="20"/>
          <w:color w:val="auto"/>
        </w:rPr>
      </w:pPr>
      <w:r>
        <w:rPr>
          <w:rFonts w:ascii="Arial" w:cs="Arial" w:eastAsia="Arial" w:hAnsi="Arial"/>
          <w:sz w:val="18"/>
          <w:szCs w:val="18"/>
          <w:color w:val="auto"/>
        </w:rPr>
        <w:t>During the first three months of 2014 and 2013, the Company had average borrowings outstanding of approximately $451.2 million and $516.7 million, respectively, at average annual interest rates of approximately 7.0%. During the first three months of 2014 and 2013, the Company incurred net interest expense of $8.2 million and $8.5 million, respectively.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At March 31, 2014 and December 31, 2013, the Company had working capital of $849.4 million and $ 768.3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borrowings supported by our Credit Agreement. In management’s opinion, the Company will have sufficient liquidity to meet its various cash needs throughout 2014.</w:t>
      </w:r>
    </w:p>
    <w:p>
      <w:pPr>
        <w:spacing w:after="0" w:line="13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2013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March 31, 2014.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6"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March 31, 2014 that has materially affected, or is reasonably likely to materially affect, the Company’s internal control over financial reporting.</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584"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1050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345"/>
        </w:trPr>
        <w:tc>
          <w:tcPr>
            <w:tcW w:w="11420" w:type="dxa"/>
            <w:vAlign w:val="bottom"/>
            <w:gridSpan w:val="2"/>
          </w:tcPr>
          <w:p>
            <w:pPr>
              <w:spacing w:after="0"/>
              <w:rPr>
                <w:sz w:val="20"/>
                <w:szCs w:val="20"/>
                <w:color w:val="auto"/>
              </w:rPr>
            </w:pPr>
            <w:r>
              <w:rPr>
                <w:rFonts w:ascii="Arial" w:cs="Arial" w:eastAsia="Arial" w:hAnsi="Arial"/>
                <w:sz w:val="16"/>
                <w:szCs w:val="16"/>
                <w:b w:val="1"/>
                <w:bCs w:val="1"/>
                <w:color w:val="auto"/>
              </w:rPr>
              <w:t>Item 6. Exhibits.</w:t>
            </w:r>
          </w:p>
        </w:tc>
        <w:tc>
          <w:tcPr>
            <w:tcW w:w="0" w:type="dxa"/>
            <w:vAlign w:val="bottom"/>
          </w:tcPr>
          <w:p>
            <w:pPr>
              <w:spacing w:after="0"/>
              <w:rPr>
                <w:sz w:val="1"/>
                <w:szCs w:val="1"/>
                <w:color w:val="auto"/>
              </w:rPr>
            </w:pPr>
          </w:p>
        </w:tc>
      </w:tr>
      <w:tr>
        <w:trPr>
          <w:trHeight w:val="303"/>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52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3.4</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Four Year Credit Agreement, dated as of June 17, 2011, among the Company, JPMorgan Chase Bank, N.A., J.P. Morgan Australia Limited,</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Wells Fargo Bank, N.A., The Royal Bank of Scotland PLC, HSBC Bank USA, National Association, The Bank of New York Mellon, PNC Bank,</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National Association, Bank of America, N.A., Citibank, N.A. and The Northern Trust Company (incorporated by reference to Exhibit 10.1 to the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Company’s Current Report on Form 8-K dated June 17, 2011).</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120" w:hanging="910"/>
        <w:spacing w:after="0" w:line="24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March 31, 2014, formatted in Extensible Business Reporting Language (XBRL): (i) Condensed Consolidated Statements of Operations for the Three Months Ended March 31, 2014 and 2013, (ii) Condensed Consolidated Statements of Comprehensive Income for the Three Months Ended March 31, 2014 and 2013, (iii) Condensed Consolidated Balance Sheets as of March 31, 2014 and December 31, 2013, (iv) Condensed Consolidated Statements of Cash Flows for the Three Months Ended March 31, 2014 and 2013,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62" w:right="239" w:bottom="1440" w:gutter="0" w:footer="0" w:header="0"/>
        </w:sectPr>
      </w:pPr>
    </w:p>
    <w:bookmarkStart w:id="32" w:name="page33"/>
    <w:bookmarkEnd w:id="3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120"/>
          </w:cols>
          <w:pgMar w:left="240" w:top="74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May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May 6, 2014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left="-1459"/>
        <w:spacing w:after="0"/>
        <w:rPr>
          <w:sz w:val="20"/>
          <w:szCs w:val="20"/>
          <w:color w:val="auto"/>
        </w:rPr>
      </w:pPr>
      <w:r>
        <w:rPr>
          <w:rFonts w:ascii="Arial" w:cs="Arial" w:eastAsia="Arial" w:hAnsi="Arial"/>
          <w:sz w:val="17"/>
          <w:szCs w:val="17"/>
          <w:color w:val="auto"/>
        </w:rPr>
        <w:t>GRAHAM HOLDINGS COMPANY</w:t>
      </w:r>
    </w:p>
    <w:p>
      <w:pPr>
        <w:spacing w:after="0" w:line="61" w:lineRule="exact"/>
        <w:rPr>
          <w:sz w:val="20"/>
          <w:szCs w:val="20"/>
          <w:color w:val="auto"/>
        </w:rPr>
      </w:pPr>
    </w:p>
    <w:p>
      <w:pPr>
        <w:jc w:val="center"/>
        <w:ind w:left="-1459"/>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23495</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4"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Donald E. Graham,</w:t>
      </w:r>
    </w:p>
    <w:p>
      <w:pPr>
        <w:spacing w:after="0" w:line="19"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Chairman &amp; Chief Executive Officer</w:t>
      </w:r>
    </w:p>
    <w:p>
      <w:pPr>
        <w:spacing w:after="0" w:line="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(Principal Executive Officer)</w:t>
      </w:r>
    </w:p>
    <w:p>
      <w:pPr>
        <w:spacing w:after="0" w:line="347" w:lineRule="exact"/>
        <w:rPr>
          <w:sz w:val="20"/>
          <w:szCs w:val="20"/>
          <w:color w:val="auto"/>
        </w:rPr>
      </w:pPr>
    </w:p>
    <w:p>
      <w:pPr>
        <w:jc w:val="center"/>
        <w:ind w:left="-1459"/>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14605</wp:posOffset>
            </wp:positionV>
            <wp:extent cx="260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Hal S. Jones,</w:t>
      </w:r>
    </w:p>
    <w:p>
      <w:pPr>
        <w:spacing w:after="0" w:line="19"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Senior Vice President-Finance</w:t>
      </w:r>
    </w:p>
    <w:p>
      <w:pPr>
        <w:spacing w:after="0" w:line="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(Principal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4900" w:space="720"/>
            <w:col w:w="5500"/>
          </w:cols>
          <w:pgMar w:left="240" w:top="742" w:right="5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Graham Holdings Company (the “Registrant”),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98"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638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ectPr>
          <w:pgSz w:w="11900" w:h="16838" w:orient="portrait"/>
          <w:cols w:equalWidth="0" w:num="1">
            <w:col w:w="11420"/>
          </w:cols>
          <w:pgMar w:left="240" w:top="60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0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ectPr>
          <w:pgSz w:w="11900" w:h="16838" w:orient="portrait"/>
          <w:cols w:equalWidth="0" w:num="1">
            <w:col w:w="11420"/>
          </w:cols>
          <w:pgMar w:left="240" w:top="59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 connection with the Quarterly Report of Graham Holdings Company (the “Company”) on Form 10-Q for the period ended March 31, 2014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3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75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0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098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02"/>
    </w:lvl>
  </w:abstractNum>
  <w:abstractNum w:abstractNumId="3">
    <w:nsid w:val="12200854"/>
    <w:multiLevelType w:val="hybridMultilevel"/>
    <w:lvl w:ilvl="0">
      <w:lvlJc w:val="left"/>
      <w:lvlText w:val="\emdash "/>
      <w:numFmt w:val="bullet"/>
      <w:start w:val="1"/>
    </w:lvl>
  </w:abstractNum>
  <w:abstractNum w:abstractNumId="4">
    <w:nsid w:val="4DB127F8"/>
    <w:multiLevelType w:val="hybridMultilevel"/>
    <w:lvl w:ilvl="0">
      <w:lvlJc w:val="left"/>
      <w:lvlText w:val="%1"/>
      <w:numFmt w:val="decimal"/>
      <w:start w:val="172"/>
    </w:lvl>
  </w:abstractNum>
  <w:abstractNum w:abstractNumId="5">
    <w:nsid w:val="216231B"/>
    <w:multiLevelType w:val="hybridMultilevel"/>
    <w:lvl w:ilvl="0">
      <w:lvlJc w:val="left"/>
      <w:lvlText w:val="%1"/>
      <w:numFmt w:val="decimal"/>
      <w:start w:val="219"/>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2019-12-05T15:11:02Z</dcterms:created>
  <dcterms:modified xsi:type="dcterms:W3CDTF">2019-12-05T15:11:02Z</dcterms:modified>
</cp:coreProperties>
</file>