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90"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August 5, 2011</w:t>
      </w:r>
    </w:p>
    <w:p>
      <w:pPr>
        <w:spacing w:after="0" w:line="136" w:lineRule="exact"/>
        <w:rPr>
          <w:sz w:val="24"/>
          <w:szCs w:val="24"/>
          <w:color w:val="auto"/>
        </w:rPr>
      </w:pPr>
    </w:p>
    <w:p>
      <w:pPr>
        <w:ind w:left="1920"/>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tbl>
      <w:tblPr>
        <w:tblLayout w:type="fixed"/>
        <w:tblInd w:w="1180" w:type="dxa"/>
        <w:tblCellMar>
          <w:top w:w="0" w:type="dxa"/>
          <w:left w:w="0" w:type="dxa"/>
          <w:bottom w:w="0" w:type="dxa"/>
          <w:right w:w="0" w:type="dxa"/>
        </w:tblCellMar>
      </w:tblPr>
      <w:tr>
        <w:trPr>
          <w:trHeight w:val="228"/>
        </w:trPr>
        <w:tc>
          <w:tcPr>
            <w:tcW w:w="7180" w:type="dxa"/>
            <w:vAlign w:val="bottom"/>
            <w:gridSpan w:val="2"/>
          </w:tcPr>
          <w:p>
            <w:pPr>
              <w:ind w:left="2600"/>
              <w:spacing w:after="0"/>
              <w:rPr>
                <w:sz w:val="20"/>
                <w:szCs w:val="20"/>
                <w:color w:val="auto"/>
              </w:rPr>
            </w:pPr>
            <w:r>
              <w:rPr>
                <w:rFonts w:ascii="Arial" w:cs="Arial" w:eastAsia="Arial" w:hAnsi="Arial"/>
                <w:sz w:val="18"/>
                <w:szCs w:val="18"/>
                <w:b w:val="1"/>
                <w:bCs w:val="1"/>
                <w:color w:val="auto"/>
              </w:rPr>
              <w:t>(Exact name of registrant as specified in its charter)</w:t>
            </w:r>
          </w:p>
        </w:tc>
        <w:tc>
          <w:tcPr>
            <w:tcW w:w="1760" w:type="dxa"/>
            <w:vAlign w:val="bottom"/>
          </w:tcPr>
          <w:p>
            <w:pPr>
              <w:spacing w:after="0"/>
              <w:rPr>
                <w:sz w:val="19"/>
                <w:szCs w:val="19"/>
                <w:color w:val="auto"/>
              </w:rPr>
            </w:pPr>
          </w:p>
        </w:tc>
      </w:tr>
      <w:tr>
        <w:trPr>
          <w:trHeight w:val="388"/>
        </w:trPr>
        <w:tc>
          <w:tcPr>
            <w:tcW w:w="4220" w:type="dxa"/>
            <w:vAlign w:val="bottom"/>
          </w:tcPr>
          <w:p>
            <w:pPr>
              <w:jc w:val="center"/>
              <w:ind w:right="2602"/>
              <w:spacing w:after="0"/>
              <w:rPr>
                <w:sz w:val="20"/>
                <w:szCs w:val="20"/>
                <w:color w:val="auto"/>
              </w:rPr>
            </w:pPr>
            <w:r>
              <w:rPr>
                <w:rFonts w:ascii="Arial" w:cs="Arial" w:eastAsia="Arial" w:hAnsi="Arial"/>
                <w:sz w:val="18"/>
                <w:szCs w:val="18"/>
                <w:b w:val="1"/>
                <w:bCs w:val="1"/>
                <w:color w:val="auto"/>
                <w:w w:val="88"/>
              </w:rPr>
              <w:t>Delaware</w:t>
            </w:r>
          </w:p>
        </w:tc>
        <w:tc>
          <w:tcPr>
            <w:tcW w:w="2960" w:type="dxa"/>
            <w:vAlign w:val="bottom"/>
          </w:tcPr>
          <w:p>
            <w:pPr>
              <w:jc w:val="center"/>
              <w:ind w:right="1986"/>
              <w:spacing w:after="0"/>
              <w:rPr>
                <w:sz w:val="20"/>
                <w:szCs w:val="20"/>
                <w:color w:val="auto"/>
              </w:rPr>
            </w:pPr>
            <w:r>
              <w:rPr>
                <w:rFonts w:ascii="Arial" w:cs="Arial" w:eastAsia="Arial" w:hAnsi="Arial"/>
                <w:sz w:val="18"/>
                <w:szCs w:val="18"/>
                <w:b w:val="1"/>
                <w:bCs w:val="1"/>
                <w:color w:val="auto"/>
                <w:w w:val="89"/>
              </w:rPr>
              <w:t>1-6714</w:t>
            </w:r>
          </w:p>
        </w:tc>
        <w:tc>
          <w:tcPr>
            <w:tcW w:w="1760" w:type="dxa"/>
            <w:vAlign w:val="bottom"/>
          </w:tcPr>
          <w:p>
            <w:pPr>
              <w:jc w:val="right"/>
              <w:ind w:right="2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4220" w:type="dxa"/>
            <w:vAlign w:val="bottom"/>
          </w:tcPr>
          <w:p>
            <w:pPr>
              <w:jc w:val="center"/>
              <w:ind w:right="260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960" w:type="dxa"/>
            <w:vAlign w:val="bottom"/>
          </w:tcPr>
          <w:p>
            <w:pPr>
              <w:jc w:val="center"/>
              <w:ind w:right="2006"/>
              <w:spacing w:after="0" w:line="149" w:lineRule="exact"/>
              <w:rPr>
                <w:sz w:val="20"/>
                <w:szCs w:val="20"/>
                <w:color w:val="auto"/>
              </w:rPr>
            </w:pPr>
            <w:r>
              <w:rPr>
                <w:rFonts w:ascii="Arial" w:cs="Arial" w:eastAsia="Arial" w:hAnsi="Arial"/>
                <w:sz w:val="14"/>
                <w:szCs w:val="14"/>
                <w:b w:val="1"/>
                <w:bCs w:val="1"/>
                <w:color w:val="auto"/>
                <w:w w:val="85"/>
              </w:rPr>
              <w:t>(Commission</w:t>
            </w:r>
          </w:p>
        </w:tc>
        <w:tc>
          <w:tcPr>
            <w:tcW w:w="1760" w:type="dxa"/>
            <w:vAlign w:val="bottom"/>
          </w:tcPr>
          <w:p>
            <w:pPr>
              <w:jc w:val="center"/>
              <w:ind w:left="6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220" w:type="dxa"/>
            <w:vAlign w:val="bottom"/>
          </w:tcPr>
          <w:p>
            <w:pPr>
              <w:jc w:val="center"/>
              <w:ind w:right="2602"/>
              <w:spacing w:after="0"/>
              <w:rPr>
                <w:sz w:val="20"/>
                <w:szCs w:val="20"/>
                <w:color w:val="auto"/>
              </w:rPr>
            </w:pPr>
            <w:r>
              <w:rPr>
                <w:rFonts w:ascii="Arial" w:cs="Arial" w:eastAsia="Arial" w:hAnsi="Arial"/>
                <w:sz w:val="14"/>
                <w:szCs w:val="14"/>
                <w:b w:val="1"/>
                <w:bCs w:val="1"/>
                <w:color w:val="auto"/>
                <w:w w:val="87"/>
              </w:rPr>
              <w:t>of incorporation)</w:t>
            </w:r>
          </w:p>
        </w:tc>
        <w:tc>
          <w:tcPr>
            <w:tcW w:w="2960" w:type="dxa"/>
            <w:vAlign w:val="bottom"/>
          </w:tcPr>
          <w:p>
            <w:pPr>
              <w:jc w:val="center"/>
              <w:ind w:right="1986"/>
              <w:spacing w:after="0"/>
              <w:rPr>
                <w:sz w:val="20"/>
                <w:szCs w:val="20"/>
                <w:color w:val="auto"/>
              </w:rPr>
            </w:pPr>
            <w:r>
              <w:rPr>
                <w:rFonts w:ascii="Arial" w:cs="Arial" w:eastAsia="Arial" w:hAnsi="Arial"/>
                <w:sz w:val="14"/>
                <w:szCs w:val="14"/>
                <w:b w:val="1"/>
                <w:bCs w:val="1"/>
                <w:color w:val="auto"/>
                <w:w w:val="91"/>
              </w:rPr>
              <w:t>File Number)</w:t>
            </w:r>
          </w:p>
        </w:tc>
        <w:tc>
          <w:tcPr>
            <w:tcW w:w="1760" w:type="dxa"/>
            <w:vAlign w:val="bottom"/>
          </w:tcPr>
          <w:p>
            <w:pPr>
              <w:jc w:val="center"/>
              <w:ind w:left="62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220" w:type="dxa"/>
            <w:vAlign w:val="bottom"/>
          </w:tcPr>
          <w:p>
            <w:pPr>
              <w:jc w:val="center"/>
              <w:ind w:left="1022"/>
              <w:spacing w:after="0"/>
              <w:rPr>
                <w:sz w:val="20"/>
                <w:szCs w:val="20"/>
                <w:color w:val="auto"/>
              </w:rPr>
            </w:pPr>
            <w:r>
              <w:rPr>
                <w:rFonts w:ascii="Arial" w:cs="Arial" w:eastAsia="Arial" w:hAnsi="Arial"/>
                <w:sz w:val="18"/>
                <w:szCs w:val="18"/>
                <w:b w:val="1"/>
                <w:bCs w:val="1"/>
                <w:color w:val="auto"/>
                <w:w w:val="88"/>
              </w:rPr>
              <w:t>1150 15th Street, N.W. Washington, D.C.</w:t>
            </w:r>
          </w:p>
        </w:tc>
        <w:tc>
          <w:tcPr>
            <w:tcW w:w="2960" w:type="dxa"/>
            <w:vAlign w:val="bottom"/>
          </w:tcPr>
          <w:p>
            <w:pPr>
              <w:spacing w:after="0"/>
              <w:rPr>
                <w:sz w:val="24"/>
                <w:szCs w:val="24"/>
                <w:color w:val="auto"/>
              </w:rPr>
            </w:pPr>
          </w:p>
        </w:tc>
        <w:tc>
          <w:tcPr>
            <w:tcW w:w="1760" w:type="dxa"/>
            <w:vAlign w:val="bottom"/>
          </w:tcPr>
          <w:p>
            <w:pPr>
              <w:jc w:val="right"/>
              <w:ind w:right="224"/>
              <w:spacing w:after="0"/>
              <w:rPr>
                <w:sz w:val="20"/>
                <w:szCs w:val="20"/>
                <w:color w:val="auto"/>
              </w:rPr>
            </w:pPr>
            <w:r>
              <w:rPr>
                <w:rFonts w:ascii="Arial" w:cs="Arial" w:eastAsia="Arial" w:hAnsi="Arial"/>
                <w:sz w:val="18"/>
                <w:szCs w:val="18"/>
                <w:b w:val="1"/>
                <w:bCs w:val="1"/>
                <w:color w:val="auto"/>
              </w:rPr>
              <w:t>20071</w:t>
            </w:r>
          </w:p>
        </w:tc>
      </w:tr>
      <w:tr>
        <w:trPr>
          <w:trHeight w:val="174"/>
        </w:trPr>
        <w:tc>
          <w:tcPr>
            <w:tcW w:w="4220" w:type="dxa"/>
            <w:vAlign w:val="bottom"/>
          </w:tcPr>
          <w:p>
            <w:pPr>
              <w:jc w:val="center"/>
              <w:ind w:left="10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960" w:type="dxa"/>
            <w:vAlign w:val="bottom"/>
          </w:tcPr>
          <w:p>
            <w:pPr>
              <w:spacing w:after="0"/>
              <w:rPr>
                <w:sz w:val="15"/>
                <w:szCs w:val="15"/>
                <w:color w:val="auto"/>
              </w:rPr>
            </w:pPr>
          </w:p>
        </w:tc>
        <w:tc>
          <w:tcPr>
            <w:tcW w:w="1760" w:type="dxa"/>
            <w:vAlign w:val="bottom"/>
          </w:tcPr>
          <w:p>
            <w:pPr>
              <w:jc w:val="center"/>
              <w:ind w:left="62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4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206"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August 5, 2011, The Washington Post Company issued a press release announcing the Company’s earnings for the first quarter ended July 3, 2011. A copy of this press release is furnished with this report as an exhibit to this Form 8-K.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99.1 The Washington Post Company Earnings Release Dated August 5, 2011.</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460" w:val="left"/>
          <w:tab w:leader="none" w:pos="8460" w:val="left"/>
        </w:tabs>
        <w:rPr>
          <w:sz w:val="20"/>
          <w:szCs w:val="20"/>
          <w:color w:val="auto"/>
        </w:rPr>
      </w:pPr>
      <w:r>
        <w:rPr>
          <w:rFonts w:ascii="Arial" w:cs="Arial" w:eastAsia="Arial" w:hAnsi="Arial"/>
          <w:sz w:val="18"/>
          <w:szCs w:val="18"/>
          <w:color w:val="auto"/>
        </w:rPr>
        <w:t>Date</w:t>
        <w:tab/>
        <w:t>August 5, 2011</w:t>
      </w:r>
      <w:r>
        <w:rPr>
          <w:sz w:val="20"/>
          <w:szCs w:val="20"/>
          <w:color w:val="auto"/>
        </w:rPr>
        <w:tab/>
      </w:r>
      <w:r>
        <w:rPr>
          <w:rFonts w:ascii="Arial" w:cs="Arial" w:eastAsia="Arial" w:hAnsi="Arial"/>
          <w:sz w:val="15"/>
          <w:szCs w:val="15"/>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6946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16"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Senior Vice President - Finance</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August 5, 2011.</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9480" w:type="dxa"/>
            <w:vAlign w:val="bottom"/>
          </w:tcPr>
          <w:p>
            <w:pPr>
              <w:spacing w:after="0"/>
              <w:rPr>
                <w:sz w:val="19"/>
                <w:szCs w:val="19"/>
                <w:color w:val="auto"/>
              </w:rPr>
            </w:pPr>
          </w:p>
        </w:tc>
        <w:tc>
          <w:tcPr>
            <w:tcW w:w="1940" w:type="dxa"/>
            <w:vAlign w:val="bottom"/>
            <w:gridSpan w:val="2"/>
          </w:tcPr>
          <w:p>
            <w:pPr>
              <w:ind w:left="1040"/>
              <w:spacing w:after="0"/>
              <w:rPr>
                <w:sz w:val="20"/>
                <w:szCs w:val="20"/>
                <w:color w:val="auto"/>
              </w:rPr>
            </w:pPr>
            <w:r>
              <w:rPr>
                <w:rFonts w:ascii="Arial" w:cs="Arial" w:eastAsia="Arial" w:hAnsi="Arial"/>
                <w:sz w:val="18"/>
                <w:szCs w:val="18"/>
                <w:b w:val="1"/>
                <w:bCs w:val="1"/>
                <w:color w:val="auto"/>
                <w:w w:val="87"/>
              </w:rPr>
              <w:t>Exhibit 99.1</w:t>
            </w:r>
          </w:p>
        </w:tc>
      </w:tr>
      <w:tr>
        <w:trPr>
          <w:trHeight w:val="380"/>
        </w:trPr>
        <w:tc>
          <w:tcPr>
            <w:tcW w:w="9480" w:type="dxa"/>
            <w:vAlign w:val="bottom"/>
          </w:tcPr>
          <w:p>
            <w:pPr>
              <w:jc w:val="right"/>
              <w:ind w:right="7692"/>
              <w:spacing w:after="0"/>
              <w:rPr>
                <w:sz w:val="20"/>
                <w:szCs w:val="20"/>
                <w:color w:val="auto"/>
              </w:rPr>
            </w:pPr>
            <w:r>
              <w:rPr>
                <w:rFonts w:ascii="Arial" w:cs="Arial" w:eastAsia="Arial" w:hAnsi="Arial"/>
                <w:sz w:val="18"/>
                <w:szCs w:val="18"/>
                <w:color w:val="auto"/>
                <w:w w:val="91"/>
              </w:rPr>
              <w:t>Contact:   Hal S. Jones</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For Immediate Release</w:t>
            </w:r>
          </w:p>
        </w:tc>
        <w:tc>
          <w:tcPr>
            <w:tcW w:w="300" w:type="dxa"/>
            <w:vAlign w:val="bottom"/>
          </w:tcPr>
          <w:p>
            <w:pPr>
              <w:spacing w:after="0"/>
              <w:rPr>
                <w:sz w:val="24"/>
                <w:szCs w:val="24"/>
                <w:color w:val="auto"/>
              </w:rPr>
            </w:pPr>
          </w:p>
        </w:tc>
      </w:tr>
      <w:tr>
        <w:trPr>
          <w:trHeight w:val="235"/>
        </w:trPr>
        <w:tc>
          <w:tcPr>
            <w:tcW w:w="9480" w:type="dxa"/>
            <w:vAlign w:val="bottom"/>
          </w:tcPr>
          <w:p>
            <w:pPr>
              <w:jc w:val="right"/>
              <w:ind w:right="7472"/>
              <w:spacing w:after="0"/>
              <w:rPr>
                <w:sz w:val="20"/>
                <w:szCs w:val="20"/>
                <w:color w:val="auto"/>
              </w:rPr>
            </w:pPr>
            <w:r>
              <w:rPr>
                <w:rFonts w:ascii="Arial" w:cs="Arial" w:eastAsia="Arial" w:hAnsi="Arial"/>
                <w:sz w:val="18"/>
                <w:szCs w:val="18"/>
                <w:color w:val="auto"/>
              </w:rPr>
              <w:t>(202) 334-6645</w:t>
            </w:r>
          </w:p>
        </w:tc>
        <w:tc>
          <w:tcPr>
            <w:tcW w:w="1940" w:type="dxa"/>
            <w:vAlign w:val="bottom"/>
            <w:gridSpan w:val="2"/>
          </w:tcPr>
          <w:p>
            <w:pPr>
              <w:spacing w:after="0"/>
              <w:rPr>
                <w:sz w:val="20"/>
                <w:szCs w:val="20"/>
                <w:color w:val="auto"/>
              </w:rPr>
            </w:pPr>
            <w:r>
              <w:rPr>
                <w:rFonts w:ascii="Arial" w:cs="Arial" w:eastAsia="Arial" w:hAnsi="Arial"/>
                <w:sz w:val="18"/>
                <w:szCs w:val="18"/>
                <w:color w:val="auto"/>
              </w:rPr>
              <w:t>August 5, 2011</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EARNINGS</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WASHINGTON – The Washington Post Company (NYSE: WPO) today reported net income available for common shares of $45.6 million ($5.74 per share) for the second quarter ended July 3, 2011, compared to $91.9 million ($10.00 per share) in the second quarter of last year. Net income includes $1.4 million ($0.18 per share) and $9.6 million ($1.04 per share) in losses from discontinued operations for the second quarter of 2011 and 2010, respectively. Income from continuing operations available for common shares was $47.0 million ($5.92 per share) for the second quarter of 2011, compared to $101.5 million ($11.04 per share) for the second quarter of 2010.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Items included in the Company’s income from continuing operations for the second quarter of 2010:</w:t>
      </w:r>
    </w:p>
    <w:p>
      <w:pPr>
        <w:spacing w:after="0" w:line="90" w:lineRule="exact"/>
        <w:rPr>
          <w:sz w:val="20"/>
          <w:szCs w:val="20"/>
          <w:color w:val="auto"/>
        </w:rPr>
      </w:pPr>
    </w:p>
    <w:p>
      <w:pPr>
        <w:ind w:left="440" w:right="24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$17.7 million charge recorded at The Washington Post in connection with the withdrawal from a multiemployer pension plan (after-tax impact of $11.0 million, or $1.19 per share);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$3.8 million in non-operating unrealized foreign currency losses (after-tax impact of $2.3 million, or $0.25 per share).</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Revenue for the second quarter of 2011 was $1,073.0 million, down 10% from $1,197.4 million in 2010. The Company reported operating income of $81.1 million in the second quarter of 2011, compared to operating income of $166.9 million in 2010. Revenues were down at the education and newspaper publishing divisions, while revenues were up at the television broadcasting and cable television divisions. Operating results declined at the education and cable television divisions and improved at the television broadcasting division. Excluding the multiemployer pension plan charge noted above, operating results also declined at the newspaper publishing division.</w:t>
      </w:r>
    </w:p>
    <w:p>
      <w:pPr>
        <w:spacing w:after="0" w:line="143"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For the first six months of 2011, the Company reported net income available for common shares of $60.7 million ($7.57 per share), compared to $137.3 million ($14.91 per share) for the same period of 2010. Net income includes $3.2 million ($0.40 per share) and $18.0 million ($1.95 per share) in losses from discontinued operations for the first six months of 2011 and 2010, respectively. Income from continuing operations available for common shares was $64.0 million ($7.97 per share) for the first six months of 2011, compared to $155.3 million ($16.86 per share) for the first six months of 2010. As a result of the Company’s share repurchases, there were 13% fewer diluted average shares outstanding in the first half of 2011.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Items included in the Company’s income from continuing operations for the first six months of 2011:</w:t>
      </w:r>
    </w:p>
    <w:p>
      <w:pPr>
        <w:spacing w:after="0" w:line="90"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$30.7 million write-down of a marketable equity security (after-tax impact of $19.8 million, or $2.44 per share);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 million in non-operating unrealized foreign currency gains (after-tax impact of $1.9 million, or $0.24 per share).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2010:</w:t>
      </w:r>
    </w:p>
    <w:p>
      <w:pPr>
        <w:spacing w:after="0" w:line="90" w:lineRule="exact"/>
        <w:rPr>
          <w:sz w:val="20"/>
          <w:szCs w:val="20"/>
          <w:color w:val="auto"/>
        </w:rPr>
      </w:pPr>
    </w:p>
    <w:p>
      <w:pPr>
        <w:ind w:left="440" w:right="220" w:hanging="324"/>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$17.7 million charge recorded at The Washington Post in connection with the withdrawal from a multiemployer pension plan (after-tax impact of $11.0 million, or $1.19 per share);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$7.1 million in non-operating unrealized foreign currency losses (after-tax impact of $4.4 million, or $0.48 per share).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 for the first half of 2011 was $2,126.0 million, down 9% from $2,326.4 million in the first half of 2010. Revenues were down at the education and newspaper publishing divisions, while revenues were up at the television broadcasting and cable television divisions. The Company reported operating income of $136.1 million for the first half of 2011, compared to $273.5 million for the first half of 2010. Operating results declined at the education and cable television divisions and improved at the television broadcasting division. Excluding the multiemployer pension plan charge noted above, operating results also declined at the newspaper publishing division.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Division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Education division revenue totaled $628.7 million for the second quarter of 2011, a 15% decline from revenue of $742.9 million for the second quarter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 Kaplan reported second quarter 2011 operating income of $20.5 million, down from $112.4 million in the second quarter of 2010.</w:t>
      </w:r>
    </w:p>
    <w:p>
      <w:pPr>
        <w:spacing w:after="0" w:line="16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For the first six months of 2011, education division revenue totaled $1,258.7 million, a 13% decline from revenue of $1,441.3 million for the same period of 2010. Kaplan reported operating income of $39.0 million for the first six months of 2011, down from $173.8 million for the first six months of 2010.</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summary of Kaplan’s operating results for the second quarter and the first six months of 2011 compared to 2010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w w:val="82"/>
              </w:rPr>
              <w:t>Second Quarter</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color w:val="auto"/>
              </w:rPr>
              <w:t>YTD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ind w:left="160"/>
              <w:spacing w:after="0" w:line="131"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ind w:left="140"/>
              <w:spacing w:after="0" w:line="13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040" w:type="dxa"/>
            <w:vAlign w:val="bottom"/>
            <w:gridSpan w:val="4"/>
          </w:tcPr>
          <w:p>
            <w:pPr>
              <w:spacing w:after="0" w:line="15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3"/>
                <w:szCs w:val="13"/>
                <w:color w:val="auto"/>
              </w:rPr>
            </w:pPr>
          </w:p>
        </w:tc>
        <w:tc>
          <w:tcPr>
            <w:tcW w:w="580" w:type="dxa"/>
            <w:vAlign w:val="bottom"/>
          </w:tcPr>
          <w:p>
            <w:pPr>
              <w:jc w:val="right"/>
              <w:ind w:right="113"/>
              <w:spacing w:after="0" w:line="159" w:lineRule="exact"/>
              <w:rPr>
                <w:sz w:val="20"/>
                <w:szCs w:val="20"/>
                <w:color w:val="auto"/>
              </w:rPr>
            </w:pPr>
            <w:r>
              <w:rPr>
                <w:rFonts w:ascii="Arial" w:cs="Arial" w:eastAsia="Arial" w:hAnsi="Arial"/>
                <w:sz w:val="14"/>
                <w:szCs w:val="14"/>
                <w:color w:val="auto"/>
              </w:rPr>
              <w:t>2011</w:t>
            </w:r>
          </w:p>
        </w:tc>
        <w:tc>
          <w:tcPr>
            <w:tcW w:w="80" w:type="dxa"/>
            <w:vAlign w:val="bottom"/>
          </w:tcPr>
          <w:p>
            <w:pPr>
              <w:spacing w:after="0"/>
              <w:rPr>
                <w:sz w:val="13"/>
                <w:szCs w:val="13"/>
                <w:color w:val="auto"/>
              </w:rPr>
            </w:pPr>
          </w:p>
        </w:tc>
        <w:tc>
          <w:tcPr>
            <w:tcW w:w="90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2010</w:t>
            </w:r>
          </w:p>
        </w:tc>
        <w:tc>
          <w:tcPr>
            <w:tcW w:w="280" w:type="dxa"/>
            <w:vAlign w:val="bottom"/>
          </w:tcPr>
          <w:p>
            <w:pPr>
              <w:spacing w:after="0"/>
              <w:rPr>
                <w:sz w:val="13"/>
                <w:szCs w:val="13"/>
                <w:color w:val="auto"/>
              </w:rPr>
            </w:pPr>
          </w:p>
        </w:tc>
        <w:tc>
          <w:tcPr>
            <w:tcW w:w="6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1"/>
              </w:rPr>
              <w:t>Change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73"/>
              <w:spacing w:after="0" w:line="159" w:lineRule="exact"/>
              <w:rPr>
                <w:sz w:val="20"/>
                <w:szCs w:val="20"/>
                <w:color w:val="auto"/>
              </w:rPr>
            </w:pPr>
            <w:r>
              <w:rPr>
                <w:rFonts w:ascii="Arial" w:cs="Arial" w:eastAsia="Arial" w:hAnsi="Arial"/>
                <w:sz w:val="14"/>
                <w:szCs w:val="14"/>
                <w:color w:val="auto"/>
              </w:rPr>
              <w:t>2011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73"/>
              <w:spacing w:after="0" w:line="159" w:lineRule="exact"/>
              <w:rPr>
                <w:sz w:val="20"/>
                <w:szCs w:val="20"/>
                <w:color w:val="auto"/>
              </w:rPr>
            </w:pPr>
            <w:r>
              <w:rPr>
                <w:rFonts w:ascii="Arial" w:cs="Arial" w:eastAsia="Arial" w:hAnsi="Arial"/>
                <w:sz w:val="14"/>
                <w:szCs w:val="14"/>
                <w:color w:val="auto"/>
              </w:rPr>
              <w:t>2010</w:t>
            </w:r>
          </w:p>
        </w:tc>
        <w:tc>
          <w:tcPr>
            <w:tcW w:w="300" w:type="dxa"/>
            <w:vAlign w:val="bottom"/>
          </w:tcPr>
          <w:p>
            <w:pPr>
              <w:spacing w:after="0"/>
              <w:rPr>
                <w:sz w:val="13"/>
                <w:szCs w:val="13"/>
                <w:color w:val="auto"/>
              </w:rPr>
            </w:pP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77"/>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ind w:left="42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362,169</w:t>
            </w:r>
          </w:p>
        </w:tc>
        <w:tc>
          <w:tcPr>
            <w:tcW w:w="8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$507,448</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752,448</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986,199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Test preparation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83,197</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85,238</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159,053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ind w:left="420"/>
              <w:spacing w:after="0"/>
              <w:rPr>
                <w:sz w:val="20"/>
                <w:szCs w:val="20"/>
                <w:color w:val="auto"/>
              </w:rPr>
            </w:pPr>
            <w:r>
              <w:rPr>
                <w:rFonts w:ascii="Arial" w:cs="Arial" w:eastAsia="Arial" w:hAnsi="Arial"/>
                <w:sz w:val="18"/>
                <w:szCs w:val="18"/>
                <w:color w:val="auto"/>
              </w:rPr>
              <w:t>Kaplan international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166,071</w:t>
            </w:r>
          </w:p>
        </w:tc>
        <w:tc>
          <w:tcPr>
            <w:tcW w:w="8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137,389</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314,758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271,374</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17,418</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13,423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27,546</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ind w:left="420"/>
              <w:spacing w:after="0"/>
              <w:rPr>
                <w:sz w:val="20"/>
                <w:szCs w:val="20"/>
                <w:color w:val="auto"/>
              </w:rPr>
            </w:pPr>
            <w:r>
              <w:rPr>
                <w:rFonts w:ascii="Arial" w:cs="Arial" w:eastAsia="Arial" w:hAnsi="Arial"/>
                <w:sz w:val="18"/>
                <w:szCs w:val="18"/>
                <w:color w:val="auto"/>
              </w:rPr>
              <w:t>Kaplan corporate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1,283</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2,574</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(1,219)</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(1,860)</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(5,489)</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628,701</w:t>
            </w:r>
          </w:p>
        </w:tc>
        <w:tc>
          <w:tcPr>
            <w:tcW w:w="80" w:type="dxa"/>
            <w:vAlign w:val="bottom"/>
          </w:tcPr>
          <w:p>
            <w:pPr>
              <w:spacing w:after="0"/>
              <w:rPr>
                <w:sz w:val="19"/>
                <w:szCs w:val="19"/>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742,921</w:t>
            </w:r>
          </w:p>
        </w:tc>
        <w:tc>
          <w:tcPr>
            <w:tcW w:w="600" w:type="dxa"/>
            <w:vAlign w:val="bottom"/>
            <w:gridSpan w:val="2"/>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1,258,728</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1,441,257</w:t>
            </w: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Operating Income (loss)</w:t>
            </w:r>
          </w:p>
        </w:tc>
        <w:tc>
          <w:tcPr>
            <w:tcW w:w="4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ind w:left="42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45,295</w:t>
            </w:r>
          </w:p>
        </w:tc>
        <w:tc>
          <w:tcPr>
            <w:tcW w:w="8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$127,067</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95,778</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218,671</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Test preparation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(11,597)</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(24,273)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(12,097)</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ind w:left="420"/>
              <w:spacing w:after="0"/>
              <w:rPr>
                <w:sz w:val="20"/>
                <w:szCs w:val="20"/>
                <w:color w:val="auto"/>
              </w:rPr>
            </w:pPr>
            <w:r>
              <w:rPr>
                <w:rFonts w:ascii="Arial" w:cs="Arial" w:eastAsia="Arial" w:hAnsi="Arial"/>
                <w:sz w:val="18"/>
                <w:szCs w:val="18"/>
                <w:color w:val="auto"/>
              </w:rPr>
              <w:t>Kaplan international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10,207</w:t>
            </w:r>
          </w:p>
        </w:tc>
        <w:tc>
          <w:tcPr>
            <w:tcW w:w="8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12,945</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17,472</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(4,949)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(7,358)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(8,930)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ind w:left="420"/>
              <w:spacing w:after="0"/>
              <w:rPr>
                <w:sz w:val="20"/>
                <w:szCs w:val="20"/>
                <w:color w:val="auto"/>
              </w:rPr>
            </w:pPr>
            <w:r>
              <w:rPr>
                <w:rFonts w:ascii="Arial" w:cs="Arial" w:eastAsia="Arial" w:hAnsi="Arial"/>
                <w:sz w:val="18"/>
                <w:szCs w:val="18"/>
                <w:color w:val="auto"/>
              </w:rPr>
              <w:t>Kaplan corporate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(13,141)</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(15,202)</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(25,584)</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(28,392)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Kaplan stock compensation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(1,087)</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(5,547)</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(6,300)</w:t>
            </w: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(10,472)</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(11,520)</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20,462</w:t>
            </w:r>
          </w:p>
        </w:tc>
        <w:tc>
          <w:tcPr>
            <w:tcW w:w="80" w:type="dxa"/>
            <w:vAlign w:val="bottom"/>
          </w:tcPr>
          <w:p>
            <w:pPr>
              <w:spacing w:after="0"/>
              <w:rPr>
                <w:sz w:val="19"/>
                <w:szCs w:val="19"/>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$ 112,391</w:t>
            </w:r>
          </w:p>
        </w:tc>
        <w:tc>
          <w:tcPr>
            <w:tcW w:w="600" w:type="dxa"/>
            <w:vAlign w:val="bottom"/>
            <w:gridSpan w:val="2"/>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38,974</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173,835</w:t>
            </w: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Kaplan sold Kaplan Virtual Education in July 2011 and Education Connection in April 2010. Consequently, the education division’s operating results exclude these businesses.</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Kaplan Higher Education includes Kaplan’s domestic postsecondary education businesses, made up of fixed-facility colleges and online postsecondary and career programs. KHE also includes the domestic professional training and other continuing education businesses. In the second quarter and first six months of 2011, higher education revenue declined 29% and 24%, respectively, due to declines in average enrollments. Operating income decreased 64% and 56% for the second quarter and first six months of 2011, respectively. These declines were due to lower revenue, increased regulatory compliance costs and $5.5 million in second quarter 2011 severance costs associated with workforce reductions, offset by lower advertising costs and other expense reductions associated with lower enrollments.</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KHE has implemented a number of marketing and admissions changes to increase student selectivity and help KHE comply with recent regulations. KHE also implemented the Kaplan Commitment program, which provides first-time students with a risk-free trial period. Under the Kaplan Commitment program, KHE also monitors academic progress and conducts academic assessments to help determine whether students are likely to be successful in their chosen course of study. Students who withdraw or are subject to academic dismissal during the risk-free trial period do not incur any significant financial obligation. These changes, along with generally lower demand, have resulted in a 47% decline in new enrollments versus the prior year. Management estimates that without the Kaplan Commitment this decline would have been approximately 36%. Management also estimates that revenue for the first half of 2011 would have been approximately $27 million higher if the Kaplan Commitment had not been implemented. KHE does not recognize tuition revenue for students during the risk-free period.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expects KHE’s operating income to continue to decline for the remainder of 2011 versus prior year performance due to lower student enrollment levels. In addition, Kaplan is formulating plans that are expected to result in additional restructuring and other costs that may be material in 2011, but that should establish lower cost levels in future periods.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summary of KHE student enrollments, excluding the Kaplan University School of Continuing and Professional Education, at June 30, 2011, and June 30, 2010, is as follows: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80" w:type="dxa"/>
            <w:vAlign w:val="bottom"/>
            <w:gridSpan w:val="4"/>
          </w:tcPr>
          <w:p>
            <w:pPr>
              <w:jc w:val="center"/>
              <w:ind w:right="460"/>
              <w:spacing w:after="0"/>
              <w:rPr>
                <w:sz w:val="20"/>
                <w:szCs w:val="20"/>
                <w:color w:val="auto"/>
              </w:rPr>
            </w:pPr>
            <w:r>
              <w:rPr>
                <w:rFonts w:ascii="Arial" w:cs="Arial" w:eastAsia="Arial" w:hAnsi="Arial"/>
                <w:sz w:val="14"/>
                <w:szCs w:val="14"/>
                <w:color w:val="auto"/>
                <w:w w:val="87"/>
              </w:rPr>
              <w:t>Student Enrollments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6980" w:type="dxa"/>
            <w:vAlign w:val="bottom"/>
          </w:tcPr>
          <w:p>
            <w:pPr>
              <w:spacing w:after="0"/>
              <w:rPr>
                <w:sz w:val="13"/>
                <w:szCs w:val="13"/>
                <w:color w:val="auto"/>
              </w:rPr>
            </w:pPr>
          </w:p>
        </w:tc>
        <w:tc>
          <w:tcPr>
            <w:tcW w:w="2080" w:type="dxa"/>
            <w:vAlign w:val="bottom"/>
            <w:gridSpan w:val="4"/>
          </w:tcPr>
          <w:p>
            <w:pPr>
              <w:jc w:val="center"/>
              <w:ind w:right="460"/>
              <w:spacing w:after="0" w:line="159" w:lineRule="exact"/>
              <w:rPr>
                <w:sz w:val="20"/>
                <w:szCs w:val="20"/>
                <w:color w:val="auto"/>
              </w:rPr>
            </w:pPr>
            <w:r>
              <w:rPr>
                <w:rFonts w:ascii="Arial" w:cs="Arial" w:eastAsia="Arial" w:hAnsi="Arial"/>
                <w:sz w:val="14"/>
                <w:szCs w:val="14"/>
                <w:color w:val="auto"/>
                <w:w w:val="87"/>
              </w:rPr>
              <w:t>As of June 30,</w:t>
            </w:r>
          </w:p>
        </w:tc>
        <w:tc>
          <w:tcPr>
            <w:tcW w:w="420" w:type="dxa"/>
            <w:vAlign w:val="bottom"/>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142"/>
        </w:trPr>
        <w:tc>
          <w:tcPr>
            <w:tcW w:w="698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rPr>
              <w:t>2011</w:t>
            </w:r>
          </w:p>
        </w:tc>
        <w:tc>
          <w:tcPr>
            <w:tcW w:w="4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2010</w:t>
            </w:r>
          </w:p>
        </w:tc>
        <w:tc>
          <w:tcPr>
            <w:tcW w:w="460" w:type="dxa"/>
            <w:vAlign w:val="bottom"/>
          </w:tcPr>
          <w:p>
            <w:pPr>
              <w:spacing w:after="0"/>
              <w:rPr>
                <w:sz w:val="12"/>
                <w:szCs w:val="12"/>
                <w:color w:val="auto"/>
              </w:rPr>
            </w:pPr>
          </w:p>
        </w:tc>
        <w:tc>
          <w:tcPr>
            <w:tcW w:w="52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85"/>
              </w:rPr>
              <w:t>Change</w:t>
            </w:r>
          </w:p>
        </w:tc>
      </w:tr>
      <w:tr>
        <w:trPr>
          <w:trHeight w:val="88"/>
        </w:trPr>
        <w:tc>
          <w:tcPr>
            <w:tcW w:w="69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Kaplan University</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53,309</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75,520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Kaplan Higher Education Campuses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25,225</w:t>
            </w:r>
          </w:p>
        </w:tc>
        <w:tc>
          <w:tcPr>
            <w:tcW w:w="4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36,701</w:t>
            </w:r>
          </w:p>
        </w:tc>
        <w:tc>
          <w:tcPr>
            <w:tcW w:w="4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69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78,534</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112,221</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0"/>
        </w:trPr>
        <w:tc>
          <w:tcPr>
            <w:tcW w:w="6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Kaplan University enrollments included 5,837 and 8,111 campus-based students as of June 30, 2011, and June 30, 2010, respectively.</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Kaplan University and Kaplan Higher Education Campuses enrollments at June 30, 2011, and June 30, 2010, by degree and certificate programs,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540" w:type="dxa"/>
            <w:vAlign w:val="bottom"/>
            <w:gridSpan w:val="4"/>
          </w:tcPr>
          <w:p>
            <w:pPr>
              <w:jc w:val="right"/>
              <w:ind w:right="480"/>
              <w:spacing w:after="0"/>
              <w:rPr>
                <w:sz w:val="20"/>
                <w:szCs w:val="20"/>
                <w:color w:val="auto"/>
              </w:rPr>
            </w:pPr>
            <w:r>
              <w:rPr>
                <w:rFonts w:ascii="Arial" w:cs="Arial" w:eastAsia="Arial" w:hAnsi="Arial"/>
                <w:sz w:val="14"/>
                <w:szCs w:val="14"/>
                <w:color w:val="auto"/>
              </w:rPr>
              <w:t>As of June 30,</w:t>
            </w:r>
          </w:p>
        </w:tc>
      </w:tr>
      <w:tr>
        <w:trPr>
          <w:trHeight w:val="142"/>
        </w:trPr>
        <w:tc>
          <w:tcPr>
            <w:tcW w:w="71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2011</w:t>
            </w:r>
          </w:p>
        </w:tc>
        <w:tc>
          <w:tcPr>
            <w:tcW w:w="5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Certificate</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22.8%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Associate’s</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31.7%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33.9%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Bachelor’s</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35.2%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33.8%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Master’s</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10.3%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r>
        <w:trPr>
          <w:trHeight w:val="27"/>
        </w:trPr>
        <w:tc>
          <w:tcPr>
            <w:tcW w:w="7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Test preparation includes Kaplan’s standardized test preparation and tutoring offerings and other businesses. In the first quarter of 2010, the Company discontinued certain offerings of the K12 business; $3.2 million and $7.8 million in severance and other closure costs were recorded in the second quarter and first half of 2010, respectively, in connection with this plan. In the fourth quarter of 2010, Kaplan Test Preparation began implementing a plan to reorganize its business consistent with the migration of students to Kaplan’s online and hybrid test preparation offerings, reducing the number of leased test preparation centers. In the first half of 2011, implementation of the plan continued and $6.2 million and $8.5 million in additional costs were incurred in the second quarter and first six months of 2011, respectively. This plan is expected to be largely completed by the end of 2011, and the Company estimates that approximately $4.0 million in additional costs will be incurred.</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Test preparation revenue declined 2% in the second quarter and first six months of 2011. Strong enrollment increases, particularly in the Pre-College and Nursing programs, were offset by reduced prices for many programs related to increased competition and a shift in demand to lower priced online test preparation offerings. Test preparation operating results were down in the first half of 2011 due to reduced prices at the traditional test preparation programs and higher spending to expand online offerings and innovate various programs.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 w:name="page9"/>
    <w:bookmarkEnd w:id="8"/>
    <w:p>
      <w:pPr>
        <w:ind w:right="18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Kaplan International includes professional training and postsecondary education businesses outside the United States, as well as English-language programs. In May 2011, Kaplan Australia acquired Franklyn Scholar and Carrick Education Group, leading national providers of vocational training and higher education in Australia. In June 2011, Kaplan acquired Structuralia, a provider of e-learning for the engineering and infrastructure sector in Spain. Kaplan International revenue increased 21% and 16% in the second quarter and first six months of 2011, respectively. Excluding revenue from acquired businesses, Kaplan International revenue increased 14% and 12% in the second quarter and first six months of 2011, respectively, due to favorable exchange rates and enrollment growth in the pathways and English-language programs. Kaplan International operating income declined in the first half of 2011 due to enrollment declines at its United Kingdom professional training schools arising from new pending student visa restrictions. In addition, Kaplan International operating income declined due to up-front spending for admission and occupancy at its Asian and UK businesses to support expanding operations.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Kaplan Ventures is made up of several businesses in various stages of development that are managed separately from the other education businesses. Revenue at Kaplan Ventures increased 30% for first six months of 2011. Kaplan Ventures reported an operating loss of $4.3 million and $7.4 million in the second quarter and first six months of 2011, compared to an operating loss of $4.9 million and $8.9 million in the second quarter and first six months of 2010,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represents unallocated expenses of Kaplan, Inc.’s corporate office and other minor shared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Cable television division revenue increased slightly in the second quarter of 2011 to $191.2 million, from $190.6 million for the second quarter of 2010; for the first six months of 2011, revenue increased to $381.5 million, from $379.9 million in the same period of 2010. The revenue increase in 2011 is due to continued growth of the division’s Internet and telephone service revenues, offset by an increase in promotional discounts.</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Cable television division operating income decreased 8% to $40.4 million, from $43.8 million in the second quarter of 2010; cable division operating income for the first half of 2011 decreased 9% to $78.1 million, from $86.3 million for the first half of 2010. The division’s operating income declined primarily due to increased programming, technical and sales costs.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May 2011, Joplin, Missouri was struck by a tornado, resulting in a reduction of subscribers at the Company’s cable system, at least on a temporary basis.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estimates that it will cost approximately $3.0 million to replace property, plant and equipment that was destroyed.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 w:name="page10"/>
    <w:bookmarkEnd w:id="9"/>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June 30, 2011, Primary Service Units (PSUs) were up 6% from the prior year due to growth in high-speed data and telephony subscribers, offset by a decrease in basic video subscribers. A summary of PSUs is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760" w:type="dxa"/>
            <w:vAlign w:val="bottom"/>
          </w:tcPr>
          <w:p>
            <w:pPr>
              <w:jc w:val="right"/>
              <w:ind w:right="79"/>
              <w:spacing w:after="0"/>
              <w:rPr>
                <w:sz w:val="20"/>
                <w:szCs w:val="20"/>
                <w:color w:val="auto"/>
              </w:rPr>
            </w:pPr>
            <w:r>
              <w:rPr>
                <w:rFonts w:ascii="Arial" w:cs="Arial" w:eastAsia="Arial" w:hAnsi="Arial"/>
                <w:sz w:val="14"/>
                <w:szCs w:val="14"/>
                <w:color w:val="auto"/>
              </w:rPr>
              <w:t>June 30,</w:t>
            </w:r>
          </w:p>
        </w:tc>
        <w:tc>
          <w:tcPr>
            <w:tcW w:w="34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760" w:type="dxa"/>
            <w:vAlign w:val="bottom"/>
          </w:tcPr>
          <w:p>
            <w:pPr>
              <w:jc w:val="right"/>
              <w:ind w:right="179"/>
              <w:spacing w:after="0" w:line="159" w:lineRule="exact"/>
              <w:rPr>
                <w:sz w:val="20"/>
                <w:szCs w:val="20"/>
                <w:color w:val="auto"/>
              </w:rPr>
            </w:pPr>
            <w:r>
              <w:rPr>
                <w:rFonts w:ascii="Arial" w:cs="Arial" w:eastAsia="Arial" w:hAnsi="Arial"/>
                <w:sz w:val="14"/>
                <w:szCs w:val="14"/>
                <w:color w:val="auto"/>
              </w:rPr>
              <w:t>2011</w:t>
            </w:r>
          </w:p>
        </w:tc>
        <w:tc>
          <w:tcPr>
            <w:tcW w:w="1100" w:type="dxa"/>
            <w:vAlign w:val="bottom"/>
            <w:gridSpan w:val="2"/>
          </w:tcPr>
          <w:p>
            <w:pPr>
              <w:jc w:val="right"/>
              <w:ind w:right="162"/>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7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Basic video</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High-speed data</w:t>
            </w:r>
          </w:p>
        </w:tc>
        <w:tc>
          <w:tcPr>
            <w:tcW w:w="760" w:type="dxa"/>
            <w:vAlign w:val="bottom"/>
          </w:tcPr>
          <w:p>
            <w:pPr>
              <w:jc w:val="right"/>
              <w:spacing w:after="0"/>
              <w:rPr>
                <w:sz w:val="20"/>
                <w:szCs w:val="20"/>
                <w:color w:val="auto"/>
              </w:rPr>
            </w:pPr>
            <w:r>
              <w:rPr>
                <w:rFonts w:ascii="Arial" w:cs="Arial" w:eastAsia="Arial" w:hAnsi="Arial"/>
                <w:sz w:val="18"/>
                <w:szCs w:val="18"/>
                <w:color w:val="auto"/>
              </w:rPr>
              <w:t>444,357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406,900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Telephony</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173,977</w:t>
            </w:r>
          </w:p>
        </w:tc>
        <w:tc>
          <w:tcPr>
            <w:tcW w:w="3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1,255,402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1,181,716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Newspaper publishing division revenue totaled $162.8 million for the second quarter of 2011, down 6% from revenue of $172.7 million for the second quarter of 2010; division revenue declined 3% to $317.8 million for the first six months of 2011, from $328.5 million for the first six months of 2010. Print advertising revenue at The Washington Post in the second quarter of 2011 declined 12% to $66.6 million, from $75.2 million in the second quarter of 2010, and declined 10% to $129.8 million for the first six months of 2011, from $143.9 million for the first six months of 2010. The declines are largely due to reductions in classified, zoned and general advertising. Revenue generated by the Company’s newspaper online publishing activities, primarily washingtonpost.com and Slate, decreased 13% to $23.4 million for the second quarter of 2011, versus $26.9 million for the second quarter of 2010; newspaper online revenues declined 3% to $49.1 million for the first six months of 2011, versus $50.6 million for the first six months of 2010. Display online advertising revenue declined 16% and 4% for the second quarter and first six months of 2011, respectively. Online classified advertising revenue on washingtonpost.com decreased 2% for the second quarter of 2011, but increased 2% for the first six months of 2011.</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first six months of 2011, Post daily and Sunday circulation declined 4.5% and 4.1%, respectively, compared to the same periods of the prior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July 3, 2011, average daily circulation at The Washington Post totaled 531,400, and average Sunday circulation totaled 745,300.</w:t>
      </w:r>
    </w:p>
    <w:p>
      <w:pPr>
        <w:spacing w:after="0" w:line="18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newspaper division reported an operating loss of $2.9 million in the second quarter of 2011, compared to an operating loss of $14.3 million in the second quarter of 2010. For the first six months of 2011, the newspaper division reported an operating loss of $15.7 million, compared to an operating loss of $28.1 million for the first six months of 2010. As previously disclosed, The Washington Post recorded a $17.7 million charge in the second quarter of 2010 in connection with its withdrawal from the CWA-ITU Negotiated Pension Plan. Excluding this charge and a $3.1 million loss recorded on an office lease in the first quarter of 2010, operating results declined in the first half of 2011 due to the revenue reductions discussed above, offset by a small decrease in overall costs. Newsprint expense was down 4% and 2% for the second quarter and first six months of 2011, respectively, due to a decline in newsprint consumption.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Television Broadcasting</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Revenue for the television broadcasting division increased 3% in the second quarter of 2011 to $84.9 million, from $82.6 million in 2010; operating income for the second quarter of 2011 increased 9% to $32.6 million, from $29.8 million in 2010. For the first six months of 2011, revenue increased 1% to $157.1 million, from $156.1 million in 2010; operating income for the first six months of 2011 increased 3% to $52.2 million, from $50.7 million in 2010.</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increase in revenue and operating income in the first half of 2011 is due to overall improved advertising demand across many product categories, offset by the absence of $4.7 million in incremental winter Olympics-related advertising in the first quarter of 2010, and a $2.5 million and $4.3 million decrease in political advertising revenue for the second quarter and first six months of 2011,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Other businesses includes the operating results of Avenue100 Media Solutions and other small businesses. In the first half of 2011, revenues declined substantially due to volume declines as a result of changes implemented at Avenue100 Media Solutions to improve lead quality. Operating results decreased due to these revenue declines, along with increased costs at the Company’s digital businesses managed at the corporate office.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Earnings (Losses) of Affiliates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Company’s equity in earnings of affiliates for the second quarter of 2011 was $3.1 million, compared to earnings of $2.0 million for the second quarter of 2010. For the first six months of 2011, the Company’s equity in earnings of affiliates totaled $6.9 million, compared with losses of $6.1 million for the same period of 2010. The change is due to improved results at the Company’s Bowater Mersey Paper Company and Classified Ventures affiliates.</w:t>
      </w:r>
    </w:p>
    <w:p>
      <w:pPr>
        <w:spacing w:after="0" w:line="10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Company holds a 49% interest in Bowater Mersey Paper Company, a 16.5% interest in Classified Ventures, LLC and interests in several other affiliates.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(Expense) Income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recorded other non-operating expense, net, of $2.6 million for the second quarter of 2011, compared to other non-operating expense, net, of $3.8 million for the second quarter of 2010. The second quarter 2011 non-operating expense, net, included $3.1 million for an impairment write-down on a cost method investment, offset by $0.3 million in unrealized foreign currency gains and other items. The second quarter 2010 non-operating expense, net, included $3.8 million in unrealized foreign currency losses.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recorded non-operating expense, net, of $26.6 million for the first six months of 2011, compared to other non-operating expense, net, of $7.1 million for the same period of the prior year. The 2011 non-operating expense, net, included a $30.7 million write-down of a marketable equity security (Corinthian Colleges, Inc.), offset by $3.0 million in unrealized foreign currency gains and other items. The 2010 non-operating expense, net, included $7.1 million in unrealized foreign currency losses.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incurred net interest expense of $7.0 million and $13.9 million for the second quarter and first six months of 2011, respectively, compared to $7.0 million and $14.3 million for the same periods of 2010. At July 3, 2011, the Company had $405.5 million in borrowings outstanding, at an average interest rate of 7.2%.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tax rate for the first six months of 2011 was 36.9%, compared with 36.6% for the first six months of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September 30, 2010, the Company completed the sale of Newsweek. In addition, Kaplan sold Kaplan Virtual Education in July 2011 and Education Connection in April 2010. Consequently, the Company’s income from continuing operations excludes these businesses, which have been reclassified to discontinued operations, net of tax.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(Loss) Per Share</w:t>
      </w:r>
    </w:p>
    <w:p>
      <w:pPr>
        <w:spacing w:after="0" w:line="90"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The calculation of diluted earnings per share for the second quarter and first six months of 2011 was based on 7,933,459 and 8,026,424 weighted average shares outstanding, respectively, compared to 9,192,690 and 9,216,626, respectively, for the second quarter and first six months of 2010. In the first half of 2011, the Company repurchased 304,791 shares of its Class B common stock at a cost of $131.5 million. At July 3, 2011, there were 7,931,420 shares outstanding.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Second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5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1,072,997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1,197,410</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(921,160)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(961,939)</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(61,024)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(6,836)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(7,549)</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81,093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166,898</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Equity in earnings of affiliates, net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3,138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2,027</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(7,960)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(7,598)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(3,807)</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line="20" w:lineRule="exact"/>
              <w:rPr>
                <w:sz w:val="1"/>
                <w:szCs w:val="1"/>
                <w:color w:val="auto"/>
              </w:rPr>
            </w:pPr>
          </w:p>
        </w:tc>
      </w:tr>
      <w:tr>
        <w:trPr>
          <w:trHeight w:val="221"/>
        </w:trPr>
        <w:tc>
          <w:tcPr>
            <w:tcW w:w="76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74,677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158,119</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(56,400)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line="20" w:lineRule="exact"/>
              <w:rPr>
                <w:sz w:val="1"/>
                <w:szCs w:val="1"/>
                <w:color w:val="auto"/>
              </w:rPr>
            </w:pPr>
          </w:p>
        </w:tc>
      </w:tr>
      <w:tr>
        <w:trPr>
          <w:trHeight w:val="221"/>
        </w:trPr>
        <w:tc>
          <w:tcPr>
            <w:tcW w:w="76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47,177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101,719</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(9,592)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221"/>
        </w:trPr>
        <w:tc>
          <w:tcPr>
            <w:tcW w:w="76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45,763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92,127</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The Washington Post Company</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221"/>
        </w:trPr>
        <w:tc>
          <w:tcPr>
            <w:tcW w:w="76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45,803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92,135</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The Washington Post Company common stockholders</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222"/>
        </w:trPr>
        <w:tc>
          <w:tcPr>
            <w:tcW w:w="76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45,573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91,904</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attributable to The Washington Post Company common stockholders: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46,987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101,496</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(9,592)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222"/>
        </w:trPr>
        <w:tc>
          <w:tcPr>
            <w:tcW w:w="76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45,573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91,904</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Per share information attributable to The Washington Post Company common stockholders: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Basic income per common share from continuing operations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11.04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common share from discontinued operations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common share</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line="20" w:lineRule="exact"/>
              <w:rPr>
                <w:sz w:val="1"/>
                <w:szCs w:val="1"/>
                <w:color w:val="auto"/>
              </w:rPr>
            </w:pPr>
          </w:p>
        </w:tc>
      </w:tr>
      <w:tr>
        <w:trPr>
          <w:trHeight w:val="222"/>
        </w:trPr>
        <w:tc>
          <w:tcPr>
            <w:tcW w:w="76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7,852,387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9,125,783</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680" w:type="dxa"/>
            <w:vAlign w:val="bottom"/>
            <w:gridSpan w:val="2"/>
          </w:tcPr>
          <w:p>
            <w:pPr>
              <w:spacing w:after="0"/>
              <w:rPr>
                <w:sz w:val="20"/>
                <w:szCs w:val="20"/>
                <w:color w:val="auto"/>
              </w:rPr>
            </w:pPr>
            <w:r>
              <w:rPr>
                <w:rFonts w:ascii="Arial" w:cs="Arial" w:eastAsia="Arial" w:hAnsi="Arial"/>
                <w:sz w:val="18"/>
                <w:szCs w:val="18"/>
                <w:color w:val="auto"/>
              </w:rPr>
              <w:t>Diluted income per common share from continuing operations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11.04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 from discontinued operations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common share</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line="20" w:lineRule="exact"/>
              <w:rPr>
                <w:sz w:val="1"/>
                <w:szCs w:val="1"/>
                <w:color w:val="auto"/>
              </w:rPr>
            </w:pPr>
          </w:p>
        </w:tc>
      </w:tr>
      <w:tr>
        <w:trPr>
          <w:trHeight w:val="222"/>
        </w:trPr>
        <w:tc>
          <w:tcPr>
            <w:tcW w:w="76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Diluted average shares outstanding</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7,933,459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9,192,690</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2,126,007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2,326,395</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(1,849,703)</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(1,916,407)</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(127,138)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(122,482)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(13,057)</w:t>
            </w: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(14,009)</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136,109</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273,497</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Equity in earnings (losses) of affiliates, net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6,875</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(6,082)</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(15,921)</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(15,177)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(26,623)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(7,128)</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6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102,419</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246,035</w:t>
            </w:r>
          </w:p>
        </w:tc>
        <w:tc>
          <w:tcPr>
            <w:tcW w:w="4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(37,800)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(90,100)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1"/>
        </w:trPr>
        <w:tc>
          <w:tcPr>
            <w:tcW w:w="76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64,619</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155,935</w:t>
            </w:r>
          </w:p>
        </w:tc>
        <w:tc>
          <w:tcPr>
            <w:tcW w:w="4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(17,980)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1"/>
        </w:trPr>
        <w:tc>
          <w:tcPr>
            <w:tcW w:w="7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61,392</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137,955</w:t>
            </w:r>
          </w:p>
        </w:tc>
        <w:tc>
          <w:tcPr>
            <w:tcW w:w="4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1"/>
        </w:trPr>
        <w:tc>
          <w:tcPr>
            <w:tcW w:w="7620" w:type="dxa"/>
            <w:vAlign w:val="bottom"/>
            <w:gridSpan w:val="2"/>
          </w:tcPr>
          <w:p>
            <w:pPr>
              <w:spacing w:after="0"/>
              <w:rPr>
                <w:sz w:val="20"/>
                <w:szCs w:val="20"/>
                <w:color w:val="auto"/>
              </w:rPr>
            </w:pPr>
            <w:r>
              <w:rPr>
                <w:rFonts w:ascii="Arial" w:cs="Arial" w:eastAsia="Arial" w:hAnsi="Arial"/>
                <w:sz w:val="18"/>
                <w:szCs w:val="18"/>
                <w:color w:val="auto"/>
              </w:rPr>
              <w:t>Net income attributable to The Washington Post Company</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61,418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137,975</w:t>
            </w:r>
          </w:p>
        </w:tc>
        <w:tc>
          <w:tcPr>
            <w:tcW w:w="4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The Washington Post Company common stockholders</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line="20" w:lineRule="exact"/>
              <w:rPr>
                <w:sz w:val="1"/>
                <w:szCs w:val="1"/>
                <w:color w:val="auto"/>
              </w:rPr>
            </w:pPr>
          </w:p>
        </w:tc>
      </w:tr>
      <w:tr>
        <w:trPr>
          <w:trHeight w:val="222"/>
        </w:trPr>
        <w:tc>
          <w:tcPr>
            <w:tcW w:w="7620" w:type="dxa"/>
            <w:vAlign w:val="bottom"/>
            <w:gridSpan w:val="2"/>
            <w:vMerge w:val="continue"/>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60,727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137,283</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attributable to The Washington Post Company common stockholders: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63,954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155,263</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(17,980)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line="20" w:lineRule="exact"/>
              <w:rPr>
                <w:sz w:val="1"/>
                <w:szCs w:val="1"/>
                <w:color w:val="auto"/>
              </w:rPr>
            </w:pPr>
          </w:p>
        </w:tc>
      </w:tr>
      <w:tr>
        <w:trPr>
          <w:trHeight w:val="222"/>
        </w:trPr>
        <w:tc>
          <w:tcPr>
            <w:tcW w:w="7620" w:type="dxa"/>
            <w:vAlign w:val="bottom"/>
            <w:gridSpan w:val="2"/>
            <w:vMerge w:val="continue"/>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60,727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137,283</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Per share information attributable to The Washington Post Company common stockholders: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Basic income per common share from continuing operations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16.86</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common share from discontinued operations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common share</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222"/>
        </w:trPr>
        <w:tc>
          <w:tcPr>
            <w:tcW w:w="7620" w:type="dxa"/>
            <w:vAlign w:val="bottom"/>
            <w:gridSpan w:val="2"/>
            <w:vMerge w:val="continue"/>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14.91</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7,948,939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9,150,315</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620" w:type="dxa"/>
            <w:vAlign w:val="bottom"/>
            <w:gridSpan w:val="2"/>
          </w:tcPr>
          <w:p>
            <w:pPr>
              <w:spacing w:after="0"/>
              <w:rPr>
                <w:sz w:val="20"/>
                <w:szCs w:val="20"/>
                <w:color w:val="auto"/>
              </w:rPr>
            </w:pPr>
            <w:r>
              <w:rPr>
                <w:rFonts w:ascii="Arial" w:cs="Arial" w:eastAsia="Arial" w:hAnsi="Arial"/>
                <w:sz w:val="18"/>
                <w:szCs w:val="18"/>
                <w:color w:val="auto"/>
              </w:rPr>
              <w:t>Diluted income per common share from continuing operations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16.86</w:t>
            </w:r>
          </w:p>
        </w:tc>
        <w:tc>
          <w:tcPr>
            <w:tcW w:w="4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 from discontinued operations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common share</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222"/>
        </w:trPr>
        <w:tc>
          <w:tcPr>
            <w:tcW w:w="7620" w:type="dxa"/>
            <w:vAlign w:val="bottom"/>
            <w:gridSpan w:val="2"/>
            <w:vMerge w:val="continue"/>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14.91</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Diluted average shares outstanding</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8,026,424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9,216,626</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Second Quarter</w:t>
            </w:r>
          </w:p>
        </w:tc>
        <w:tc>
          <w:tcPr>
            <w:tcW w:w="44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1"/>
              </w:rPr>
              <w:t>Change</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5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628,701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742,921</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1,258,728</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1,441,257</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190,558</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379,916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162,772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172,730</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317,769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328,501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82,592</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156,074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10,693</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12,757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24,827</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(2,084)</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(1,881)</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(4,180)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1,072,997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1,197,410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2,126,007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2,326,395</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3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608,239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630,530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1,219,754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1,267,422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150,806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146,768</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303,379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293,590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187,030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356,553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52,369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52,786</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104,961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105,357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13,578</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28,545</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1,904</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7,361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5,611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(2,084)</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991,904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1,030,512</w:t>
            </w:r>
          </w:p>
        </w:tc>
        <w:tc>
          <w:tcPr>
            <w:tcW w:w="30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1,989,898</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2,052,898</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20,462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112,391</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38,974</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173,835</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86,326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(14,300)</w:t>
            </w: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(15,745)</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(28,052)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29,806</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50,717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(2,885)</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(10,053)</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(3,718)</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(1,904)</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(7,361)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(5,611)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81,093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166,898</w:t>
            </w:r>
          </w:p>
        </w:tc>
        <w:tc>
          <w:tcPr>
            <w:tcW w:w="30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136,109</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273,497</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22,517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19,020</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43,726</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37,628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30,722</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62,348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7,818</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13,440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15,702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6,397</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63,908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61,024</w:t>
            </w: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127,138</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122,482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 of Intangible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5,547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6,300</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10,472</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11,520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671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785</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1,667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6,836</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7,549</w:t>
            </w:r>
          </w:p>
        </w:tc>
        <w:tc>
          <w:tcPr>
            <w:tcW w:w="30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13,057</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14,009</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(Expense) Credit: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(1,526)</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(3,204)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(2,875)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 xml:space="preserve">Newspaper publishing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(5,288)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(23,192)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(11,993)</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(28,752)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16,659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(16,936)</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1,317</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(16,501)</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Includes a $17.7 million charge in the second quarter of 2010 related to the withdrawal from a multiemployer pension plan.</w:t>
      </w:r>
    </w:p>
    <w:p>
      <w:pPr>
        <w:spacing w:after="0" w:line="142" w:lineRule="exact"/>
        <w:rPr>
          <w:rFonts w:ascii="Arial" w:cs="Arial" w:eastAsia="Arial" w:hAnsi="Arial"/>
          <w:sz w:val="22"/>
          <w:szCs w:val="22"/>
          <w:color w:val="auto"/>
          <w:vertAlign w:val="superscript"/>
        </w:rPr>
      </w:pPr>
    </w:p>
    <w:p>
      <w:pPr>
        <w:ind w:left="5680" w:hanging="142"/>
        <w:spacing w:after="0"/>
        <w:tabs>
          <w:tab w:leader="none" w:pos="5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2019-12-10T04:34:27Z</dcterms:created>
  <dcterms:modified xsi:type="dcterms:W3CDTF">2019-12-10T04:34:27Z</dcterms:modified>
</cp:coreProperties>
</file>