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1, 2019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1, 2019, Graham Holdings Company issued a press release announcing the Company’s earnings for the first quarter ended March 31, 2019.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598170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9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May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94"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May 1, 2019</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94"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Contact:</w:t>
            </w:r>
          </w:p>
        </w:tc>
        <w:tc>
          <w:tcPr>
            <w:tcW w:w="2360" w:type="dxa"/>
            <w:vAlign w:val="bottom"/>
          </w:tcPr>
          <w:p>
            <w:pPr>
              <w:ind w:left="420"/>
              <w:spacing w:after="0"/>
              <w:rPr>
                <w:sz w:val="20"/>
                <w:szCs w:val="20"/>
                <w:color w:val="auto"/>
              </w:rPr>
            </w:pPr>
            <w:r>
              <w:rPr>
                <w:rFonts w:ascii="Arial" w:cs="Arial" w:eastAsia="Arial" w:hAnsi="Arial"/>
                <w:sz w:val="18"/>
                <w:szCs w:val="18"/>
                <w:color w:val="auto"/>
              </w:rPr>
              <w:t>Wallace R. Cooney</w:t>
            </w:r>
          </w:p>
        </w:tc>
        <w:tc>
          <w:tcPr>
            <w:tcW w:w="54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Immediate Release</w:t>
            </w:r>
          </w:p>
        </w:tc>
      </w:tr>
      <w:tr>
        <w:trPr>
          <w:trHeight w:val="291"/>
        </w:trPr>
        <w:tc>
          <w:tcPr>
            <w:tcW w:w="1080" w:type="dxa"/>
            <w:vAlign w:val="bottom"/>
          </w:tcPr>
          <w:p>
            <w:pPr>
              <w:spacing w:after="0"/>
              <w:rPr>
                <w:sz w:val="24"/>
                <w:szCs w:val="24"/>
                <w:color w:val="auto"/>
              </w:rPr>
            </w:pPr>
          </w:p>
        </w:tc>
        <w:tc>
          <w:tcPr>
            <w:tcW w:w="2360" w:type="dxa"/>
            <w:vAlign w:val="bottom"/>
          </w:tcPr>
          <w:p>
            <w:pPr>
              <w:ind w:left="420"/>
              <w:spacing w:after="0"/>
              <w:rPr>
                <w:sz w:val="20"/>
                <w:szCs w:val="20"/>
                <w:color w:val="auto"/>
              </w:rPr>
            </w:pPr>
            <w:r>
              <w:rPr>
                <w:rFonts w:ascii="Arial" w:cs="Arial" w:eastAsia="Arial" w:hAnsi="Arial"/>
                <w:sz w:val="18"/>
                <w:szCs w:val="18"/>
                <w:color w:val="auto"/>
              </w:rPr>
              <w:t>(703) 345-6470</w:t>
            </w:r>
          </w:p>
        </w:tc>
        <w:tc>
          <w:tcPr>
            <w:tcW w:w="54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May 1, 2019</w:t>
            </w:r>
          </w:p>
        </w:tc>
      </w:tr>
      <w:tr>
        <w:trPr>
          <w:trHeight w:val="581"/>
        </w:trPr>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GRAHAM HOLDINGS COMPANY REPORTS</w:t>
            </w:r>
          </w:p>
        </w:tc>
      </w:tr>
      <w:tr>
        <w:trPr>
          <w:trHeight w:val="257"/>
        </w:trPr>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FIRST QUARTER EARNINGS</w:t>
            </w:r>
          </w:p>
        </w:tc>
      </w:tr>
    </w:tbl>
    <w:p>
      <w:pPr>
        <w:spacing w:after="0" w:line="350" w:lineRule="exact"/>
        <w:rPr>
          <w:sz w:val="20"/>
          <w:szCs w:val="20"/>
          <w:color w:val="auto"/>
        </w:rPr>
      </w:pPr>
    </w:p>
    <w:p>
      <w:pPr>
        <w:jc w:val="both"/>
        <w:ind w:right="58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$81.7 million ($15.26 per share) for the first quarter of 2019, compared to $42.9 million ($7.78 per share) for the first quarter of 2018.</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for the first quarter of 2019 and 2018 were affected by a number of items as described in the following paragraphs. Excluding these items, net income attributable to common shares was $38.5 million ($7.18 per share) for the first quarter of 2019, compared to $46.0 million ($8.35 per share) for the first quarter of 2018.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2019:</w:t>
      </w:r>
    </w:p>
    <w:p>
      <w:pPr>
        <w:spacing w:after="0" w:line="144" w:lineRule="exact"/>
        <w:rPr>
          <w:sz w:val="20"/>
          <w:szCs w:val="20"/>
          <w:color w:val="auto"/>
        </w:rPr>
      </w:pPr>
    </w:p>
    <w:p>
      <w:pPr>
        <w:ind w:left="180" w:right="1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$1.8 million reduction to operating expenses from property, plant and equipment gains in connection with the spectrum repacking mandate of the FCC (after-tax impact of $1.4 million, or $0.26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$24.1 million in net gains on marketable equity securities (after-tax impact of $18.0 million, or $3.37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$0.5 million in non-operating foreign currency gains (after-tax impact of $0.4 million, or $0.07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2018:</w:t>
      </w:r>
    </w:p>
    <w:p>
      <w:pPr>
        <w:spacing w:after="0" w:line="144" w:lineRule="exact"/>
        <w:rPr>
          <w:sz w:val="20"/>
          <w:szCs w:val="20"/>
          <w:color w:val="auto"/>
        </w:rPr>
      </w:pPr>
    </w:p>
    <w:p>
      <w:pPr>
        <w:ind w:left="180" w:right="1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 (after-tax impact of $0.2 million, or $0.04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$14.1 million in net losses on marketable equity securities (after-tax impact of $10.7 million, or $1.94 per share);</w:t>
      </w:r>
    </w:p>
    <w:p>
      <w:pPr>
        <w:spacing w:after="0" w:line="144" w:lineRule="exact"/>
        <w:rPr>
          <w:rFonts w:ascii="Arial" w:cs="Arial" w:eastAsia="Arial" w:hAnsi="Arial"/>
          <w:sz w:val="18"/>
          <w:szCs w:val="18"/>
          <w:color w:val="auto"/>
        </w:rPr>
      </w:pPr>
    </w:p>
    <w:p>
      <w:pPr>
        <w:ind w:left="180" w:right="16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net, of $4.4 million from sales of a cost method investment and a business (after-tax impact of $3.6 million, or $0.65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$0.2 million in non-operating foreign currency gains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the first quarter of 2019 was $692.2 million, up 5% from $659.4 million in the first quarter of 2018. Revenues grew at other businesses, partially offset by declines at the education, television broadcasting, and manufacturing divisions. The Company reported operating income of $40.0 million for the first quarter of 2019, compared to $44.2 million for the first quarter of 2018. The operating income decline is driven by lower earnings in the television broadcasting and manufacturing divisions, partially offset by improvements in education and healthcare division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Education division revenue totaled $372.5 million for the first quarter of 2019, down 1% from $375.5 million for the same period of 2018. Kaplan reported operating income of $25.6 million for the first quarter of 2019, up 13% from $22.7 million for the first quarter of 2018.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185,756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183,582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82,780</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99,830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61,150</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59,151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41,214</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33,356</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2,302</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372,454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375,499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24,285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20,404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1,915</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1,355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(454)</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11,259</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9,315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(7,837)</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(3,567)</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25,595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22,700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3810</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2"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 for the first quarter of 2019. On a constant currency basis, revenue increased 7% for the first quarter of 2019. Operating income increased to $24.3 million in the first quarter of 2019, compared to $ 20.4 million in the first quarter of 2018. Revenue and operating income increased due to improved results at Pathways and UK Professional, offset by declines in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-614680</wp:posOffset>
            </wp:positionV>
            <wp:extent cx="1509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1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first quarter of 2019, Higher Education revenue was down 17% due to the KU Transaction. In the first quarter of 2019, the Company recorded a portion of the service fee with Purdue Global based on an assessment of its collectability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39"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increased 3% for the first quarter of 2019 due to the Barron’s acquisition. Excluding revenue from the Barron’s acquisition, revenues were down 5% for the first quarter of 2019, due to declines in demand for classroom-based offerings, offset in part by growth in online-based programs. KTP operating results declined in the first quarter of 2019, due partly to increased losses from the new economy skills training programs. Operating losses for the new economy skills training programs were $1.1 million and $0.5 million for the first quarter of 2019 and 2018, respectively. Excluding losses from the new economy skills training programs, KTP operating results were down in the first quarter of 2019, due primarily to revenue declines for classroom-based offerings.</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first quarter of 2019, Kaplan Professional (U.S.) revenue was up 24% due mostly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increased 21% for the first quarter of 2019 due mostly to earnings from PPI and CFFP.</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at the television broadcasting division decreased 1% to $108.2 million in the first quarter of 2019, from $108.8 million in the same period of 2018. The revenue decline is due to $8.6 million in first quarter 2018 incremental winter Olympics-related advertising revenue at the Company’s NBC affiliates and a $1.6 million decrease in political advertising revenue, offset by $9.7 million in higher retransmission revenues. Operating income for the first quarter of 2019 declined 12% to $35.5 million, from $40.5 million in the same period of 2018, due to lower revenues and increased network fees.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 the first quarter of 2019 and 2018, the television broadcasting division recorded $ 1.8 million and $0.3 million, respectively, in reductions to operating expenses related to non-cash property, plant and equipment gains due to new equipment received at no cost in connection with the spectrum repacking mandate of the FCC.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industry.</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Manufacturing revenues declined 2% in the first quarter of 2019 due to a decline at Hoover from lower wood prices. Manufacturing operating income declined in the first quarter of 2019 due largely to increased labor and other operating costs at Hoover and Dekko, along with gains on inventory sales at Hoover in the first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were flat in the first quarter of 2019. The improvement in GHG operating results in 2019 is due to the absence of integration costs and other overall cost reduction in the first quarter of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w:t>
      </w:r>
    </w:p>
    <w:p>
      <w:pPr>
        <w:spacing w:after="0" w:line="219" w:lineRule="auto"/>
        <w:rPr>
          <w:sz w:val="20"/>
          <w:szCs w:val="20"/>
          <w:color w:val="auto"/>
        </w:rPr>
      </w:pPr>
      <w:r>
        <w:rPr>
          <w:rFonts w:ascii="Arial" w:cs="Arial" w:eastAsia="Arial" w:hAnsi="Arial"/>
          <w:sz w:val="18"/>
          <w:szCs w:val="18"/>
          <w:color w:val="auto"/>
        </w:rPr>
        <w:t>Marketplace Strategy, a Cleveland-based Amazon sales acceleration agency. SocialCode’s revenue increased 1% in the first quarter of 2019.</w:t>
      </w:r>
    </w:p>
    <w:p>
      <w:pPr>
        <w:spacing w:after="0"/>
        <w:rPr>
          <w:sz w:val="20"/>
          <w:szCs w:val="20"/>
          <w:color w:val="auto"/>
        </w:rPr>
      </w:pPr>
      <w:r>
        <w:rPr>
          <w:rFonts w:ascii="Arial" w:cs="Arial" w:eastAsia="Arial" w:hAnsi="Arial"/>
          <w:sz w:val="18"/>
          <w:szCs w:val="18"/>
          <w:color w:val="auto"/>
        </w:rPr>
        <w:t>SocialCode reported operating losses of $4.0 million in the first quarter of 2019, compared to $3.8 million in the first quarter of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660"/>
        <w:spacing w:after="0" w:line="225"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will operate and manage the dealerships. Graham Holdings Company holds a 90% stake. Revenues from other businesses increased due mostly to the automotive dealership acquisition.</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quarter of 2019. Losses from each of these five businesses in the first three months of 2019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March 31, 2019, the Company held an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$1.7 million for the first quarter of 2019, compared to $2.6 million for the first quarter of 2018.</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6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$5.7 million for the first quarter of 2019, compared to $6.7 million for the first quarter of 2018.</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At March 31, 2019, the Company had $509.8 million in borrowings outstanding at an average interest rate of 5.1% and cash, marketable equity securities and other investments of $719.1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$19.9 million for the first quarter of 2019, compared to $21.4 million for the first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Overall, the Company recognized $24.1 million in net gains on marketable equity securities in first quarter of 2019, compared to $14.1 million in net losses on marketable equity securities in the first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 recorded total other non-operating income, net, of $29.4 million for the first quarter of 2019, compared to $9.2 million for the first quarter of 2018. The 2019 amounts included a $29.0 million gain on the sale of the Company’s interest in Gimlet Media and $0.5 million in foreign currency gains, offset by other items. The 2018 amounts included a $5.9 million gain on sales of businesses; a $2.8 million gain on the sale of a cost method investment; $0.2 million in foreign currency gains;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Company’s effective tax rate for the first three months of 2019 and 2018 was 25.3% and 24.0%, respectively. In the first quarter of 2019 and 2018, the Company recorded income tax benefits related to stock compensation of $1.7 million and $1.8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2019 was based on 5,326,448 weighted average shares outstanding, compared to 5,472,643 for the first quarter of 2018. At March 31, 2019, there were 5,314,930 shares outstanding. On November 9, 2017, the Board of Directors authorized the Company to acquire up to 500,000 shares of its Class B common stock; the Company has remaining authorization for 273,655 shares as of March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62"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692,199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659,436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625,613</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590,196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13,523</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14,642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13,060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10,384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40,003</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44,214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1,679</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2,579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1,700</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1,372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(7,425)</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(8,071)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19,928</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21,386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24,066</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(14,102)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29,351</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9,187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109,302</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56,565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27,600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81,702</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42,965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81,748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42,891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15.38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5,284</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5,436</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15.26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5,326</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5,473</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76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372,454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375,499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108,223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108,802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115,157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117,406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37,728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37,621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13,447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13,299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45,230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692,199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659,436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346,859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352,799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72,683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68,260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111,883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108,778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35,399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39,012</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17,465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17,080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53,723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15,375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14,224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652,196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615,222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25,595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22,700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35,540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40,542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8,628</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2,329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(4,018)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(8,493)</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(14,224)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40,003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44,214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6,201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7,606</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2,433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2,451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610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13,523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14,642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3,567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1,408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6,530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1,808</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13,060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2,664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731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w:t>
            </w:r>
          </w:p>
        </w:tc>
      </w:tr>
    </w:tbl>
    <w:p>
      <w:pPr>
        <w:sectPr>
          <w:pgSz w:w="11900" w:h="16838" w:orient="portrait"/>
          <w:cols w:equalWidth="0" w:num="1">
            <w:col w:w="11420"/>
          </w:cols>
          <w:pgMar w:left="240" w:top="76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248</w:t>
            </w:r>
          </w:p>
        </w:tc>
        <w:tc>
          <w:tcPr>
            <w:tcW w:w="4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7"/>
        </w:trPr>
        <w:tc>
          <w:tcPr>
            <w:tcW w:w="832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201</w:t>
            </w:r>
          </w:p>
        </w:tc>
        <w:tc>
          <w:tcPr>
            <w:tcW w:w="4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83"/>
        </w:trPr>
        <w:tc>
          <w:tcPr>
            <w:tcW w:w="7940" w:type="dxa"/>
            <w:vAlign w:val="bottom"/>
          </w:tcPr>
          <w:p>
            <w:pPr>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1,169</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1,372</w:t>
            </w: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64"/>
        </w:trPr>
        <w:tc>
          <w:tcPr>
            <w:tcW w:w="794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5,221</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4,940</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4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420" w:top="12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185,756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183,582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82,780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99,830</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61,150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59,151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41,214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33,356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2,302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372,454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375,499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161,471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163,178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80,865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98,475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61,604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58,630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29,955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24,041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10,139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8,031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346,859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352,799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24,285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20,404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1,915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11,259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9,315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(7,837)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(3,567)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25,595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22,700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3,882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3,974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597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1,858</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805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978</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865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6,201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7,606</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1,406</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866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2,664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0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before</w:t>
            </w:r>
          </w:p>
        </w:tc>
        <w:tc>
          <w:tcPr>
            <w:tcW w:w="200" w:type="dxa"/>
            <w:vAlign w:val="bottom"/>
          </w:tcPr>
          <w:p>
            <w:pPr>
              <w:spacing w:after="0"/>
              <w:rPr>
                <w:sz w:val="18"/>
                <w:szCs w:val="18"/>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4"/>
                <w:szCs w:val="14"/>
                <w:color w:val="auto"/>
              </w:rPr>
            </w:pPr>
          </w:p>
        </w:tc>
        <w:tc>
          <w:tcPr>
            <w:tcW w:w="800" w:type="dxa"/>
            <w:vAlign w:val="bottom"/>
          </w:tcPr>
          <w:p>
            <w:pPr>
              <w:jc w:val="center"/>
              <w:ind w:right="139"/>
              <w:spacing w:after="0" w:line="169" w:lineRule="exact"/>
              <w:rPr>
                <w:sz w:val="20"/>
                <w:szCs w:val="20"/>
                <w:color w:val="auto"/>
              </w:rPr>
            </w:pPr>
            <w:r>
              <w:rPr>
                <w:rFonts w:ascii="Arial" w:cs="Arial" w:eastAsia="Arial" w:hAnsi="Arial"/>
                <w:sz w:val="16"/>
                <w:szCs w:val="16"/>
                <w:color w:val="auto"/>
              </w:rPr>
              <w:t>before</w:t>
            </w:r>
          </w:p>
        </w:tc>
        <w:tc>
          <w:tcPr>
            <w:tcW w:w="240" w:type="dxa"/>
            <w:vAlign w:val="bottom"/>
          </w:tcPr>
          <w:p>
            <w:pPr>
              <w:spacing w:after="0"/>
              <w:rPr>
                <w:sz w:val="14"/>
                <w:szCs w:val="14"/>
                <w:color w:val="auto"/>
              </w:rPr>
            </w:pPr>
          </w:p>
        </w:tc>
        <w:tc>
          <w:tcPr>
            <w:tcW w:w="960" w:type="dxa"/>
            <w:vAlign w:val="bottom"/>
          </w:tcPr>
          <w:p>
            <w:pPr>
              <w:jc w:val="right"/>
              <w:ind w:right="280"/>
              <w:spacing w:after="0" w:line="169" w:lineRule="exact"/>
              <w:rPr>
                <w:sz w:val="20"/>
                <w:szCs w:val="20"/>
                <w:color w:val="auto"/>
              </w:rPr>
            </w:pPr>
            <w:r>
              <w:rPr>
                <w:rFonts w:ascii="Arial" w:cs="Arial" w:eastAsia="Arial" w:hAnsi="Arial"/>
                <w:sz w:val="16"/>
                <w:szCs w:val="16"/>
                <w:color w:val="auto"/>
              </w:rPr>
              <w:t>Income</w:t>
            </w: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800" w:type="dxa"/>
            <w:vAlign w:val="bottom"/>
          </w:tcPr>
          <w:p>
            <w:pPr>
              <w:spacing w:after="0"/>
              <w:rPr>
                <w:sz w:val="10"/>
                <w:szCs w:val="10"/>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2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19"/>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0"/>
                <w:szCs w:val="10"/>
                <w:color w:val="auto"/>
              </w:rPr>
            </w:pPr>
          </w:p>
        </w:tc>
        <w:tc>
          <w:tcPr>
            <w:tcW w:w="960" w:type="dxa"/>
            <w:vAlign w:val="bottom"/>
            <w:vMerge w:val="restart"/>
          </w:tcPr>
          <w:p>
            <w:pPr>
              <w:jc w:val="right"/>
              <w:ind w:right="340"/>
              <w:spacing w:after="0"/>
              <w:rPr>
                <w:sz w:val="20"/>
                <w:szCs w:val="20"/>
                <w:color w:val="auto"/>
              </w:rPr>
            </w:pPr>
            <w:r>
              <w:rPr>
                <w:rFonts w:ascii="Arial" w:cs="Arial" w:eastAsia="Arial" w:hAnsi="Arial"/>
                <w:sz w:val="16"/>
                <w:szCs w:val="16"/>
                <w:color w:val="auto"/>
              </w:rPr>
              <w:t>Taxes</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8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taxes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109,302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27,600</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81,702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56,565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13,600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42,965</w:t>
            </w:r>
          </w:p>
        </w:tc>
        <w:tc>
          <w:tcPr>
            <w:tcW w:w="0" w:type="dxa"/>
            <w:vAlign w:val="bottom"/>
          </w:tcPr>
          <w:p>
            <w:pPr>
              <w:spacing w:after="0"/>
              <w:rPr>
                <w:sz w:val="1"/>
                <w:szCs w:val="1"/>
                <w:color w:val="auto"/>
              </w:rPr>
            </w:pP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81,748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42,891</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20"/>
                <w:szCs w:val="20"/>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(1,788)</w:t>
            </w:r>
          </w:p>
        </w:tc>
        <w:tc>
          <w:tcPr>
            <w:tcW w:w="20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(1,377)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6"/>
                <w:szCs w:val="16"/>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losses on marketable equity securities</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(24,066)</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(6,016)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(18,050)</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14,102</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3,384</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10,718</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sale of Gimlet Media</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(28,994)</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(7,248)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(21,746)</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from sales of a cost method investment</w:t>
            </w:r>
          </w:p>
        </w:tc>
        <w:tc>
          <w:tcPr>
            <w:tcW w:w="300" w:type="dxa"/>
            <w:vAlign w:val="bottom"/>
          </w:tcPr>
          <w:p>
            <w:pPr>
              <w:spacing w:after="0"/>
              <w:rPr>
                <w:sz w:val="20"/>
                <w:szCs w:val="20"/>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and a business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(4,437)</w:t>
            </w:r>
          </w:p>
        </w:tc>
        <w:tc>
          <w:tcPr>
            <w:tcW w:w="240" w:type="dxa"/>
            <w:vAlign w:val="bottom"/>
          </w:tcPr>
          <w:p>
            <w:pPr>
              <w:spacing w:after="0"/>
              <w:rPr>
                <w:sz w:val="16"/>
                <w:szCs w:val="16"/>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(860)</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(4,315)</w:t>
            </w:r>
          </w:p>
        </w:tc>
        <w:tc>
          <w:tcPr>
            <w:tcW w:w="2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(2,472)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(514)</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83"/>
        </w:trPr>
        <w:tc>
          <w:tcPr>
            <w:tcW w:w="48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0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w:t>
            </w:r>
          </w:p>
        </w:tc>
        <w:tc>
          <w:tcPr>
            <w:tcW w:w="26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1,810</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38,490</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46,008</w:t>
            </w:r>
          </w:p>
        </w:tc>
        <w:tc>
          <w:tcPr>
            <w:tcW w:w="0" w:type="dxa"/>
            <w:vAlign w:val="bottom"/>
          </w:tcPr>
          <w:p>
            <w:pPr>
              <w:spacing w:after="0"/>
              <w:rPr>
                <w:sz w:val="1"/>
                <w:szCs w:val="1"/>
                <w:color w:val="auto"/>
              </w:rPr>
            </w:pPr>
          </w:p>
        </w:tc>
      </w:tr>
      <w:tr>
        <w:trPr>
          <w:trHeight w:val="38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15.26</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(0.26)</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losses on marketable equity securities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sale of Gimlet Media</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from sales of a cost method investment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440"/>
              <w:spacing w:after="0"/>
              <w:rPr>
                <w:sz w:val="20"/>
                <w:szCs w:val="20"/>
                <w:color w:val="auto"/>
              </w:rPr>
            </w:pPr>
            <w:r>
              <w:rPr>
                <w:rFonts w:ascii="Arial" w:cs="Arial" w:eastAsia="Arial" w:hAnsi="Arial"/>
                <w:sz w:val="16"/>
                <w:szCs w:val="16"/>
                <w:color w:val="auto"/>
              </w:rPr>
              <w:t>and a business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(0.07)</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83"/>
        </w:trPr>
        <w:tc>
          <w:tcPr>
            <w:tcW w:w="48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(0.32)</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7.18</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2019-12-28T13:23:56Z</dcterms:created>
  <dcterms:modified xsi:type="dcterms:W3CDTF">2019-12-28T13:23:56Z</dcterms:modified>
</cp:coreProperties>
</file>