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209550</wp:posOffset>
            </wp:positionV>
            <wp:extent cx="48691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November 10, 2020</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3820" w:type="dxa"/>
            <w:vAlign w:val="bottom"/>
          </w:tcPr>
          <w:p>
            <w:pPr>
              <w:jc w:val="center"/>
              <w:ind w:right="201"/>
              <w:spacing w:after="0"/>
              <w:rPr>
                <w:sz w:val="20"/>
                <w:szCs w:val="20"/>
                <w:color w:val="auto"/>
              </w:rPr>
            </w:pPr>
            <w:r>
              <w:rPr>
                <w:rFonts w:ascii="Arial" w:cs="Arial" w:eastAsia="Arial" w:hAnsi="Arial"/>
                <w:sz w:val="18"/>
                <w:szCs w:val="18"/>
                <w:b w:val="1"/>
                <w:bCs w:val="1"/>
                <w:color w:val="auto"/>
                <w:w w:val="98"/>
              </w:rPr>
              <w:t>Delaware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(State or other jurisdiction of</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incorporation)</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3820" w:type="dxa"/>
            <w:vAlign w:val="bottom"/>
          </w:tcPr>
          <w:p>
            <w:pPr>
              <w:jc w:val="center"/>
              <w:ind w:right="181"/>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780" w:type="dxa"/>
            <w:vAlign w:val="bottom"/>
          </w:tcPr>
          <w:p>
            <w:pPr>
              <w:spacing w:after="0"/>
              <w:rPr>
                <w:sz w:val="24"/>
                <w:szCs w:val="24"/>
                <w:color w:val="auto"/>
              </w:rPr>
            </w:pPr>
          </w:p>
        </w:tc>
        <w:tc>
          <w:tcPr>
            <w:tcW w:w="214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04"/>
        </w:trPr>
        <w:tc>
          <w:tcPr>
            <w:tcW w:w="3820" w:type="dxa"/>
            <w:vAlign w:val="bottom"/>
          </w:tcPr>
          <w:p>
            <w:pPr>
              <w:jc w:val="center"/>
              <w:ind w:right="181"/>
              <w:spacing w:after="0"/>
              <w:rPr>
                <w:sz w:val="20"/>
                <w:szCs w:val="20"/>
                <w:color w:val="auto"/>
              </w:rPr>
            </w:pPr>
            <w:r>
              <w:rPr>
                <w:rFonts w:ascii="Arial" w:cs="Arial" w:eastAsia="Arial" w:hAnsi="Arial"/>
                <w:sz w:val="14"/>
                <w:szCs w:val="14"/>
                <w:b w:val="1"/>
                <w:bCs w:val="1"/>
                <w:color w:val="auto"/>
              </w:rPr>
              <w:t>(Address of principal executive offices)</w:t>
            </w:r>
          </w:p>
        </w:tc>
        <w:tc>
          <w:tcPr>
            <w:tcW w:w="2780" w:type="dxa"/>
            <w:vAlign w:val="bottom"/>
          </w:tcPr>
          <w:p>
            <w:pPr>
              <w:spacing w:after="0"/>
              <w:rPr>
                <w:sz w:val="17"/>
                <w:szCs w:val="17"/>
                <w:color w:val="auto"/>
              </w:rPr>
            </w:pP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(Zip Code)</w:t>
            </w:r>
          </w:p>
        </w:tc>
      </w:tr>
      <w:tr>
        <w:trPr>
          <w:trHeight w:val="430"/>
        </w:trPr>
        <w:tc>
          <w:tcPr>
            <w:tcW w:w="3820" w:type="dxa"/>
            <w:vAlign w:val="bottom"/>
          </w:tcPr>
          <w:p>
            <w:pPr>
              <w:spacing w:after="0"/>
              <w:rPr>
                <w:sz w:val="24"/>
                <w:szCs w:val="24"/>
                <w:color w:val="auto"/>
              </w:rPr>
            </w:pPr>
          </w:p>
        </w:tc>
        <w:tc>
          <w:tcPr>
            <w:tcW w:w="2780" w:type="dxa"/>
            <w:vAlign w:val="bottom"/>
          </w:tcPr>
          <w:p>
            <w:pPr>
              <w:jc w:val="right"/>
              <w:ind w:right="1199"/>
              <w:spacing w:after="0"/>
              <w:rPr>
                <w:sz w:val="20"/>
                <w:szCs w:val="20"/>
                <w:color w:val="auto"/>
              </w:rPr>
            </w:pPr>
            <w:r>
              <w:rPr>
                <w:rFonts w:ascii="Arial" w:cs="Arial" w:eastAsia="Arial" w:hAnsi="Arial"/>
                <w:sz w:val="18"/>
                <w:szCs w:val="18"/>
                <w:b w:val="1"/>
                <w:bCs w:val="1"/>
                <w:color w:val="auto"/>
              </w:rPr>
              <w:t>(703) 345-6300</w:t>
            </w:r>
          </w:p>
        </w:tc>
        <w:tc>
          <w:tcPr>
            <w:tcW w:w="2140" w:type="dxa"/>
            <w:vAlign w:val="bottom"/>
          </w:tcPr>
          <w:p>
            <w:pPr>
              <w:spacing w:after="0"/>
              <w:rPr>
                <w:sz w:val="24"/>
                <w:szCs w:val="24"/>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388"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7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49"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784860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8"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8.01</w:t>
      </w:r>
      <w:r>
        <w:rPr>
          <w:sz w:val="20"/>
          <w:szCs w:val="20"/>
          <w:color w:val="auto"/>
        </w:rPr>
        <w:tab/>
      </w:r>
      <w:r>
        <w:rPr>
          <w:rFonts w:ascii="Arial" w:cs="Arial" w:eastAsia="Arial" w:hAnsi="Arial"/>
          <w:sz w:val="17"/>
          <w:szCs w:val="17"/>
          <w:b w:val="1"/>
          <w:bCs w:val="1"/>
          <w:color w:val="auto"/>
        </w:rPr>
        <w:t>Other Events.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Graham Holdings Company (the “Company”) has entered into an agreement with a subsidiary of Spotify Technology S.A. to sell its Megaphone podcast business for $235 million. The Company will record a substantial pre-tax gain upon the closing of the transaction. The transaction is subject to regulatory approval and the satisfaction of other closing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filed with this Form 8-K and is attached hereto as Exhibit 99.1.</w:t>
      </w:r>
    </w:p>
    <w:p>
      <w:pPr>
        <w:spacing w:after="0" w:line="200" w:lineRule="exact"/>
        <w:rPr>
          <w:sz w:val="20"/>
          <w:szCs w:val="20"/>
          <w:color w:val="auto"/>
        </w:rPr>
      </w:pPr>
    </w:p>
    <w:p>
      <w:pPr>
        <w:spacing w:after="0" w:line="2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Press release of Graham Holdings Company dated November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546100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089"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301" w:lineRule="exact"/>
        <w:rPr>
          <w:sz w:val="20"/>
          <w:szCs w:val="20"/>
          <w:color w:val="auto"/>
        </w:rPr>
      </w:pPr>
    </w:p>
    <w:p>
      <w:pPr>
        <w:ind w:left="20"/>
        <w:spacing w:after="0"/>
        <w:tabs>
          <w:tab w:leader="none" w:pos="130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Press Release dated November 10, 2020.</w:t>
        </w:r>
      </w:hyperlink>
    </w:p>
    <w:p>
      <w:pPr>
        <w:spacing w:after="0" w:line="225"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563245</wp:posOffset>
            </wp:positionV>
            <wp:extent cx="7089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19" w:lineRule="auto"/>
        <w:rPr>
          <w:sz w:val="20"/>
          <w:szCs w:val="20"/>
          <w:color w:val="auto"/>
        </w:rPr>
      </w:pPr>
      <w:r>
        <w:rPr>
          <w:rFonts w:ascii="Arial" w:cs="Arial" w:eastAsia="Arial" w:hAnsi="Arial"/>
          <w:sz w:val="18"/>
          <w:szCs w:val="18"/>
          <w:color w:val="auto"/>
        </w:rPr>
        <w:t>Chief Financial Officer</w:t>
      </w:r>
    </w:p>
    <w:p>
      <w:pPr>
        <w:jc w:val="cente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1035050</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9"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Graham Holdings Company To Sell Megaphone to Spotify</w:t>
      </w:r>
    </w:p>
    <w:p>
      <w:pPr>
        <w:spacing w:after="0" w:line="200" w:lineRule="exact"/>
        <w:rPr>
          <w:sz w:val="20"/>
          <w:szCs w:val="20"/>
          <w:color w:val="auto"/>
        </w:rPr>
      </w:pPr>
    </w:p>
    <w:p>
      <w:pPr>
        <w:spacing w:after="0" w:line="304"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ARLINGTON, VA—November 10, 2020—Graham Holdings Company (NYSE: GHC) announced today that it has entered into an agreement with Spotify Technology S.A. (NYSE: SPOT) to sell Megaphone for $235 million. Megaphone is a podcast technology company that provides hosting and ad-insertion capabilities for publishers and targeted ad sales for brand partners.</w:t>
      </w:r>
    </w:p>
    <w:p>
      <w:pPr>
        <w:spacing w:after="0" w:line="23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“Spotify will be a great home for Megaphone. I am proud of the Megaphone team and what they have built, and we look forward to their continued success,” said Timothy J. O’Shaughnessy, president and chief executive officer of Graham Holdings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is subject to regulatory approval and the satisfaction of other closing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Allen &amp; Company LLC assisted in the sale process.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Pinkie Mayfield</w:t>
      </w:r>
    </w:p>
    <w:p>
      <w:pPr>
        <w:spacing w:after="0" w:line="36" w:lineRule="exact"/>
        <w:rPr>
          <w:sz w:val="20"/>
          <w:szCs w:val="20"/>
          <w:color w:val="auto"/>
        </w:rPr>
      </w:pPr>
    </w:p>
    <w:p>
      <w:pPr>
        <w:ind w:left="1480" w:right="7600" w:hanging="10"/>
        <w:spacing w:after="0" w:line="324" w:lineRule="auto"/>
        <w:tabs>
          <w:tab w:leader="none" w:pos="1950" w:val="left"/>
        </w:tabs>
        <w:numPr>
          <w:ilvl w:val="0"/>
          <w:numId w:val="2"/>
        </w:numPr>
        <w:rPr>
          <w:rFonts w:ascii="Arial" w:cs="Arial" w:eastAsia="Arial" w:hAnsi="Arial"/>
          <w:sz w:val="17"/>
          <w:szCs w:val="17"/>
          <w:color w:val="auto"/>
        </w:rPr>
      </w:pPr>
      <w:r>
        <w:rPr>
          <w:rFonts w:ascii="Arial" w:cs="Arial" w:eastAsia="Arial" w:hAnsi="Arial"/>
          <w:sz w:val="17"/>
          <w:szCs w:val="17"/>
          <w:color w:val="auto"/>
        </w:rPr>
        <w:t>345-6450 Pinkie.Mayfield@ghco.com</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2020-11-10T10:24:03Z</dcterms:created>
  <dcterms:modified xsi:type="dcterms:W3CDTF">2020-11-10T10:24:03Z</dcterms:modified>
</cp:coreProperties>
</file>