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262255</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301625</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ind w:left="2589"/>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November 27, 2013</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GRAHAM HOLDINGS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695325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95" w:lineRule="exact"/>
        <w:rPr>
          <w:sz w:val="24"/>
          <w:szCs w:val="24"/>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181610</wp:posOffset>
            </wp:positionV>
            <wp:extent cx="727837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4" w:right="139" w:bottom="1440" w:gutter="0" w:footer="0" w:header="0"/>
        </w:sectPr>
      </w:pPr>
    </w:p>
    <w:bookmarkStart w:id="1" w:name="page2"/>
    <w:bookmarkEnd w:id="1"/>
    <w:p>
      <w:pPr>
        <w:spacing w:after="0"/>
        <w:tabs>
          <w:tab w:leader="none" w:pos="86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467360</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On November 27, 2013, The Washington Post Company (effective November 29, 2013, Graham Holdings Company) entered into a Purchase and Sal Agreement (the “Agreement”) with Carr Properties OC LLC, a Delaware limited liability company, to sell its interest in property, land and improvements</w:t>
      </w:r>
    </w:p>
    <w:p>
      <w:pPr>
        <w:spacing w:after="0" w:line="1" w:lineRule="exact"/>
        <w:rPr>
          <w:sz w:val="20"/>
          <w:szCs w:val="20"/>
          <w:color w:val="auto"/>
        </w:rPr>
      </w:pPr>
    </w:p>
    <w:p>
      <w:pPr>
        <w:spacing w:after="0" w:line="199" w:lineRule="auto"/>
        <w:rPr>
          <w:sz w:val="20"/>
          <w:szCs w:val="20"/>
          <w:color w:val="auto"/>
        </w:rPr>
      </w:pPr>
      <w:r>
        <w:rPr>
          <w:rFonts w:ascii="Arial" w:cs="Arial" w:eastAsia="Arial" w:hAnsi="Arial"/>
          <w:sz w:val="17"/>
          <w:szCs w:val="17"/>
          <w:color w:val="auto"/>
        </w:rPr>
        <w:t>Headquarters, including 1100 15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NW, 1150 15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NW and 1523 L Street NW. The sale is contingent upon the successful completion of a diligence study period and is expected to take place at the end of March 2014. The sale price is approximately $159 million.</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Exhibit 99.1 Press Release issued by The Washington Post Company on November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25" w:right="139" w:bottom="1440" w:gutter="0" w:footer="0" w:header="0"/>
        </w:sectPr>
      </w:pPr>
    </w:p>
    <w:bookmarkStart w:id="2" w:name="page3"/>
    <w:bookmarkEnd w:id="2"/>
    <w:p>
      <w:pPr>
        <w:ind w:left="5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467360</wp:posOffset>
            </wp:positionV>
            <wp:extent cx="69532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ind w:left="580" w:right="40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40" w:type="dxa"/>
            <w:vAlign w:val="bottom"/>
            <w:tcBorders>
              <w:bottom w:val="single" w:sz="8" w:color="auto"/>
            </w:tcBorders>
            <w:gridSpan w:val="2"/>
          </w:tcPr>
          <w:p>
            <w:pPr>
              <w:jc w:val="center"/>
              <w:ind w:right="237"/>
              <w:spacing w:after="0"/>
              <w:rPr>
                <w:sz w:val="20"/>
                <w:szCs w:val="20"/>
                <w:color w:val="auto"/>
              </w:rPr>
            </w:pPr>
            <w:r>
              <w:rPr>
                <w:rFonts w:ascii="Arial" w:cs="Arial" w:eastAsia="Arial" w:hAnsi="Arial"/>
                <w:sz w:val="17"/>
                <w:szCs w:val="17"/>
                <w:color w:val="auto"/>
                <w:w w:val="97"/>
              </w:rPr>
              <w:t>Graham Holdings Company</w:t>
            </w:r>
          </w:p>
        </w:tc>
        <w:tc>
          <w:tcPr>
            <w:tcW w:w="4680" w:type="dxa"/>
            <w:vAlign w:val="bottom"/>
            <w:gridSpan w:val="3"/>
          </w:tcPr>
          <w:p>
            <w:pPr>
              <w:spacing w:after="0"/>
              <w:rPr>
                <w:sz w:val="16"/>
                <w:szCs w:val="16"/>
                <w:color w:val="auto"/>
              </w:rPr>
            </w:pPr>
          </w:p>
        </w:tc>
      </w:tr>
      <w:tr>
        <w:trPr>
          <w:trHeight w:val="202"/>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80" w:type="dxa"/>
            <w:vAlign w:val="bottom"/>
            <w:gridSpan w:val="4"/>
          </w:tcPr>
          <w:p>
            <w:pPr>
              <w:ind w:left="640"/>
              <w:spacing w:after="0"/>
              <w:rPr>
                <w:sz w:val="20"/>
                <w:szCs w:val="20"/>
                <w:color w:val="auto"/>
              </w:rPr>
            </w:pPr>
            <w:r>
              <w:rPr>
                <w:rFonts w:ascii="Arial" w:cs="Arial" w:eastAsia="Arial" w:hAnsi="Arial"/>
                <w:sz w:val="17"/>
                <w:szCs w:val="17"/>
                <w:color w:val="auto"/>
              </w:rPr>
              <w:t>(Registrant)</w:t>
            </w:r>
          </w:p>
        </w:tc>
      </w:tr>
      <w:tr>
        <w:trPr>
          <w:trHeight w:val="709"/>
        </w:trPr>
        <w:tc>
          <w:tcPr>
            <w:tcW w:w="58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auto"/>
              </w:rPr>
              <w:t>Date December 2, 2013</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80" w:type="dxa"/>
            <w:vAlign w:val="bottom"/>
            <w:gridSpan w:val="4"/>
          </w:tcPr>
          <w:p>
            <w:pPr>
              <w:ind w:left="280"/>
              <w:spacing w:after="0"/>
              <w:rPr>
                <w:sz w:val="20"/>
                <w:szCs w:val="20"/>
                <w:color w:val="auto"/>
              </w:rPr>
            </w:pPr>
            <w:r>
              <w:rPr>
                <w:rFonts w:ascii="Arial" w:cs="Arial" w:eastAsia="Arial" w:hAnsi="Arial"/>
                <w:sz w:val="17"/>
                <w:szCs w:val="17"/>
                <w:color w:val="auto"/>
              </w:rPr>
              <w:t>/s/ Hal S. Jones</w:t>
            </w:r>
          </w:p>
        </w:tc>
      </w:tr>
      <w:tr>
        <w:trPr>
          <w:trHeight w:val="190"/>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Borders>
              <w:top w:val="single" w:sz="8" w:color="auto"/>
            </w:tcBorders>
            <w:gridSpan w:val="2"/>
          </w:tcPr>
          <w:p>
            <w:pPr>
              <w:jc w:val="center"/>
              <w:ind w:right="500"/>
              <w:spacing w:after="0" w:line="190" w:lineRule="exact"/>
              <w:rPr>
                <w:sz w:val="20"/>
                <w:szCs w:val="20"/>
                <w:color w:val="auto"/>
              </w:rPr>
            </w:pPr>
            <w:r>
              <w:rPr>
                <w:rFonts w:ascii="Arial" w:cs="Arial" w:eastAsia="Arial" w:hAnsi="Arial"/>
                <w:sz w:val="17"/>
                <w:szCs w:val="17"/>
                <w:color w:val="auto"/>
                <w:w w:val="95"/>
              </w:rPr>
              <w:t>Hal S. Jones</w:t>
            </w:r>
          </w:p>
        </w:tc>
        <w:tc>
          <w:tcPr>
            <w:tcW w:w="4640" w:type="dxa"/>
            <w:vAlign w:val="bottom"/>
            <w:gridSpan w:val="2"/>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960" w:type="dxa"/>
            <w:vAlign w:val="bottom"/>
            <w:gridSpan w:val="6"/>
          </w:tcPr>
          <w:p>
            <w:pPr>
              <w:jc w:val="center"/>
              <w:ind w:right="3540"/>
              <w:spacing w:after="0" w:line="186" w:lineRule="exact"/>
              <w:rPr>
                <w:sz w:val="20"/>
                <w:szCs w:val="20"/>
                <w:color w:val="auto"/>
              </w:rPr>
            </w:pPr>
            <w:r>
              <w:rPr>
                <w:rFonts w:ascii="Arial" w:cs="Arial" w:eastAsia="Arial" w:hAnsi="Arial"/>
                <w:sz w:val="17"/>
                <w:szCs w:val="17"/>
                <w:color w:val="auto"/>
                <w:w w:val="97"/>
              </w:rPr>
              <w:t>Senior Vice President - Finance</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320" w:type="dxa"/>
            <w:vAlign w:val="bottom"/>
            <w:gridSpan w:val="5"/>
          </w:tcPr>
          <w:p>
            <w:pPr>
              <w:jc w:val="center"/>
              <w:ind w:right="5140"/>
              <w:spacing w:after="0"/>
              <w:rPr>
                <w:sz w:val="20"/>
                <w:szCs w:val="20"/>
                <w:color w:val="auto"/>
              </w:rPr>
            </w:pPr>
            <w:r>
              <w:rPr>
                <w:rFonts w:ascii="Arial" w:cs="Arial" w:eastAsia="Arial" w:hAnsi="Arial"/>
                <w:sz w:val="17"/>
                <w:szCs w:val="17"/>
                <w:color w:val="auto"/>
                <w:w w:val="97"/>
              </w:rPr>
              <w:t>(Principal Financial Officer)</w:t>
            </w:r>
          </w:p>
        </w:tc>
      </w:tr>
      <w:tr>
        <w:trPr>
          <w:trHeight w:val="763"/>
        </w:trPr>
        <w:tc>
          <w:tcPr>
            <w:tcW w:w="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80" w:type="dxa"/>
            <w:vAlign w:val="bottom"/>
            <w:gridSpan w:val="3"/>
          </w:tcPr>
          <w:p>
            <w:pPr>
              <w:jc w:val="right"/>
              <w:ind w:right="417"/>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925" w:right="1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467360</wp:posOffset>
            </wp:positionV>
            <wp:extent cx="695325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19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Press Release issued by The Washington Post Company</w:t>
      </w:r>
    </w:p>
    <w:p>
      <w:pPr>
        <w:spacing w:after="0" w:line="28" w:lineRule="exact"/>
        <w:rPr>
          <w:sz w:val="20"/>
          <w:szCs w:val="20"/>
          <w:color w:val="auto"/>
        </w:rPr>
      </w:pPr>
    </w:p>
    <w:p>
      <w:pPr>
        <w:jc w:val="right"/>
        <w:ind w:right="38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925"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7"/>
          <w:szCs w:val="17"/>
          <w:color w:val="auto"/>
        </w:rPr>
        <w:t>Exhib</w:t>
      </w:r>
    </w:p>
    <w:p>
      <w:pPr>
        <w:jc w:val="center"/>
        <w:ind w:left="1160"/>
        <w:spacing w:after="0" w:line="228" w:lineRule="auto"/>
        <w:rPr>
          <w:sz w:val="20"/>
          <w:szCs w:val="20"/>
          <w:color w:val="auto"/>
        </w:rPr>
      </w:pPr>
      <w:r>
        <w:rPr>
          <w:rFonts w:ascii="Arial" w:cs="Arial" w:eastAsia="Arial" w:hAnsi="Arial"/>
          <w:sz w:val="17"/>
          <w:szCs w:val="17"/>
          <w:color w:val="auto"/>
        </w:rPr>
        <w:t>Graham Holdings Company to Sell</w:t>
      </w:r>
    </w:p>
    <w:p>
      <w:pPr>
        <w:jc w:val="center"/>
        <w:ind w:left="1160"/>
        <w:spacing w:after="0"/>
        <w:rPr>
          <w:sz w:val="20"/>
          <w:szCs w:val="20"/>
          <w:color w:val="auto"/>
        </w:rPr>
      </w:pPr>
      <w:r>
        <w:rPr>
          <w:rFonts w:ascii="Arial" w:cs="Arial" w:eastAsia="Arial" w:hAnsi="Arial"/>
          <w:sz w:val="17"/>
          <w:szCs w:val="17"/>
          <w:color w:val="auto"/>
        </w:rPr>
        <w:t>Headquarters Building to Carr Properties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WASHINGTON—November 27, 2013—THE WASHINGTON POST COMPANY (effective November 29, 2013, Graham Holdings (NYSE: GHC)) anno</w:t>
      </w:r>
    </w:p>
    <w:p>
      <w:pPr>
        <w:spacing w:after="0" w:line="52" w:lineRule="exact"/>
        <w:rPr>
          <w:sz w:val="20"/>
          <w:szCs w:val="20"/>
          <w:color w:val="auto"/>
        </w:rPr>
      </w:pPr>
    </w:p>
    <w:p>
      <w:pPr>
        <w:jc w:val="both"/>
        <w:ind w:left="580" w:right="60"/>
        <w:spacing w:after="0" w:line="233" w:lineRule="auto"/>
        <w:rPr>
          <w:sz w:val="20"/>
          <w:szCs w:val="20"/>
          <w:color w:val="auto"/>
        </w:rPr>
      </w:pPr>
      <w:r>
        <w:rPr>
          <w:rFonts w:ascii="Arial" w:cs="Arial" w:eastAsia="Arial" w:hAnsi="Arial"/>
          <w:sz w:val="17"/>
          <w:szCs w:val="17"/>
          <w:color w:val="auto"/>
        </w:rPr>
        <w:t>today that Carr Properties will purchase the Company’s headquarters building in downtown Washington, DC. The sale also includes the land at 1100 Street, NW. The sale is contingent upon the successful completion of a due diligence period and is expected to take place at the end of March 2014. sale price is approximately $159 million.</w:t>
      </w:r>
    </w:p>
    <w:p>
      <w:pPr>
        <w:spacing w:after="0" w:line="200" w:lineRule="exact"/>
        <w:rPr>
          <w:sz w:val="20"/>
          <w:szCs w:val="20"/>
          <w:color w:val="auto"/>
        </w:rPr>
      </w:pPr>
    </w:p>
    <w:p>
      <w:pPr>
        <w:spacing w:after="0" w:line="31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___</w:t>
      </w:r>
    </w:p>
    <w:p>
      <w:pPr>
        <w:ind w:left="580" w:right="20"/>
        <w:spacing w:after="0" w:line="235" w:lineRule="auto"/>
        <w:rPr>
          <w:sz w:val="20"/>
          <w:szCs w:val="20"/>
          <w:color w:val="auto"/>
        </w:rPr>
      </w:pPr>
      <w:r>
        <w:rPr>
          <w:rFonts w:ascii="Arial" w:cs="Arial" w:eastAsia="Arial" w:hAnsi="Arial"/>
          <w:sz w:val="17"/>
          <w:szCs w:val="17"/>
          <w:color w:val="auto"/>
        </w:rPr>
        <w:t>Graham Holdings (NYSE: GHC), formerly The Washington Post Company, is a diversified education and media company whose principal operations i educational services, television broadcasting, cable television systems, and online, print and local TV news.</w:t>
      </w:r>
    </w:p>
    <w:p>
      <w:pPr>
        <w:spacing w:after="0" w:line="17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 #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40" w:type="dxa"/>
            <w:vAlign w:val="bottom"/>
          </w:tcPr>
          <w:p>
            <w:pPr>
              <w:ind w:left="580"/>
              <w:spacing w:after="0"/>
              <w:rPr>
                <w:sz w:val="20"/>
                <w:szCs w:val="20"/>
                <w:color w:val="auto"/>
              </w:rPr>
            </w:pPr>
            <w:r>
              <w:rPr>
                <w:rFonts w:ascii="Arial" w:cs="Arial" w:eastAsia="Arial" w:hAnsi="Arial"/>
                <w:sz w:val="17"/>
                <w:szCs w:val="17"/>
                <w:color w:val="auto"/>
              </w:rPr>
              <w:t>Contact:</w:t>
            </w:r>
          </w:p>
        </w:tc>
        <w:tc>
          <w:tcPr>
            <w:tcW w:w="240" w:type="dxa"/>
            <w:vAlign w:val="bottom"/>
          </w:tcPr>
          <w:p>
            <w:pPr>
              <w:spacing w:after="0"/>
              <w:rPr>
                <w:sz w:val="16"/>
                <w:szCs w:val="16"/>
                <w:color w:val="auto"/>
              </w:rPr>
            </w:pPr>
          </w:p>
        </w:tc>
        <w:tc>
          <w:tcPr>
            <w:tcW w:w="9780" w:type="dxa"/>
            <w:vAlign w:val="bottom"/>
            <w:gridSpan w:val="2"/>
          </w:tcPr>
          <w:p>
            <w:pPr>
              <w:ind w:left="60"/>
              <w:spacing w:after="0"/>
              <w:rPr>
                <w:sz w:val="20"/>
                <w:szCs w:val="20"/>
                <w:color w:val="auto"/>
              </w:rPr>
            </w:pPr>
            <w:r>
              <w:rPr>
                <w:rFonts w:ascii="Arial" w:cs="Arial" w:eastAsia="Arial" w:hAnsi="Arial"/>
                <w:sz w:val="17"/>
                <w:szCs w:val="17"/>
                <w:color w:val="auto"/>
              </w:rPr>
              <w:t>Rima Calderon</w:t>
            </w:r>
          </w:p>
        </w:tc>
      </w:tr>
      <w:tr>
        <w:trPr>
          <w:trHeight w:val="162"/>
        </w:trPr>
        <w:tc>
          <w:tcPr>
            <w:tcW w:w="1440" w:type="dxa"/>
            <w:vAlign w:val="bottom"/>
          </w:tcPr>
          <w:p>
            <w:pPr>
              <w:spacing w:after="0"/>
              <w:rPr>
                <w:sz w:val="14"/>
                <w:szCs w:val="14"/>
                <w:color w:val="auto"/>
              </w:rPr>
            </w:pPr>
          </w:p>
        </w:tc>
        <w:tc>
          <w:tcPr>
            <w:tcW w:w="10020" w:type="dxa"/>
            <w:vAlign w:val="bottom"/>
            <w:gridSpan w:val="3"/>
          </w:tcPr>
          <w:p>
            <w:pPr>
              <w:ind w:left="240"/>
              <w:spacing w:after="0" w:line="163" w:lineRule="exact"/>
              <w:rPr>
                <w:sz w:val="20"/>
                <w:szCs w:val="20"/>
                <w:color w:val="auto"/>
              </w:rPr>
            </w:pPr>
            <w:r>
              <w:rPr>
                <w:rFonts w:ascii="Arial" w:cs="Arial" w:eastAsia="Arial" w:hAnsi="Arial"/>
                <w:sz w:val="17"/>
                <w:szCs w:val="17"/>
                <w:color w:val="auto"/>
              </w:rPr>
              <w:t>rima@ghco.com</w:t>
            </w:r>
          </w:p>
        </w:tc>
      </w:tr>
      <w:tr>
        <w:trPr>
          <w:trHeight w:val="20"/>
        </w:trPr>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202"/>
        </w:trPr>
        <w:tc>
          <w:tcPr>
            <w:tcW w:w="1440" w:type="dxa"/>
            <w:vAlign w:val="bottom"/>
          </w:tcPr>
          <w:p>
            <w:pPr>
              <w:spacing w:after="0"/>
              <w:rPr>
                <w:sz w:val="17"/>
                <w:szCs w:val="17"/>
                <w:color w:val="auto"/>
              </w:rPr>
            </w:pPr>
          </w:p>
        </w:tc>
        <w:tc>
          <w:tcPr>
            <w:tcW w:w="1480" w:type="dxa"/>
            <w:vAlign w:val="bottom"/>
            <w:gridSpan w:val="2"/>
          </w:tcPr>
          <w:p>
            <w:pPr>
              <w:ind w:left="240"/>
              <w:spacing w:after="0"/>
              <w:rPr>
                <w:sz w:val="20"/>
                <w:szCs w:val="20"/>
                <w:color w:val="auto"/>
              </w:rPr>
            </w:pPr>
            <w:r>
              <w:rPr>
                <w:rFonts w:ascii="Arial" w:cs="Arial" w:eastAsia="Arial" w:hAnsi="Arial"/>
                <w:sz w:val="17"/>
                <w:szCs w:val="17"/>
                <w:color w:val="auto"/>
              </w:rPr>
              <w:t>(301) 996-6350</w:t>
            </w:r>
          </w:p>
        </w:tc>
        <w:tc>
          <w:tcPr>
            <w:tcW w:w="8540" w:type="dxa"/>
            <w:vAlign w:val="bottom"/>
          </w:tcPr>
          <w:p>
            <w:pPr>
              <w:spacing w:after="0"/>
              <w:rPr>
                <w:sz w:val="17"/>
                <w:szCs w:val="17"/>
                <w:color w:val="auto"/>
              </w:rPr>
            </w:pPr>
          </w:p>
        </w:tc>
      </w:tr>
      <w:tr>
        <w:trPr>
          <w:trHeight w:val="358"/>
        </w:trPr>
        <w:tc>
          <w:tcPr>
            <w:tcW w:w="1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8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64" w:right="1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2019-12-05T16:51:11Z</dcterms:created>
  <dcterms:modified xsi:type="dcterms:W3CDTF">2019-12-05T16:51:11Z</dcterms:modified>
</cp:coreProperties>
</file>