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185"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wp:posOffset>
            </wp:positionH>
            <wp:positionV relativeFrom="paragraph">
              <wp:posOffset>106680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185"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395"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color w:val="auto"/>
        </w:rPr>
        <w:t>INFORMATION TO BE INCLUDED IN STATEMENTS FILED PURSUANT</w:t>
      </w:r>
    </w:p>
    <w:p>
      <w:pPr>
        <w:spacing w:after="0" w:line="190"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color w:val="auto"/>
        </w:rPr>
        <w:t>TO RULES 13d-1(b), (c), AND (d) AND AMENDMENTS THERETO FILED</w:t>
      </w:r>
    </w:p>
    <w:p>
      <w:pPr>
        <w:spacing w:after="0" w:line="190"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color w:val="auto"/>
        </w:rPr>
        <w:t>PURSUANT TO RULE 13d-2(b)</w:t>
      </w:r>
    </w:p>
    <w:p>
      <w:pPr>
        <w:spacing w:after="0" w:line="199"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color w:val="auto"/>
        </w:rPr>
        <w:t xml:space="preserve">( AMENDMENT </w:t>
      </w:r>
      <w:r>
        <w:rPr>
          <w:rFonts w:ascii="Courier New" w:cs="Courier New" w:eastAsia="Courier New" w:hAnsi="Courier New"/>
          <w:sz w:val="21"/>
          <w:szCs w:val="21"/>
          <w:color w:val="008000"/>
        </w:rPr>
        <w:t>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wp:posOffset>
            </wp:positionH>
            <wp:positionV relativeFrom="paragraph">
              <wp:posOffset>640080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9"/>
          <w:szCs w:val="29"/>
          <w:b w:val="1"/>
          <w:bCs w:val="1"/>
          <w:color w:val="008000"/>
        </w:rPr>
        <w:t>THE WASHINGTON POST COMPANY</w:t>
      </w:r>
    </w:p>
    <w:p>
      <w:pPr>
        <w:spacing w:after="0" w:line="198"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2"/>
          <w:szCs w:val="22"/>
          <w:b w:val="1"/>
          <w:bCs w:val="1"/>
          <w:color w:val="auto"/>
        </w:rPr>
        <w:t>COMMON STOCK</w:t>
      </w:r>
    </w:p>
    <w:p>
      <w:pPr>
        <w:spacing w:after="0" w:line="196"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29"/>
          <w:szCs w:val="29"/>
          <w:b w:val="1"/>
          <w:bCs w:val="1"/>
          <w:color w:val="008000"/>
        </w:rPr>
        <w:t>939640108</w:t>
      </w:r>
    </w:p>
    <w:p>
      <w:pPr>
        <w:spacing w:after="0" w:line="198" w:lineRule="exact"/>
        <w:rPr>
          <w:sz w:val="24"/>
          <w:szCs w:val="24"/>
          <w:color w:val="auto"/>
        </w:rPr>
      </w:pPr>
    </w:p>
    <w:p>
      <w:pPr>
        <w:jc w:val="center"/>
        <w:ind w:right="28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40"/>
        <w:spacing w:after="0"/>
        <w:rPr>
          <w:sz w:val="20"/>
          <w:szCs w:val="20"/>
          <w:color w:val="auto"/>
        </w:rPr>
      </w:pPr>
      <w:r>
        <w:rPr>
          <w:rFonts w:ascii="Arial" w:cs="Arial" w:eastAsia="Arial" w:hAnsi="Arial"/>
          <w:sz w:val="19"/>
          <w:szCs w:val="19"/>
          <w:b w:val="1"/>
          <w:bCs w:val="1"/>
          <w:i w:val="1"/>
          <w:iCs w:val="1"/>
          <w:color w:val="auto"/>
        </w:rPr>
        <w:t>DECEMBER 31,2007</w:t>
      </w:r>
    </w:p>
    <w:p>
      <w:pPr>
        <w:spacing w:after="0" w:line="203" w:lineRule="exact"/>
        <w:rPr>
          <w:sz w:val="24"/>
          <w:szCs w:val="24"/>
          <w:color w:val="auto"/>
        </w:rPr>
      </w:pPr>
    </w:p>
    <w:p>
      <w:pPr>
        <w:ind w:left="156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wp:posOffset>
            </wp:positionH>
            <wp:positionV relativeFrom="paragraph">
              <wp:posOffset>640080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00" w:lineRule="exact"/>
        <w:rPr>
          <w:sz w:val="24"/>
          <w:szCs w:val="24"/>
          <w:color w:val="auto"/>
        </w:rPr>
      </w:pPr>
    </w:p>
    <w:p>
      <w:pPr>
        <w:spacing w:after="0" w:line="293"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-382905</wp:posOffset>
            </wp:positionH>
            <wp:positionV relativeFrom="paragraph">
              <wp:posOffset>440055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ectPr>
          <w:pgSz w:w="11900" w:h="16838" w:orient="portrait"/>
          <w:cols w:equalWidth="0" w:num="1">
            <w:col w:w="10500"/>
          </w:cols>
          <w:pgMar w:left="820" w:top="641" w:right="579" w:bottom="851" w:gutter="0" w:footer="0" w:header="0"/>
        </w:sectPr>
      </w:pPr>
    </w:p>
    <w:bookmarkStart w:id="1" w:name="page2"/>
    <w:bookmarkEnd w:id="1"/>
    <w:p>
      <w:pPr>
        <w:spacing w:after="0"/>
        <w:tabs>
          <w:tab w:leader="none" w:pos="4080" w:val="left"/>
          <w:tab w:leader="none" w:pos="7520" w:val="left"/>
        </w:tabs>
        <w:rPr>
          <w:sz w:val="20"/>
          <w:szCs w:val="20"/>
          <w:color w:val="auto"/>
        </w:rPr>
      </w:pPr>
      <w:r>
        <w:rPr>
          <w:rFonts w:ascii="Courier New" w:cs="Courier New" w:eastAsia="Courier New" w:hAnsi="Courier New"/>
          <w:sz w:val="22"/>
          <w:szCs w:val="22"/>
          <w:b w:val="1"/>
          <w:bCs w:val="1"/>
          <w:color w:val="0000FF"/>
        </w:rPr>
        <w:t xml:space="preserve">CUSIP No. </w:t>
      </w:r>
      <w:r>
        <w:rPr>
          <w:rFonts w:ascii="Courier New" w:cs="Courier New" w:eastAsia="Courier New" w:hAnsi="Courier New"/>
          <w:sz w:val="22"/>
          <w:szCs w:val="22"/>
          <w:b w:val="1"/>
          <w:bCs w:val="1"/>
          <w:color w:val="008000"/>
        </w:rPr>
        <w:t>939640108</w:t>
      </w:r>
      <w:r>
        <w:rPr>
          <w:sz w:val="20"/>
          <w:szCs w:val="20"/>
          <w:color w:val="auto"/>
        </w:rPr>
        <w:tab/>
      </w:r>
      <w:r>
        <w:rPr>
          <w:rFonts w:ascii="Courier New" w:cs="Courier New" w:eastAsia="Courier New" w:hAnsi="Courier New"/>
          <w:sz w:val="22"/>
          <w:szCs w:val="22"/>
          <w:b w:val="1"/>
          <w:bCs w:val="1"/>
          <w:color w:val="0000FF"/>
        </w:rPr>
        <w:t>13G/A</w:t>
      </w:r>
      <w:r>
        <w:rPr>
          <w:sz w:val="20"/>
          <w:szCs w:val="20"/>
          <w:color w:val="auto"/>
        </w:rPr>
        <w:tab/>
      </w:r>
      <w:r>
        <w:rPr>
          <w:rFonts w:ascii="Courier New" w:cs="Courier New" w:eastAsia="Courier New" w:hAnsi="Courier New"/>
          <w:sz w:val="19"/>
          <w:szCs w:val="19"/>
          <w:color w:val="808080"/>
        </w:rPr>
        <w:t>Page 1 of 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162560</wp:posOffset>
            </wp:positionV>
            <wp:extent cx="728726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49"/>
        </w:trPr>
        <w:tc>
          <w:tcPr>
            <w:tcW w:w="4260" w:type="dxa"/>
            <w:vAlign w:val="bottom"/>
          </w:tcPr>
          <w:p>
            <w:pPr>
              <w:spacing w:after="0"/>
              <w:rPr>
                <w:sz w:val="20"/>
                <w:szCs w:val="20"/>
                <w:color w:val="auto"/>
              </w:rPr>
            </w:pPr>
            <w:r>
              <w:rPr>
                <w:rFonts w:ascii="Courier New" w:cs="Courier New" w:eastAsia="Courier New" w:hAnsi="Courier New"/>
                <w:sz w:val="22"/>
                <w:szCs w:val="22"/>
                <w:color w:val="auto"/>
              </w:rPr>
              <w:t>1.   Names of reporting persons</w:t>
            </w:r>
          </w:p>
        </w:tc>
        <w:tc>
          <w:tcPr>
            <w:tcW w:w="3020" w:type="dxa"/>
            <w:vAlign w:val="bottom"/>
          </w:tcPr>
          <w:p>
            <w:pPr>
              <w:ind w:left="240"/>
              <w:spacing w:after="0"/>
              <w:rPr>
                <w:sz w:val="20"/>
                <w:szCs w:val="20"/>
                <w:color w:val="auto"/>
              </w:rPr>
            </w:pPr>
            <w:r>
              <w:rPr>
                <w:rFonts w:ascii="Courier New" w:cs="Courier New" w:eastAsia="Courier New" w:hAnsi="Courier New"/>
                <w:sz w:val="22"/>
                <w:szCs w:val="22"/>
                <w:color w:val="auto"/>
              </w:rPr>
              <w:t>JPMorgan Chase &amp; Co.</w:t>
            </w:r>
          </w:p>
        </w:tc>
        <w:tc>
          <w:tcPr>
            <w:tcW w:w="1340" w:type="dxa"/>
            <w:vAlign w:val="bottom"/>
          </w:tcPr>
          <w:p>
            <w:pPr>
              <w:spacing w:after="0"/>
              <w:rPr>
                <w:sz w:val="21"/>
                <w:szCs w:val="21"/>
                <w:color w:val="auto"/>
              </w:rPr>
            </w:pPr>
          </w:p>
        </w:tc>
      </w:tr>
      <w:tr>
        <w:trPr>
          <w:trHeight w:val="376"/>
        </w:trPr>
        <w:tc>
          <w:tcPr>
            <w:tcW w:w="7280" w:type="dxa"/>
            <w:vAlign w:val="bottom"/>
            <w:gridSpan w:val="2"/>
          </w:tcPr>
          <w:p>
            <w:pPr>
              <w:ind w:left="640"/>
              <w:spacing w:after="0"/>
              <w:rPr>
                <w:sz w:val="20"/>
                <w:szCs w:val="20"/>
                <w:color w:val="auto"/>
              </w:rPr>
            </w:pPr>
            <w:r>
              <w:rPr>
                <w:rFonts w:ascii="Courier New" w:cs="Courier New" w:eastAsia="Courier New" w:hAnsi="Courier New"/>
                <w:sz w:val="19"/>
                <w:szCs w:val="19"/>
                <w:color w:val="auto"/>
              </w:rPr>
              <w:t>I.R.S. IDENTIFICATION NO. OF ABOVE PERSONS (ENTITIES</w:t>
            </w:r>
          </w:p>
        </w:tc>
        <w:tc>
          <w:tcPr>
            <w:tcW w:w="1340" w:type="dxa"/>
            <w:vAlign w:val="bottom"/>
          </w:tcPr>
          <w:p>
            <w:pPr>
              <w:jc w:val="right"/>
              <w:spacing w:after="0"/>
              <w:rPr>
                <w:sz w:val="20"/>
                <w:szCs w:val="20"/>
                <w:color w:val="auto"/>
              </w:rPr>
            </w:pPr>
            <w:r>
              <w:rPr>
                <w:rFonts w:ascii="Courier New" w:cs="Courier New" w:eastAsia="Courier New" w:hAnsi="Courier New"/>
                <w:sz w:val="19"/>
                <w:szCs w:val="19"/>
                <w:color w:val="auto"/>
              </w:rPr>
              <w:t>13-2624428</w:t>
            </w:r>
          </w:p>
        </w:tc>
      </w:tr>
      <w:tr>
        <w:trPr>
          <w:trHeight w:val="216"/>
        </w:trPr>
        <w:tc>
          <w:tcPr>
            <w:tcW w:w="4260" w:type="dxa"/>
            <w:vAlign w:val="bottom"/>
          </w:tcPr>
          <w:p>
            <w:pPr>
              <w:ind w:left="640"/>
              <w:spacing w:after="0"/>
              <w:rPr>
                <w:sz w:val="20"/>
                <w:szCs w:val="20"/>
                <w:color w:val="auto"/>
              </w:rPr>
            </w:pPr>
            <w:r>
              <w:rPr>
                <w:rFonts w:ascii="Courier New" w:cs="Courier New" w:eastAsia="Courier New" w:hAnsi="Courier New"/>
                <w:sz w:val="19"/>
                <w:szCs w:val="19"/>
                <w:color w:val="auto"/>
              </w:rPr>
              <w:t>ONLY)</w:t>
            </w:r>
          </w:p>
        </w:tc>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439420</wp:posOffset>
            </wp:positionV>
            <wp:extent cx="727456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0"/>
        <w:spacing w:after="0"/>
        <w:tabs>
          <w:tab w:leader="none" w:pos="960" w:val="left"/>
          <w:tab w:leader="none" w:pos="944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299"/>
        <w:spacing w:after="0"/>
        <w:rPr>
          <w:sz w:val="20"/>
          <w:szCs w:val="20"/>
          <w:color w:val="auto"/>
        </w:rPr>
      </w:pPr>
      <w:r>
        <w:rPr>
          <w:rFonts w:ascii="Courier New" w:cs="Courier New" w:eastAsia="Courier New" w:hAnsi="Courier New"/>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160020</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 w:hanging="658"/>
        <w:spacing w:after="0"/>
        <w:tabs>
          <w:tab w:leader="none" w:pos="100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6" w:lineRule="exact"/>
        <w:rPr>
          <w:rFonts w:ascii="Arial" w:cs="Arial" w:eastAsia="Arial" w:hAnsi="Arial"/>
          <w:sz w:val="19"/>
          <w:szCs w:val="19"/>
          <w:color w:val="auto"/>
        </w:rPr>
      </w:pPr>
    </w:p>
    <w:p>
      <w:pPr>
        <w:ind w:left="1000" w:right="4479" w:hanging="658"/>
        <w:spacing w:after="0" w:line="387" w:lineRule="auto"/>
        <w:tabs>
          <w:tab w:leader="none" w:pos="100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-918845</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337820</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600" w:type="dxa"/>
        <w:tblCellMar>
          <w:top w:w="0" w:type="dxa"/>
          <w:left w:w="0" w:type="dxa"/>
          <w:bottom w:w="0" w:type="dxa"/>
          <w:right w:w="0" w:type="dxa"/>
        </w:tblCellMar>
      </w:tblPr>
      <w:tr>
        <w:trPr>
          <w:trHeight w:val="263"/>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161,259</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214,851</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194,127</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208,430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434340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80" w:hanging="702"/>
        <w:spacing w:after="0"/>
        <w:tabs>
          <w:tab w:leader="none" w:pos="9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9"/>
          <w:szCs w:val="19"/>
          <w:color w:val="008000"/>
        </w:rPr>
        <w:t>412,656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173355</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80" w:right="3059" w:hanging="745"/>
        <w:spacing w:after="0" w:line="428" w:lineRule="auto"/>
        <w:tabs>
          <w:tab w:leader="none" w:pos="98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332740</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80" w:right="2799" w:hanging="766"/>
        <w:spacing w:after="0" w:line="387" w:lineRule="auto"/>
        <w:tabs>
          <w:tab w:leader="none" w:pos="9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REPRESENTED BY AMOUNT IN ROW (9) </w:t>
      </w:r>
      <w:r>
        <w:rPr>
          <w:rFonts w:ascii="Courier New" w:cs="Courier New" w:eastAsia="Courier New" w:hAnsi="Courier New"/>
          <w:sz w:val="22"/>
          <w:szCs w:val="22"/>
          <w:color w:val="008000"/>
        </w:rPr>
        <w:t>5.0%</w:t>
      </w:r>
    </w:p>
    <w:p>
      <w:pPr>
        <w:sectPr>
          <w:pgSz w:w="11900" w:h="16838" w:orient="portrait"/>
          <w:cols w:equalWidth="0" w:num="1">
            <w:col w:w="10139"/>
          </w:cols>
          <w:pgMar w:left="320" w:top="190" w:right="1440" w:bottom="0" w:gutter="0" w:footer="0" w:header="0"/>
        </w:sectPr>
      </w:pPr>
    </w:p>
    <w:bookmarkStart w:id="2" w:name="page3"/>
    <w:bookmarkEnd w:id="2"/>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drawing>
          <wp:anchor simplePos="0" relativeHeight="251657728" behindDoc="1" locked="0" layoutInCell="0" allowOverlap="1">
            <wp:simplePos x="0" y="0"/>
            <wp:positionH relativeFrom="page">
              <wp:posOffset>149860</wp:posOffset>
            </wp:positionH>
            <wp:positionV relativeFrom="page">
              <wp:posOffset>472440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434340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008000"/>
        </w:rPr>
        <w:t>THE WASHINGTON POST COMPANY</w:t>
      </w:r>
    </w:p>
    <w:p>
      <w:pPr>
        <w:spacing w:after="0" w:line="159"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1150 15TH STREET, N.W.</w:t>
      </w:r>
    </w:p>
    <w:p>
      <w:pPr>
        <w:spacing w:after="0" w:line="183"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WASHINGTON, DC 20071</w:t>
      </w:r>
    </w:p>
    <w:p>
      <w:pPr>
        <w:spacing w:after="0" w:line="200" w:lineRule="exact"/>
        <w:rPr>
          <w:sz w:val="20"/>
          <w:szCs w:val="20"/>
          <w:color w:val="auto"/>
        </w:rPr>
      </w:pPr>
    </w:p>
    <w:p>
      <w:pPr>
        <w:spacing w:after="0" w:line="343"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JPMorgan Chase &amp; Co.</w:t>
      </w:r>
    </w:p>
    <w:p>
      <w:pPr>
        <w:spacing w:after="0" w:line="159" w:lineRule="exact"/>
        <w:rPr>
          <w:sz w:val="20"/>
          <w:szCs w:val="20"/>
          <w:color w:val="auto"/>
        </w:rPr>
      </w:pPr>
    </w:p>
    <w:p>
      <w:pPr>
        <w:ind w:left="6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NEW YORK, NY 10017</w:t>
      </w:r>
    </w:p>
    <w:p>
      <w:pPr>
        <w:spacing w:after="0" w:line="159" w:lineRule="exact"/>
        <w:rPr>
          <w:sz w:val="20"/>
          <w:szCs w:val="20"/>
          <w:color w:val="auto"/>
        </w:rPr>
      </w:pPr>
    </w:p>
    <w:p>
      <w:pPr>
        <w:ind w:left="80"/>
        <w:spacing w:after="0"/>
        <w:tabs>
          <w:tab w:leader="none" w:pos="174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760"/>
        <w:spacing w:after="0"/>
        <w:rPr>
          <w:sz w:val="20"/>
          <w:szCs w:val="20"/>
          <w:color w:val="auto"/>
        </w:rPr>
      </w:pPr>
      <w:r>
        <w:rPr>
          <w:rFonts w:ascii="Courier New" w:cs="Courier New" w:eastAsia="Courier New" w:hAnsi="Courier New"/>
          <w:sz w:val="22"/>
          <w:szCs w:val="22"/>
          <w:color w:val="auto"/>
        </w:rPr>
        <w:t>Delaware</w:t>
      </w:r>
    </w:p>
    <w:p>
      <w:pPr>
        <w:spacing w:after="0" w:line="159"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COMMON STOCK</w:t>
      </w:r>
    </w:p>
    <w:p>
      <w:pPr>
        <w:spacing w:after="0" w:line="160" w:lineRule="exact"/>
        <w:rPr>
          <w:sz w:val="20"/>
          <w:szCs w:val="20"/>
          <w:color w:val="auto"/>
        </w:rPr>
      </w:pPr>
    </w:p>
    <w:p>
      <w:pPr>
        <w:ind w:left="178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ectPr>
          <w:pgSz w:w="11900" w:h="16838" w:orient="portrait"/>
          <w:cols w:equalWidth="0" w:num="1">
            <w:col w:w="10220"/>
          </w:cols>
          <w:pgMar w:left="360" w:top="1382" w:right="1319" w:bottom="0" w:gutter="0" w:footer="0" w:header="0"/>
        </w:sectPr>
      </w:pP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21"/>
          <w:szCs w:val="21"/>
          <w:b w:val="1"/>
          <w:bCs w:val="1"/>
          <w:color w:val="auto"/>
        </w:rPr>
        <w:t>Item 2(e).</w:t>
      </w:r>
    </w:p>
    <w:p>
      <w:pPr>
        <w:spacing w:after="0" w:line="165" w:lineRule="exact"/>
        <w:rPr>
          <w:sz w:val="20"/>
          <w:szCs w:val="20"/>
          <w:color w:val="auto"/>
        </w:rPr>
      </w:pPr>
    </w:p>
    <w:p>
      <w:pPr>
        <w:ind w:left="140"/>
        <w:spacing w:after="0"/>
        <w:rPr>
          <w:sz w:val="20"/>
          <w:szCs w:val="20"/>
          <w:color w:val="auto"/>
        </w:rPr>
      </w:pPr>
      <w:r>
        <w:rPr>
          <w:rFonts w:ascii="Courier New" w:cs="Courier New" w:eastAsia="Courier New" w:hAnsi="Courier New"/>
          <w:sz w:val="22"/>
          <w:szCs w:val="22"/>
          <w:b w:val="1"/>
          <w:bCs w:val="1"/>
          <w:color w:val="auto"/>
        </w:rPr>
        <w:t>Item 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22"/>
          <w:szCs w:val="22"/>
          <w:b w:val="1"/>
          <w:bCs w:val="1"/>
          <w:color w:val="auto"/>
        </w:rPr>
        <w:t>CUSIP Number:</w:t>
      </w:r>
      <w:r>
        <w:rPr>
          <w:sz w:val="20"/>
          <w:szCs w:val="20"/>
          <w:color w:val="auto"/>
        </w:rPr>
        <w:tab/>
      </w:r>
      <w:r>
        <w:rPr>
          <w:rFonts w:ascii="Courier New" w:cs="Courier New" w:eastAsia="Courier New" w:hAnsi="Courier New"/>
          <w:sz w:val="21"/>
          <w:szCs w:val="21"/>
          <w:b w:val="1"/>
          <w:bCs w:val="1"/>
          <w:color w:val="008000"/>
        </w:rPr>
        <w:t>939640108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21"/>
          <w:szCs w:val="21"/>
          <w:b w:val="1"/>
          <w:bCs w:val="1"/>
          <w:color w:val="auto"/>
        </w:rPr>
        <w:t>If this Statement is Filed Pursuant to Rule 13d-1(b), or 13d-2(b)</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160" w:lineRule="exact"/>
        <w:rPr>
          <w:sz w:val="20"/>
          <w:szCs w:val="20"/>
          <w:color w:val="auto"/>
        </w:rPr>
      </w:pPr>
    </w:p>
    <w:p>
      <w:pPr>
        <w:sectPr>
          <w:pgSz w:w="11900" w:h="16838" w:orient="portrait"/>
          <w:cols w:equalWidth="0" w:num="2">
            <w:col w:w="1420" w:space="380"/>
            <w:col w:w="8420"/>
          </w:cols>
          <w:pgMar w:left="360" w:top="1382" w:right="1319" w:bottom="0" w:gutter="0" w:footer="0" w:header="0"/>
          <w:type w:val="continuous"/>
        </w:sectPr>
      </w:pP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680" w:right="122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680" w:right="30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680" w:right="52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680" w:right="520" w:hanging="1723"/>
        <w:spacing w:after="0" w:line="428" w:lineRule="auto"/>
        <w:tabs>
          <w:tab w:leader="none" w:pos="203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680" w:right="30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680" w:right="76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ectPr>
          <w:pgSz w:w="11900" w:h="16838" w:orient="portrait"/>
          <w:cols w:equalWidth="0" w:num="1">
            <w:col w:w="10220"/>
          </w:cols>
          <w:pgMar w:left="360" w:top="1382" w:right="1319" w:bottom="0" w:gutter="0" w:footer="0" w:header="0"/>
          <w:type w:val="continuous"/>
        </w:sectPr>
      </w:pPr>
    </w:p>
    <w:bookmarkStart w:id="3" w:name="page4"/>
    <w:bookmarkEnd w:id="3"/>
    <w:p>
      <w:pPr>
        <w:ind w:left="340"/>
        <w:spacing w:after="0"/>
        <w:tabs>
          <w:tab w:leader="none" w:pos="1092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434340</wp:posOffset>
            </wp:positionV>
            <wp:extent cx="72872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9"/>
          <w:szCs w:val="19"/>
          <w:color w:val="C0C0C0"/>
        </w:rPr>
        <w:t>Page 2 of 3 pages</w:t>
      </w:r>
    </w:p>
    <w:p>
      <w:pPr>
        <w:spacing w:after="0" w:line="200" w:lineRule="exact"/>
        <w:rPr>
          <w:sz w:val="20"/>
          <w:szCs w:val="20"/>
          <w:color w:val="auto"/>
        </w:rPr>
      </w:pPr>
    </w:p>
    <w:p>
      <w:pPr>
        <w:spacing w:after="0" w:line="291"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164" w:lineRule="exact"/>
        <w:rPr>
          <w:sz w:val="20"/>
          <w:szCs w:val="20"/>
          <w:color w:val="auto"/>
        </w:rPr>
      </w:pPr>
    </w:p>
    <w:p>
      <w:pPr>
        <w:ind w:left="860" w:right="1420"/>
        <w:spacing w:after="0" w:line="411"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ind w:left="1200"/>
        <w:spacing w:after="0" w:line="236" w:lineRule="auto"/>
        <w:rPr>
          <w:sz w:val="20"/>
          <w:szCs w:val="20"/>
          <w:color w:val="auto"/>
        </w:rPr>
      </w:pPr>
      <w:r>
        <w:rPr>
          <w:rFonts w:ascii="Courier New" w:cs="Courier New" w:eastAsia="Courier New" w:hAnsi="Courier New"/>
          <w:sz w:val="22"/>
          <w:szCs w:val="22"/>
          <w:color w:val="auto"/>
        </w:rPr>
        <w:t xml:space="preserve">(a)  Amount beneficially owned: </w:t>
      </w:r>
      <w:r>
        <w:rPr>
          <w:rFonts w:ascii="Courier New" w:cs="Courier New" w:eastAsia="Courier New" w:hAnsi="Courier New"/>
          <w:sz w:val="22"/>
          <w:szCs w:val="22"/>
          <w:color w:val="008000"/>
        </w:rPr>
        <w:t>412,656</w:t>
      </w:r>
    </w:p>
    <w:p>
      <w:pPr>
        <w:spacing w:after="0" w:line="160" w:lineRule="exact"/>
        <w:rPr>
          <w:sz w:val="20"/>
          <w:szCs w:val="20"/>
          <w:color w:val="auto"/>
        </w:rPr>
      </w:pPr>
    </w:p>
    <w:p>
      <w:pPr>
        <w:ind w:left="176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03" w:lineRule="exact"/>
        <w:rPr>
          <w:sz w:val="20"/>
          <w:szCs w:val="20"/>
          <w:color w:val="auto"/>
        </w:rPr>
      </w:pPr>
    </w:p>
    <w:p>
      <w:pPr>
        <w:ind w:left="1760" w:hanging="568"/>
        <w:spacing w:after="0"/>
        <w:tabs>
          <w:tab w:leader="none" w:pos="17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w:t>
      </w:r>
      <w:r>
        <w:rPr>
          <w:rFonts w:ascii="Courier New" w:cs="Courier New" w:eastAsia="Courier New" w:hAnsi="Courier New"/>
          <w:sz w:val="22"/>
          <w:szCs w:val="22"/>
          <w:color w:val="008000"/>
        </w:rPr>
        <w:t>5.0%</w:t>
      </w:r>
    </w:p>
    <w:p>
      <w:pPr>
        <w:spacing w:after="0" w:line="158" w:lineRule="exact"/>
        <w:rPr>
          <w:rFonts w:ascii="Courier New" w:cs="Courier New" w:eastAsia="Courier New" w:hAnsi="Courier New"/>
          <w:sz w:val="22"/>
          <w:szCs w:val="22"/>
          <w:color w:val="auto"/>
        </w:rPr>
      </w:pPr>
    </w:p>
    <w:p>
      <w:pPr>
        <w:ind w:left="1760" w:hanging="568"/>
        <w:spacing w:after="0"/>
        <w:tabs>
          <w:tab w:leader="none" w:pos="17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45" w:lineRule="exact"/>
        <w:rPr>
          <w:sz w:val="20"/>
          <w:szCs w:val="20"/>
          <w:color w:val="auto"/>
        </w:rPr>
      </w:pPr>
    </w:p>
    <w:tbl>
      <w:tblPr>
        <w:tblLayout w:type="fixed"/>
        <w:tblInd w:w="2420" w:type="dxa"/>
        <w:tblCellMar>
          <w:top w:w="0" w:type="dxa"/>
          <w:left w:w="0" w:type="dxa"/>
          <w:bottom w:w="0" w:type="dxa"/>
          <w:right w:w="0" w:type="dxa"/>
        </w:tblCellMar>
      </w:tblPr>
      <w:tr>
        <w:trPr>
          <w:trHeight w:val="243"/>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w w:val="99"/>
              </w:rPr>
              <w:t>(i)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20" w:type="dxa"/>
            <w:vAlign w:val="bottom"/>
          </w:tcPr>
          <w:p>
            <w:pPr>
              <w:ind w:left="60"/>
              <w:spacing w:after="0"/>
              <w:rPr>
                <w:sz w:val="20"/>
                <w:szCs w:val="20"/>
                <w:color w:val="auto"/>
              </w:rPr>
            </w:pPr>
            <w:r>
              <w:rPr>
                <w:rFonts w:ascii="Courier New" w:cs="Courier New" w:eastAsia="Courier New" w:hAnsi="Courier New"/>
                <w:sz w:val="19"/>
                <w:szCs w:val="19"/>
                <w:color w:val="auto"/>
              </w:rPr>
              <w:t>to vote or to direct the vote:</w:t>
            </w:r>
          </w:p>
        </w:tc>
        <w:tc>
          <w:tcPr>
            <w:tcW w:w="940" w:type="dxa"/>
            <w:vAlign w:val="bottom"/>
          </w:tcPr>
          <w:p>
            <w:pPr>
              <w:jc w:val="right"/>
              <w:spacing w:after="0"/>
              <w:rPr>
                <w:sz w:val="20"/>
                <w:szCs w:val="20"/>
                <w:color w:val="auto"/>
              </w:rPr>
            </w:pPr>
            <w:r>
              <w:rPr>
                <w:rFonts w:ascii="Arial" w:cs="Arial" w:eastAsia="Arial" w:hAnsi="Arial"/>
                <w:sz w:val="19"/>
                <w:szCs w:val="19"/>
                <w:color w:val="008000"/>
              </w:rPr>
              <w:t>161,259</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w:t>
            </w:r>
          </w:p>
        </w:tc>
        <w:tc>
          <w:tcPr>
            <w:tcW w:w="6780" w:type="dxa"/>
            <w:vAlign w:val="bottom"/>
            <w:gridSpan w:val="3"/>
          </w:tcPr>
          <w:p>
            <w:pPr>
              <w:ind w:left="26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940" w:type="dxa"/>
            <w:vAlign w:val="bottom"/>
          </w:tcPr>
          <w:p>
            <w:pPr>
              <w:jc w:val="right"/>
              <w:spacing w:after="0"/>
              <w:rPr>
                <w:sz w:val="20"/>
                <w:szCs w:val="20"/>
                <w:color w:val="auto"/>
              </w:rPr>
            </w:pPr>
            <w:r>
              <w:rPr>
                <w:rFonts w:ascii="Arial" w:cs="Arial" w:eastAsia="Arial" w:hAnsi="Arial"/>
                <w:sz w:val="19"/>
                <w:szCs w:val="19"/>
                <w:color w:val="008000"/>
              </w:rPr>
              <w:t>214,851</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20" w:type="dxa"/>
            <w:vAlign w:val="bottom"/>
          </w:tcPr>
          <w:p>
            <w:pPr>
              <w:ind w:left="60"/>
              <w:spacing w:after="0"/>
              <w:rPr>
                <w:sz w:val="20"/>
                <w:szCs w:val="20"/>
                <w:color w:val="auto"/>
              </w:rPr>
            </w:pPr>
            <w:r>
              <w:rPr>
                <w:rFonts w:ascii="Courier New" w:cs="Courier New" w:eastAsia="Courier New" w:hAnsi="Courier New"/>
                <w:sz w:val="19"/>
                <w:szCs w:val="19"/>
                <w:color w:val="auto"/>
              </w:rPr>
              <w:t>to dispose or to direct the disposition of:</w:t>
            </w:r>
          </w:p>
        </w:tc>
        <w:tc>
          <w:tcPr>
            <w:tcW w:w="940" w:type="dxa"/>
            <w:vAlign w:val="bottom"/>
          </w:tcPr>
          <w:p>
            <w:pPr>
              <w:jc w:val="right"/>
              <w:spacing w:after="0"/>
              <w:rPr>
                <w:sz w:val="20"/>
                <w:szCs w:val="20"/>
                <w:color w:val="auto"/>
              </w:rPr>
            </w:pPr>
            <w:r>
              <w:rPr>
                <w:rFonts w:ascii="Arial" w:cs="Arial" w:eastAsia="Arial" w:hAnsi="Arial"/>
                <w:sz w:val="19"/>
                <w:szCs w:val="19"/>
                <w:color w:val="008000"/>
              </w:rPr>
              <w:t>194,127</w:t>
            </w:r>
          </w:p>
        </w:tc>
      </w:tr>
    </w:tbl>
    <w:p>
      <w:pPr>
        <w:spacing w:after="0" w:line="141" w:lineRule="exact"/>
        <w:rPr>
          <w:sz w:val="20"/>
          <w:szCs w:val="20"/>
          <w:color w:val="auto"/>
        </w:rPr>
      </w:pPr>
    </w:p>
    <w:p>
      <w:pPr>
        <w:ind w:left="3520" w:hanging="1038"/>
        <w:spacing w:after="0"/>
        <w:tabs>
          <w:tab w:leader="none" w:pos="352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xml:space="preserve">Shared power to dispose or to direct the disposition of:    </w:t>
      </w:r>
      <w:r>
        <w:rPr>
          <w:rFonts w:ascii="Arial" w:cs="Arial" w:eastAsia="Arial" w:hAnsi="Arial"/>
          <w:sz w:val="19"/>
          <w:szCs w:val="19"/>
          <w:color w:val="008000"/>
        </w:rPr>
        <w:t>208,430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NOT APPLICABLE</w:t>
      </w:r>
    </w:p>
    <w:p>
      <w:pPr>
        <w:spacing w:after="0" w:line="164" w:lineRule="exact"/>
        <w:rPr>
          <w:sz w:val="20"/>
          <w:szCs w:val="20"/>
          <w:color w:val="auto"/>
        </w:rPr>
      </w:pPr>
    </w:p>
    <w:p>
      <w:pPr>
        <w:ind w:right="1760"/>
        <w:spacing w:after="0" w:line="414"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332" w:lineRule="exact"/>
        <w:rPr>
          <w:sz w:val="20"/>
          <w:szCs w:val="20"/>
          <w:color w:val="auto"/>
        </w:rPr>
      </w:pPr>
    </w:p>
    <w:p>
      <w:pPr>
        <w:ind w:right="1240"/>
        <w:spacing w:after="0" w:line="390" w:lineRule="auto"/>
        <w:rPr>
          <w:sz w:val="20"/>
          <w:szCs w:val="20"/>
          <w:color w:val="auto"/>
        </w:rPr>
      </w:pPr>
      <w:r>
        <w:rPr>
          <w:rFonts w:ascii="Courier New" w:cs="Courier New" w:eastAsia="Courier New" w:hAnsi="Courier New"/>
          <w:sz w:val="22"/>
          <w:szCs w:val="22"/>
          <w:color w:val="auto"/>
        </w:rPr>
        <w:t xml:space="preserve">JPMorgan Chase &amp; Co. is the beneficial owner of </w:t>
      </w:r>
      <w:r>
        <w:rPr>
          <w:rFonts w:ascii="Courier New" w:cs="Courier New" w:eastAsia="Courier New" w:hAnsi="Courier New"/>
          <w:sz w:val="22"/>
          <w:szCs w:val="22"/>
          <w:color w:val="008000"/>
        </w:rPr>
        <w:t>412,656</w:t>
      </w:r>
      <w:r>
        <w:rPr>
          <w:rFonts w:ascii="Courier New" w:cs="Courier New" w:eastAsia="Courier New" w:hAnsi="Courier New"/>
          <w:sz w:val="22"/>
          <w:szCs w:val="22"/>
          <w:color w:val="auto"/>
        </w:rPr>
        <w:t xml:space="preserve"> shares of the issuer's common stock on behalf of other persons known to have one or more of the following:</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22"/>
          <w:szCs w:val="22"/>
          <w:color w:val="auto"/>
        </w:rPr>
        <w:t>the right to receive dividends for such securities;</w:t>
      </w:r>
    </w:p>
    <w:p>
      <w:pPr>
        <w:spacing w:after="0" w:line="164" w:lineRule="exact"/>
        <w:rPr>
          <w:sz w:val="20"/>
          <w:szCs w:val="20"/>
          <w:color w:val="auto"/>
        </w:rPr>
      </w:pPr>
    </w:p>
    <w:p>
      <w:pPr>
        <w:ind w:left="2540"/>
        <w:spacing w:after="0" w:line="411" w:lineRule="auto"/>
        <w:rPr>
          <w:sz w:val="20"/>
          <w:szCs w:val="20"/>
          <w:color w:val="auto"/>
        </w:rPr>
      </w:pPr>
      <w:r>
        <w:rPr>
          <w:rFonts w:ascii="Courier New" w:cs="Courier New" w:eastAsia="Courier New" w:hAnsi="Courier New"/>
          <w:sz w:val="21"/>
          <w:szCs w:val="21"/>
          <w:color w:val="auto"/>
        </w:rPr>
        <w:t>the power to direct the receipt of dividends from such securities; the right to receive the proceeds from the sale of such securities;</w:t>
      </w:r>
    </w:p>
    <w:p>
      <w:pPr>
        <w:spacing w:after="0" w:line="1" w:lineRule="exact"/>
        <w:rPr>
          <w:sz w:val="20"/>
          <w:szCs w:val="20"/>
          <w:color w:val="auto"/>
        </w:rPr>
      </w:pPr>
    </w:p>
    <w:p>
      <w:pPr>
        <w:ind w:left="2540" w:right="260"/>
        <w:spacing w:after="0" w:line="233" w:lineRule="auto"/>
        <w:rPr>
          <w:sz w:val="20"/>
          <w:szCs w:val="20"/>
          <w:color w:val="auto"/>
        </w:rPr>
      </w:pPr>
      <w:r>
        <w:rPr>
          <w:rFonts w:ascii="Courier New" w:cs="Courier New" w:eastAsia="Courier New" w:hAnsi="Courier New"/>
          <w:sz w:val="22"/>
          <w:szCs w:val="22"/>
          <w:color w:val="auto"/>
        </w:rPr>
        <w:t>the right to direct the receipt of proceeds from the sale of such securities;</w:t>
      </w:r>
    </w:p>
    <w:p>
      <w:pPr>
        <w:spacing w:after="0" w:line="164" w:lineRule="exact"/>
        <w:rPr>
          <w:sz w:val="20"/>
          <w:szCs w:val="20"/>
          <w:color w:val="auto"/>
        </w:rPr>
      </w:pPr>
    </w:p>
    <w:p>
      <w:pPr>
        <w:ind w:right="1500"/>
        <w:spacing w:after="0" w:line="387" w:lineRule="auto"/>
        <w:rPr>
          <w:sz w:val="20"/>
          <w:szCs w:val="20"/>
          <w:color w:val="auto"/>
        </w:rPr>
      </w:pPr>
      <w:r>
        <w:rPr>
          <w:rFonts w:ascii="Courier New" w:cs="Courier New" w:eastAsia="Courier New" w:hAnsi="Courier New"/>
          <w:sz w:val="22"/>
          <w:szCs w:val="22"/>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 Acquired the</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b w:val="1"/>
          <w:bCs w:val="1"/>
          <w:color w:val="auto"/>
        </w:rPr>
        <w:t>Security being reported on by the Parent Holding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This notice is filed on behalf of JPMorgan Chase &amp; Co. and its wholly owned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Subsidiary (ies),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JPMorgan Chase Bank, National Association</w:t>
      </w:r>
    </w:p>
    <w:p>
      <w:pPr>
        <w:sectPr>
          <w:pgSz w:w="11900" w:h="16838" w:orient="portrait"/>
          <w:cols w:equalWidth="0" w:num="1">
            <w:col w:w="11220"/>
          </w:cols>
          <w:pgMar w:left="320" w:top="206" w:right="359" w:bottom="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J.P. Morgan Investment Management Inc.</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Trust Company, National Association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JPMorgan Investment Advisors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9.</w:t>
      </w:r>
      <w:r>
        <w:rPr>
          <w:sz w:val="20"/>
          <w:szCs w:val="20"/>
          <w:color w:val="auto"/>
        </w:rPr>
        <w:tab/>
      </w:r>
      <w:r>
        <w:rPr>
          <w:rFonts w:ascii="Courier New" w:cs="Courier New" w:eastAsia="Courier New" w:hAnsi="Courier New"/>
          <w:sz w:val="21"/>
          <w:szCs w:val="21"/>
          <w:b w:val="1"/>
          <w:bCs w:val="1"/>
          <w:color w:val="auto"/>
        </w:rPr>
        <w:t>Notice of Dissolution of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10.</w:t>
      </w:r>
      <w:r>
        <w:rPr>
          <w:sz w:val="20"/>
          <w:szCs w:val="20"/>
          <w:color w:val="auto"/>
        </w:rPr>
        <w:tab/>
      </w:r>
      <w:r>
        <w:rPr>
          <w:rFonts w:ascii="Courier New" w:cs="Courier New" w:eastAsia="Courier New" w:hAnsi="Courier New"/>
          <w:sz w:val="21"/>
          <w:szCs w:val="21"/>
          <w:b w:val="1"/>
          <w:bCs w:val="1"/>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By signing below I certify</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that,</w:t>
            </w:r>
          </w:p>
        </w:tc>
        <w:tc>
          <w:tcPr>
            <w:tcW w:w="15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to the best</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of my</w:t>
            </w:r>
          </w:p>
        </w:tc>
        <w:tc>
          <w:tcPr>
            <w:tcW w:w="13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knowledge</w:t>
            </w:r>
          </w:p>
        </w:tc>
        <w:tc>
          <w:tcPr>
            <w:tcW w:w="2140" w:type="dxa"/>
            <w:vAlign w:val="bottom"/>
            <w:gridSpan w:val="4"/>
          </w:tcPr>
          <w:p>
            <w:pPr>
              <w:ind w:left="60"/>
              <w:spacing w:after="0"/>
              <w:rPr>
                <w:sz w:val="20"/>
                <w:szCs w:val="20"/>
                <w:color w:val="auto"/>
              </w:rPr>
            </w:pPr>
            <w:r>
              <w:rPr>
                <w:rFonts w:ascii="Courier New" w:cs="Courier New" w:eastAsia="Courier New" w:hAnsi="Courier New"/>
                <w:sz w:val="22"/>
                <w:szCs w:val="22"/>
                <w:color w:val="auto"/>
              </w:rPr>
              <w:t>and belief,</w:t>
            </w:r>
          </w:p>
        </w:tc>
      </w:tr>
      <w:tr>
        <w:trPr>
          <w:trHeight w:val="408"/>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the securities referred to</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above</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were not</w:t>
            </w:r>
          </w:p>
        </w:tc>
        <w:tc>
          <w:tcPr>
            <w:tcW w:w="116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acquired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and are</w:t>
            </w:r>
          </w:p>
        </w:tc>
        <w:tc>
          <w:tcPr>
            <w:tcW w:w="1680" w:type="dxa"/>
            <w:vAlign w:val="bottom"/>
            <w:gridSpan w:val="4"/>
          </w:tcPr>
          <w:p>
            <w:pPr>
              <w:jc w:val="center"/>
              <w:spacing w:after="0"/>
              <w:rPr>
                <w:sz w:val="20"/>
                <w:szCs w:val="20"/>
                <w:color w:val="auto"/>
              </w:rPr>
            </w:pPr>
            <w:r>
              <w:rPr>
                <w:rFonts w:ascii="Courier New" w:cs="Courier New" w:eastAsia="Courier New" w:hAnsi="Courier New"/>
                <w:sz w:val="22"/>
                <w:szCs w:val="22"/>
                <w:color w:val="auto"/>
                <w:w w:val="98"/>
              </w:rPr>
              <w:t>not held for</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purpose of or</w:t>
            </w:r>
          </w:p>
        </w:tc>
        <w:tc>
          <w:tcPr>
            <w:tcW w:w="248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with the effect of</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changing</w:t>
            </w:r>
          </w:p>
        </w:tc>
        <w:tc>
          <w:tcPr>
            <w:tcW w:w="380" w:type="dxa"/>
            <w:vAlign w:val="bottom"/>
          </w:tcPr>
          <w:p>
            <w:pPr>
              <w:ind w:left="60"/>
              <w:spacing w:after="0"/>
              <w:rPr>
                <w:sz w:val="20"/>
                <w:szCs w:val="20"/>
                <w:color w:val="auto"/>
              </w:rPr>
            </w:pPr>
            <w:r>
              <w:rPr>
                <w:rFonts w:ascii="Courier New" w:cs="Courier New" w:eastAsia="Courier New" w:hAnsi="Courier New"/>
                <w:sz w:val="22"/>
                <w:szCs w:val="22"/>
                <w:color w:val="auto"/>
              </w:rPr>
              <w:t>or</w:t>
            </w:r>
          </w:p>
        </w:tc>
        <w:tc>
          <w:tcPr>
            <w:tcW w:w="2080" w:type="dxa"/>
            <w:vAlign w:val="bottom"/>
            <w:gridSpan w:val="3"/>
          </w:tcPr>
          <w:p>
            <w:pPr>
              <w:ind w:left="80"/>
              <w:spacing w:after="0"/>
              <w:rPr>
                <w:sz w:val="20"/>
                <w:szCs w:val="20"/>
                <w:color w:val="auto"/>
              </w:rPr>
            </w:pPr>
            <w:r>
              <w:rPr>
                <w:rFonts w:ascii="Courier New" w:cs="Courier New" w:eastAsia="Courier New" w:hAnsi="Courier New"/>
                <w:sz w:val="22"/>
                <w:szCs w:val="22"/>
                <w:color w:val="auto"/>
                <w:w w:val="99"/>
              </w:rPr>
              <w:t>influencing the</w:t>
            </w:r>
          </w:p>
        </w:tc>
        <w:tc>
          <w:tcPr>
            <w:tcW w:w="142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control of</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issuer of the</w:t>
            </w:r>
          </w:p>
        </w:tc>
        <w:tc>
          <w:tcPr>
            <w:tcW w:w="4800" w:type="dxa"/>
            <w:vAlign w:val="bottom"/>
            <w:gridSpan w:val="5"/>
          </w:tcPr>
          <w:p>
            <w:pPr>
              <w:jc w:val="right"/>
              <w:spacing w:after="0"/>
              <w:rPr>
                <w:sz w:val="20"/>
                <w:szCs w:val="20"/>
                <w:color w:val="auto"/>
              </w:rPr>
            </w:pPr>
            <w:r>
              <w:rPr>
                <w:rFonts w:ascii="Courier New" w:cs="Courier New" w:eastAsia="Courier New" w:hAnsi="Courier New"/>
                <w:sz w:val="22"/>
                <w:szCs w:val="22"/>
                <w:color w:val="auto"/>
                <w:w w:val="99"/>
              </w:rPr>
              <w:t>securities and were not acquired and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are not</w:t>
            </w:r>
          </w:p>
        </w:tc>
        <w:tc>
          <w:tcPr>
            <w:tcW w:w="6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held</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in</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6"/>
              </w:rPr>
              <w:t>connection</w:t>
            </w:r>
          </w:p>
        </w:tc>
      </w:tr>
      <w:tr>
        <w:trPr>
          <w:trHeight w:val="408"/>
        </w:trPr>
        <w:tc>
          <w:tcPr>
            <w:tcW w:w="6540" w:type="dxa"/>
            <w:vAlign w:val="bottom"/>
            <w:gridSpan w:val="6"/>
          </w:tcPr>
          <w:p>
            <w:pPr>
              <w:spacing w:after="0"/>
              <w:rPr>
                <w:sz w:val="20"/>
                <w:szCs w:val="20"/>
                <w:color w:val="auto"/>
              </w:rPr>
            </w:pPr>
            <w:r>
              <w:rPr>
                <w:rFonts w:ascii="Courier New" w:cs="Courier New" w:eastAsia="Courier New" w:hAnsi="Courier New"/>
                <w:sz w:val="22"/>
                <w:szCs w:val="22"/>
                <w:color w:val="auto"/>
                <w:w w:val="98"/>
              </w:rPr>
              <w:t>with or as a participant in any transaction having</w:t>
            </w:r>
          </w:p>
        </w:tc>
        <w:tc>
          <w:tcPr>
            <w:tcW w:w="16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that purpose</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or</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708660</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60"/>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ind w:right="680"/>
        <w:spacing w:after="0" w:line="428"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192" w:lineRule="exact"/>
        <w:rPr>
          <w:sz w:val="20"/>
          <w:szCs w:val="20"/>
          <w:color w:val="auto"/>
        </w:rPr>
      </w:pPr>
    </w:p>
    <w:p>
      <w:pPr>
        <w:spacing w:after="0"/>
        <w:tabs>
          <w:tab w:leader="none" w:pos="7340" w:val="left"/>
        </w:tabs>
        <w:rPr>
          <w:sz w:val="20"/>
          <w:szCs w:val="20"/>
          <w:color w:val="auto"/>
        </w:rPr>
      </w:pPr>
      <w:r>
        <w:rPr>
          <w:rFonts w:ascii="Courier New" w:cs="Courier New" w:eastAsia="Courier New" w:hAnsi="Courier New"/>
          <w:sz w:val="19"/>
          <w:szCs w:val="19"/>
          <w:color w:val="auto"/>
        </w:rPr>
        <w:t>Dated: JANUARY 29,2008</w:t>
      </w:r>
      <w:r>
        <w:rPr>
          <w:sz w:val="20"/>
          <w:szCs w:val="20"/>
          <w:color w:val="auto"/>
        </w:rPr>
        <w:tab/>
      </w:r>
      <w:r>
        <w:rPr>
          <w:rFonts w:ascii="Courier New" w:cs="Courier New" w:eastAsia="Courier New" w:hAnsi="Courier New"/>
          <w:sz w:val="19"/>
          <w:szCs w:val="19"/>
          <w:color w:val="auto"/>
        </w:rPr>
        <w:t>JPMorgan Chase &amp; Co.</w:t>
      </w:r>
    </w:p>
    <w:p>
      <w:pPr>
        <w:spacing w:after="0" w:line="169"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9"/>
          <w:szCs w:val="19"/>
          <w:color w:val="auto"/>
        </w:rPr>
        <w:t>By: /s/ Margaret R. Rubin</w:t>
      </w:r>
    </w:p>
    <w:p>
      <w:pPr>
        <w:spacing w:after="0" w:line="169" w:lineRule="exact"/>
        <w:rPr>
          <w:sz w:val="20"/>
          <w:szCs w:val="20"/>
          <w:color w:val="auto"/>
        </w:rPr>
      </w:pPr>
    </w:p>
    <w:p>
      <w:pPr>
        <w:ind w:left="6320"/>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9"/>
          <w:szCs w:val="19"/>
          <w:color w:val="auto"/>
        </w:rPr>
        <w:t>Margaret R. Rubin</w:t>
      </w:r>
    </w:p>
    <w:p>
      <w:pPr>
        <w:spacing w:after="0" w:line="169"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9"/>
          <w:szCs w:val="19"/>
          <w:color w:val="auto"/>
        </w:rPr>
        <w:t>Corporate Compliance</w:t>
      </w:r>
    </w:p>
    <w:p>
      <w:pPr>
        <w:sectPr>
          <w:pgSz w:w="11900" w:h="16838" w:orient="portrait"/>
          <w:cols w:equalWidth="0" w:num="1">
            <w:col w:w="10700"/>
          </w:cols>
          <w:pgMar w:left="320" w:top="134" w:right="8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140"/>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sectPr>
          <w:pgSz w:w="11900" w:h="16838" w:orient="portrait"/>
          <w:cols w:equalWidth="0" w:num="1">
            <w:col w:w="10700"/>
          </w:cols>
          <w:pgMar w:left="320" w:top="134" w:right="879" w:bottom="0" w:gutter="0" w:footer="0" w:header="0"/>
          <w:type w:val="continuous"/>
        </w:sectPr>
      </w:pPr>
    </w:p>
    <w:bookmarkStart w:id="5" w:name="page6"/>
    <w:bookmarkEnd w:id="5"/>
    <w:p>
      <w:pPr>
        <w:ind w:right="339"/>
        <w:spacing w:after="0" w:line="427"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335280</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472440</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0139"/>
      </w:cols>
      <w:pgMar w:left="32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9"/>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2019-12-13T08:11:36Z</dcterms:created>
  <dcterms:modified xsi:type="dcterms:W3CDTF">2019-12-13T08:11:36Z</dcterms:modified>
</cp:coreProperties>
</file>