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64" w:before="0" w:after="18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64" w:before="0" w:after="180"/>
        <w:jc w:val="center"/>
        <w:rPr>
          <w:rFonts w:ascii="Arial;sans-serif" w:hAnsi="Arial;sans-serif"/>
          <w:b/>
          <w:color w:val="000000"/>
          <w:sz w:val="24"/>
        </w:rPr>
      </w:pPr>
      <w:r>
        <w:rPr>
          <w:rFonts w:ascii="Arial;sans-serif" w:hAnsi="Arial;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80" w:after="180"/>
        <w:jc w:val="center"/>
        <w:rPr>
          <w:rFonts w:ascii="Arial;sans-serif" w:hAnsi="Arial;sans-serif"/>
          <w:b/>
          <w:color w:val="000000"/>
          <w:sz w:val="36"/>
        </w:rPr>
      </w:pPr>
      <w:r>
        <w:rPr>
          <w:rFonts w:ascii="Arial;sans-serif" w:hAnsi="Arial;sans-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64" w:before="100" w:after="240"/>
        <w:jc w:val="center"/>
        <w:rPr>
          <w:rFonts w:ascii="Arial;sans-serif" w:hAnsi="Arial;sans-serif"/>
          <w:b/>
          <w:color w:val="000000"/>
          <w:sz w:val="24"/>
        </w:rPr>
      </w:pPr>
      <w:r>
        <w:rPr>
          <w:rFonts w:ascii="Arial;sans-serif" w:hAnsi="Arial;sans-serif"/>
          <w:b/>
          <w:color w:val="000000"/>
          <w:sz w:val="24"/>
        </w:rPr>
        <w:t>Pursuant to Section 13 or 15(d) of the Securities Exchange Act of 1934</w:t>
      </w:r>
    </w:p>
    <w:p>
      <w:pPr>
        <w:pStyle w:val="TextBody"/>
        <w:bidi w:val="0"/>
        <w:spacing w:lineRule="auto" w:line="264" w:before="180" w:after="240"/>
        <w:jc w:val="center"/>
        <w:rPr/>
      </w:pPr>
      <w:r>
        <w:rPr>
          <w:rFonts w:ascii="Arial;sans-serif" w:hAnsi="Arial;sans-serif"/>
          <w:b/>
          <w:color w:val="000000"/>
          <w:sz w:val="24"/>
        </w:rPr>
        <w:t>Date of Report (Date of earliest event reported)</w:t>
      </w:r>
      <w:r>
        <w:rPr>
          <w:color w:val="000000"/>
        </w:rPr>
        <w:t xml:space="preserve"> </w:t>
      </w:r>
      <w:r>
        <w:rPr>
          <w:rFonts w:ascii="Arial;sans-serif" w:hAnsi="Arial;sans-serif"/>
          <w:b/>
          <w:color w:val="000000"/>
          <w:sz w:val="24"/>
          <w:u w:val="single"/>
        </w:rPr>
        <w:t xml:space="preserve">May 5, 2026 </w:t>
      </w:r>
    </w:p>
    <w:p>
      <w:pPr>
        <w:pStyle w:val="TextBody"/>
        <w:bidi w:val="0"/>
        <w:spacing w:lineRule="auto" w:line="264" w:before="100" w:after="180"/>
        <w:jc w:val="center"/>
        <w:rPr>
          <w:rFonts w:ascii="Arial;sans-serif" w:hAnsi="Arial;sans-serif"/>
          <w:b/>
          <w:color w:val="000000"/>
          <w:sz w:val="48"/>
        </w:rPr>
      </w:pPr>
      <w:r>
        <w:rPr>
          <w:rFonts w:ascii="Arial;sans-serif" w:hAnsi="Arial;sans-serif"/>
          <w:b/>
          <w:color w:val="000000"/>
          <w:sz w:val="48"/>
        </w:rPr>
        <w:t>GRAHAM HOLDINGS COMPANY</w:t>
      </w:r>
    </w:p>
    <w:p>
      <w:pPr>
        <w:pStyle w:val="TextBody"/>
        <w:bidi w:val="0"/>
        <w:spacing w:lineRule="auto" w:line="264" w:before="0" w:after="240"/>
        <w:jc w:val="center"/>
        <w:rPr/>
      </w:pPr>
      <w:r>
        <w:rPr>
          <w:rFonts w:ascii="Arial;sans-serif" w:hAnsi="Arial;sans-serif"/>
          <w:b/>
          <w:color w:val="000000"/>
          <w:sz w:val="20"/>
        </w:rPr>
        <w:t>(Exact name of registrant as specified in its charter)</w:t>
      </w:r>
      <w:r>
        <w:rPr>
          <w:color w:val="000000"/>
        </w:rPr>
        <w:t> </w:t>
      </w:r>
    </w:p>
    <w:tbl>
      <w:tblPr>
        <w:tblW w:w="6938" w:type="dxa"/>
        <w:jc w:val="center"/>
        <w:tblInd w:w="0" w:type="dxa"/>
        <w:tblLayout w:type="fixed"/>
        <w:tblCellMar>
          <w:top w:w="28" w:type="dxa"/>
          <w:left w:w="28" w:type="dxa"/>
          <w:bottom w:w="28" w:type="dxa"/>
          <w:right w:w="28" w:type="dxa"/>
        </w:tblCellMar>
      </w:tblPr>
      <w:tblGrid>
        <w:gridCol w:w="315"/>
        <w:gridCol w:w="277"/>
        <w:gridCol w:w="277"/>
        <w:gridCol w:w="277"/>
        <w:gridCol w:w="277"/>
        <w:gridCol w:w="277"/>
        <w:gridCol w:w="277"/>
        <w:gridCol w:w="277"/>
        <w:gridCol w:w="277"/>
        <w:gridCol w:w="277"/>
        <w:gridCol w:w="277"/>
        <w:gridCol w:w="277"/>
        <w:gridCol w:w="277"/>
        <w:gridCol w:w="277"/>
        <w:gridCol w:w="277"/>
        <w:gridCol w:w="389"/>
        <w:gridCol w:w="389"/>
        <w:gridCol w:w="393"/>
        <w:gridCol w:w="460"/>
        <w:gridCol w:w="460"/>
        <w:gridCol w:w="654"/>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4193" w:type="dxa"/>
            <w:gridSpan w:val="15"/>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20"/>
              </w:rPr>
            </w:pPr>
            <w:r>
              <w:rPr>
                <w:rFonts w:ascii="Arial;sans-serif" w:hAnsi="Arial;sans-serif"/>
                <w:b/>
                <w:color w:val="000000"/>
                <w:sz w:val="20"/>
              </w:rPr>
              <w:t>Delaware</w:t>
            </w:r>
          </w:p>
        </w:tc>
        <w:tc>
          <w:tcPr>
            <w:tcW w:w="1171"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20"/>
              </w:rPr>
            </w:pPr>
            <w:r>
              <w:rPr>
                <w:rFonts w:ascii="Arial;sans-serif" w:hAnsi="Arial;sans-serif"/>
                <w:b/>
                <w:color w:val="000000"/>
                <w:sz w:val="20"/>
              </w:rPr>
              <w:t>001-06714</w:t>
            </w:r>
          </w:p>
        </w:tc>
        <w:tc>
          <w:tcPr>
            <w:tcW w:w="1574"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20"/>
              </w:rPr>
            </w:pPr>
            <w:r>
              <w:rPr>
                <w:rFonts w:ascii="Arial;sans-serif" w:hAnsi="Arial;sans-serif"/>
                <w:b/>
                <w:color w:val="000000"/>
                <w:sz w:val="20"/>
              </w:rPr>
              <w:t>53-0182885</w:t>
            </w:r>
          </w:p>
        </w:tc>
      </w:tr>
      <w:tr>
        <w:trPr/>
        <w:tc>
          <w:tcPr>
            <w:tcW w:w="419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(State or other jurisdiction of</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incorporation)</w:t>
            </w:r>
          </w:p>
        </w:tc>
        <w:tc>
          <w:tcPr>
            <w:tcW w:w="1171"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16"/>
              </w:rPr>
            </w:pPr>
            <w:r>
              <w:rPr>
                <w:rFonts w:ascii="Arial;sans-serif" w:hAnsi="Arial;sans-serif"/>
                <w:b/>
                <w:color w:val="000000"/>
                <w:sz w:val="16"/>
              </w:rPr>
              <w:t>(Commission</w:t>
            </w:r>
          </w:p>
          <w:p>
            <w:pPr>
              <w:pStyle w:val="TableContents"/>
              <w:bidi w:val="0"/>
              <w:spacing w:lineRule="auto" w:line="264" w:before="0" w:after="0"/>
              <w:jc w:val="center"/>
              <w:rPr>
                <w:rFonts w:ascii="Arial;sans-serif" w:hAnsi="Arial;sans-serif"/>
                <w:b/>
                <w:color w:val="000000"/>
                <w:sz w:val="16"/>
              </w:rPr>
            </w:pPr>
            <w:r>
              <w:rPr>
                <w:rFonts w:ascii="Arial;sans-serif" w:hAnsi="Arial;sans-serif"/>
                <w:b/>
                <w:color w:val="000000"/>
                <w:sz w:val="16"/>
              </w:rPr>
              <w:t>File Number)</w:t>
            </w:r>
          </w:p>
        </w:tc>
        <w:tc>
          <w:tcPr>
            <w:tcW w:w="1574"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16"/>
              </w:rPr>
            </w:pPr>
            <w:r>
              <w:rPr>
                <w:rFonts w:ascii="Arial;sans-serif" w:hAnsi="Arial;sans-serif"/>
                <w:b/>
                <w:color w:val="000000"/>
                <w:sz w:val="16"/>
              </w:rPr>
              <w:t>(I.R.S. Employer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Identification No.)</w:t>
            </w:r>
          </w:p>
        </w:tc>
      </w:tr>
      <w:tr>
        <w:trPr/>
        <w:tc>
          <w:tcPr>
            <w:tcW w:w="869"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4193" w:type="dxa"/>
            <w:gridSpan w:val="15"/>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20"/>
              </w:rPr>
            </w:pPr>
            <w:r>
              <w:rPr>
                <w:rFonts w:ascii="Arial;sans-serif" w:hAnsi="Arial;sans-serif"/>
                <w:b/>
                <w:color w:val="000000"/>
                <w:sz w:val="20"/>
              </w:rPr>
              <w:t>1812 North Moore Street, Arlington, Virginia</w:t>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color w:val="000000"/>
                <w:sz w:val="20"/>
              </w:rPr>
            </w:pPr>
            <w:r>
              <w:rPr>
                <w:rFonts w:ascii="Arial;sans-serif" w:hAnsi="Arial;sans-serif"/>
                <w:b/>
                <w:color w:val="000000"/>
                <w:sz w:val="20"/>
              </w:rPr>
              <w:t>22209</w:t>
            </w:r>
          </w:p>
        </w:tc>
      </w:tr>
      <w:tr>
        <w:trPr/>
        <w:tc>
          <w:tcPr>
            <w:tcW w:w="4193" w:type="dxa"/>
            <w:gridSpan w:val="15"/>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(Address of principal executive offices)</w:t>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color w:val="000000"/>
                <w:sz w:val="16"/>
              </w:rPr>
            </w:pPr>
            <w:r>
              <w:rPr>
                <w:rFonts w:ascii="Arial;sans-serif" w:hAnsi="Arial;sans-serif"/>
                <w:b/>
                <w:color w:val="000000"/>
                <w:sz w:val="16"/>
              </w:rPr>
              <w:t>(Zip Code)</w:t>
            </w:r>
          </w:p>
        </w:tc>
      </w:tr>
    </w:tbl>
    <w:p>
      <w:pPr>
        <w:pStyle w:val="TextBody"/>
        <w:bidi w:val="0"/>
        <w:spacing w:lineRule="auto" w:line="264" w:before="80" w:after="180"/>
        <w:jc w:val="center"/>
        <w:rPr>
          <w:rFonts w:ascii="Arial;sans-serif" w:hAnsi="Arial;sans-serif"/>
          <w:b/>
          <w:color w:val="000000"/>
          <w:sz w:val="20"/>
        </w:rPr>
      </w:pPr>
      <w:r>
        <w:rPr>
          <w:rFonts w:ascii="Arial;sans-serif" w:hAnsi="Arial;sans-serif"/>
          <w:b/>
          <w:color w:val="000000"/>
          <w:sz w:val="20"/>
        </w:rPr>
        <w:t xml:space="preserve">(703) 345-6300 </w:t>
      </w:r>
    </w:p>
    <w:p>
      <w:pPr>
        <w:pStyle w:val="TextBody"/>
        <w:bidi w:val="0"/>
        <w:spacing w:lineRule="auto" w:line="264" w:before="0" w:after="180"/>
        <w:jc w:val="center"/>
        <w:rPr>
          <w:rFonts w:ascii="Arial;sans-serif" w:hAnsi="Arial;sans-serif"/>
          <w:b/>
          <w:color w:val="000000"/>
          <w:sz w:val="16"/>
        </w:rPr>
      </w:pPr>
      <w:r>
        <w:rPr>
          <w:rFonts w:ascii="Arial;sans-serif" w:hAnsi="Arial;sans-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566" w:type="dxa"/>
        <w:jc w:val="left"/>
        <w:tblInd w:w="0" w:type="dxa"/>
        <w:tblLayout w:type="fixed"/>
        <w:tblCellMar>
          <w:top w:w="28" w:type="dxa"/>
          <w:left w:w="28" w:type="dxa"/>
          <w:bottom w:w="28" w:type="dxa"/>
          <w:right w:w="28" w:type="dxa"/>
        </w:tblCellMar>
      </w:tblPr>
      <w:tblGrid>
        <w:gridCol w:w="124"/>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64" w:before="0" w:after="18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9389" w:type="dxa"/>
        <w:jc w:val="left"/>
        <w:tblInd w:w="0" w:type="dxa"/>
        <w:tblLayout w:type="fixed"/>
        <w:tblCellMar>
          <w:top w:w="28" w:type="dxa"/>
          <w:left w:w="28" w:type="dxa"/>
          <w:bottom w:w="28" w:type="dxa"/>
          <w:right w:w="28" w:type="dxa"/>
        </w:tblCellMar>
      </w:tblPr>
      <w:tblGrid>
        <w:gridCol w:w="1532"/>
        <w:gridCol w:w="1346"/>
        <w:gridCol w:w="1352"/>
        <w:gridCol w:w="454"/>
        <w:gridCol w:w="454"/>
        <w:gridCol w:w="456"/>
        <w:gridCol w:w="1108"/>
        <w:gridCol w:w="1108"/>
        <w:gridCol w:w="1579"/>
      </w:tblGrid>
      <w:tr>
        <w:trPr/>
        <w:tc>
          <w:tcPr>
            <w:tcW w:w="15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Trading symbol</w:t>
            </w:r>
          </w:p>
        </w:tc>
        <w:tc>
          <w:tcPr>
            <w:tcW w:w="3795"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4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Class B Common Stock, par value $1.00 per share</w:t>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GHC</w:t>
            </w:r>
          </w:p>
        </w:tc>
        <w:tc>
          <w:tcPr>
            <w:tcW w:w="3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lineRule="auto" w:line="264" w:before="80" w:after="18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 230.405 of this chapter) or Rule 12b-2 of the Securities Exchange Act of 1934 (§240.12b-2 of this chapter).</w:t>
      </w:r>
    </w:p>
    <w:tbl>
      <w:tblPr>
        <w:tblW w:w="2682" w:type="dxa"/>
        <w:jc w:val="left"/>
        <w:tblInd w:w="0" w:type="dxa"/>
        <w:tblLayout w:type="fixed"/>
        <w:tblCellMar>
          <w:top w:w="28" w:type="dxa"/>
          <w:left w:w="28" w:type="dxa"/>
          <w:bottom w:w="28" w:type="dxa"/>
          <w:right w:w="28" w:type="dxa"/>
        </w:tblCellMar>
      </w:tblPr>
      <w:tblGrid>
        <w:gridCol w:w="837"/>
        <w:gridCol w:w="734"/>
        <w:gridCol w:w="73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w:t>
            </w:r>
          </w:p>
        </w:tc>
      </w:tr>
    </w:tbl>
    <w:p>
      <w:pPr>
        <w:pStyle w:val="TextBody"/>
        <w:bidi w:val="0"/>
        <w:spacing w:lineRule="auto" w:line="264" w:before="80" w:after="180"/>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64" w:before="180" w:after="18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Item 5.07 Submission of Matters to a Vote of Security Holders</w:t>
      </w:r>
    </w:p>
    <w:p>
      <w:pPr>
        <w:pStyle w:val="TextBody"/>
        <w:bidi w:val="0"/>
        <w:spacing w:before="0" w:after="180"/>
        <w:jc w:val="left"/>
        <w:rPr/>
      </w:pPr>
      <w:r>
        <w:rPr/>
      </w:r>
    </w:p>
    <w:p>
      <w:pPr>
        <w:pStyle w:val="TextBody"/>
        <w:bidi w:val="0"/>
        <w:spacing w:lineRule="auto" w:line="264" w:before="0" w:after="180"/>
        <w:jc w:val="left"/>
        <w:rPr>
          <w:color w:val="000000"/>
        </w:rPr>
      </w:pPr>
      <w:r>
        <w:rPr>
          <w:color w:val="000000"/>
        </w:rPr>
        <w:t>    </w:t>
      </w:r>
      <w:r>
        <w:rPr>
          <w:rFonts w:ascii="Arial;sans-serif" w:hAnsi="Arial;sans-serif"/>
          <w:b w:val="false"/>
          <w:color w:val="000000"/>
          <w:sz w:val="20"/>
        </w:rPr>
        <w:t>On May 5, 2026, Graham Holdings Company held its Annual Meeting of Stockholders. The following is a summary of the final voting results for each matter presented to stockholders.</w:t>
      </w:r>
    </w:p>
    <w:p>
      <w:pPr>
        <w:pStyle w:val="TextBody"/>
        <w:bidi w:val="0"/>
        <w:spacing w:before="0" w:after="180"/>
        <w:jc w:val="left"/>
        <w:rPr/>
      </w:pPr>
      <w:r>
        <w:rPr/>
      </w:r>
    </w:p>
    <w:p>
      <w:pPr>
        <w:pStyle w:val="TextBody"/>
        <w:bidi w:val="0"/>
        <w:spacing w:lineRule="auto" w:line="264" w:before="0" w:after="0"/>
        <w:jc w:val="left"/>
        <w:rPr>
          <w:rFonts w:ascii="Arial;sans-serif" w:hAnsi="Arial;sans-serif"/>
          <w:b w:val="false"/>
          <w:color w:val="000000"/>
          <w:sz w:val="20"/>
        </w:rPr>
      </w:pPr>
      <w:r>
        <w:rPr>
          <w:rFonts w:ascii="Arial;sans-serif" w:hAnsi="Arial;sans-serif"/>
          <w:b w:val="false"/>
          <w:color w:val="000000"/>
          <w:sz w:val="20"/>
        </w:rPr>
        <w:t>Proposal 1: Election of Directors</w:t>
      </w:r>
    </w:p>
    <w:p>
      <w:pPr>
        <w:pStyle w:val="TextBody"/>
        <w:bidi w:val="0"/>
        <w:spacing w:before="0" w:after="180"/>
        <w:jc w:val="left"/>
        <w:rPr/>
      </w:pPr>
      <w:r>
        <w:rPr/>
      </w:r>
    </w:p>
    <w:p>
      <w:pPr>
        <w:pStyle w:val="TextBody"/>
        <w:bidi w:val="0"/>
        <w:spacing w:lineRule="auto" w:line="264" w:before="0" w:after="0"/>
        <w:jc w:val="left"/>
        <w:rPr>
          <w:rFonts w:ascii="Arial;sans-serif" w:hAnsi="Arial;sans-serif"/>
          <w:b w:val="false"/>
          <w:color w:val="000000"/>
          <w:sz w:val="20"/>
        </w:rPr>
      </w:pPr>
      <w:r>
        <w:rPr>
          <w:rFonts w:ascii="Arial;sans-serif" w:hAnsi="Arial;sans-serif"/>
          <w:b w:val="false"/>
          <w:color w:val="000000"/>
          <w:sz w:val="20"/>
        </w:rPr>
        <w:t>The Company’s stockholders elected the ten persons nominated as Directors of the Company as set forth below:</w: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000000"/>
          <w:sz w:val="20"/>
        </w:rPr>
      </w:pPr>
      <w:r>
        <w:rPr>
          <w:rFonts w:ascii="Arial;sans-serif" w:hAnsi="Arial;sans-serif"/>
          <w:b w:val="false"/>
          <w:color w:val="000000"/>
          <w:sz w:val="20"/>
        </w:rPr>
        <w:t>Class A Common Stock Nominees</w:t>
      </w:r>
    </w:p>
    <w:tbl>
      <w:tblPr>
        <w:tblW w:w="4863" w:type="dxa"/>
        <w:jc w:val="center"/>
        <w:tblInd w:w="0" w:type="dxa"/>
        <w:tblLayout w:type="fixed"/>
        <w:tblCellMar>
          <w:top w:w="28" w:type="dxa"/>
          <w:left w:w="28" w:type="dxa"/>
          <w:bottom w:w="28" w:type="dxa"/>
          <w:right w:w="28" w:type="dxa"/>
        </w:tblCellMar>
      </w:tblPr>
      <w:tblGrid>
        <w:gridCol w:w="902"/>
        <w:gridCol w:w="792"/>
        <w:gridCol w:w="796"/>
        <w:gridCol w:w="264"/>
        <w:gridCol w:w="264"/>
        <w:gridCol w:w="268"/>
        <w:gridCol w:w="255"/>
        <w:gridCol w:w="255"/>
        <w:gridCol w:w="256"/>
        <w:gridCol w:w="237"/>
        <w:gridCol w:w="237"/>
        <w:gridCol w:w="337"/>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For</w:t>
            </w:r>
          </w:p>
        </w:tc>
        <w:tc>
          <w:tcPr>
            <w:tcW w:w="76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Against</w:t>
            </w:r>
          </w:p>
        </w:tc>
        <w:tc>
          <w:tcPr>
            <w:tcW w:w="81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Abstain</w:t>
            </w:r>
          </w:p>
        </w:tc>
      </w:tr>
      <w:tr>
        <w:trPr/>
        <w:tc>
          <w:tcPr>
            <w:tcW w:w="24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20"/>
              </w:rPr>
            </w:pPr>
            <w:r>
              <w:rPr>
                <w:rFonts w:ascii="Arial;sans-serif" w:hAnsi="Arial;sans-serif"/>
                <w:b w:val="false"/>
                <w:color w:val="000000"/>
                <w:sz w:val="20"/>
              </w:rPr>
              <w:t>Thomas S. Gayner</w:t>
            </w:r>
          </w:p>
        </w:tc>
        <w:tc>
          <w:tcPr>
            <w:tcW w:w="79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928,001</w:t>
            </w:r>
          </w:p>
        </w:tc>
        <w:tc>
          <w:tcPr>
            <w:tcW w:w="766" w:type="dxa"/>
            <w:gridSpan w:val="3"/>
            <w:tcBorders/>
            <w:tcMar>
              <w:top w:w="0"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w:t>
            </w:r>
          </w:p>
        </w:tc>
        <w:tc>
          <w:tcPr>
            <w:tcW w:w="811" w:type="dxa"/>
            <w:gridSpan w:val="3"/>
            <w:tcBorders/>
            <w:tcMar>
              <w:top w:w="0"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w:t>
            </w:r>
          </w:p>
        </w:tc>
      </w:tr>
      <w:tr>
        <w:trPr/>
        <w:tc>
          <w:tcPr>
            <w:tcW w:w="24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20"/>
              </w:rPr>
            </w:pPr>
            <w:r>
              <w:rPr>
                <w:rFonts w:ascii="Arial;sans-serif" w:hAnsi="Arial;sans-serif"/>
                <w:b w:val="false"/>
                <w:color w:val="000000"/>
                <w:sz w:val="20"/>
              </w:rPr>
              <w:t>Donald E. Graham</w:t>
            </w:r>
          </w:p>
        </w:tc>
        <w:tc>
          <w:tcPr>
            <w:tcW w:w="79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928,001</w:t>
            </w:r>
          </w:p>
        </w:tc>
        <w:tc>
          <w:tcPr>
            <w:tcW w:w="766" w:type="dxa"/>
            <w:gridSpan w:val="3"/>
            <w:tcBorders/>
            <w:tcMar>
              <w:top w:w="0"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w:t>
            </w:r>
          </w:p>
        </w:tc>
        <w:tc>
          <w:tcPr>
            <w:tcW w:w="811" w:type="dxa"/>
            <w:gridSpan w:val="3"/>
            <w:tcBorders/>
            <w:tcMar>
              <w:top w:w="0"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w:t>
            </w:r>
          </w:p>
        </w:tc>
      </w:tr>
      <w:tr>
        <w:trPr/>
        <w:tc>
          <w:tcPr>
            <w:tcW w:w="24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20"/>
              </w:rPr>
            </w:pPr>
            <w:r>
              <w:rPr>
                <w:rFonts w:ascii="Arial;sans-serif" w:hAnsi="Arial;sans-serif"/>
                <w:b w:val="false"/>
                <w:color w:val="000000"/>
                <w:sz w:val="20"/>
              </w:rPr>
              <w:t>Jack Markell</w:t>
            </w:r>
          </w:p>
        </w:tc>
        <w:tc>
          <w:tcPr>
            <w:tcW w:w="79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928,001</w:t>
            </w:r>
          </w:p>
        </w:tc>
        <w:tc>
          <w:tcPr>
            <w:tcW w:w="766" w:type="dxa"/>
            <w:gridSpan w:val="3"/>
            <w:tcBorders/>
            <w:tcMar>
              <w:top w:w="0"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w:t>
            </w:r>
          </w:p>
        </w:tc>
        <w:tc>
          <w:tcPr>
            <w:tcW w:w="811" w:type="dxa"/>
            <w:gridSpan w:val="3"/>
            <w:tcBorders/>
            <w:tcMar>
              <w:top w:w="0"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w:t>
            </w:r>
          </w:p>
        </w:tc>
      </w:tr>
      <w:tr>
        <w:trPr/>
        <w:tc>
          <w:tcPr>
            <w:tcW w:w="24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20"/>
              </w:rPr>
            </w:pPr>
            <w:r>
              <w:rPr>
                <w:rFonts w:ascii="Arial;sans-serif" w:hAnsi="Arial;sans-serif"/>
                <w:b w:val="false"/>
                <w:color w:val="000000"/>
                <w:sz w:val="20"/>
              </w:rPr>
              <w:t>Anne M. Mulcahy</w:t>
            </w:r>
          </w:p>
        </w:tc>
        <w:tc>
          <w:tcPr>
            <w:tcW w:w="79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928,001</w:t>
            </w:r>
          </w:p>
        </w:tc>
        <w:tc>
          <w:tcPr>
            <w:tcW w:w="766" w:type="dxa"/>
            <w:gridSpan w:val="3"/>
            <w:tcBorders/>
            <w:tcMar>
              <w:top w:w="0"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w:t>
            </w:r>
          </w:p>
        </w:tc>
        <w:tc>
          <w:tcPr>
            <w:tcW w:w="811" w:type="dxa"/>
            <w:gridSpan w:val="3"/>
            <w:tcBorders/>
            <w:tcMar>
              <w:top w:w="0"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w:t>
            </w:r>
          </w:p>
        </w:tc>
      </w:tr>
      <w:tr>
        <w:trPr/>
        <w:tc>
          <w:tcPr>
            <w:tcW w:w="24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20"/>
              </w:rPr>
            </w:pPr>
            <w:r>
              <w:rPr>
                <w:rFonts w:ascii="Arial;sans-serif" w:hAnsi="Arial;sans-serif"/>
                <w:b w:val="false"/>
                <w:color w:val="000000"/>
                <w:sz w:val="20"/>
              </w:rPr>
              <w:t>Timothy J. O’Shaughnessy</w:t>
            </w:r>
          </w:p>
        </w:tc>
        <w:tc>
          <w:tcPr>
            <w:tcW w:w="79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928,001</w:t>
            </w:r>
          </w:p>
        </w:tc>
        <w:tc>
          <w:tcPr>
            <w:tcW w:w="766" w:type="dxa"/>
            <w:gridSpan w:val="3"/>
            <w:tcBorders/>
            <w:tcMar>
              <w:top w:w="0"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w:t>
            </w:r>
          </w:p>
        </w:tc>
        <w:tc>
          <w:tcPr>
            <w:tcW w:w="811" w:type="dxa"/>
            <w:gridSpan w:val="3"/>
            <w:tcBorders/>
            <w:tcMar>
              <w:top w:w="0"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w:t>
            </w:r>
          </w:p>
        </w:tc>
      </w:tr>
      <w:tr>
        <w:trPr/>
        <w:tc>
          <w:tcPr>
            <w:tcW w:w="24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20"/>
              </w:rPr>
            </w:pPr>
            <w:r>
              <w:rPr>
                <w:rFonts w:ascii="Arial;sans-serif" w:hAnsi="Arial;sans-serif"/>
                <w:b w:val="false"/>
                <w:color w:val="000000"/>
                <w:sz w:val="20"/>
              </w:rPr>
              <w:t>G. Richard Wagoner, Jr.</w:t>
            </w:r>
          </w:p>
        </w:tc>
        <w:tc>
          <w:tcPr>
            <w:tcW w:w="79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928,001</w:t>
            </w:r>
          </w:p>
        </w:tc>
        <w:tc>
          <w:tcPr>
            <w:tcW w:w="766" w:type="dxa"/>
            <w:gridSpan w:val="3"/>
            <w:tcBorders/>
            <w:tcMar>
              <w:top w:w="0"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w:t>
            </w:r>
          </w:p>
        </w:tc>
        <w:tc>
          <w:tcPr>
            <w:tcW w:w="811" w:type="dxa"/>
            <w:gridSpan w:val="3"/>
            <w:tcBorders/>
            <w:tcMar>
              <w:top w:w="0"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w:t>
            </w:r>
          </w:p>
        </w:tc>
      </w:tr>
      <w:tr>
        <w:trPr/>
        <w:tc>
          <w:tcPr>
            <w:tcW w:w="249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20"/>
              </w:rPr>
            </w:pPr>
            <w:r>
              <w:rPr>
                <w:rFonts w:ascii="Arial;sans-serif" w:hAnsi="Arial;sans-serif"/>
                <w:b w:val="false"/>
                <w:color w:val="000000"/>
                <w:sz w:val="20"/>
              </w:rPr>
              <w:t>Katharine Weymouth</w:t>
            </w:r>
          </w:p>
        </w:tc>
        <w:tc>
          <w:tcPr>
            <w:tcW w:w="79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928,001</w:t>
            </w:r>
          </w:p>
        </w:tc>
        <w:tc>
          <w:tcPr>
            <w:tcW w:w="766" w:type="dxa"/>
            <w:gridSpan w:val="3"/>
            <w:tcBorders/>
            <w:tcMar>
              <w:top w:w="0"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w:t>
            </w:r>
          </w:p>
        </w:tc>
        <w:tc>
          <w:tcPr>
            <w:tcW w:w="811" w:type="dxa"/>
            <w:gridSpan w:val="3"/>
            <w:tcBorders/>
            <w:tcMar>
              <w:top w:w="0"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w:t>
            </w:r>
          </w:p>
        </w:tc>
      </w:tr>
    </w:tbl>
    <w:p>
      <w:pPr>
        <w:pStyle w:val="TextBody"/>
        <w:bidi w:val="0"/>
        <w:spacing w:before="0" w:after="0"/>
        <w:jc w:val="center"/>
        <w:rPr/>
      </w:pPr>
      <w:r>
        <w:rPr/>
      </w:r>
    </w:p>
    <w:p>
      <w:pPr>
        <w:pStyle w:val="TextBody"/>
        <w:bidi w:val="0"/>
        <w:spacing w:lineRule="auto" w:line="264" w:before="0" w:after="180"/>
        <w:jc w:val="left"/>
        <w:rPr>
          <w:rFonts w:ascii="Arial;sans-serif" w:hAnsi="Arial;sans-serif"/>
          <w:b w:val="false"/>
          <w:color w:val="000000"/>
          <w:sz w:val="20"/>
        </w:rPr>
      </w:pPr>
      <w:r>
        <w:rPr>
          <w:rFonts w:ascii="Arial;sans-serif" w:hAnsi="Arial;sans-serif"/>
          <w:b w:val="false"/>
          <w:color w:val="000000"/>
          <w:sz w:val="20"/>
        </w:rPr>
        <w:t>Class B Common Stock Nominees</w:t>
      </w:r>
    </w:p>
    <w:tbl>
      <w:tblPr>
        <w:tblW w:w="4487" w:type="dxa"/>
        <w:jc w:val="center"/>
        <w:tblInd w:w="0" w:type="dxa"/>
        <w:tblLayout w:type="fixed"/>
        <w:tblCellMar>
          <w:top w:w="28" w:type="dxa"/>
          <w:left w:w="28" w:type="dxa"/>
          <w:bottom w:w="28" w:type="dxa"/>
          <w:right w:w="28" w:type="dxa"/>
        </w:tblCellMar>
      </w:tblPr>
      <w:tblGrid>
        <w:gridCol w:w="693"/>
        <w:gridCol w:w="611"/>
        <w:gridCol w:w="615"/>
        <w:gridCol w:w="319"/>
        <w:gridCol w:w="319"/>
        <w:gridCol w:w="323"/>
        <w:gridCol w:w="264"/>
        <w:gridCol w:w="264"/>
        <w:gridCol w:w="268"/>
        <w:gridCol w:w="237"/>
        <w:gridCol w:w="237"/>
        <w:gridCol w:w="337"/>
      </w:tblGrid>
      <w:tr>
        <w:trPr/>
        <w:tc>
          <w:tcPr>
            <w:tcW w:w="69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For</w:t>
            </w:r>
          </w:p>
        </w:tc>
        <w:tc>
          <w:tcPr>
            <w:tcW w:w="79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Against</w:t>
            </w:r>
          </w:p>
        </w:tc>
        <w:tc>
          <w:tcPr>
            <w:tcW w:w="81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Abstain</w:t>
            </w:r>
          </w:p>
        </w:tc>
      </w:tr>
      <w:tr>
        <w:trPr/>
        <w:tc>
          <w:tcPr>
            <w:tcW w:w="191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20"/>
              </w:rPr>
            </w:pPr>
            <w:r>
              <w:rPr>
                <w:rFonts w:ascii="Arial;sans-serif" w:hAnsi="Arial;sans-serif"/>
                <w:b w:val="false"/>
                <w:color w:val="000000"/>
                <w:sz w:val="20"/>
              </w:rPr>
              <w:t>Tony Allen</w:t>
            </w:r>
          </w:p>
        </w:tc>
        <w:tc>
          <w:tcPr>
            <w:tcW w:w="96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2,008,684</w:t>
            </w:r>
          </w:p>
        </w:tc>
        <w:tc>
          <w:tcPr>
            <w:tcW w:w="79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616,040</w:t>
            </w:r>
          </w:p>
        </w:tc>
        <w:tc>
          <w:tcPr>
            <w:tcW w:w="81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1,600</w:t>
            </w:r>
          </w:p>
        </w:tc>
      </w:tr>
      <w:tr>
        <w:trPr/>
        <w:tc>
          <w:tcPr>
            <w:tcW w:w="191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20"/>
              </w:rPr>
            </w:pPr>
            <w:r>
              <w:rPr>
                <w:rFonts w:ascii="Arial;sans-serif" w:hAnsi="Arial;sans-serif"/>
                <w:b w:val="false"/>
                <w:color w:val="000000"/>
                <w:sz w:val="20"/>
              </w:rPr>
              <w:t>Danielle Conley</w:t>
            </w:r>
          </w:p>
        </w:tc>
        <w:tc>
          <w:tcPr>
            <w:tcW w:w="96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2,021,514</w:t>
            </w:r>
          </w:p>
        </w:tc>
        <w:tc>
          <w:tcPr>
            <w:tcW w:w="79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603,512</w:t>
            </w:r>
          </w:p>
        </w:tc>
        <w:tc>
          <w:tcPr>
            <w:tcW w:w="81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1,298</w:t>
            </w:r>
          </w:p>
        </w:tc>
      </w:tr>
      <w:tr>
        <w:trPr/>
        <w:tc>
          <w:tcPr>
            <w:tcW w:w="191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20"/>
              </w:rPr>
            </w:pPr>
            <w:r>
              <w:rPr>
                <w:rFonts w:ascii="Arial;sans-serif" w:hAnsi="Arial;sans-serif"/>
                <w:b w:val="false"/>
                <w:color w:val="000000"/>
                <w:sz w:val="20"/>
              </w:rPr>
              <w:t>Christopher C. Davis</w:t>
            </w:r>
          </w:p>
        </w:tc>
        <w:tc>
          <w:tcPr>
            <w:tcW w:w="96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1,630,311</w:t>
            </w:r>
          </w:p>
        </w:tc>
        <w:tc>
          <w:tcPr>
            <w:tcW w:w="79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994,436</w:t>
            </w:r>
          </w:p>
        </w:tc>
        <w:tc>
          <w:tcPr>
            <w:tcW w:w="81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1,577</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000000"/>
          <w:sz w:val="20"/>
        </w:rPr>
      </w:pPr>
      <w:r>
        <w:rPr>
          <w:rFonts w:ascii="Arial;sans-serif" w:hAnsi="Arial;sans-serif"/>
          <w:b w:val="false"/>
          <w:color w:val="000000"/>
          <w:sz w:val="20"/>
        </w:rPr>
        <w:t>Proposal 2: Advisory Vote by the Class A stockholders to Approve 2025 Compensation Awarded to Named Executive Officers</w: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000000"/>
          <w:sz w:val="20"/>
        </w:rPr>
      </w:pPr>
      <w:r>
        <w:rPr>
          <w:rFonts w:ascii="Arial;sans-serif" w:hAnsi="Arial;sans-serif"/>
          <w:b w:val="false"/>
          <w:color w:val="000000"/>
          <w:sz w:val="20"/>
        </w:rPr>
        <w:t>The Company’s Class A stockholders approved, on an advisory basis, the compensation paid to the Company’s named executive officers for 2025, as set forth below:</w:t>
      </w:r>
    </w:p>
    <w:p>
      <w:pPr>
        <w:pStyle w:val="TextBody"/>
        <w:bidi w:val="0"/>
        <w:spacing w:before="0" w:after="0"/>
        <w:jc w:val="left"/>
        <w:rPr/>
      </w:pPr>
      <w:r>
        <w:rPr/>
      </w:r>
    </w:p>
    <w:p>
      <w:pPr>
        <w:pStyle w:val="TextBody"/>
        <w:bidi w:val="0"/>
        <w:spacing w:lineRule="auto" w:line="264" w:before="0" w:after="0"/>
        <w:jc w:val="left"/>
        <w:rPr>
          <w:rFonts w:ascii="Arial;sans-serif" w:hAnsi="Arial;sans-serif"/>
          <w:b w:val="false"/>
          <w:color w:val="000000"/>
          <w:sz w:val="20"/>
        </w:rPr>
      </w:pPr>
      <w:r>
        <w:rPr>
          <w:rFonts w:ascii="Arial;sans-serif" w:hAnsi="Arial;sans-serif"/>
          <w:b w:val="false"/>
          <w:color w:val="000000"/>
          <w:sz w:val="20"/>
        </w:rPr>
        <w:t>Class A Common Stock</w:t>
      </w:r>
    </w:p>
    <w:p>
      <w:pPr>
        <w:pStyle w:val="TextBody"/>
        <w:bidi w:val="0"/>
        <w:spacing w:before="0" w:after="0"/>
        <w:jc w:val="left"/>
        <w:rPr/>
      </w:pPr>
      <w:r>
        <w:rPr/>
      </w:r>
    </w:p>
    <w:tbl>
      <w:tblPr>
        <w:tblW w:w="2388" w:type="dxa"/>
        <w:jc w:val="left"/>
        <w:tblInd w:w="0" w:type="dxa"/>
        <w:tblLayout w:type="fixed"/>
        <w:tblCellMar>
          <w:top w:w="28" w:type="dxa"/>
          <w:left w:w="28" w:type="dxa"/>
          <w:bottom w:w="28" w:type="dxa"/>
          <w:right w:w="28" w:type="dxa"/>
        </w:tblCellMar>
      </w:tblPr>
      <w:tblGrid>
        <w:gridCol w:w="293"/>
        <w:gridCol w:w="257"/>
        <w:gridCol w:w="261"/>
        <w:gridCol w:w="255"/>
        <w:gridCol w:w="255"/>
        <w:gridCol w:w="256"/>
        <w:gridCol w:w="237"/>
        <w:gridCol w:w="237"/>
        <w:gridCol w:w="337"/>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For</w:t>
            </w:r>
          </w:p>
        </w:tc>
        <w:tc>
          <w:tcPr>
            <w:tcW w:w="76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Against</w:t>
            </w:r>
          </w:p>
        </w:tc>
        <w:tc>
          <w:tcPr>
            <w:tcW w:w="81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Abstain</w:t>
            </w:r>
          </w:p>
        </w:tc>
      </w:tr>
      <w:tr>
        <w:trPr/>
        <w:tc>
          <w:tcPr>
            <w:tcW w:w="811"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928,001</w:t>
            </w:r>
          </w:p>
        </w:tc>
        <w:tc>
          <w:tcPr>
            <w:tcW w:w="766" w:type="dxa"/>
            <w:gridSpan w:val="3"/>
            <w:tcBorders/>
            <w:tcMar>
              <w:top w:w="0"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w:t>
            </w:r>
          </w:p>
        </w:tc>
        <w:tc>
          <w:tcPr>
            <w:tcW w:w="811" w:type="dxa"/>
            <w:gridSpan w:val="3"/>
            <w:tcBorders/>
            <w:tcMar>
              <w:top w:w="0" w:type="dxa"/>
              <w:left w:w="0" w:type="dxa"/>
              <w:bottom w:w="0" w:type="dxa"/>
              <w:right w:w="0" w:type="dxa"/>
            </w:tcMar>
            <w:vAlign w:val="center"/>
          </w:tcPr>
          <w:p>
            <w:pPr>
              <w:pStyle w:val="TableContents"/>
              <w:bidi w:val="0"/>
              <w:spacing w:lineRule="auto" w:line="264" w:before="0" w:after="283"/>
              <w:jc w:val="center"/>
              <w:rPr>
                <w:color w:val="000000"/>
              </w:rPr>
            </w:pPr>
            <w:r>
              <w:rPr>
                <w:color w:val="00000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29920"/>
                <wp:effectExtent l="0" t="0" r="0" b="0"/>
                <wp:wrapNone/>
                <wp:docPr id="2" name="Frame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color w:val="000000"/>
          <w:sz w:val="20"/>
        </w:rPr>
        <w:t>Exhibit Index </w:t>
      </w:r>
      <w:r>
        <w:rPr>
          <w:color w:val="000000"/>
        </w:rPr>
        <w:t> </w:t>
      </w:r>
    </w:p>
    <w:tbl>
      <w:tblPr>
        <w:tblW w:w="8849" w:type="dxa"/>
        <w:jc w:val="left"/>
        <w:tblInd w:w="0" w:type="dxa"/>
        <w:tblLayout w:type="fixed"/>
        <w:tblCellMar>
          <w:top w:w="28" w:type="dxa"/>
          <w:left w:w="28" w:type="dxa"/>
          <w:bottom w:w="28" w:type="dxa"/>
          <w:right w:w="28" w:type="dxa"/>
        </w:tblCellMar>
      </w:tblPr>
      <w:tblGrid>
        <w:gridCol w:w="396"/>
        <w:gridCol w:w="348"/>
        <w:gridCol w:w="351"/>
        <w:gridCol w:w="2272"/>
        <w:gridCol w:w="2272"/>
        <w:gridCol w:w="3210"/>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3210"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20"/>
              </w:rPr>
            </w:pPr>
            <w:r>
              <w:rPr>
                <w:rFonts w:ascii="Arial;sans-serif" w:hAnsi="Arial;sans-serif"/>
                <w:b w:val="false"/>
                <w:color w:val="000000"/>
                <w:sz w:val="20"/>
              </w:rPr>
              <w:t>Exhibit 104</w:t>
            </w:r>
          </w:p>
        </w:tc>
        <w:tc>
          <w:tcPr>
            <w:tcW w:w="77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0"/>
              <w:jc w:val="left"/>
              <w:rPr>
                <w:rFonts w:ascii="Arial;sans-serif" w:hAnsi="Arial;sans-serif"/>
                <w:b w:val="false"/>
                <w:color w:val="000000"/>
                <w:sz w:val="20"/>
              </w:rPr>
            </w:pPr>
            <w:r>
              <w:rPr>
                <w:rFonts w:ascii="Arial;sans-serif" w:hAnsi="Arial;sans-serif"/>
                <w:b w:val="false"/>
                <w:color w:val="000000"/>
                <w:sz w:val="20"/>
              </w:rPr>
              <w:t>Cover Page Interactive Data File, formatted in Inline XBRL and included as Exhibit 101.</w:t>
            </w:r>
          </w:p>
        </w:tc>
      </w:tr>
    </w:tbl>
    <w:p>
      <w:pPr>
        <w:pStyle w:val="TextBody"/>
        <w:bidi w:val="0"/>
        <w:spacing w:before="0" w:after="0"/>
        <w:ind w:left="0" w:right="0" w:hanging="144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29920"/>
                <wp:effectExtent l="0" t="0" r="0" b="0"/>
                <wp:wrapNone/>
                <wp:docPr id="3" name="Frame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6610" w:type="dxa"/>
        <w:jc w:val="left"/>
        <w:tblInd w:w="0" w:type="dxa"/>
        <w:tblLayout w:type="fixed"/>
        <w:tblCellMar>
          <w:top w:w="28" w:type="dxa"/>
          <w:left w:w="28" w:type="dxa"/>
          <w:bottom w:w="28" w:type="dxa"/>
          <w:right w:w="28" w:type="dxa"/>
        </w:tblCellMar>
      </w:tblPr>
      <w:tblGrid>
        <w:gridCol w:w="624"/>
        <w:gridCol w:w="547"/>
        <w:gridCol w:w="553"/>
        <w:gridCol w:w="109"/>
        <w:gridCol w:w="109"/>
        <w:gridCol w:w="109"/>
        <w:gridCol w:w="1331"/>
        <w:gridCol w:w="1331"/>
        <w:gridCol w:w="1897"/>
      </w:tblGrid>
      <w:tr>
        <w:trPr/>
        <w:tc>
          <w:tcPr>
            <w:tcW w:w="62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4559"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Graham Holdings Company</w:t>
            </w:r>
          </w:p>
        </w:tc>
      </w:tr>
      <w:tr>
        <w:trPr/>
        <w:tc>
          <w:tcPr>
            <w:tcW w:w="172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4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(Registrant)</w:t>
            </w:r>
          </w:p>
        </w:tc>
      </w:tr>
      <w:tr>
        <w:trPr/>
        <w:tc>
          <w:tcPr>
            <w:tcW w:w="172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4559"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172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4559"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r>
      <w:tr>
        <w:trPr/>
        <w:tc>
          <w:tcPr>
            <w:tcW w:w="1724"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000000"/>
                <w:sz w:val="20"/>
              </w:rPr>
            </w:pPr>
            <w:r>
              <w:rPr>
                <w:rFonts w:ascii="Arial;sans-serif" w:hAnsi="Arial;sans-serif"/>
                <w:b w:val="false"/>
                <w:color w:val="000000"/>
                <w:sz w:val="20"/>
              </w:rPr>
              <w:t>Date: May 5, 2026</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4559"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/s/ Nicole M. Maddrey</w:t>
            </w:r>
          </w:p>
        </w:tc>
      </w:tr>
      <w:tr>
        <w:trPr/>
        <w:tc>
          <w:tcPr>
            <w:tcW w:w="1724"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283"/>
              <w:jc w:val="left"/>
              <w:rPr>
                <w:color w:val="000000"/>
              </w:rPr>
            </w:pPr>
            <w:r>
              <w:rPr>
                <w:color w:val="000000"/>
              </w:rPr>
              <w:t> </w:t>
            </w:r>
          </w:p>
        </w:tc>
        <w:tc>
          <w:tcPr>
            <w:tcW w:w="4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000000"/>
                <w:sz w:val="20"/>
              </w:rPr>
            </w:pPr>
            <w:r>
              <w:rPr>
                <w:rFonts w:ascii="Arial;sans-serif" w:hAnsi="Arial;sans-serif"/>
                <w:b w:val="false"/>
                <w:color w:val="000000"/>
                <w:sz w:val="20"/>
              </w:rPr>
              <w:t>Nicole M. Maddrey,</w:t>
              <w:br/>
              <w:t>Senior Vice President, Secretary, General Counsel</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29920"/>
                <wp:effectExtent l="0" t="0" r="0" b="0"/>
                <wp:wrapNone/>
                <wp:docPr id="4" name="Frame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8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538</Words>
  <Characters>2964</Characters>
  <CharactersWithSpaces>3437</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