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 2005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860" w:type="dxa"/>
            <w:vAlign w:val="bottom"/>
          </w:tcPr>
          <w:p>
            <w:pPr>
              <w:ind w:left="460"/>
              <w:spacing w:after="0"/>
              <w:rPr>
                <w:sz w:val="20"/>
                <w:szCs w:val="20"/>
                <w:color w:val="auto"/>
              </w:rPr>
            </w:pPr>
            <w:r>
              <w:rPr>
                <w:rFonts w:ascii="Arial" w:cs="Arial" w:eastAsia="Arial" w:hAnsi="Arial"/>
                <w:sz w:val="18"/>
                <w:szCs w:val="18"/>
                <w:color w:val="auto"/>
              </w:rPr>
              <w:t>Shares outstanding at August 1, 2005:</w:t>
            </w:r>
          </w:p>
        </w:tc>
        <w:tc>
          <w:tcPr>
            <w:tcW w:w="5560" w:type="dxa"/>
            <w:vAlign w:val="bottom"/>
          </w:tcPr>
          <w:p>
            <w:pPr>
              <w:spacing w:after="0"/>
              <w:rPr>
                <w:sz w:val="19"/>
                <w:szCs w:val="19"/>
                <w:color w:val="auto"/>
              </w:rPr>
            </w:pPr>
          </w:p>
        </w:tc>
      </w:tr>
      <w:tr>
        <w:trPr>
          <w:trHeight w:val="358"/>
        </w:trPr>
        <w:tc>
          <w:tcPr>
            <w:tcW w:w="5860" w:type="dxa"/>
            <w:vAlign w:val="bottom"/>
          </w:tcPr>
          <w:p>
            <w:pPr>
              <w:ind w:left="3460"/>
              <w:spacing w:after="0"/>
              <w:rPr>
                <w:sz w:val="20"/>
                <w:szCs w:val="20"/>
                <w:color w:val="auto"/>
              </w:rPr>
            </w:pPr>
            <w:r>
              <w:rPr>
                <w:rFonts w:ascii="Arial" w:cs="Arial" w:eastAsia="Arial" w:hAnsi="Arial"/>
                <w:sz w:val="18"/>
                <w:szCs w:val="18"/>
                <w:color w:val="auto"/>
              </w:rPr>
              <w:t>Class A Common Stock</w:t>
            </w:r>
          </w:p>
        </w:tc>
        <w:tc>
          <w:tcPr>
            <w:tcW w:w="5560" w:type="dxa"/>
            <w:vAlign w:val="bottom"/>
          </w:tcPr>
          <w:p>
            <w:pPr>
              <w:ind w:left="700"/>
              <w:spacing w:after="0"/>
              <w:rPr>
                <w:sz w:val="20"/>
                <w:szCs w:val="20"/>
                <w:color w:val="auto"/>
              </w:rPr>
            </w:pPr>
            <w:r>
              <w:rPr>
                <w:rFonts w:ascii="Arial" w:cs="Arial" w:eastAsia="Arial" w:hAnsi="Arial"/>
                <w:sz w:val="18"/>
                <w:szCs w:val="18"/>
                <w:color w:val="auto"/>
              </w:rPr>
              <w:t>1,722,250 Shares</w:t>
            </w:r>
          </w:p>
        </w:tc>
      </w:tr>
      <w:tr>
        <w:trPr>
          <w:trHeight w:val="222"/>
        </w:trPr>
        <w:tc>
          <w:tcPr>
            <w:tcW w:w="5860" w:type="dxa"/>
            <w:vAlign w:val="bottom"/>
          </w:tcPr>
          <w:p>
            <w:pPr>
              <w:ind w:left="3460"/>
              <w:spacing w:after="0"/>
              <w:rPr>
                <w:sz w:val="20"/>
                <w:szCs w:val="20"/>
                <w:color w:val="auto"/>
              </w:rPr>
            </w:pPr>
            <w:r>
              <w:rPr>
                <w:rFonts w:ascii="Arial" w:cs="Arial" w:eastAsia="Arial" w:hAnsi="Arial"/>
                <w:sz w:val="18"/>
                <w:szCs w:val="18"/>
                <w:color w:val="auto"/>
              </w:rPr>
              <w:t>Class B Common Stock</w:t>
            </w:r>
          </w:p>
        </w:tc>
        <w:tc>
          <w:tcPr>
            <w:tcW w:w="5560" w:type="dxa"/>
            <w:vAlign w:val="bottom"/>
          </w:tcPr>
          <w:p>
            <w:pPr>
              <w:ind w:left="700"/>
              <w:spacing w:after="0"/>
              <w:rPr>
                <w:sz w:val="20"/>
                <w:szCs w:val="20"/>
                <w:color w:val="auto"/>
              </w:rPr>
            </w:pPr>
            <w:r>
              <w:rPr>
                <w:rFonts w:ascii="Arial" w:cs="Arial" w:eastAsia="Arial" w:hAnsi="Arial"/>
                <w:sz w:val="18"/>
                <w:szCs w:val="18"/>
                <w:color w:val="auto"/>
              </w:rPr>
              <w:t>7,872,462 Shares</w:t>
            </w:r>
          </w:p>
        </w:tc>
      </w:tr>
      <w:tr>
        <w:trPr>
          <w:trHeight w:val="201"/>
        </w:trPr>
        <w:tc>
          <w:tcPr>
            <w:tcW w:w="586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800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a. Condensed Consolidated Statements of Income (Unaudited) for the Thirteen and Twenty-six Weeks Ended July 3, 2005 and June 27, 2004</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b. Condensed Consolidated Statements of Comprehensive Income (Unaudited) for the Thirteen and Twenty-six Weeks Ended July 3, 2005 and</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June 27, 2004</w:t>
              </w:r>
            </w:hyperlink>
          </w:p>
        </w:tc>
        <w:tc>
          <w:tcPr>
            <w:tcW w:w="900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 Condensed Consolidated Balance Sheets at July 3, 2005 (Unaudited) and January 2, 2005</w:t>
              </w:r>
            </w:hyperlink>
          </w:p>
        </w:tc>
        <w:tc>
          <w:tcPr>
            <w:tcW w:w="374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d. Condensed Consolidated Statements of Cash Flows (Unaudited) for the Twenty-six Weeks Ended July 3, 2005 and June 27, 2004</w:t>
              </w:r>
            </w:hyperlink>
          </w:p>
        </w:tc>
        <w:tc>
          <w:tcPr>
            <w:tcW w:w="94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e. Notes to Condensed Consolidated Financial Statements (Unaudited)</w:t>
              </w:r>
            </w:hyperlink>
          </w:p>
        </w:tc>
        <w:tc>
          <w:tcPr>
            <w:tcW w:w="524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Results of Operations and Financial Condition</w:t>
              </w:r>
            </w:hyperlink>
          </w:p>
        </w:tc>
        <w:tc>
          <w:tcPr>
            <w:tcW w:w="390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5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8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OTHER INFORMATION</w:t>
              </w:r>
            </w:hyperlink>
          </w:p>
        </w:tc>
        <w:tc>
          <w:tcPr>
            <w:tcW w:w="836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Submission of Matters to a Vote of Security Holders</w:t>
              </w:r>
            </w:hyperlink>
          </w:p>
        </w:tc>
        <w:tc>
          <w:tcPr>
            <w:tcW w:w="652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20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 and Reports on Form 8-K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860" w:type="dxa"/>
            <w:vAlign w:val="bottom"/>
            <w:gridSpan w:val="2"/>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Signatures</w:t>
              </w:r>
            </w:hyperlink>
          </w:p>
        </w:tc>
        <w:tc>
          <w:tcPr>
            <w:tcW w:w="2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7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9"/>
          </w:tcPr>
          <w:p>
            <w:pPr>
              <w:ind w:left="482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0"/>
              </w:rPr>
              <w:t>Thirteen Weeks Ended</w:t>
            </w:r>
          </w:p>
        </w:tc>
        <w:tc>
          <w:tcPr>
            <w:tcW w:w="80" w:type="dxa"/>
            <w:vAlign w:val="bottom"/>
          </w:tcPr>
          <w:p>
            <w:pPr>
              <w:spacing w:after="0"/>
              <w:rPr>
                <w:sz w:val="15"/>
                <w:szCs w:val="15"/>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July 3,</w:t>
            </w:r>
          </w:p>
        </w:tc>
        <w:tc>
          <w:tcPr>
            <w:tcW w:w="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June 27,</w:t>
            </w:r>
          </w:p>
        </w:tc>
        <w:tc>
          <w:tcPr>
            <w:tcW w:w="8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July 3,</w:t>
            </w:r>
          </w:p>
        </w:tc>
        <w:tc>
          <w:tcPr>
            <w:tcW w:w="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June 27,</w:t>
            </w:r>
          </w:p>
        </w:tc>
        <w:tc>
          <w:tcPr>
            <w:tcW w:w="0" w:type="dxa"/>
            <w:vAlign w:val="bottom"/>
          </w:tcPr>
          <w:p>
            <w:pPr>
              <w:spacing w:after="0"/>
              <w:rPr>
                <w:sz w:val="1"/>
                <w:szCs w:val="1"/>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336,563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338,060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642,113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637,187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191,622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185,728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345,780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276,696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671,163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897,577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818,391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1,731,507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1,577,360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472,981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420,407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925,433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830,089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237,531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93,473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672,391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1,485,823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1,326,443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137,695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(losses) of affiliates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(3,622)</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128,555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139,204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54,300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91,800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80" w:type="dxa"/>
            <w:vAlign w:val="bottom"/>
            <w:gridSpan w:val="2"/>
          </w:tcPr>
          <w:p>
            <w:pPr>
              <w:spacing w:after="0"/>
              <w:rPr>
                <w:sz w:val="20"/>
                <w:szCs w:val="20"/>
                <w:color w:val="auto"/>
              </w:rPr>
            </w:pPr>
            <w:r>
              <w:rPr>
                <w:rFonts w:ascii="Arial" w:cs="Arial" w:eastAsia="Arial" w:hAnsi="Arial"/>
                <w:sz w:val="18"/>
                <w:szCs w:val="18"/>
                <w:color w:val="auto"/>
              </w:rPr>
              <w:t>Diluted average number of common shares outstanding</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9,596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780" w:type="dxa"/>
            <w:vAlign w:val="bottom"/>
            <w:vMerge w:val="restart"/>
          </w:tcPr>
          <w:p>
            <w:pPr>
              <w:jc w:val="right"/>
              <w:ind w:right="17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-1715135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-1715135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-1715135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-1715135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-1715135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-1715135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-1715135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-1715135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-1715135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-1715135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-1715135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-1715135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-1415415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-1415415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-1415415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-1415415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-1415415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-1415415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-1415415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-1415415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-1415415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-1415415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-1415415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-1415415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-1115060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-1115060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-1115060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-1115060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-1115060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-1115060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-1115060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-1115060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-1115060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-1115060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-1115060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-1115060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-814705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-814705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-814705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-814705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-814705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-814705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-814705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-814705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-814705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-814705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-814705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-814705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Thirteen Weeks 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4"/>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July 3,</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July 3,</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June 27,</w:t>
            </w: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8"/>
                <w:szCs w:val="18"/>
                <w:color w:val="auto"/>
              </w:rPr>
            </w:pPr>
          </w:p>
        </w:tc>
        <w:tc>
          <w:tcPr>
            <w:tcW w:w="8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8"/>
                <w:szCs w:val="18"/>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$ 78,755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$84,904</w:t>
            </w: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$145,346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(5,751)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(8,612)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(10,831)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(7,333)</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(27,865)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w w:val="88"/>
              </w:rPr>
              <w:t>Less: reclassification adjustment for realized gains included in net income</w:t>
            </w:r>
          </w:p>
        </w:tc>
        <w:tc>
          <w:tcPr>
            <w:tcW w:w="226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(3,345)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(16,582)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(9,041)</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(39,822)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w w:val="94"/>
              </w:rPr>
              <w:t>Income tax benefit (expense) related to other comprehensive income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4,224</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2,856</w:t>
            </w:r>
          </w:p>
        </w:tc>
        <w:tc>
          <w:tcPr>
            <w:tcW w:w="160" w:type="dxa"/>
            <w:vAlign w:val="bottom"/>
          </w:tcPr>
          <w:p>
            <w:pPr>
              <w:spacing w:after="0"/>
              <w:rPr>
                <w:sz w:val="19"/>
                <w:szCs w:val="19"/>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12,174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(12,358)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(27,648)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$ 66,397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$78,719</w:t>
            </w: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7"/>
              </w:rPr>
              <w:t>$ 117,698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260" w:type="dxa"/>
            <w:vAlign w:val="bottom"/>
            <w:vMerge w:val="restart"/>
          </w:tcPr>
          <w:p>
            <w:pPr>
              <w:jc w:val="right"/>
              <w:ind w:right="2074"/>
              <w:spacing w:after="0"/>
              <w:rPr>
                <w:sz w:val="20"/>
                <w:szCs w:val="20"/>
                <w:color w:val="auto"/>
              </w:rPr>
            </w:pPr>
            <w:r>
              <w:rPr>
                <w:rFonts w:ascii="Arial" w:cs="Arial" w:eastAsia="Arial" w:hAnsi="Arial"/>
                <w:sz w:val="18"/>
                <w:szCs w:val="18"/>
                <w:color w:val="auto"/>
                <w:w w:val="79"/>
              </w:rPr>
              <w:t>4</w:t>
            </w: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87058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7058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July 3,</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125,499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Machinery, equipment and fixtures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1,796,470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1,730,997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2,260,292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2,169,277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(1,291,425)</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(1,197,375)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1,097,644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248,243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1,088,615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1,023,140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4,370,318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4,316,641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214,314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148,689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389,798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1,865,203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2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3,720,582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3,629,222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(1,510,181)</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(1,512,888)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-3769995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-3769995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-3769995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-3769995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-3769995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-3769995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64770</wp:posOffset>
            </wp:positionV>
            <wp:extent cx="13550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2,492,848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80010</wp:posOffset>
            </wp:positionV>
            <wp:extent cx="5486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19"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$ 4,370,318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92075</wp:posOffset>
            </wp:positionV>
            <wp:extent cx="57848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2,412,482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486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$ 4,316,641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57848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2">
            <w:col w:w="10080" w:space="400"/>
            <w:col w:w="940"/>
          </w:cols>
          <w:pgMar w:left="240" w:top="459" w:right="239" w:bottom="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80"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215"/>
        </w:trPr>
        <w:tc>
          <w:tcPr>
            <w:tcW w:w="9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5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$ 145,346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93,473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goodwill and other intangibles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Net pension credit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(18,302)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Gain on sale of land</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disposition of marketable equity securities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Foreign exchange loss (gain)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accounts receivable, net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280"/>
              <w:spacing w:after="0"/>
              <w:rPr>
                <w:sz w:val="20"/>
                <w:szCs w:val="20"/>
                <w:color w:val="auto"/>
              </w:rPr>
            </w:pPr>
            <w:r>
              <w:rPr>
                <w:rFonts w:ascii="Arial" w:cs="Arial" w:eastAsia="Arial" w:hAnsi="Arial"/>
                <w:sz w:val="18"/>
                <w:szCs w:val="18"/>
                <w:color w:val="auto"/>
              </w:rPr>
              <w:t>Increase in inventories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accounts payable and accrued liabilities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(61,067)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280"/>
              <w:spacing w:after="0"/>
              <w:rPr>
                <w:sz w:val="20"/>
                <w:szCs w:val="20"/>
                <w:color w:val="auto"/>
              </w:rPr>
            </w:pPr>
            <w:r>
              <w:rPr>
                <w:rFonts w:ascii="Arial" w:cs="Arial" w:eastAsia="Arial" w:hAnsi="Arial"/>
                <w:sz w:val="18"/>
                <w:szCs w:val="18"/>
                <w:color w:val="auto"/>
              </w:rPr>
              <w:t>Increase in deferred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income taxes payable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280"/>
              <w:spacing w:after="0"/>
              <w:rPr>
                <w:sz w:val="20"/>
                <w:szCs w:val="20"/>
                <w:color w:val="auto"/>
              </w:rPr>
            </w:pPr>
            <w:r>
              <w:rPr>
                <w:rFonts w:ascii="Arial" w:cs="Arial" w:eastAsia="Arial" w:hAnsi="Arial"/>
                <w:sz w:val="18"/>
                <w:szCs w:val="18"/>
                <w:color w:val="auto"/>
              </w:rPr>
              <w:t>Decrease (increase) in other assets and other liabilities, net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22,330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(96,828)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(109,886)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Proceeds from the sale of land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24,614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marketable equity securities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Investments in affiliates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(178,957)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(139,870)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Net repayment of commercial paper</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(34,406)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(126,936)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Cash overdraft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19,226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(35,976)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3,675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(50,314)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(156,470)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(40,989)</w:t>
            </w:r>
          </w:p>
        </w:tc>
        <w:tc>
          <w:tcPr>
            <w:tcW w:w="0" w:type="dxa"/>
            <w:vAlign w:val="bottom"/>
          </w:tcPr>
          <w:p>
            <w:pPr>
              <w:spacing w:after="0"/>
              <w:rPr>
                <w:sz w:val="1"/>
                <w:szCs w:val="1"/>
                <w:color w:val="auto"/>
              </w:rPr>
            </w:pPr>
          </w:p>
        </w:tc>
      </w:tr>
      <w:tr>
        <w:trPr>
          <w:trHeight w:val="322"/>
        </w:trPr>
        <w:tc>
          <w:tcPr>
            <w:tcW w:w="960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119,400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116,561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$ 105,724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2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generally reports on a 13 week fiscal quarter ending on the Sunday nearest the calendar quarter-end. With the exception of the newspaper publishing operations, subsidiaries of the Company report on a calendar-quarter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2005 presentation.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 Acquisitions.</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the second quarter of 2005, Kaplan acquired five businesses in their higher education and professional divisions totaling $83.1 million, financed with cash. These acquisitions included BISYS Education Services, a provider of licensing education and compliance solutions for financial services institutions and professionals as well as Asia Pacific Management Institute, a private education provider for undergraduate and postgraduate students in Asia. In the first quarter of 2005, the Company acquired Slate, an online magazine and Kaplan acquired two businesses in their higher education division; these acquisitions totaled $26.5 million. Most of the purchase price for these acquisitions has been allocated to goodwill and other intangibles on a preliminary basis.</w:t>
      </w:r>
    </w:p>
    <w:p>
      <w:pPr>
        <w:spacing w:after="0" w:line="10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second quarter of 2004, Kaplan acquired two businesses in their higher education and professional divisions totaling $4.5 million. In addition, the cable division completed two small transactions for $1.8 million. In May 2004, the Company acquired El Tiempo Latino, a leading Spanish-language weekly newspaper in the greater Washington area. In the first quarter of 2004, Kaplan acquired three businesses in their higher education and test preparation divisions, totaling $49.8 million.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July 3, 2005 and January 2, 2005 consist of the following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2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$281,133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$285,912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Gross unrealized gains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92,609</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123,824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$373,742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$409,736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4330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There were no sales of marketable equity securities in the second quarter of 2005. During the first quarter of 2005, the Company sold marketable equity securities for a pre-tax gain of $3.3 million. There were no sales of marketable equity securities in the first six months of 2004.</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July 3, 2005 and January 2, 2005, the carrying value of the Company’s cost method investments was $12.2 million and $4.6 million, respectively. The Company invested $7.8 million during the second quarter and first six months of 2005, in companies constituting cost method investments; for the same periods of 2004, the Company invested $0 and $0.2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recorded charges of $0.6 million during the second quarter and first six months of 2005, to write-down certain of its investments to estimated fair value; for the same periods of 2004, the Company recorded charges of $0 and $0.7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July 3,</w:t>
            </w:r>
          </w:p>
        </w:tc>
        <w:tc>
          <w:tcPr>
            <w:tcW w:w="90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January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4.0 percent notes due 2006 (£8.35 million)</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indebtedness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current portion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42418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commercial paper borrowings at July 3, 2005 were at an average interest rate of 3.3% and mature through July 2005; the Company’s commercial paper borrowings at January 3, 2005 were at an average interest rate of 2.2% and matured through January 2005.</w:t>
      </w:r>
    </w:p>
    <w:p>
      <w:pPr>
        <w:spacing w:after="0" w:line="1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During 2003, notes of £16.7 million were issued to current FTC employees who were former FTC shareholders in connection with the FTC acquisition. In 2004, 50% of the balance on the notes was paid. The remaining balance outstanding of £8.35 million is due for repayment in August 2006.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July 3, 2005 and January 2, 2005 is at interest rates of 6% to 7% and matures from 2005 to 2009.</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2005 and 2004, the Company had average borrowings outstanding of approximately $447.3 million and $529.9 million, respectively, at average annual interest rates of approximately 5.4% and 4.8%, respectively. During the second quarter of 2005 and 2004, the Company incurred net interest expense on borrowings of $5.9 million and $6.4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six months of 2005 and 2004, the Company had average borrowings outstanding of approximately $448.2 million and $553.3 million, respectively, at average annual interest rates of approximately 5.4% and 4.5%, respectively. During the first six months of 2005 and 2004, the Company incurred net interest expense on borrowings of $11.8 million and $12.9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2005 and 2004 asset information is as of July 3, 2005 and January 2, 2005,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Second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5"/>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Magazine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5"/>
          </w:tcPr>
          <w:p>
            <w:pPr>
              <w:ind w:left="4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35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560" w:type="dxa"/>
            <w:vAlign w:val="bottom"/>
            <w:gridSpan w:val="5"/>
          </w:tcPr>
          <w:p>
            <w:pPr>
              <w:jc w:val="right"/>
              <w:ind w:right="60"/>
              <w:spacing w:after="0"/>
              <w:rPr>
                <w:sz w:val="20"/>
                <w:szCs w:val="20"/>
                <w:color w:val="auto"/>
              </w:rPr>
            </w:pPr>
            <w:r>
              <w:rPr>
                <w:rFonts w:ascii="Arial" w:cs="Arial" w:eastAsia="Arial" w:hAnsi="Arial"/>
                <w:sz w:val="18"/>
                <w:szCs w:val="18"/>
                <w:color w:val="auto"/>
              </w:rPr>
              <w:t>$236,336</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88,396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97,949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129,116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345,780</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897,577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27,000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(8,113)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682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98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9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560" w:type="dxa"/>
            <w:vAlign w:val="bottom"/>
            <w:gridSpan w:val="5"/>
          </w:tcPr>
          <w:p>
            <w:pPr>
              <w:jc w:val="right"/>
              <w:ind w:right="60"/>
              <w:spacing w:after="0"/>
              <w:rPr>
                <w:sz w:val="20"/>
                <w:szCs w:val="20"/>
                <w:color w:val="auto"/>
              </w:rPr>
            </w:pPr>
            <w:r>
              <w:rPr>
                <w:rFonts w:ascii="Arial" w:cs="Arial" w:eastAsia="Arial" w:hAnsi="Arial"/>
                <w:sz w:val="18"/>
                <w:szCs w:val="18"/>
                <w:color w:val="auto"/>
              </w:rPr>
              <w:t>$704,570</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415,579</w:t>
            </w:r>
          </w:p>
        </w:tc>
        <w:tc>
          <w:tcPr>
            <w:tcW w:w="1000" w:type="dxa"/>
            <w:vAlign w:val="bottom"/>
            <w:gridSpan w:val="4"/>
          </w:tcPr>
          <w:p>
            <w:pPr>
              <w:ind w:left="220"/>
              <w:spacing w:after="0"/>
              <w:rPr>
                <w:sz w:val="20"/>
                <w:szCs w:val="20"/>
                <w:color w:val="auto"/>
              </w:rPr>
            </w:pPr>
            <w:r>
              <w:rPr>
                <w:rFonts w:ascii="Arial" w:cs="Arial" w:eastAsia="Arial" w:hAnsi="Arial"/>
                <w:sz w:val="18"/>
                <w:szCs w:val="18"/>
                <w:color w:val="auto"/>
              </w:rPr>
              <w:t>$575,501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1,101,402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1,123,351</w:t>
            </w:r>
          </w:p>
        </w:tc>
        <w:tc>
          <w:tcPr>
            <w:tcW w:w="180" w:type="dxa"/>
            <w:vAlign w:val="bottom"/>
          </w:tcPr>
          <w:p>
            <w:pPr>
              <w:spacing w:after="0"/>
              <w:rPr>
                <w:sz w:val="18"/>
                <w:szCs w:val="18"/>
                <w:color w:val="auto"/>
              </w:rPr>
            </w:pPr>
          </w:p>
        </w:tc>
        <w:tc>
          <w:tcPr>
            <w:tcW w:w="720" w:type="dxa"/>
            <w:vAlign w:val="bottom"/>
            <w:gridSpan w:val="3"/>
          </w:tcPr>
          <w:p>
            <w:pPr>
              <w:ind w:left="100"/>
              <w:spacing w:after="0"/>
              <w:rPr>
                <w:sz w:val="20"/>
                <w:szCs w:val="20"/>
                <w:color w:val="auto"/>
              </w:rPr>
            </w:pPr>
            <w:r>
              <w:rPr>
                <w:rFonts w:ascii="Arial" w:cs="Arial" w:eastAsia="Arial" w:hAnsi="Arial"/>
                <w:sz w:val="18"/>
                <w:szCs w:val="18"/>
                <w:color w:val="auto"/>
                <w:w w:val="85"/>
              </w:rPr>
              <w:t>$ 10,643</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$3,931,046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$4,370,318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1"/>
                <w:szCs w:val="11"/>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Magazine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35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gridSpan w:val="6"/>
          </w:tcPr>
          <w:p>
            <w:pPr>
              <w:jc w:val="right"/>
              <w:ind w:right="100"/>
              <w:spacing w:after="0"/>
              <w:rPr>
                <w:sz w:val="20"/>
                <w:szCs w:val="20"/>
                <w:color w:val="auto"/>
              </w:rPr>
            </w:pPr>
            <w:r>
              <w:rPr>
                <w:rFonts w:ascii="Arial" w:cs="Arial" w:eastAsia="Arial" w:hAnsi="Arial"/>
                <w:sz w:val="18"/>
                <w:szCs w:val="18"/>
                <w:color w:val="auto"/>
              </w:rPr>
              <w:t>$233,979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90,243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91,047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126,426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276,696</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818,391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37,678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17,633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(7,657)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640" w:type="dxa"/>
            <w:vAlign w:val="bottom"/>
            <w:gridSpan w:val="2"/>
          </w:tcPr>
          <w:p>
            <w:pPr>
              <w:spacing w:after="0"/>
              <w:rPr>
                <w:sz w:val="11"/>
                <w:szCs w:val="11"/>
                <w:color w:val="auto"/>
              </w:rPr>
            </w:pPr>
          </w:p>
        </w:tc>
        <w:tc>
          <w:tcPr>
            <w:tcW w:w="20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7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9,358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980" w:type="dxa"/>
            <w:vAlign w:val="bottom"/>
            <w:gridSpan w:val="3"/>
          </w:tcPr>
          <w:p>
            <w:pPr>
              <w:ind w:left="8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3,842</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9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660" w:type="dxa"/>
            <w:vAlign w:val="bottom"/>
            <w:gridSpan w:val="6"/>
          </w:tcPr>
          <w:p>
            <w:pPr>
              <w:jc w:val="right"/>
              <w:ind w:right="100"/>
              <w:spacing w:after="0"/>
              <w:rPr>
                <w:sz w:val="20"/>
                <w:szCs w:val="20"/>
                <w:color w:val="auto"/>
              </w:rPr>
            </w:pPr>
            <w:r>
              <w:rPr>
                <w:rFonts w:ascii="Arial" w:cs="Arial" w:eastAsia="Arial" w:hAnsi="Arial"/>
                <w:sz w:val="18"/>
                <w:szCs w:val="18"/>
                <w:color w:val="auto"/>
              </w:rPr>
              <w:t>$688,812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410,294</w:t>
            </w:r>
          </w:p>
        </w:tc>
        <w:tc>
          <w:tcPr>
            <w:tcW w:w="1000" w:type="dxa"/>
            <w:vAlign w:val="bottom"/>
            <w:gridSpan w:val="4"/>
          </w:tcPr>
          <w:p>
            <w:pPr>
              <w:ind w:left="220"/>
              <w:spacing w:after="0"/>
              <w:rPr>
                <w:sz w:val="20"/>
                <w:szCs w:val="20"/>
                <w:color w:val="auto"/>
              </w:rPr>
            </w:pPr>
            <w:r>
              <w:rPr>
                <w:rFonts w:ascii="Arial" w:cs="Arial" w:eastAsia="Arial" w:hAnsi="Arial"/>
                <w:sz w:val="18"/>
                <w:szCs w:val="18"/>
                <w:color w:val="auto"/>
              </w:rPr>
              <w:t>$582,489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1,113,554</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1,035,772</w:t>
            </w:r>
          </w:p>
        </w:tc>
        <w:tc>
          <w:tcPr>
            <w:tcW w:w="180" w:type="dxa"/>
            <w:vAlign w:val="bottom"/>
          </w:tcPr>
          <w:p>
            <w:pPr>
              <w:spacing w:after="0"/>
              <w:rPr>
                <w:sz w:val="18"/>
                <w:szCs w:val="18"/>
                <w:color w:val="auto"/>
              </w:rPr>
            </w:pPr>
          </w:p>
        </w:tc>
        <w:tc>
          <w:tcPr>
            <w:tcW w:w="720" w:type="dxa"/>
            <w:vAlign w:val="bottom"/>
            <w:gridSpan w:val="3"/>
          </w:tcPr>
          <w:p>
            <w:pPr>
              <w:ind w:left="100"/>
              <w:spacing w:after="0"/>
              <w:rPr>
                <w:sz w:val="20"/>
                <w:szCs w:val="20"/>
                <w:color w:val="auto"/>
              </w:rPr>
            </w:pPr>
            <w:r>
              <w:rPr>
                <w:rFonts w:ascii="Arial" w:cs="Arial" w:eastAsia="Arial" w:hAnsi="Arial"/>
                <w:sz w:val="18"/>
                <w:szCs w:val="18"/>
                <w:color w:val="auto"/>
                <w:w w:val="85"/>
              </w:rPr>
              <w:t>$ 14,170</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$3,845,091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$4,316,641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vMerge w:val="restart"/>
          </w:tcPr>
          <w:p>
            <w:pPr>
              <w:jc w:val="right"/>
              <w:ind w:right="555"/>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-4562475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-4562475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-4562475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-3293110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-3293110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-3293110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-1595120</wp:posOffset>
            </wp:positionV>
            <wp:extent cx="53594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Six Month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Newspaper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Television</w:t>
            </w:r>
          </w:p>
        </w:tc>
        <w:tc>
          <w:tcPr>
            <w:tcW w:w="20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Broadcasting</w:t>
            </w:r>
          </w:p>
        </w:tc>
        <w:tc>
          <w:tcPr>
            <w:tcW w:w="20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45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$469,364</w:t>
            </w:r>
          </w:p>
        </w:tc>
        <w:tc>
          <w:tcPr>
            <w:tcW w:w="2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167,688</w:t>
            </w:r>
          </w:p>
        </w:tc>
        <w:tc>
          <w:tcPr>
            <w:tcW w:w="880" w:type="dxa"/>
            <w:vAlign w:val="bottom"/>
            <w:gridSpan w:val="4"/>
          </w:tcPr>
          <w:p>
            <w:pPr>
              <w:ind w:left="200"/>
              <w:spacing w:after="0"/>
              <w:rPr>
                <w:sz w:val="20"/>
                <w:szCs w:val="20"/>
                <w:color w:val="auto"/>
              </w:rPr>
            </w:pPr>
            <w:r>
              <w:rPr>
                <w:rFonts w:ascii="Arial" w:cs="Arial" w:eastAsia="Arial" w:hAnsi="Arial"/>
                <w:sz w:val="18"/>
                <w:szCs w:val="18"/>
                <w:color w:val="auto"/>
                <w:w w:val="87"/>
              </w:rPr>
              <w:t>$167,800</w:t>
            </w:r>
          </w:p>
        </w:tc>
        <w:tc>
          <w:tcPr>
            <w:tcW w:w="1060" w:type="dxa"/>
            <w:vAlign w:val="bottom"/>
            <w:gridSpan w:val="6"/>
          </w:tcPr>
          <w:p>
            <w:pPr>
              <w:jc w:val="right"/>
              <w:ind w:right="160"/>
              <w:spacing w:after="0"/>
              <w:rPr>
                <w:sz w:val="20"/>
                <w:szCs w:val="20"/>
                <w:color w:val="auto"/>
              </w:rPr>
            </w:pPr>
            <w:r>
              <w:rPr>
                <w:rFonts w:ascii="Arial" w:cs="Arial" w:eastAsia="Arial" w:hAnsi="Arial"/>
                <w:sz w:val="18"/>
                <w:szCs w:val="18"/>
                <w:color w:val="auto"/>
              </w:rPr>
              <w:t>$255,492</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$671,163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$1,731,507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58,395</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73,862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14,831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46,995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66,754</w:t>
            </w: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(15,153)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18,132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50,424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17,789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682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(664)</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19,171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Newspaper</w:t>
            </w:r>
          </w:p>
        </w:tc>
        <w:tc>
          <w:tcPr>
            <w:tcW w:w="2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Television</w:t>
            </w:r>
          </w:p>
        </w:tc>
        <w:tc>
          <w:tcPr>
            <w:tcW w:w="20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w w:val="84"/>
              </w:rPr>
              <w:t>Broadcasting</w:t>
            </w:r>
          </w:p>
        </w:tc>
        <w:tc>
          <w:tcPr>
            <w:tcW w:w="200" w:type="dxa"/>
            <w:vAlign w:val="bottom"/>
          </w:tcPr>
          <w:p>
            <w:pPr>
              <w:spacing w:after="0"/>
              <w:rPr>
                <w:sz w:val="15"/>
                <w:szCs w:val="15"/>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Publishing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0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45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920" w:type="dxa"/>
            <w:vAlign w:val="bottom"/>
            <w:gridSpan w:val="5"/>
          </w:tcPr>
          <w:p>
            <w:pPr>
              <w:jc w:val="right"/>
              <w:ind w:right="200"/>
              <w:spacing w:after="0"/>
              <w:rPr>
                <w:sz w:val="20"/>
                <w:szCs w:val="20"/>
                <w:color w:val="auto"/>
              </w:rPr>
            </w:pPr>
            <w:r>
              <w:rPr>
                <w:rFonts w:ascii="Arial" w:cs="Arial" w:eastAsia="Arial" w:hAnsi="Arial"/>
                <w:sz w:val="18"/>
                <w:szCs w:val="18"/>
                <w:color w:val="auto"/>
                <w:w w:val="93"/>
              </w:rPr>
              <w:t>$452,804</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166,560</w:t>
            </w:r>
          </w:p>
        </w:tc>
        <w:tc>
          <w:tcPr>
            <w:tcW w:w="880" w:type="dxa"/>
            <w:vAlign w:val="bottom"/>
            <w:gridSpan w:val="4"/>
          </w:tcPr>
          <w:p>
            <w:pPr>
              <w:ind w:left="200"/>
              <w:spacing w:after="0"/>
              <w:rPr>
                <w:sz w:val="20"/>
                <w:szCs w:val="20"/>
                <w:color w:val="auto"/>
              </w:rPr>
            </w:pPr>
            <w:r>
              <w:rPr>
                <w:rFonts w:ascii="Arial" w:cs="Arial" w:eastAsia="Arial" w:hAnsi="Arial"/>
                <w:sz w:val="18"/>
                <w:szCs w:val="18"/>
                <w:color w:val="auto"/>
                <w:w w:val="87"/>
              </w:rPr>
              <w:t>$175,589</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$247,440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$534,967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$1,577,360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69,667</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74,981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24,454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47,839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50,080</w:t>
            </w: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(16,104)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8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19,021</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49,177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13,201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1,385</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18,168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-2847340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-2847340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-2847340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-737870</wp:posOffset>
            </wp:positionV>
            <wp:extent cx="53594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2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fixed facility colleges that offer Bachelor’s degrees, Associate’s degrees and diploma programs primarily in the fields of healthcare, business and information technology; and online post-secondary and career programs (various distance-learning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5: Goodwill and Other Intangible Assets.</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 and non-compete agreements, with amortization periods up to ten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goodwill and other intangible assets as of July 3, 2005 and January 2, 2005 were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80" w:type="dxa"/>
            <w:vAlign w:val="bottom"/>
            <w:gridSpan w:val="2"/>
            <w:shd w:val="clear" w:color="auto" w:fill="CCEEFF"/>
          </w:tcPr>
          <w:p>
            <w:pPr>
              <w:jc w:val="right"/>
              <w:ind w:right="8152"/>
              <w:spacing w:after="0" w:line="176" w:lineRule="exact"/>
              <w:rPr>
                <w:sz w:val="20"/>
                <w:szCs w:val="20"/>
                <w:color w:val="auto"/>
              </w:rPr>
            </w:pPr>
            <w:r>
              <w:rPr>
                <w:rFonts w:ascii="Arial" w:cs="Arial" w:eastAsia="Arial" w:hAnsi="Arial"/>
                <w:sz w:val="18"/>
                <w:szCs w:val="18"/>
                <w:color w:val="auto"/>
                <w:w w:val="79"/>
              </w:rPr>
              <w:t>2005</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Goodwill</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6"/>
              </w:rPr>
              <w:t>$1,387,017</w:t>
            </w:r>
          </w:p>
        </w:tc>
        <w:tc>
          <w:tcPr>
            <w:tcW w:w="340" w:type="dxa"/>
            <w:vAlign w:val="bottom"/>
            <w:tcBorders>
              <w:top w:val="single" w:sz="8" w:color="CCEEFF"/>
            </w:tcBorders>
            <w:gridSpan w:val="3"/>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298,402</w:t>
            </w:r>
          </w:p>
        </w:tc>
        <w:tc>
          <w:tcPr>
            <w:tcW w:w="10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$1,088,615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656,998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Amortized intangible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34,577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15,215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$2,078,592</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477,423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$1,601,169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80" w:type="dxa"/>
            <w:vAlign w:val="bottom"/>
            <w:gridSpan w:val="2"/>
            <w:shd w:val="clear" w:color="auto" w:fill="CCEEFF"/>
          </w:tcPr>
          <w:p>
            <w:pPr>
              <w:jc w:val="right"/>
              <w:ind w:right="8152"/>
              <w:spacing w:after="0" w:line="176" w:lineRule="exact"/>
              <w:rPr>
                <w:sz w:val="20"/>
                <w:szCs w:val="20"/>
                <w:color w:val="auto"/>
              </w:rPr>
            </w:pPr>
            <w:r>
              <w:rPr>
                <w:rFonts w:ascii="Arial" w:cs="Arial" w:eastAsia="Arial" w:hAnsi="Arial"/>
                <w:sz w:val="18"/>
                <w:szCs w:val="18"/>
                <w:color w:val="auto"/>
                <w:w w:val="79"/>
              </w:rPr>
              <w:t>2004</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Goodwill</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6"/>
              </w:rPr>
              <w:t>$1,321,542</w:t>
            </w:r>
          </w:p>
        </w:tc>
        <w:tc>
          <w:tcPr>
            <w:tcW w:w="340" w:type="dxa"/>
            <w:vAlign w:val="bottom"/>
            <w:tcBorders>
              <w:top w:val="single" w:sz="8" w:color="CCEEFF"/>
            </w:tcBorders>
            <w:gridSpan w:val="3"/>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298,402</w:t>
            </w:r>
          </w:p>
        </w:tc>
        <w:tc>
          <w:tcPr>
            <w:tcW w:w="10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$1,023,140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656,998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Amortized intangible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12,142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$1,998,561</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474,350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$1,542,211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-1169670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-1169670</wp:posOffset>
            </wp:positionV>
            <wp:extent cx="173672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3672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and other intangible assets during the six months ended July 3, 2005 was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Newspaper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Television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Publishing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Broadcasting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5"/>
                <w:szCs w:val="15"/>
                <w:color w:val="auto"/>
              </w:rPr>
            </w:pPr>
          </w:p>
        </w:tc>
        <w:tc>
          <w:tcPr>
            <w:tcW w:w="80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$ 72,770</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ind w:left="100"/>
              <w:spacing w:after="0"/>
              <w:rPr>
                <w:sz w:val="20"/>
                <w:szCs w:val="20"/>
                <w:color w:val="auto"/>
              </w:rPr>
            </w:pPr>
            <w:r>
              <w:rPr>
                <w:rFonts w:ascii="Arial" w:cs="Arial" w:eastAsia="Arial" w:hAnsi="Arial"/>
                <w:sz w:val="18"/>
                <w:szCs w:val="18"/>
                <w:color w:val="auto"/>
              </w:rPr>
              <w:t>203,165</w:t>
            </w:r>
          </w:p>
        </w:tc>
        <w:tc>
          <w:tcPr>
            <w:tcW w:w="680" w:type="dxa"/>
            <w:vAlign w:val="bottom"/>
            <w:gridSpan w:val="5"/>
          </w:tcPr>
          <w:p>
            <w:pPr>
              <w:ind w:left="60"/>
              <w:spacing w:after="0"/>
              <w:rPr>
                <w:sz w:val="20"/>
                <w:szCs w:val="20"/>
                <w:color w:val="auto"/>
              </w:rPr>
            </w:pPr>
            <w:r>
              <w:rPr>
                <w:rFonts w:ascii="Arial" w:cs="Arial" w:eastAsia="Arial" w:hAnsi="Arial"/>
                <w:sz w:val="18"/>
                <w:szCs w:val="18"/>
                <w:color w:val="auto"/>
                <w:w w:val="85"/>
              </w:rPr>
              <w:t>$ 69,556</w:t>
            </w:r>
          </w:p>
        </w:tc>
        <w:tc>
          <w:tcPr>
            <w:tcW w:w="800" w:type="dxa"/>
            <w:vAlign w:val="bottom"/>
            <w:gridSpan w:val="6"/>
          </w:tcPr>
          <w:p>
            <w:pPr>
              <w:jc w:val="center"/>
              <w:ind w:left="132"/>
              <w:spacing w:after="0"/>
              <w:rPr>
                <w:sz w:val="20"/>
                <w:szCs w:val="20"/>
                <w:color w:val="auto"/>
              </w:rPr>
            </w:pPr>
            <w:r>
              <w:rPr>
                <w:rFonts w:ascii="Arial" w:cs="Arial" w:eastAsia="Arial" w:hAnsi="Arial"/>
                <w:sz w:val="18"/>
                <w:szCs w:val="18"/>
                <w:color w:val="auto"/>
                <w:w w:val="89"/>
              </w:rPr>
              <w:t>$85,666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$591,983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86"/>
              </w:rPr>
              <w:t>$1,023,140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68,813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76,694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5"/>
          </w:tcPr>
          <w:p>
            <w:pPr>
              <w:jc w:val="center"/>
              <w:ind w:right="120"/>
              <w:spacing w:after="0"/>
              <w:rPr>
                <w:sz w:val="20"/>
                <w:szCs w:val="20"/>
                <w:color w:val="auto"/>
              </w:rPr>
            </w:pPr>
            <w:r>
              <w:rPr>
                <w:rFonts w:ascii="Arial" w:cs="Arial" w:eastAsia="Arial" w:hAnsi="Arial"/>
                <w:sz w:val="18"/>
                <w:szCs w:val="18"/>
                <w:color w:val="auto"/>
                <w:w w:val="99"/>
              </w:rPr>
              <w:t>—</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(11,219)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(11,219)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$ 80,651</w:t>
            </w:r>
          </w:p>
        </w:tc>
        <w:tc>
          <w:tcPr>
            <w:tcW w:w="3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203,165</w:t>
            </w:r>
          </w:p>
        </w:tc>
        <w:tc>
          <w:tcPr>
            <w:tcW w:w="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85"/>
              </w:rPr>
              <w:t>$ 69,556</w:t>
            </w:r>
          </w:p>
        </w:tc>
        <w:tc>
          <w:tcPr>
            <w:tcW w:w="800" w:type="dxa"/>
            <w:vAlign w:val="bottom"/>
            <w:gridSpan w:val="6"/>
            <w:shd w:val="clear" w:color="auto" w:fill="CCEEFF"/>
          </w:tcPr>
          <w:p>
            <w:pPr>
              <w:jc w:val="center"/>
              <w:ind w:left="132"/>
              <w:spacing w:after="0"/>
              <w:rPr>
                <w:sz w:val="20"/>
                <w:szCs w:val="20"/>
                <w:color w:val="auto"/>
              </w:rPr>
            </w:pPr>
            <w:r>
              <w:rPr>
                <w:rFonts w:ascii="Arial" w:cs="Arial" w:eastAsia="Arial" w:hAnsi="Arial"/>
                <w:sz w:val="18"/>
                <w:szCs w:val="18"/>
                <w:color w:val="auto"/>
                <w:w w:val="89"/>
              </w:rPr>
              <w:t>$85,666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$649,577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86"/>
              </w:rPr>
              <w:t>$1,088,615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36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2"/>
              </w:rPr>
              <w:t>Newspaper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4"/>
              </w:rPr>
              <w:t>Television</w:t>
            </w:r>
          </w:p>
        </w:tc>
        <w:tc>
          <w:tcPr>
            <w:tcW w:w="20" w:type="dxa"/>
            <w:vAlign w:val="bottom"/>
          </w:tcPr>
          <w:p>
            <w:pPr>
              <w:spacing w:after="0"/>
              <w:rPr>
                <w:sz w:val="24"/>
                <w:szCs w:val="24"/>
                <w:color w:val="auto"/>
              </w:rPr>
            </w:pPr>
          </w:p>
        </w:tc>
        <w:tc>
          <w:tcPr>
            <w:tcW w:w="66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Magazine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Publishing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4"/>
              </w:rPr>
              <w:t>Broadcasting</w:t>
            </w:r>
          </w:p>
        </w:tc>
        <w:tc>
          <w:tcPr>
            <w:tcW w:w="20" w:type="dxa"/>
            <w:vAlign w:val="bottom"/>
          </w:tcPr>
          <w:p>
            <w:pPr>
              <w:spacing w:after="0"/>
              <w:rPr>
                <w:sz w:val="15"/>
                <w:szCs w:val="15"/>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89"/>
              </w:rPr>
              <w:t>Publishing</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4"/>
              </w:rPr>
              <w:t>Television</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5"/>
              </w:rPr>
              <w:t>Education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8"/>
          </w:tcPr>
          <w:p>
            <w:pPr>
              <w:jc w:val="center"/>
              <w:ind w:left="192"/>
              <w:spacing w:after="0"/>
              <w:rPr>
                <w:sz w:val="20"/>
                <w:szCs w:val="20"/>
                <w:color w:val="auto"/>
              </w:rPr>
            </w:pPr>
            <w:r>
              <w:rPr>
                <w:rFonts w:ascii="Arial" w:cs="Arial" w:eastAsia="Arial" w:hAnsi="Arial"/>
                <w:sz w:val="18"/>
                <w:szCs w:val="18"/>
                <w:color w:val="auto"/>
                <w:w w:val="87"/>
              </w:rPr>
              <w:t>$486,330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6,862</w:t>
            </w:r>
          </w:p>
        </w:tc>
        <w:tc>
          <w:tcPr>
            <w:tcW w:w="120" w:type="dxa"/>
            <w:vAlign w:val="bottom"/>
          </w:tcPr>
          <w:p>
            <w:pPr>
              <w:spacing w:after="0"/>
              <w:rPr>
                <w:sz w:val="18"/>
                <w:szCs w:val="18"/>
                <w:color w:val="auto"/>
              </w:rPr>
            </w:pPr>
          </w:p>
        </w:tc>
        <w:tc>
          <w:tcPr>
            <w:tcW w:w="860" w:type="dxa"/>
            <w:vAlign w:val="bottom"/>
            <w:gridSpan w:val="5"/>
          </w:tcPr>
          <w:p>
            <w:pPr>
              <w:jc w:val="center"/>
              <w:ind w:left="92"/>
              <w:spacing w:after="0"/>
              <w:rPr>
                <w:sz w:val="20"/>
                <w:szCs w:val="20"/>
                <w:color w:val="auto"/>
              </w:rPr>
            </w:pPr>
            <w:r>
              <w:rPr>
                <w:rFonts w:ascii="Arial" w:cs="Arial" w:eastAsia="Arial" w:hAnsi="Arial"/>
                <w:sz w:val="18"/>
                <w:szCs w:val="18"/>
                <w:color w:val="auto"/>
                <w:w w:val="90"/>
              </w:rPr>
              <w:t>$493,192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gridSpan w:val="4"/>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8"/>
            <w:shd w:val="clear" w:color="auto" w:fill="CCEEFF"/>
          </w:tcPr>
          <w:p>
            <w:pPr>
              <w:jc w:val="center"/>
              <w:ind w:left="192"/>
              <w:spacing w:after="0"/>
              <w:rPr>
                <w:sz w:val="20"/>
                <w:szCs w:val="20"/>
                <w:color w:val="auto"/>
              </w:rPr>
            </w:pPr>
            <w:r>
              <w:rPr>
                <w:rFonts w:ascii="Arial" w:cs="Arial" w:eastAsia="Arial" w:hAnsi="Arial"/>
                <w:sz w:val="18"/>
                <w:szCs w:val="18"/>
                <w:color w:val="auto"/>
                <w:w w:val="87"/>
              </w:rPr>
              <w:t>$486,330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5"/>
            <w:shd w:val="clear" w:color="auto" w:fill="CCEEFF"/>
          </w:tcPr>
          <w:p>
            <w:pPr>
              <w:jc w:val="center"/>
              <w:ind w:left="92"/>
              <w:spacing w:after="0"/>
              <w:rPr>
                <w:sz w:val="20"/>
                <w:szCs w:val="20"/>
                <w:color w:val="auto"/>
              </w:rPr>
            </w:pPr>
            <w:r>
              <w:rPr>
                <w:rFonts w:ascii="Arial" w:cs="Arial" w:eastAsia="Arial" w:hAnsi="Arial"/>
                <w:sz w:val="18"/>
                <w:szCs w:val="18"/>
                <w:color w:val="auto"/>
                <w:w w:val="90"/>
              </w:rPr>
              <w:t>$493,192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gridSpan w:val="4"/>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bottom w:val="single" w:sz="8" w:color="auto"/>
            </w:tcBorders>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940" w:type="dxa"/>
            <w:vAlign w:val="bottom"/>
            <w:gridSpan w:val="7"/>
          </w:tcPr>
          <w:p>
            <w:pPr>
              <w:spacing w:after="0"/>
              <w:rPr>
                <w:sz w:val="20"/>
                <w:szCs w:val="20"/>
                <w:color w:val="auto"/>
              </w:rPr>
            </w:pPr>
            <w:r>
              <w:rPr>
                <w:rFonts w:ascii="Arial" w:cs="Arial" w:eastAsia="Arial" w:hAnsi="Arial"/>
                <w:sz w:val="14"/>
                <w:szCs w:val="14"/>
                <w:b w:val="1"/>
                <w:bCs w:val="1"/>
                <w:color w:val="auto"/>
              </w:rPr>
              <w:t>Newspaper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4"/>
              </w:rPr>
              <w:t>Television</w:t>
            </w:r>
          </w:p>
        </w:tc>
        <w:tc>
          <w:tcPr>
            <w:tcW w:w="20" w:type="dxa"/>
            <w:vAlign w:val="bottom"/>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Magazine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5"/>
          </w:tcPr>
          <w:p>
            <w:pPr>
              <w:ind w:left="20"/>
              <w:spacing w:after="0"/>
              <w:rPr>
                <w:sz w:val="20"/>
                <w:szCs w:val="20"/>
                <w:color w:val="auto"/>
              </w:rPr>
            </w:pPr>
            <w:r>
              <w:rPr>
                <w:rFonts w:ascii="Arial" w:cs="Arial" w:eastAsia="Arial" w:hAnsi="Arial"/>
                <w:sz w:val="14"/>
                <w:szCs w:val="14"/>
                <w:b w:val="1"/>
                <w:bCs w:val="1"/>
                <w:color w:val="auto"/>
              </w:rPr>
              <w:t>Cable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3"/>
              </w:rPr>
              <w:t>Publishing</w:t>
            </w:r>
          </w:p>
        </w:tc>
        <w:tc>
          <w:tcPr>
            <w:tcW w:w="60" w:type="dxa"/>
            <w:vAlign w:val="bottom"/>
          </w:tcPr>
          <w:p>
            <w:pPr>
              <w:spacing w:after="0"/>
              <w:rPr>
                <w:sz w:val="15"/>
                <w:szCs w:val="15"/>
                <w:color w:val="auto"/>
              </w:rPr>
            </w:pPr>
          </w:p>
        </w:tc>
        <w:tc>
          <w:tcPr>
            <w:tcW w:w="108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4"/>
              </w:rPr>
              <w:t>Broadcasting</w:t>
            </w:r>
          </w:p>
        </w:tc>
        <w:tc>
          <w:tcPr>
            <w:tcW w:w="680" w:type="dxa"/>
            <w:vAlign w:val="bottom"/>
            <w:gridSpan w:val="5"/>
          </w:tcPr>
          <w:p>
            <w:pPr>
              <w:ind w:left="20"/>
              <w:spacing w:after="0"/>
              <w:rPr>
                <w:sz w:val="20"/>
                <w:szCs w:val="20"/>
                <w:color w:val="auto"/>
              </w:rPr>
            </w:pPr>
            <w:r>
              <w:rPr>
                <w:rFonts w:ascii="Arial" w:cs="Arial" w:eastAsia="Arial" w:hAnsi="Arial"/>
                <w:sz w:val="14"/>
                <w:szCs w:val="14"/>
                <w:b w:val="1"/>
                <w:bCs w:val="1"/>
                <w:color w:val="auto"/>
                <w:w w:val="89"/>
              </w:rPr>
              <w:t>Publishing</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8"/>
          </w:tcPr>
          <w:p>
            <w:pPr>
              <w:spacing w:after="0"/>
              <w:rPr>
                <w:sz w:val="20"/>
                <w:szCs w:val="20"/>
                <w:color w:val="auto"/>
              </w:rPr>
            </w:pPr>
            <w:r>
              <w:rPr>
                <w:rFonts w:ascii="Arial" w:cs="Arial" w:eastAsia="Arial" w:hAnsi="Arial"/>
                <w:sz w:val="14"/>
                <w:szCs w:val="14"/>
                <w:b w:val="1"/>
                <w:bCs w:val="1"/>
                <w:color w:val="auto"/>
              </w:rPr>
              <w:t>Television</w:t>
            </w:r>
          </w:p>
        </w:tc>
        <w:tc>
          <w:tcPr>
            <w:tcW w:w="200" w:type="dxa"/>
            <w:vAlign w:val="bottom"/>
          </w:tcPr>
          <w:p>
            <w:pPr>
              <w:spacing w:after="0"/>
              <w:rPr>
                <w:sz w:val="15"/>
                <w:szCs w:val="15"/>
                <w:color w:val="auto"/>
              </w:rPr>
            </w:pPr>
          </w:p>
        </w:tc>
        <w:tc>
          <w:tcPr>
            <w:tcW w:w="760" w:type="dxa"/>
            <w:vAlign w:val="bottom"/>
            <w:gridSpan w:val="6"/>
          </w:tcPr>
          <w:p>
            <w:pPr>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5"/>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5,287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$ 7,879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7,049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14,726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5"/>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(170)</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(2,129)</w:t>
            </w:r>
          </w:p>
        </w:tc>
        <w:tc>
          <w:tcPr>
            <w:tcW w:w="8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gridSpan w:val="3"/>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00" w:type="dxa"/>
            <w:vAlign w:val="bottom"/>
            <w:tcBorders>
              <w:bottom w:val="single" w:sz="8" w:color="auto"/>
            </w:tcBorders>
            <w:gridSpan w:val="3"/>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gridSpan w:val="4"/>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2005</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$ 10,037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-2876550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-2876550</wp:posOffset>
            </wp:positionV>
            <wp:extent cx="330581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581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-1590040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-1590040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-1590040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-1590040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-1590040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-1590040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-1590040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-1590040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-1590040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-1590040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-1590040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-1590040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-1590040</wp:posOffset>
            </wp:positionV>
            <wp:extent cx="4330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six-months ended June 27, 2004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3"/>
              </w:rPr>
              <w:t>Television</w:t>
            </w:r>
          </w:p>
        </w:tc>
        <w:tc>
          <w:tcPr>
            <w:tcW w:w="2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Magazine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Education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$ 71,277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$ 69,556</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$85,666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$536,030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$ 72,667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$ 69,556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$85,666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$583,404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1,014,458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008"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008"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Television</w:t>
            </w: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Magazine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Cable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10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2"/>
              </w:rPr>
              <w:t>Broadcasting</w:t>
            </w:r>
          </w:p>
        </w:tc>
        <w:tc>
          <w:tcPr>
            <w:tcW w:w="9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3"/>
              </w:rPr>
              <w:t>Publishing</w:t>
            </w:r>
          </w:p>
        </w:tc>
        <w:tc>
          <w:tcPr>
            <w:tcW w:w="840" w:type="dxa"/>
            <w:vAlign w:val="bottom"/>
            <w:gridSpan w:val="6"/>
          </w:tcPr>
          <w:p>
            <w:pPr>
              <w:ind w:left="40"/>
              <w:spacing w:after="0"/>
              <w:rPr>
                <w:sz w:val="20"/>
                <w:szCs w:val="20"/>
                <w:color w:val="auto"/>
              </w:rPr>
            </w:pPr>
            <w:r>
              <w:rPr>
                <w:rFonts w:ascii="Arial" w:cs="Arial" w:eastAsia="Arial" w:hAnsi="Arial"/>
                <w:sz w:val="14"/>
                <w:szCs w:val="14"/>
                <w:b w:val="1"/>
                <w:bCs w:val="1"/>
                <w:color w:val="auto"/>
              </w:rPr>
              <w:t>Television</w:t>
            </w:r>
          </w:p>
        </w:tc>
        <w:tc>
          <w:tcPr>
            <w:tcW w:w="14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b w:val="1"/>
                <w:bCs w:val="1"/>
                <w:color w:val="auto"/>
              </w:rPr>
              <w:t>Education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5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75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w w:val="85"/>
              </w:rPr>
              <w:t>$484,556</w:t>
            </w:r>
          </w:p>
        </w:tc>
        <w:tc>
          <w:tcPr>
            <w:tcW w:w="18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$486,656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75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5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2004</w:t>
            </w:r>
          </w:p>
        </w:tc>
        <w:tc>
          <w:tcPr>
            <w:tcW w:w="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75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5"/>
              </w:rPr>
              <w:t>$485,772</w:t>
            </w:r>
          </w:p>
        </w:tc>
        <w:tc>
          <w:tcPr>
            <w:tcW w:w="1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$487,872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24"/>
                <w:szCs w:val="2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Television</w:t>
            </w:r>
          </w:p>
        </w:tc>
        <w:tc>
          <w:tcPr>
            <w:tcW w:w="80" w:type="dxa"/>
            <w:vAlign w:val="bottom"/>
          </w:tcPr>
          <w:p>
            <w:pPr>
              <w:spacing w:after="0"/>
              <w:rPr>
                <w:sz w:val="24"/>
                <w:szCs w:val="2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Magazine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Publishing</w:t>
            </w:r>
          </w:p>
        </w:tc>
        <w:tc>
          <w:tcPr>
            <w:tcW w:w="6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b w:val="1"/>
                <w:bCs w:val="1"/>
                <w:color w:val="auto"/>
              </w:rPr>
              <w:t>Television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Education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5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21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9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4,115</w:t>
            </w: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$ 5,226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5,791</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6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75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75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(6,180)</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5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2004</w:t>
            </w:r>
          </w:p>
        </w:tc>
        <w:tc>
          <w:tcPr>
            <w:tcW w:w="21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3,746</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$ 6,675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-1590040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-1590040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-1590040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-1590040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-1590040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-1590040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-1590040</wp:posOffset>
            </wp:positionV>
            <wp:extent cx="163322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322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Stock Options.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second quarter and first six-months of 2005 and 2004 (in thousands, except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5"/>
                <w:szCs w:val="15"/>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July 3,</w:t>
            </w: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June 27,</w:t>
            </w:r>
          </w:p>
        </w:tc>
        <w:tc>
          <w:tcPr>
            <w:tcW w:w="10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July 3,</w:t>
            </w:r>
          </w:p>
        </w:tc>
        <w:tc>
          <w:tcPr>
            <w:tcW w:w="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78,510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84,659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144,610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w w:val="99"/>
              </w:rPr>
              <w:t>Add: Company stock option compensation expense included in net income, net of related tax effects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0"/>
              </w:rPr>
              <w:t>Deduct: Total Company stock option compensation expense determined under the fair value based method for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shd w:val="clear" w:color="auto" w:fill="CCEEFF"/>
          </w:tcPr>
          <w:p>
            <w:pPr>
              <w:jc w:val="right"/>
              <w:ind w:right="5172"/>
              <w:spacing w:after="0"/>
              <w:rPr>
                <w:sz w:val="20"/>
                <w:szCs w:val="20"/>
                <w:color w:val="auto"/>
              </w:rPr>
            </w:pPr>
            <w:r>
              <w:rPr>
                <w:rFonts w:ascii="Arial" w:cs="Arial" w:eastAsia="Arial" w:hAnsi="Arial"/>
                <w:sz w:val="18"/>
                <w:szCs w:val="18"/>
                <w:color w:val="auto"/>
                <w:w w:val="94"/>
              </w:rPr>
              <w:t>all awards, net of related tax effects</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for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78,426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84,056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144,443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 forma 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8.15</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15.02</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980" w:type="dxa"/>
            <w:vAlign w:val="bottom"/>
            <w:gridSpan w:val="2"/>
          </w:tcPr>
          <w:p>
            <w:pPr>
              <w:jc w:val="right"/>
              <w:ind w:right="20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-875030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-875030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-875030</wp:posOffset>
            </wp:positionV>
            <wp:extent cx="81026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026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-875030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-875030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-875030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-875030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 Company also maintains a stock option plan at its Kaplan subsidiary that provides for the issuance of Kaplan stock options to certain members of Kaplan’s management. Under the provisions of the plan, options are issued with an exercise price equal to the estimated fair value of Kaplan’s common stock and options vest ratably over the number of years specified (generally four to five years) at the time of grant. Upon exercise, an option holder receives cash equal to the difference between the exercise price and the then fair value. The fair value of Kaplan’s common stock is determined by the Company’s compensation committee of the Board of Directors and in January 2005, the committee set the fair value price at $2,080 per share. Also in January 2005, 15,353 Kaplan stock options were exercised, and 10,582 Kaplan stock options were awarded at an option price of $2,080. At June 30, 2005, there were 63,229 Kaplan stock options outstanding.</w:t>
      </w:r>
    </w:p>
    <w:p>
      <w:pPr>
        <w:spacing w:after="0" w:line="9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recorded expense of $3.0 million and $8.0 million for the second quarter of 2005 and 2004, respectively, and $10.0 million and $17.8 million for the first six months of 2005 and 2004, respectively, related to this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7: Antidilutive Securities.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second quarter and first six months of 2005 diluted earnings per share amount excludes the effects of 4,000 stock options outstanding as their inclusion would be antidilutive. There were no antidilutive stock options outstanding during the second quarter and first six months of 2004.</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8: Pension and Postretirement Plans.</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plans for the second quarter and six months ended July 3, 2005 and June 27, 2004 consists of the following components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Thirteen Weeks Ended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July 3,</w:t>
            </w:r>
          </w:p>
        </w:tc>
        <w:tc>
          <w:tcPr>
            <w:tcW w:w="9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June 27,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July 3,</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June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$ 13,814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9,933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9,051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4"/>
          </w:tcPr>
          <w:p>
            <w:pPr>
              <w:jc w:val="right"/>
              <w:ind w:right="580"/>
              <w:spacing w:after="0"/>
              <w:rPr>
                <w:sz w:val="20"/>
                <w:szCs w:val="20"/>
                <w:color w:val="auto"/>
              </w:rPr>
            </w:pPr>
            <w:r>
              <w:rPr>
                <w:rFonts w:ascii="Arial" w:cs="Arial" w:eastAsia="Arial" w:hAnsi="Arial"/>
                <w:sz w:val="18"/>
                <w:szCs w:val="18"/>
                <w:color w:val="auto"/>
              </w:rPr>
              <w:t>19,866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(26,067)</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(23,765)</w:t>
            </w:r>
          </w:p>
        </w:tc>
        <w:tc>
          <w:tcPr>
            <w:tcW w:w="15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(52,134)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(47,530)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(252)</w:t>
            </w:r>
          </w:p>
        </w:tc>
        <w:tc>
          <w:tcPr>
            <w:tcW w:w="1500" w:type="dxa"/>
            <w:vAlign w:val="bottom"/>
            <w:gridSpan w:val="4"/>
          </w:tcPr>
          <w:p>
            <w:pPr>
              <w:jc w:val="right"/>
              <w:ind w:right="5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0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(1,909)</w:t>
            </w:r>
          </w:p>
        </w:tc>
        <w:tc>
          <w:tcPr>
            <w:tcW w:w="1500" w:type="dxa"/>
            <w:vAlign w:val="bottom"/>
            <w:gridSpan w:val="4"/>
          </w:tcPr>
          <w:p>
            <w:pPr>
              <w:jc w:val="right"/>
              <w:ind w:right="540"/>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(10,044)</w:t>
            </w:r>
          </w:p>
        </w:tc>
        <w:tc>
          <w:tcPr>
            <w:tcW w:w="15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(18,302)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(20,087)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Pr>
          <w:p>
            <w:pPr>
              <w:spacing w:after="0"/>
              <w:rPr>
                <w:sz w:val="19"/>
                <w:szCs w:val="19"/>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(9,912)</w:t>
            </w:r>
          </w:p>
        </w:tc>
        <w:tc>
          <w:tcPr>
            <w:tcW w:w="15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(18,302)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(19,955)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-29210</wp:posOffset>
            </wp:positionV>
            <wp:extent cx="44132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44132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total (income) cost arising from the Company’s postretirement plans for the second quarter and six months ended July 3, 2005 and June 27, 2004, consists of the following components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1"/>
              </w:rPr>
              <w:t>Thirteen Weeks Ended</w:t>
            </w:r>
          </w:p>
        </w:tc>
        <w:tc>
          <w:tcPr>
            <w:tcW w:w="130" w:type="dxa"/>
            <w:vAlign w:val="bottom"/>
          </w:tcPr>
          <w:p>
            <w:pPr>
              <w:spacing w:after="0"/>
              <w:rPr>
                <w:sz w:val="15"/>
                <w:szCs w:val="15"/>
                <w:color w:val="auto"/>
              </w:rPr>
            </w:pPr>
          </w:p>
        </w:tc>
        <w:tc>
          <w:tcPr>
            <w:tcW w:w="177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7"/>
              </w:rPr>
              <w:t>July 3,</w:t>
            </w: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6"/>
              </w:rPr>
              <w:t>June 27,</w:t>
            </w:r>
          </w:p>
        </w:tc>
        <w:tc>
          <w:tcPr>
            <w:tcW w:w="130" w:type="dxa"/>
            <w:vAlign w:val="bottom"/>
          </w:tcPr>
          <w:p>
            <w:pPr>
              <w:spacing w:after="0"/>
              <w:rPr>
                <w:sz w:val="20"/>
                <w:szCs w:val="20"/>
                <w:color w:val="auto"/>
              </w:rPr>
            </w:pPr>
          </w:p>
        </w:tc>
        <w:tc>
          <w:tcPr>
            <w:tcW w:w="103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July 3,</w:t>
            </w:r>
          </w:p>
        </w:tc>
        <w:tc>
          <w:tcPr>
            <w:tcW w:w="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550" w:type="dxa"/>
            <w:vAlign w:val="bottom"/>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46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cost</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1,859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1,873</w:t>
            </w:r>
          </w:p>
        </w:tc>
        <w:tc>
          <w:tcPr>
            <w:tcW w:w="4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3,718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w:t>
            </w: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(413)</w:t>
            </w:r>
          </w:p>
        </w:tc>
        <w:tc>
          <w:tcPr>
            <w:tcW w:w="130" w:type="dxa"/>
            <w:vAlign w:val="bottom"/>
          </w:tcPr>
          <w:p>
            <w:pPr>
              <w:spacing w:after="0"/>
              <w:rPr>
                <w:sz w:val="19"/>
                <w:szCs w:val="19"/>
                <w:color w:val="auto"/>
              </w:rPr>
            </w:pPr>
          </w:p>
        </w:tc>
        <w:tc>
          <w:tcPr>
            <w:tcW w:w="1030" w:type="dxa"/>
            <w:vAlign w:val="bottom"/>
            <w:gridSpan w:val="2"/>
          </w:tcPr>
          <w:p>
            <w:pPr>
              <w:jc w:val="right"/>
              <w:ind w:right="44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46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3360" w:type="dxa"/>
            <w:vAlign w:val="bottom"/>
            <w:vMerge w:val="restart"/>
          </w:tcPr>
          <w:p>
            <w:pPr>
              <w:jc w:val="right"/>
              <w:ind w:right="147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-325755</wp:posOffset>
            </wp:positionV>
            <wp:extent cx="4070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-325755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expected rate of return on plan assets is 7.5% in 2005. At January 2, 2005, the Company reduced its assumption on the discount rate from 6.25% to 5.75% for both its pension plans and postretirement plans. During the first quarter of 2005, the Company changed from the 1983 Group Annuity Mortality Table to the 1994 Group Annuity Mortality Table, for its pension plans. These assumption changes are estimated to cause an approximate $7 million reduction in the 2005 pension credit. Overall, the pension credit for 2005 is expected to be down by approximately $5 million compared to 2004.</w:t>
      </w:r>
    </w:p>
    <w:p>
      <w:pPr>
        <w:spacing w:after="0" w:line="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In accordance with FASB Staff Position No. 106-2, “Accounting and Disclosure Requirements Related to the Medicare Prescription Drug, Improvement, and Modernization Act of 2003,” the Company concluded that the Act is not significant to the Company’s other postretirement plans and therefore, the effects of the Act were incorporated into the latest valuation of December 31, 2004. Overall, the Company’s Postretirement benefit obligation was reduced by about $4.0 million at January 2, 2005 as a result of the Act; the Company’s postretirement expense is expected to be reduced by about $0.5 million in fiscal year 2005 as a result of the Act.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9 – Other Non-Operating Income (Expense)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other non-operating expense, net, of $3.6 million for the second quarter of 2005, compared to $0.1 million for the second quarter of 2004.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2005 and 2004, the Company recorded other non-operating income, net, of $3.5 million and $0.7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twenty-six weeks ended July 3, 2005 and June 27, 2004,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150" w:type="dxa"/>
            <w:vAlign w:val="bottom"/>
            <w:gridSpan w:val="6"/>
          </w:tcPr>
          <w:p>
            <w:pPr>
              <w:ind w:left="9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5"/>
                <w:szCs w:val="15"/>
                <w:color w:val="auto"/>
              </w:rPr>
            </w:pPr>
          </w:p>
        </w:tc>
        <w:tc>
          <w:tcPr>
            <w:tcW w:w="18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2"/>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20"/>
                <w:szCs w:val="20"/>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2"/>
              </w:rPr>
              <w:t>June 27,</w:t>
            </w:r>
          </w:p>
        </w:tc>
        <w:tc>
          <w:tcPr>
            <w:tcW w:w="10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July 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90" w:type="dxa"/>
            <w:vAlign w:val="bottom"/>
          </w:tcPr>
          <w:p>
            <w:pPr>
              <w:ind w:left="10"/>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w w:val="96"/>
              </w:rPr>
              <w:t>2005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1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50" w:type="dxa"/>
            <w:vAlign w:val="bottom"/>
            <w:gridSpan w:val="2"/>
            <w:shd w:val="clear" w:color="auto" w:fill="CCEEFF"/>
          </w:tcPr>
          <w:p>
            <w:pPr>
              <w:ind w:lef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Gain on sale of marketable equity securities</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gridSpan w:val="2"/>
          </w:tcPr>
          <w:p>
            <w:pPr>
              <w:ind w:lef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gains (losses), net</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gridSpan w:val="2"/>
          </w:tcPr>
          <w:p>
            <w:pPr>
              <w:ind w:left="1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50" w:type="dxa"/>
            <w:vAlign w:val="bottom"/>
            <w:gridSpan w:val="2"/>
            <w:shd w:val="clear" w:color="auto" w:fill="CCEEFF"/>
          </w:tcPr>
          <w:p>
            <w:pPr>
              <w:ind w:left="1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4584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50165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10 – Contingencies</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April 29, 2005, Kaplan was named as a party in a proposed class action antitrust lawsuit in California. At this early stage, the Company cannot reasonably estimate any possible loss associated with this lawsuit. The Company intends to defend the lawsuit vigorously.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11 – Recent Accounting Pronouncements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2004, Statement of Financial Accounting Standards No. 123R (SFAS 123R), “Shared Based Payment” was issued, which requires companies to record the cost of employee services in exchange for stock options based on the grant-date fair value of the award. Because the Company adopted the fair-value-based method of accounting for Company stock options in 2002, SFAS 123R will have a minimal impact on the Company’s results of operations when adopted in the first quarter of 2006.</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EITF Topic D-108, “Use of the Residual Method to Value Acquired Assets Other than Goodwill,” requires companies that have applied the residual method to value intangible assets to perform an impairment test on those intangible assets using the direct method by the end of the first quarter of 2005. As a result, the Company was required to complete such an impairment test at its cable division in the first quarter of 2005, and the Company has concluded that no impairment charge was required.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20"/>
        <w:spacing w:after="0" w:line="455" w:lineRule="auto"/>
        <w:rPr>
          <w:sz w:val="20"/>
          <w:szCs w:val="20"/>
          <w:color w:val="auto"/>
        </w:rPr>
      </w:pPr>
      <w:r>
        <w:rPr>
          <w:rFonts w:ascii="Arial" w:cs="Arial" w:eastAsia="Arial" w:hAnsi="Arial"/>
          <w:sz w:val="15"/>
          <w:szCs w:val="15"/>
          <w:b w:val="1"/>
          <w:bCs w:val="1"/>
          <w:color w:val="auto"/>
        </w:rPr>
        <w:t xml:space="preserve">Item 2. Management’s Discussion and Analysis of Results of Operations and Financial Condition </w:t>
      </w:r>
      <w:r>
        <w:rPr>
          <w:rFonts w:ascii="Arial" w:cs="Arial" w:eastAsia="Arial" w:hAnsi="Arial"/>
          <w:sz w:val="15"/>
          <w:szCs w:val="15"/>
          <w:color w:val="auto"/>
        </w:rPr>
        <w:t>This analysis should be read in conjunction with the consolidated financial statements and the notes thereto.</w:t>
      </w:r>
    </w:p>
    <w:p>
      <w:pPr>
        <w:ind w:right="78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Net income for the second quarter of 2005 was $78.8 million ($8.16 per share), down from net income of $84.9 million ($8.82 per share) in the second quarter of last year.</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Revenue for the second quarter of 2005 was $897.6 million, up 10% from $818.4 million in 2004. The increase is due mostly to significant revenue growth at the education division. Revenue at the Company’s magazine, cable and newspaper publishing divisions also increased for the second quarter of 2005, while revenues were down at the television broadcasting division.</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Despite the revenue increases, operating income was down 6% for the second quarter of 2005 to $137.7 million, from $146.0 million in 2004. The Company’s earnings were adversely impacted by declines at the newspaper publishing, television broadcasting and cable divisions, and a reduced net pension credit, offset by slightly improved results at the education and magazine businesses.</w:t>
      </w:r>
    </w:p>
    <w:p>
      <w:pPr>
        <w:spacing w:after="0" w:line="12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For the first six months of 2005, net income totaled $145.3 million ($15.04 per share), compared with $144.3 million ($14.98 per share) for the same period of 2004. Results for the first half of 2005 include after-tax non-operating gains from the sales of non-operating land and marketable securities (after-tax impact of $5.4 million, or $0.56 per share).</w:t>
      </w:r>
    </w:p>
    <w:p>
      <w:pPr>
        <w:spacing w:after="0" w:line="12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Revenue for the first half of 2005 was $1,731.5 million, up 10% over revenue of $1,577.4 million for the first six months of 2004. Operating income declined 2% to $245.7 million, from $250.9 million in 2004, due to lower earnings at the Company’s newspaper publishing, magazine publishing, television broadcasting and cable television divisions, and a reduced net pension credit, offset by increased earnings at the Company’s education division.</w:t>
      </w:r>
    </w:p>
    <w:p>
      <w:pPr>
        <w:spacing w:after="0" w:line="9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Company’s operating income for the second quarter and first six months of 2005 includes $9.2 million and $18.3 million of net pension credits, respectively, compared to $9.9 million and $20.0 million for the same periods of 2004. At January 2, 2005, the Company reduced its assumption on the discount rate from</w:t>
      </w:r>
    </w:p>
    <w:p>
      <w:pPr>
        <w:ind w:right="60"/>
        <w:spacing w:after="0" w:line="261" w:lineRule="auto"/>
        <w:rPr>
          <w:sz w:val="20"/>
          <w:szCs w:val="20"/>
          <w:color w:val="auto"/>
        </w:rPr>
      </w:pPr>
      <w:r>
        <w:rPr>
          <w:rFonts w:ascii="Arial" w:cs="Arial" w:eastAsia="Arial" w:hAnsi="Arial"/>
          <w:sz w:val="18"/>
          <w:szCs w:val="18"/>
          <w:color w:val="auto"/>
        </w:rPr>
        <w:t>6.25% to 5.75% and, during the first quarter of 2005, the Company changed to a more current Mortality Table. Overall, the pension credit for 2005 is expected to be down by approximately $5 million compared to 2004.</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 totaled $236.3 million for the second quarter of 2005, an increase of 1% from $234.0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second quarter of 2004; division revenue increased 4% to $469.4 million for the first six months of 2005, from $452.8 million for the first six months of 2004. Division operating income for the second quarter declined 28% to $27.0 million, from $37.7 million in the second quarter of 2004; operating income decreased 16% to $58.4 million for the first six months of 2005, compared to $69.7 million for the first six months of 2004. The second quarter and year-to-date declines in operating income reflect a 6% and 8% increase, respectively, in newsprint expense at The Post, as well as increased pension and payroll costs; in addition, operating results for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2005 include losses from the recent Slate acquisition. The declines were offset by improved results at the Company’s online publishing activities, primarily washingtonpost.com.</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Print advertising revenue at The Washington Post newspaper in the second quarter declined 2% to $146.6 million, from $150.1 million in 2004, and was flat for the first six months of 2005 compared to the prior year, both at $292.2 million. The decline in print advertising revenues for the second quarter of 2005 is primarily due to a large decline in national and supplements advertising, offset by increases in zones, preprints and classified advertising. The flat print advertising revenue for the first six months of 2005 is due to increases in zones and classified advertising, offset by a large decline in national advertising. Classified recruitment advertising revenue rose 4% to $19.7 million in the second quarter of 2005, from $19.0 million in the second quarter of 2004, and was up 7% to $41.3 million in the first half of 2005, compared to $38.6 million in the first half of 2004.</w:t>
      </w:r>
    </w:p>
    <w:p>
      <w:pPr>
        <w:spacing w:after="0" w:line="10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For the first six months of 2005, Post daily and Sunday circulation declined 4.0% and 3.5%, respectively, compared to the same period of the prior year. For the six months ended July 3, 2005, average daily circulation at The Post totaled 692,200 and average Sunday circulation totaled 985,100.</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21% to $18.7 million for the second quarter of 2005, from $15.4 million in the second quarter of 2004; online revenues increased 24% to $35.7 million for the first six months of 2005, from $28.8 million in the first six months of 2004. Local and national online advertising revenues grew 36% and 38% for the second quarter and first six months of 2005, respectively. Online classified advertising revenue on washingtonpost.com increased 16% in the second quarter of 2005 and 20% for the first six months of 2005.</w:t>
      </w:r>
    </w:p>
    <w:p>
      <w:pPr>
        <w:spacing w:after="0" w:line="93"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declined 2% in the second quarter of 2005 to $88.4 million, from $90.2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2004, due primarily to $4.5 million in political advertising in the second quarter of 2004. For the first six months of 2005, revenue increased 1% to $167.7 million, from $166.6 million in 2004, due to significant revenue growth at WJXT, offset by $7.2 million in political advertising in the first half of 2004.</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for the second quarter and first six months of 2005 decreased 6% and 1%, respectively, to $41.1 million and $73.9 million, respectively, from $43.7 million and $75.0 million for the second quarter and first six months of 2004, respectively. The operating income declines are primarily related to the absence of significant political revenue in 2005, as discussed above.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Magazine Publishing Division</w:t>
      </w:r>
      <w:r>
        <w:rPr>
          <w:rFonts w:ascii="Arial" w:cs="Arial" w:eastAsia="Arial" w:hAnsi="Arial"/>
          <w:sz w:val="16"/>
          <w:szCs w:val="16"/>
          <w:color w:val="auto"/>
        </w:rPr>
        <w:t>. Revenue for the magazine publishing division totaled $97.9 million for the second quarter of 2005, an 8% increase from $91.0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second quarter of 2004; division revenue totaled $167.8 million for the first six months of 2005, a 4% decrease from $175.6 million for the first six months of 2004. The revenue increase for the second quarter was primarily due to the timing of the primary trade show of PostNewsweek Tech Media, which was held in the second quarter of 2005 versus the first quarter of 2004. While advertising revenue comparisons at Newsweek improved in the second quarter of 2005 from the first quarter of 2005, advertising revenue at Newsweek was down 2% in the second quarter of 2005 due to fewer ad pages at the domestic edition, despite an additional domestic special issue in the second quarter of 2005. The decline in revenues for the first six months of 2005 reflects the weak domestic and international advertising revenue environment at Newsweek, particularly in the first quarter of 2005; overall, Newsweek advertising revenues are down 11% for the first six months of 2005.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Operating income totaled $20.0 million for the second quarter of 2005, a 13% increase from $17.6 million in the second quarter of 2004. The increase in operating income is primarily due to the timing of the primary trade show of PostNewsweek Tech Media in the second quarter of 2005 versus the first quarter of 2004, offset by a reduction in operating income at Newsweek due to lower advertising revenues and modest cost increases. Operating income totaled $14.8 million for the first six months of 2005, down 39% from $24.5 million for the first six months of 2004, due primarily to revenue reductions at Newsweek discussed above.</w:t>
      </w:r>
    </w:p>
    <w:p>
      <w:pPr>
        <w:spacing w:after="0" w:line="123"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Cable Television Division</w:t>
      </w:r>
      <w:r>
        <w:rPr>
          <w:rFonts w:ascii="Arial" w:cs="Arial" w:eastAsia="Arial" w:hAnsi="Arial"/>
          <w:sz w:val="16"/>
          <w:szCs w:val="16"/>
          <w:color w:val="auto"/>
        </w:rPr>
        <w:t>. Cable division revenue of $129.1 million for the second quarter of 2005 represents a 2% increase over 2004 second quarter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of $126.4 million; for the first six months of 2005, revenue increased 3% to $255.5 million, from $247.4 million in 2004. The 2005 revenue increase is due to continued growth in the division’s cable modem revenues. The Company does not plan to implement an overall basic rate increase in 2005.</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Cable division operating income for the second quarter of 2005 decreased 6% to $23.6 million, from $25.2 million for the second quarter of 2004; cable division operating income for the first six months of 2005 declined 2% to $47.0 million, from $47.8 million for the first six months of 2004. The decrease in operating income is due mostly to higher depreciation, programming and customer service costs, offset by the division’s revenue growth.</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June 30, 2005, the cable division had approximately 219,900 digital cable subscribers (compared to 220,400 at the end of June 2004 and 219,200 at the end of 2004), representing a 31% penetration of the subscriber base. At June 30, 2005, the cable division had 209,600 CableONE.net service subscribers, compared to 152,300 at the end of June 2004. Both digital and cable modem services are now offered in virtually all of the cable division’s markets. At June 30, 2005, the cable division had 702,800 basic subscribers, compared to 711,900 at the end of June 2004 and 709,100 at the end of December 2004. The decrease is due to continued competition from DBS providers.</w:t>
      </w:r>
    </w:p>
    <w:p>
      <w:pPr>
        <w:spacing w:after="0" w:line="12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At June 30, 2005, Revenue Generating Units (the sum of basic video, digital video and cable modem subscribers) totaled 1,132,300, compared to 1,084,600 as of June 30, 2004. The increase is due to growth in high-speed data customers. RGUs include about 7,000 subscribers who receive free basic cable service, primarily local governments, schools and other organizations as required by the various franchise agreements.</w:t>
      </w:r>
    </w:p>
    <w:p>
      <w:pPr>
        <w:spacing w:after="0" w:line="9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Below are details of Cable division capital expenditures for the six months of 2005 and 2004 as defined by the NCTA Standard Reporting Categories (in millions):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3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Commercial</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3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Line Extensions</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3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Support Capital</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Education Division</w:t>
      </w:r>
      <w:r>
        <w:rPr>
          <w:rFonts w:ascii="Arial" w:cs="Arial" w:eastAsia="Arial" w:hAnsi="Arial"/>
          <w:sz w:val="18"/>
          <w:szCs w:val="18"/>
          <w:color w:val="auto"/>
        </w:rPr>
        <w:t>. Education division revenue totaled $345.8 million for the second quarter of 2005, a 25% increase over revenue of $276.7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2004. Excluding revenue from acquired businesses, primarily in the higher education division and the professional training schools that are part of supplemental education, education division revenue increased 19% for the second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quarter of 2005. Kaplan reported operating income for the second quarter of 2005 of $34.1 million, an increase of 16% from $29.4 million in the second quarter of 2004. For the first six months of 2005, education division revenue totaled $671.2 million, a 25% increase over revenue of $535.0 million for the same period of 2004. Excluding revenue from acquired businesses, primarily in the higher education division and the professional training schools that are part of supplemental education, education division revenue increased 21% for the first six months of 2005. Kaplan reported operating income of $66.8 million for the first six months of 2005, an increase of 33% from $50.1 million for the first six months of 2004. A summary of operating results for the second quarter and the first six months of 2005 compared to 2004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9"/>
              </w:rPr>
              <w:t>Second Quarter</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YTD</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0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8"/>
                <w:szCs w:val="18"/>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172,580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143,410</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329,044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279,010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133,286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342,119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255,957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345,780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276,696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671,163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534,967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29,535</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25,102</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53,900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45,694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23,343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(10,248)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(7,213)</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(22,034)</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(15,190)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(11,789)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(12,110)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(23,939)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-1304925</wp:posOffset>
            </wp:positionV>
            <wp:extent cx="316865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6865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-172720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-172720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-172720</wp:posOffset>
            </wp:positionV>
            <wp:extent cx="274828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4828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58"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In April 2005, Kaplan Professional completed the acquisition of BISYS Education Services, a provider of licensing education and compliance solutions for financial services institutions and professionals. Excluding revenue from acquired businesses, supplemental education revenues grew by 13% and 14% for the second quarter and first six months of 2005, respectively. The improvement in supplemental education results for the first six months of 2005 is to due to growth at Kaplan’s test preparation business (particularly the K12 business), the professional real estate courses and The Financial Training Company accountancy programs, as well as the BISYS acquisition. Revenues at Score! were flat compared to the first half of 2004, and there was a drop in operating income.</w:t>
      </w:r>
    </w:p>
    <w:p>
      <w:pPr>
        <w:spacing w:after="0" w:line="10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Excluding revenue from acquired businesses, higher education revenues grew by 25% and 29% in the second quarter and first six months of 2005, respectively. Higher education enrollments have increased by 23% at June 30, 2005 compared to enrollments at June 30, 2004, with new enrollments in online programs outpacing those in the fixed-facility colleges. However, the rate of enrollment growth has slowed for both programs. Quarterly revenue and operating income comparisons for the online business are not as meaningful as the year-to-date comparisons due to the number and timing of course offerings; in 2005, more courses were offered in the first quarter and fewer in the second quarter as compared to 2004. Increased operating costs associated with expansion activities at both online and the fixed-facility operations, including new campus openings, expanded program offerings, and higher facility and advertising expenses, also contributed significantly to the second quarter decline in operating income. In May 2005, Kaplan acquired Singapore-based Asia Pacific Management Institute (APMI), a private education provider for undergraduate and postgraduate students in Asia.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Corporate overhead represents unallocated expenses of Kaplan, Inc.’s corporate office, which rose in the first six months of 2005 primarily due to increased compensation costs associated with various incentive plans, including one that replaced the Kaplan stock option plan for certain employees.</w:t>
      </w:r>
    </w:p>
    <w:p>
      <w:pPr>
        <w:spacing w:after="0" w:line="7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Other expense comprises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second quarter of 2005 and 2004, the Company recorded expense of $3.0 million and $8.0 million, respectively, and $10.0 million and $17.8 million for the first six months of 2005 and 2004, respectively, related to this plan.</w:t>
      </w:r>
    </w:p>
    <w:p>
      <w:pPr>
        <w:spacing w:after="0" w:line="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Equity in Losses of Affiliates</w:t>
      </w:r>
      <w:r>
        <w:rPr>
          <w:rFonts w:ascii="Arial" w:cs="Arial" w:eastAsia="Arial" w:hAnsi="Arial"/>
          <w:sz w:val="16"/>
          <w:szCs w:val="16"/>
          <w:color w:val="auto"/>
        </w:rPr>
        <w:t>. The Company’s equity in earnings of affiliates for the second quarter of 2005 was $0.3 million, compared to losses of $0.4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second quarter of 2004. For the first six months of 2005, the Company’s equity in losses of affiliates totaled $0.2 million, compared to losses of $2.1 million for the same period of 2004. The Company’s affiliate investments consist of a 49% interest in BrassRing LLC and a 49% interest in Bowater Mersey Paper Company Limited. The reduction in affiliate losses for 2005 is primarily attributable to improved operating results at Bowater.</w:t>
      </w:r>
    </w:p>
    <w:p>
      <w:pPr>
        <w:spacing w:after="0" w:line="9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Other Non-Operating Income</w:t>
      </w:r>
      <w:r>
        <w:rPr>
          <w:rFonts w:ascii="Arial" w:cs="Arial" w:eastAsia="Arial" w:hAnsi="Arial"/>
          <w:sz w:val="18"/>
          <w:szCs w:val="18"/>
          <w:color w:val="auto"/>
        </w:rPr>
        <w:t>. The Company recorded other non-operating expense, net, of $3.6 million for the second quarter of 2005, compared to $0.1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other non-operating expense, net, in the second quarter of 2004. The second quarter 2005 non-operating expense, net, includes $2.8 million in foreign currency losses.</w:t>
      </w:r>
    </w:p>
    <w:p>
      <w:pPr>
        <w:spacing w:after="0" w:line="12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Company recorded other non-operating income, net, of $3.5 million for the first six months of 2005, compared to other non-operating income, net, of $0.7 million for the same period of the prior year. The 2005 non-operating income is comprised of pre-tax gains of $8.7 million related to the sales of non-operating land and marketable securities, offset by foreign currency losses of $4.6 million and other non-operating items.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twenty-six weeks ended July 3, 2005 and June 27, 2004, follows (in millions):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3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Gain on sale of marketable equity securities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35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gains (losses), net</w:t>
            </w:r>
          </w:p>
        </w:tc>
        <w:tc>
          <w:tcPr>
            <w:tcW w:w="3580" w:type="dxa"/>
            <w:vAlign w:val="bottom"/>
            <w:gridSpan w:val="4"/>
          </w:tcPr>
          <w:p>
            <w:pPr>
              <w:jc w:val="right"/>
              <w:ind w:right="200"/>
              <w:spacing w:after="0"/>
              <w:rPr>
                <w:sz w:val="20"/>
                <w:szCs w:val="20"/>
                <w:color w:val="auto"/>
              </w:rPr>
            </w:pPr>
            <w:r>
              <w:rPr>
                <w:rFonts w:ascii="Arial" w:cs="Arial" w:eastAsia="Arial" w:hAnsi="Arial"/>
                <w:sz w:val="18"/>
                <w:szCs w:val="18"/>
                <w:color w:val="auto"/>
              </w:rPr>
              <w:t>(0.6)</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2698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19" w:lineRule="exact"/>
        <w:rPr>
          <w:sz w:val="20"/>
          <w:szCs w:val="20"/>
          <w:color w:val="auto"/>
        </w:rPr>
      </w:pPr>
    </w:p>
    <w:p>
      <w:pPr>
        <w:jc w:val="both"/>
        <w:ind w:right="70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$5.9 million and $11.8 million for the second quarter and first six months of 2005,</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$6.4 million and $12.9 million for the same periods of 2004. At July 3, 2005, the Company had $446.0 million in borrowings outstanding at an average interest rate of 5.4%.</w:t>
      </w:r>
    </w:p>
    <w:p>
      <w:pPr>
        <w:spacing w:after="0" w:line="119" w:lineRule="exact"/>
        <w:rPr>
          <w:sz w:val="20"/>
          <w:szCs w:val="20"/>
          <w:color w:val="auto"/>
        </w:rPr>
      </w:pPr>
    </w:p>
    <w:p>
      <w:pPr>
        <w:jc w:val="center"/>
        <w:ind w:right="120"/>
        <w:spacing w:after="0" w:line="447" w:lineRule="auto"/>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second quarter and first six months of 2005 was 38.7%, compared to 39.0% for both periods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second quarter and first six months of 2005 was based on 9,618,000 and 9,617,000</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shares outstanding, respectively, compared to 9,596,000 and 9,588,000, respectively, for the second quarter and first six months of 2004. The Company made no significant repurchases of its stock during the first half of 2005.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7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In the second quarter of 2005, Kaplan acquired five businesses in their higher education and professional divisions totaling $83.1 million, financed</w:t>
      </w:r>
      <w:r>
        <w:rPr>
          <w:rFonts w:ascii="Arial" w:cs="Arial" w:eastAsia="Arial" w:hAnsi="Arial"/>
          <w:sz w:val="16"/>
          <w:szCs w:val="16"/>
          <w:b w:val="1"/>
          <w:bCs w:val="1"/>
          <w:color w:val="auto"/>
        </w:rPr>
        <w:t xml:space="preserve"> </w:t>
      </w:r>
      <w:r>
        <w:rPr>
          <w:rFonts w:ascii="Arial" w:cs="Arial" w:eastAsia="Arial" w:hAnsi="Arial"/>
          <w:sz w:val="16"/>
          <w:szCs w:val="16"/>
          <w:color w:val="auto"/>
        </w:rPr>
        <w:t>with cash. These acquisitions included BISYS Education Services, a provider of licensing education and compliance solutions for financial services institutions and professionals as well as Asia Pacific Management Institute, a private education provider for undergraduate and postgraduate students in Asia. In the first quarter of 2005, the Company acquired Slate, an online magazine and Kaplan acquired two businesses in their higher education division; these acquisitions totaled $26.5 million. Most of the purchase price for these acquisitions has been allocated to goodwill and other intangibles on a preliminary basis.</w:t>
      </w:r>
    </w:p>
    <w:p>
      <w:pPr>
        <w:spacing w:after="0" w:line="9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2005, the Company’s capital expenditures totaled $96.8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$225 million to $250 million in 2005.</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Throughout the first six months of 2005, the Company’s borrowings, net of repayments, decreased by $38.1 million, with the decrease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cash flows from operations, offset in part by borrowings for acquisitions.</w:t>
      </w:r>
    </w:p>
    <w:p>
      <w:pPr>
        <w:spacing w:after="0" w:line="1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July 3, 2005, the Company had $446.0 million in total debt outstanding, which comprised $15.8 million of commercial paper borrowings, $399.1 million of 5.5% unsecured notes due February 15, 2009, and $31.1 million in other debt.</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2005 and 2004, the Company had average borrowings outstanding of approximately $447.3 million and $529.9 million, respectively, at average annual interest rates of approximately 5.4% and 4.8%, respectively. During the second quarter of 2005 and 2004, the Company incurred net interest expense on borrowings of $5.9 million and $6.4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six months of 2005 and 2004 the Company had average borrowings outstanding of approximately $448.2 million and $553.3 million, respectively, at average annual interest rates of approximately 5.4% and 4.5%, respectively. During the first six months of 2005 and 2004, the Company incurred net interest expense on borrowings of $11.8 million and $12.9 million, respectively.</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July 3, 2005 and January 2, 2005, the Company has working capital of $54.9 million and $66.2 million, respectively. The Company maintains working capital levels consistent with its underlying business requirements and consistently generates cash from operations in excess of required interest or principal payments. The Company has classified all of its commercial paper borrowing obligations as a current liability at July 3, 2005 and January 2, 2005 as the Company intends to pay down commercial paper borrowings from operating cash flow. However, the Company continues to maintain the ability to refinance such obligations on a long-term basis through new debt issuance and/or its revolving credit facility agreements.</w:t>
      </w:r>
    </w:p>
    <w:p>
      <w:pPr>
        <w:spacing w:after="0" w:line="1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noted above, the Company’s borrowings have declined by $38.1 million, to $446.0 million, as compared to borrowings of $484.1 million at January 2, 2005. In the first half of 2005, the Company executed a building lease amendment and made other commitments aggregating about $37.7 million from 2005 through 2015. There were no other significant changes to the Company’s contractual obligations or other commercial commitments from those disclosed in the Company’s Annual Report on Form 10-K for the year ended January 2,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2,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July 3, 2005.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July 3, 2005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At the Company’s May 12, 2005 Annual Meeting of Stockholders, the stockholders elected each of the nominees named in the Company’s proxy statement dated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25, 2005 to its Board of Directors. The voting results are set forth below:</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Class A Directors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80" w:type="dxa"/>
            <w:vAlign w:val="bottom"/>
          </w:tcPr>
          <w:p>
            <w:pPr>
              <w:spacing w:after="0"/>
              <w:rPr>
                <w:sz w:val="15"/>
                <w:szCs w:val="15"/>
                <w:color w:val="auto"/>
              </w:rPr>
            </w:pPr>
          </w:p>
        </w:tc>
        <w:tc>
          <w:tcPr>
            <w:tcW w:w="2280" w:type="dxa"/>
            <w:vAlign w:val="bottom"/>
          </w:tcPr>
          <w:p>
            <w:pPr>
              <w:ind w:left="680"/>
              <w:spacing w:after="0"/>
              <w:rPr>
                <w:sz w:val="20"/>
                <w:szCs w:val="20"/>
                <w:color w:val="auto"/>
              </w:rPr>
            </w:pPr>
            <w:r>
              <w:rPr>
                <w:rFonts w:ascii="Arial" w:cs="Arial" w:eastAsia="Arial" w:hAnsi="Arial"/>
                <w:sz w:val="14"/>
                <w:szCs w:val="14"/>
                <w:b w:val="1"/>
                <w:bCs w:val="1"/>
                <w:color w:val="auto"/>
              </w:rPr>
              <w:t>Votes Withheld</w:t>
            </w:r>
          </w:p>
        </w:tc>
        <w:tc>
          <w:tcPr>
            <w:tcW w:w="8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95"/>
        </w:trPr>
        <w:tc>
          <w:tcPr>
            <w:tcW w:w="6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309"/>
        </w:trPr>
        <w:tc>
          <w:tcPr>
            <w:tcW w:w="68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Warren E. Buffett</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1,722,250</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216"/>
        </w:trPr>
        <w:tc>
          <w:tcPr>
            <w:tcW w:w="6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1,722,250</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216"/>
        </w:trPr>
        <w:tc>
          <w:tcPr>
            <w:tcW w:w="6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Melinda Gates</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1,722,250</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216"/>
        </w:trPr>
        <w:tc>
          <w:tcPr>
            <w:tcW w:w="6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George J. Gillespie, III</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1,722,250</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216"/>
        </w:trPr>
        <w:tc>
          <w:tcPr>
            <w:tcW w:w="6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1,722,250</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216"/>
        </w:trPr>
        <w:tc>
          <w:tcPr>
            <w:tcW w:w="6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Richard D. Simmons</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1,722,250</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222"/>
        </w:trPr>
        <w:tc>
          <w:tcPr>
            <w:tcW w:w="68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George W. Wilson</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1,722,250</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326"/>
        </w:trPr>
        <w:tc>
          <w:tcPr>
            <w:tcW w:w="3000" w:type="dxa"/>
            <w:vAlign w:val="bottom"/>
            <w:gridSpan w:val="3"/>
          </w:tcPr>
          <w:p>
            <w:pPr>
              <w:spacing w:after="0"/>
              <w:rPr>
                <w:sz w:val="20"/>
                <w:szCs w:val="20"/>
                <w:color w:val="auto"/>
              </w:rPr>
            </w:pPr>
            <w:r>
              <w:rPr>
                <w:rFonts w:ascii="Arial" w:cs="Arial" w:eastAsia="Arial" w:hAnsi="Arial"/>
                <w:sz w:val="18"/>
                <w:szCs w:val="18"/>
                <w:color w:val="auto"/>
              </w:rPr>
              <w:t>Class B Directors</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1"/>
        </w:trPr>
        <w:tc>
          <w:tcPr>
            <w:tcW w:w="6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1"/>
              </w:rPr>
              <w:t>Nominee</w:t>
            </w:r>
          </w:p>
        </w:tc>
        <w:tc>
          <w:tcPr>
            <w:tcW w:w="17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80" w:type="dxa"/>
            <w:vAlign w:val="bottom"/>
          </w:tcPr>
          <w:p>
            <w:pPr>
              <w:spacing w:after="0"/>
              <w:rPr>
                <w:sz w:val="24"/>
                <w:szCs w:val="24"/>
                <w:color w:val="auto"/>
              </w:rPr>
            </w:pPr>
          </w:p>
        </w:tc>
        <w:tc>
          <w:tcPr>
            <w:tcW w:w="2280" w:type="dxa"/>
            <w:vAlign w:val="bottom"/>
          </w:tcPr>
          <w:p>
            <w:pPr>
              <w:ind w:left="680"/>
              <w:spacing w:after="0"/>
              <w:rPr>
                <w:sz w:val="20"/>
                <w:szCs w:val="20"/>
                <w:color w:val="auto"/>
              </w:rPr>
            </w:pPr>
            <w:r>
              <w:rPr>
                <w:rFonts w:ascii="Arial" w:cs="Arial" w:eastAsia="Arial" w:hAnsi="Arial"/>
                <w:sz w:val="14"/>
                <w:szCs w:val="14"/>
                <w:b w:val="1"/>
                <w:bCs w:val="1"/>
                <w:color w:val="auto"/>
              </w:rPr>
              <w:t>Votes Withheld</w:t>
            </w:r>
          </w:p>
        </w:tc>
        <w:tc>
          <w:tcPr>
            <w:tcW w:w="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95"/>
        </w:trPr>
        <w:tc>
          <w:tcPr>
            <w:tcW w:w="6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309"/>
        </w:trPr>
        <w:tc>
          <w:tcPr>
            <w:tcW w:w="68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John L. Dotson Jr.</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7,072,663</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83"/>
              </w:rPr>
              <w:t>52,118</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216"/>
        </w:trPr>
        <w:tc>
          <w:tcPr>
            <w:tcW w:w="6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Ronald L. Olson</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7,031,197</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0"/>
              </w:rPr>
              <w:t>93,584</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r>
        <w:trPr>
          <w:trHeight w:val="222"/>
        </w:trPr>
        <w:tc>
          <w:tcPr>
            <w:tcW w:w="68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Alice M. Rivlin</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7,039,374</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0"/>
              </w:rPr>
              <w:t>85,407</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exhibits to this report: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4"/>
          <w:szCs w:val="14"/>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60325</wp:posOffset>
            </wp:positionV>
            <wp:extent cx="8750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96" w:lineRule="exact"/>
        <w:rPr>
          <w:sz w:val="20"/>
          <w:szCs w:val="20"/>
          <w:color w:val="auto"/>
        </w:rPr>
      </w:pPr>
    </w:p>
    <w:p>
      <w:pPr>
        <w:ind w:left="1080" w:right="440" w:hanging="499"/>
        <w:spacing w:after="0" w:line="268" w:lineRule="auto"/>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dated November 13, 2003 (incorporated by reference to Exhibit 3.1 to the Company’s Annual Report on Form 10-K for the fiscal year ended December 28, 2003).</w:t>
      </w:r>
    </w:p>
    <w:p>
      <w:pPr>
        <w:spacing w:after="0" w:line="78" w:lineRule="exact"/>
        <w:rPr>
          <w:sz w:val="20"/>
          <w:szCs w:val="20"/>
          <w:color w:val="auto"/>
        </w:rPr>
      </w:pPr>
    </w:p>
    <w:p>
      <w:pPr>
        <w:ind w:left="1080" w:right="320" w:hanging="499"/>
        <w:spacing w:after="0" w:line="268" w:lineRule="auto"/>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Designation for the Company’s Series A Preferred Stock dated September 22, 2003 (incorporated by reference to Exhibit 3.2 to Amendment No. 1 to the Company’s Current Report on Form 8-K dated September 22, 2003).</w:t>
      </w:r>
    </w:p>
    <w:p>
      <w:pPr>
        <w:spacing w:after="0" w:line="78" w:lineRule="exact"/>
        <w:rPr>
          <w:sz w:val="20"/>
          <w:szCs w:val="20"/>
          <w:color w:val="auto"/>
        </w:rPr>
      </w:pPr>
    </w:p>
    <w:p>
      <w:pPr>
        <w:ind w:left="1080" w:right="440" w:hanging="499"/>
        <w:spacing w:after="0" w:line="268" w:lineRule="auto"/>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By-Laws of the Company as amended and restated through September 22, 2003 (incorporated by reference to Exhibit 3.4 to the Company’s Current Report on Form 8-K dated September 22, 2003).</w:t>
      </w:r>
    </w:p>
    <w:p>
      <w:pPr>
        <w:spacing w:after="0" w:line="78" w:lineRule="exact"/>
        <w:rPr>
          <w:sz w:val="20"/>
          <w:szCs w:val="20"/>
          <w:color w:val="auto"/>
        </w:rPr>
      </w:pPr>
    </w:p>
    <w:p>
      <w:pPr>
        <w:ind w:left="1080" w:right="420" w:hanging="499"/>
        <w:spacing w:after="0" w:line="259" w:lineRule="auto"/>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060" w:right="820" w:hanging="472"/>
        <w:spacing w:after="0" w:line="268" w:lineRule="auto"/>
        <w:tabs>
          <w:tab w:leader="none" w:pos="1040" w:val="left"/>
        </w:tabs>
        <w:rPr>
          <w:sz w:val="20"/>
          <w:szCs w:val="20"/>
          <w:color w:val="auto"/>
        </w:rPr>
      </w:pPr>
      <w:r>
        <w:rPr>
          <w:rFonts w:ascii="Arial" w:cs="Arial" w:eastAsia="Arial" w:hAnsi="Arial"/>
          <w:sz w:val="18"/>
          <w:szCs w:val="18"/>
          <w:color w:val="auto"/>
        </w:rPr>
        <w:t>4.2</w:t>
        <w:tab/>
        <w:t>Indenture dated as of February 17, 1999, between the Company and The First National Bank of Chicago, as Trustee (incorporated by reference to the Company’s Annual Report on Form 10-K for the fiscal year ended January 3, 1999).</w:t>
      </w:r>
    </w:p>
    <w:p>
      <w:pPr>
        <w:spacing w:after="0" w:line="78" w:lineRule="exact"/>
        <w:rPr>
          <w:sz w:val="20"/>
          <w:szCs w:val="20"/>
          <w:color w:val="auto"/>
        </w:rPr>
      </w:pPr>
    </w:p>
    <w:p>
      <w:pPr>
        <w:ind w:left="1060" w:right="220" w:hanging="472"/>
        <w:spacing w:after="0" w:line="256" w:lineRule="auto"/>
        <w:tabs>
          <w:tab w:leader="none" w:pos="1040" w:val="left"/>
        </w:tabs>
        <w:rPr>
          <w:sz w:val="20"/>
          <w:szCs w:val="20"/>
          <w:color w:val="auto"/>
        </w:rPr>
      </w:pPr>
      <w:r>
        <w:rPr>
          <w:rFonts w:ascii="Arial" w:cs="Arial" w:eastAsia="Arial" w:hAnsi="Arial"/>
          <w:sz w:val="18"/>
          <w:szCs w:val="18"/>
          <w:color w:val="auto"/>
        </w:rPr>
        <w:t>4.3</w:t>
        <w:tab/>
        <w:t>First Supplemental Indenture dated as of September 22, 2003, among WP Company LLC, the Company and Bank One, NA, as successor to The First National Bank of Chicago, as trustee, to the Indenture dated as of February 17, 1999, between The Washington Post Company and The First National Bank of Chicago, as trustee (incorporated by reference to Exhibit 4.1 to the Company’s Current Report on Form 8-K dated September 22, 2003).</w:t>
      </w:r>
    </w:p>
    <w:p>
      <w:pPr>
        <w:spacing w:after="0" w:line="89" w:lineRule="exact"/>
        <w:rPr>
          <w:sz w:val="20"/>
          <w:szCs w:val="20"/>
          <w:color w:val="auto"/>
        </w:rPr>
      </w:pPr>
    </w:p>
    <w:p>
      <w:pPr>
        <w:ind w:left="1060" w:right="440" w:hanging="472"/>
        <w:spacing w:after="0" w:line="259" w:lineRule="auto"/>
        <w:tabs>
          <w:tab w:leader="none" w:pos="1040" w:val="left"/>
        </w:tabs>
        <w:rPr>
          <w:sz w:val="20"/>
          <w:szCs w:val="20"/>
          <w:color w:val="auto"/>
        </w:rPr>
      </w:pPr>
      <w:r>
        <w:rPr>
          <w:rFonts w:ascii="Arial" w:cs="Arial" w:eastAsia="Arial" w:hAnsi="Arial"/>
          <w:sz w:val="18"/>
          <w:szCs w:val="18"/>
          <w:color w:val="auto"/>
        </w:rPr>
        <w:t>4.4</w:t>
        <w:tab/>
        <w:t>364-Day Credit Agreement dated as of August 11, 2004, among the Company, Citibank, N.A., JP Morgan Chase Bank, Wachovia Bank, N.A., SunTrust Bank, The Bank of New York and Riggs Bank, N.A. (incorporated by reference to Exhibit 4.4 to the Company’s Quarterly Report on Form 10-Q for the quarter ended September 26, 2004).</w:t>
      </w:r>
    </w:p>
    <w:p>
      <w:pPr>
        <w:spacing w:after="0" w:line="86" w:lineRule="exact"/>
        <w:rPr>
          <w:sz w:val="20"/>
          <w:szCs w:val="20"/>
          <w:color w:val="auto"/>
        </w:rPr>
      </w:pPr>
    </w:p>
    <w:p>
      <w:pPr>
        <w:ind w:left="1060" w:right="220" w:hanging="472"/>
        <w:spacing w:after="0" w:line="259" w:lineRule="auto"/>
        <w:tabs>
          <w:tab w:leader="none" w:pos="1040" w:val="left"/>
        </w:tabs>
        <w:rPr>
          <w:sz w:val="20"/>
          <w:szCs w:val="20"/>
          <w:color w:val="auto"/>
        </w:rPr>
      </w:pPr>
      <w:r>
        <w:rPr>
          <w:rFonts w:ascii="Arial" w:cs="Arial" w:eastAsia="Arial" w:hAnsi="Arial"/>
          <w:sz w:val="18"/>
          <w:szCs w:val="18"/>
          <w:color w:val="auto"/>
        </w:rPr>
        <w:t>4.5</w:t>
        <w:tab/>
        <w:t>5-Year Credit Agreement dated as of August 14, 2002, among the Company, Citibank, N.A., Wachovia Bank, N.A., SunTrust Bank, Bank One, N.A., JPMorgan Chase Bank, The Bank of New York and Riggs Bank, N.A. (incorporated by reference to Exhibit 4.4 to the Company’s Quarterly Report on Form 10-Q for the quarter ended September 29, 2002).</w:t>
      </w:r>
    </w:p>
    <w:p>
      <w:pPr>
        <w:spacing w:after="0" w:line="86" w:lineRule="exact"/>
        <w:rPr>
          <w:sz w:val="20"/>
          <w:szCs w:val="20"/>
          <w:color w:val="auto"/>
        </w:rPr>
      </w:pPr>
    </w:p>
    <w:p>
      <w:pPr>
        <w:ind w:left="1060" w:right="580" w:hanging="472"/>
        <w:spacing w:after="0" w:line="259" w:lineRule="auto"/>
        <w:tabs>
          <w:tab w:leader="none" w:pos="1040" w:val="left"/>
        </w:tabs>
        <w:rPr>
          <w:sz w:val="20"/>
          <w:szCs w:val="20"/>
          <w:color w:val="auto"/>
        </w:rPr>
      </w:pPr>
      <w:r>
        <w:rPr>
          <w:rFonts w:ascii="Arial" w:cs="Arial" w:eastAsia="Arial" w:hAnsi="Arial"/>
          <w:sz w:val="18"/>
          <w:szCs w:val="18"/>
          <w:color w:val="auto"/>
        </w:rPr>
        <w:t>4.6</w:t>
        <w:tab/>
        <w:t>Consent and Amendment No. 1 dated as of August 13, 2003, to the 5-Year Credit Agreement dated as of August 14, 2002, among the Company, Citibank, N.A. and the other lenders that are parties to such Credit Agreement (incorporated by reference to Exhibit 4.3 to the Company’s Current Report on Form 8-K dated September 22, 2003).</w:t>
      </w:r>
    </w:p>
    <w:p>
      <w:pPr>
        <w:spacing w:after="0" w:line="86"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Calculation of earnings per share of common stock.</w:t>
      </w:r>
    </w:p>
    <w:p>
      <w:pPr>
        <w:spacing w:after="0" w:line="117"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the Chief Executive Officer.</w:t>
      </w:r>
    </w:p>
    <w:p>
      <w:pPr>
        <w:spacing w:after="0" w:line="117"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the Chief Financial Officer.</w:t>
      </w:r>
    </w:p>
    <w:p>
      <w:pPr>
        <w:spacing w:after="0" w:line="117"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the Chief Executive Officer.</w:t>
      </w:r>
    </w:p>
    <w:p>
      <w:pPr>
        <w:spacing w:after="0" w:line="117"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the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 The following reports on Form 8-K were filed during the quarter for which this report is filed:</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Current Report on Form 8-K dated May 6, 2005, reporting under Item 2, the Company’s first quarter earnings and including as an exhibit the Company’s press release dated May 6, 2005.</w:t>
      </w:r>
    </w:p>
    <w:p>
      <w:pPr>
        <w:spacing w:after="0" w:line="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Current Report on Form 8-K dated May 12, 2005, reporting under Item 1, The Washington Post Company Deferred Compensation Plan Amended and Restated Effective May 12, 2005.</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Date: August 8, 2005</w:t>
      </w:r>
      <w:r>
        <w:rPr>
          <w:sz w:val="20"/>
          <w:szCs w:val="20"/>
          <w:color w:val="auto"/>
        </w:rPr>
        <w:tab/>
      </w: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 August 8, 2005</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9"/>
              </w:rPr>
              <w:t>Exhibit 11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100" w:type="dxa"/>
            <w:vAlign w:val="bottom"/>
          </w:tcPr>
          <w:p>
            <w:pPr>
              <w:jc w:val="center"/>
              <w:ind w:left="3192"/>
              <w:spacing w:after="0"/>
              <w:rPr>
                <w:sz w:val="20"/>
                <w:szCs w:val="20"/>
                <w:color w:val="auto"/>
              </w:rPr>
            </w:pPr>
            <w:r>
              <w:rPr>
                <w:rFonts w:ascii="Arial" w:cs="Arial" w:eastAsia="Arial" w:hAnsi="Arial"/>
                <w:sz w:val="18"/>
                <w:szCs w:val="18"/>
                <w:color w:val="auto"/>
                <w:w w:val="93"/>
              </w:rPr>
              <w:t>THE WASHINGTON POST COMPANY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100" w:type="dxa"/>
            <w:vAlign w:val="bottom"/>
          </w:tcPr>
          <w:p>
            <w:pPr>
              <w:jc w:val="center"/>
              <w:ind w:left="3192"/>
              <w:spacing w:after="0"/>
              <w:rPr>
                <w:sz w:val="20"/>
                <w:szCs w:val="20"/>
                <w:color w:val="auto"/>
              </w:rPr>
            </w:pPr>
            <w:r>
              <w:rPr>
                <w:rFonts w:ascii="Arial" w:cs="Arial" w:eastAsia="Arial" w:hAnsi="Arial"/>
                <w:sz w:val="18"/>
                <w:szCs w:val="18"/>
                <w:color w:val="auto"/>
                <w:w w:val="94"/>
              </w:rPr>
              <w:t>CALCULATION OF EARNINGS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212"/>
              <w:spacing w:after="0"/>
              <w:rPr>
                <w:sz w:val="20"/>
                <w:szCs w:val="20"/>
                <w:color w:val="auto"/>
              </w:rPr>
            </w:pPr>
            <w:r>
              <w:rPr>
                <w:rFonts w:ascii="Arial" w:cs="Arial" w:eastAsia="Arial" w:hAnsi="Arial"/>
                <w:sz w:val="18"/>
                <w:szCs w:val="18"/>
                <w:color w:val="auto"/>
                <w:w w:val="92"/>
              </w:rPr>
              <w:t>PER SHARE OF COMMON STOCK</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jc w:val="center"/>
              <w:ind w:left="3212"/>
              <w:spacing w:after="0"/>
              <w:rPr>
                <w:sz w:val="20"/>
                <w:szCs w:val="20"/>
                <w:color w:val="auto"/>
              </w:rPr>
            </w:pPr>
            <w:r>
              <w:rPr>
                <w:rFonts w:ascii="Arial" w:cs="Arial" w:eastAsia="Arial" w:hAnsi="Arial"/>
                <w:sz w:val="18"/>
                <w:szCs w:val="18"/>
                <w:color w:val="auto"/>
                <w:w w:val="86"/>
              </w:rPr>
              <w:t>(In thousands of shares)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Thirteen Weeks Ended</w:t>
            </w:r>
          </w:p>
        </w:tc>
        <w:tc>
          <w:tcPr>
            <w:tcW w:w="220" w:type="dxa"/>
            <w:vAlign w:val="bottom"/>
          </w:tcPr>
          <w:p>
            <w:pPr>
              <w:spacing w:after="0"/>
              <w:rPr>
                <w:sz w:val="24"/>
                <w:szCs w:val="24"/>
                <w:color w:val="auto"/>
              </w:rPr>
            </w:pPr>
          </w:p>
        </w:tc>
        <w:tc>
          <w:tcPr>
            <w:tcW w:w="16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87"/>
              </w:rPr>
              <w:t>July 3,</w:t>
            </w: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27,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July 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June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Class A and Class B common stock outstanding at beginning of period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Issuance of shares of Class B common stock (weighted), net of forfeiture of restricted stock awards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20" w:type="dxa"/>
            <w:vAlign w:val="bottom"/>
            <w:gridSpan w:val="2"/>
          </w:tcPr>
          <w:p>
            <w:pPr>
              <w:spacing w:after="0"/>
              <w:rPr>
                <w:sz w:val="20"/>
                <w:szCs w:val="20"/>
                <w:color w:val="auto"/>
              </w:rPr>
            </w:pPr>
            <w:r>
              <w:rPr>
                <w:rFonts w:ascii="Arial" w:cs="Arial" w:eastAsia="Arial" w:hAnsi="Arial"/>
                <w:sz w:val="18"/>
                <w:szCs w:val="18"/>
                <w:color w:val="auto"/>
              </w:rPr>
              <w:t>Adjustment to reflect dilution from common stock equivalents</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78,510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84,659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144,610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143,583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7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5"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80" w:right="420" w:hanging="567"/>
        <w:spacing w:after="0" w:line="347" w:lineRule="auto"/>
        <w:tabs>
          <w:tab w:leader="none" w:pos="1480" w:val="left"/>
        </w:tabs>
        <w:numPr>
          <w:ilvl w:val="1"/>
          <w:numId w:val="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60" w:firstLine="8"/>
        <w:spacing w:after="0" w:line="325" w:lineRule="auto"/>
        <w:tabs>
          <w:tab w:leader="none" w:pos="17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2005</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77"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5"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80" w:right="420" w:hanging="567"/>
        <w:spacing w:after="0" w:line="347" w:lineRule="auto"/>
        <w:tabs>
          <w:tab w:leader="none" w:pos="1480" w:val="left"/>
        </w:tabs>
        <w:numPr>
          <w:ilvl w:val="1"/>
          <w:numId w:val="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60" w:firstLine="8"/>
        <w:spacing w:after="0" w:line="325" w:lineRule="auto"/>
        <w:tabs>
          <w:tab w:leader="none" w:pos="176"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2005</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July 3, 2005 (the “Report”), I, Donald E. Graham, Chief Executive Officer (principal executive officer) of the Company, certify, pursuant to 18 U.S.C. Section 1350, as adopted pursuant to Section 906 of the Sarbanes-Oxley Act of 2002, that:</w:t>
      </w:r>
    </w:p>
    <w:p>
      <w:pPr>
        <w:spacing w:after="0" w:line="4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980" w:firstLine="8"/>
        <w:spacing w:after="0" w:line="440"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4269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2005</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July 3, 2005 (the “Report”), I, John B. Morse, Jr., Vice President-Finance (principal financial officer) of the Company, certify, pursuant to 18 U.S.C. Section 1350, as adopted pursuant to Section 906 of the Sarbanes-Oxley Act of 2002, that:</w:t>
      </w:r>
    </w:p>
    <w:p>
      <w:pPr>
        <w:spacing w:after="0" w:line="46"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980" w:firstLine="8"/>
        <w:spacing w:after="0" w:line="440"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4269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lowerLetter"/>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2019-12-12T10:25:28Z</dcterms:created>
  <dcterms:modified xsi:type="dcterms:W3CDTF">2019-12-12T10:25:28Z</dcterms:modified>
</cp:coreProperties>
</file>