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October 30, 2024</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4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October 30, 2024, Graham Holdings Company issued a press release announcing the Company’s earnings for the third quarter ended September 30, 2024.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79" w:right="6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October 30, 2024.</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October 30, 2024</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50"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October 30, 2024</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THIRD QUARTER EARNINGS</w:t>
      </w:r>
    </w:p>
    <w:p>
      <w:pPr>
        <w:sectPr>
          <w:pgSz w:w="11900" w:h="16838" w:orient="portrait"/>
          <w:cols w:equalWidth="0" w:num="1">
            <w:col w:w="11240"/>
          </w:cols>
          <w:pgMar w:left="320" w:top="1039" w:right="33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its financial results for the third quarter and first nine months of</w:t>
      </w:r>
    </w:p>
    <w:p>
      <w:pPr>
        <w:spacing w:after="0" w:line="14" w:lineRule="exact"/>
        <w:rPr>
          <w:sz w:val="20"/>
          <w:szCs w:val="20"/>
          <w:color w:val="auto"/>
        </w:rPr>
      </w:pPr>
    </w:p>
    <w:p>
      <w:pPr>
        <w:ind w:right="1080"/>
        <w:spacing w:after="0" w:line="237" w:lineRule="auto"/>
        <w:rPr>
          <w:sz w:val="20"/>
          <w:szCs w:val="20"/>
          <w:color w:val="auto"/>
        </w:rPr>
      </w:pPr>
      <w:r>
        <w:rPr>
          <w:rFonts w:ascii="Arial" w:cs="Arial" w:eastAsia="Arial" w:hAnsi="Arial"/>
          <w:sz w:val="18"/>
          <w:szCs w:val="18"/>
          <w:color w:val="auto"/>
        </w:rPr>
        <w:t>2024. The Company also filed its Form 10-Q today for the quarter ended September 30, 2024 with the Securities and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Operating Results</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Revenue for the third quarter of 2024 was $1,207.2 million, up 9% from $1,111.5 million in the third quarter of 2023. Revenues increased at education, television broadcasting, healthcare and automotive, partially offset by declines at manufacturing and other businesses. The</w:t>
      </w:r>
    </w:p>
    <w:p>
      <w:pPr>
        <w:spacing w:after="0" w:line="235" w:lineRule="auto"/>
        <w:rPr>
          <w:sz w:val="20"/>
          <w:szCs w:val="20"/>
          <w:color w:val="auto"/>
        </w:rPr>
      </w:pPr>
      <w:r>
        <w:rPr>
          <w:rFonts w:ascii="Arial" w:cs="Arial" w:eastAsia="Arial" w:hAnsi="Arial"/>
          <w:sz w:val="18"/>
          <w:szCs w:val="18"/>
          <w:color w:val="auto"/>
        </w:rPr>
        <w:t>Company reported operating income of $81.6 million for the third quarter of 2024, compared to an operating loss of $57.1 million for the third</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quarter of 2023. The improvement in operating results is due to goodwill and other long-lived asset impairment charges at World of Good Brands (WGB) and Dekko in the third quarter of 2023 and increases at education, television broadcasting, healthcare and automotive,</w:t>
      </w:r>
    </w:p>
    <w:p>
      <w:pPr>
        <w:spacing w:after="0" w:line="236" w:lineRule="auto"/>
        <w:rPr>
          <w:sz w:val="20"/>
          <w:szCs w:val="20"/>
          <w:color w:val="auto"/>
        </w:rPr>
      </w:pPr>
      <w:r>
        <w:rPr>
          <w:rFonts w:ascii="Arial" w:cs="Arial" w:eastAsia="Arial" w:hAnsi="Arial"/>
          <w:sz w:val="18"/>
          <w:szCs w:val="18"/>
          <w:color w:val="auto"/>
        </w:rPr>
        <w:t>partially offset by declines at manufacturing and other businesses, excluding the impairments. The Company reported adjusted operating</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cash flow (non-GAAP) of $126.1 million for the third quarter of 2024, compared to $ 83.7 million for the third quarter of 2023. Adjusted operating cash flow improved at education, television broadcasting, healthcare and automotive, partially offset by declines at manufacturing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other businesses. Capital expenditures totaled $23.8 million and $26.7 million for the third quarter of 2024 and 2023, respectively.</w:t>
      </w:r>
    </w:p>
    <w:p>
      <w:pPr>
        <w:spacing w:after="0" w:line="140"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Revenue for the first nine months of 2024 was $ 3,545.1 million, up 9% from $3,248.1 million in the first nine months of 2023. Revenues increased at education, television broadcasting, healthcare and automotive, partially offset by declines at manufacturing and other</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businesses. The Company recorded operated income of $143.0 million for the first nine months of 2024, compared to $28.6 million for the first nine months of 2023. Excluding goodwill and other long-lived asset impairment charges, the improvement in operating results is due to</w:t>
      </w:r>
    </w:p>
    <w:p>
      <w:pPr>
        <w:spacing w:after="0" w:line="236" w:lineRule="auto"/>
        <w:rPr>
          <w:sz w:val="20"/>
          <w:szCs w:val="20"/>
          <w:color w:val="auto"/>
        </w:rPr>
      </w:pPr>
      <w:r>
        <w:rPr>
          <w:rFonts w:ascii="Arial" w:cs="Arial" w:eastAsia="Arial" w:hAnsi="Arial"/>
          <w:sz w:val="18"/>
          <w:szCs w:val="18"/>
          <w:color w:val="auto"/>
        </w:rPr>
        <w:t>increases at education, television broadcasting, healthcare and automotive, partially offset by declines at manufacturing and other</w:t>
      </w:r>
    </w:p>
    <w:p>
      <w:pPr>
        <w:spacing w:after="0" w:line="1" w:lineRule="exact"/>
        <w:rPr>
          <w:sz w:val="20"/>
          <w:szCs w:val="20"/>
          <w:color w:val="auto"/>
        </w:rPr>
      </w:pPr>
    </w:p>
    <w:p>
      <w:pPr>
        <w:jc w:val="both"/>
        <w:ind w:right="180"/>
        <w:spacing w:after="0" w:line="226" w:lineRule="auto"/>
        <w:rPr>
          <w:sz w:val="20"/>
          <w:szCs w:val="20"/>
          <w:color w:val="auto"/>
        </w:rPr>
      </w:pPr>
      <w:r>
        <w:rPr>
          <w:rFonts w:ascii="Arial" w:cs="Arial" w:eastAsia="Arial" w:hAnsi="Arial"/>
          <w:sz w:val="18"/>
          <w:szCs w:val="18"/>
          <w:color w:val="auto"/>
        </w:rPr>
        <w:t>businesses. The Company reported adjusted operating cash flow (non-GAAP) of $307.4 million for the first nine months of 2024, compared to $255.3 million for the first nine months of 2023. Adjusted operating cash flow improved at education, television broadcasting, healthcare,</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automotive and other businesses, partially offset by declines at manufacturing. Capital expenditures totaled $66.0 million and $71.6 million for the first nine months of 2024 and 2023,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business acquisitions or dispositions during the first nine months of 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Cash and Marketable Equity Securities</w:t>
      </w:r>
    </w:p>
    <w:p>
      <w:pPr>
        <w:spacing w:after="0" w:line="144" w:lineRule="exact"/>
        <w:rPr>
          <w:sz w:val="20"/>
          <w:szCs w:val="20"/>
          <w:color w:val="auto"/>
        </w:rPr>
      </w:pPr>
    </w:p>
    <w:p>
      <w:pPr>
        <w:jc w:val="both"/>
        <w:ind w:right="460"/>
        <w:spacing w:after="0" w:line="253" w:lineRule="auto"/>
        <w:rPr>
          <w:sz w:val="20"/>
          <w:szCs w:val="20"/>
          <w:color w:val="auto"/>
        </w:rPr>
      </w:pPr>
      <w:r>
        <w:rPr>
          <w:rFonts w:ascii="Arial" w:cs="Arial" w:eastAsia="Arial" w:hAnsi="Arial"/>
          <w:sz w:val="18"/>
          <w:szCs w:val="18"/>
          <w:color w:val="auto"/>
        </w:rPr>
        <w:t>At September 30, 2024, the Company had $765.2 million in borrowings outstanding at an average interest rate of 6.2%, including $66.9 million outstanding on its $300 million revolving credit facility. Cash, marketable equity securities and other investments totaled $1,114.0 million at September 30, 2024.</w:t>
      </w:r>
    </w:p>
    <w:p>
      <w:pPr>
        <w:spacing w:after="0" w:line="10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Overall, the Company recognized $30.5 million and $154.3 million in net gains on marketable equity securities in the third quarter and first nine months of 2024, respectively, compared to $16.8 million and $113.4 million in net gains on marketable equity securities in the third quarter and first nine months of 2023,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and first nine months of 2024, the Company purchased a total of 64,490 and 133,276 shares, respectively, of its</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Class B common stock at a cost of $48.7 million and $98.2 million, respectively. At September 30, 2024, there were 4,347,533 shares outstanding. On September 12, 2024, the Board of Directors authorized the Company to acquire up to 500,000 shares of its Class B common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 the Company has remaining authorization for 486,132 shares as of September 30,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Company Results</w:t>
      </w:r>
    </w:p>
    <w:p>
      <w:pPr>
        <w:spacing w:after="0" w:line="14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reported net income attributable to common shares of $72.5 million ($16.42 per share) for the third quarter of 2024, compared to a net loss of $23.0 million ($5.02 per share) for the third quarter of 2023. For the first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ind w:right="260"/>
        <w:spacing w:after="0" w:line="271" w:lineRule="auto"/>
        <w:rPr>
          <w:sz w:val="20"/>
          <w:szCs w:val="20"/>
          <w:color w:val="auto"/>
        </w:rPr>
      </w:pPr>
      <w:r>
        <w:rPr>
          <w:rFonts w:ascii="Arial" w:cs="Arial" w:eastAsia="Arial" w:hAnsi="Arial"/>
          <w:sz w:val="18"/>
          <w:szCs w:val="18"/>
          <w:color w:val="auto"/>
        </w:rPr>
        <w:t>nine months of 2024, the Company recorded net income attributable to common shares of $175.8 million ($39.49 per share), compared to $152.0 million ($32.14 per share) for the first nine months of 2023.</w:t>
      </w:r>
    </w:p>
    <w:p>
      <w:pPr>
        <w:spacing w:after="0" w:line="8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results for the third quarter and first nine months of 2024 and 2023 were affected by a number of items as described in the Non-GAAP Financial Information schedule attached to this release. Excluding these items, net income attributable to common shares was $76.1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($17.25 per share) for the third quarter of 2024, compared to $48.9 million ($ 10.45 per share) for the third quarter of 2023. Excluding these items, net income attributable to common shares was $183.5 million ($41.20 per share) for the first nine months of 2024, compared to $150.8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($31.87 per share) for the first nine months of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Subsequent Event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October 2024, the Company purchased an irrevocable group annuity contract from an insurance company for $461.3 million to settle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$457.9 million of the outstanding defined benefit pension obligation related to certain retirees and beneficiaries. The purchase of the group</w:t>
      </w:r>
    </w:p>
    <w:p>
      <w:pPr>
        <w:spacing w:after="0" w:line="226" w:lineRule="auto"/>
        <w:rPr>
          <w:sz w:val="20"/>
          <w:szCs w:val="20"/>
          <w:color w:val="auto"/>
        </w:rPr>
      </w:pPr>
      <w:r>
        <w:rPr>
          <w:rFonts w:ascii="Arial" w:cs="Arial" w:eastAsia="Arial" w:hAnsi="Arial"/>
          <w:sz w:val="18"/>
          <w:szCs w:val="18"/>
          <w:color w:val="auto"/>
        </w:rPr>
        <w:t>annuity contract was funded from the assets of the Company’s pension plan. As a result of this transaction, the Company was relieved of all responsibility for these pension obligations and the insurance company is now required to pay and administer the retirement benefits owed to</w:t>
      </w:r>
    </w:p>
    <w:p>
      <w:pPr>
        <w:spacing w:after="0" w:line="236" w:lineRule="auto"/>
        <w:rPr>
          <w:sz w:val="20"/>
          <w:szCs w:val="20"/>
          <w:color w:val="auto"/>
        </w:rPr>
      </w:pPr>
      <w:r>
        <w:rPr>
          <w:rFonts w:ascii="Arial" w:cs="Arial" w:eastAsia="Arial" w:hAnsi="Arial"/>
          <w:sz w:val="18"/>
          <w:szCs w:val="18"/>
          <w:color w:val="auto"/>
        </w:rPr>
        <w:t>approximately 1,850 retirees and beneficiaries, with no change to the amount, timing or form of monthly retirement benefit payments. As a</w:t>
      </w:r>
    </w:p>
    <w:p>
      <w:pPr>
        <w:spacing w:after="0" w:line="1"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result, the Company estimates that it will record a one-time pre-tax settlement gain of approximately $700 million in the fourth quarter of 2024.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this press release, in the Company’s Annual Report on Form 10-K and in the Company’s 2023 Annual Report to Stockholders, are “forward-looking statements” within the meaning of the Private Securities Litigation Reform Act of 1995. Forward-looking statements are based on</w:t>
      </w:r>
    </w:p>
    <w:p>
      <w:pPr>
        <w:spacing w:after="0" w:line="236" w:lineRule="auto"/>
        <w:rPr>
          <w:sz w:val="20"/>
          <w:szCs w:val="20"/>
          <w:color w:val="auto"/>
        </w:rPr>
      </w:pPr>
      <w:r>
        <w:rPr>
          <w:rFonts w:ascii="Arial" w:cs="Arial" w:eastAsia="Arial" w:hAnsi="Arial"/>
          <w:sz w:val="18"/>
          <w:szCs w:val="18"/>
          <w:color w:val="auto"/>
        </w:rPr>
        <w:t>expectations, forecasts, and assumptions by the Company’s management and involve a number of risks, uncertainties, and other factors that</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could cause actual results to differ from those stated, including, without limitation, comments about expectations related to acquisitions or dispositions or related business activities, the Company’s business strategies and objectives, the prospects for growth in the Company’s</w:t>
      </w:r>
    </w:p>
    <w:p>
      <w:pPr>
        <w:spacing w:after="0" w:line="236" w:lineRule="auto"/>
        <w:rPr>
          <w:sz w:val="20"/>
          <w:szCs w:val="20"/>
          <w:color w:val="auto"/>
        </w:rPr>
      </w:pPr>
      <w:r>
        <w:rPr>
          <w:rFonts w:ascii="Arial" w:cs="Arial" w:eastAsia="Arial" w:hAnsi="Arial"/>
          <w:sz w:val="18"/>
          <w:szCs w:val="18"/>
          <w:color w:val="auto"/>
        </w:rPr>
        <w:t>various business operations, the Company’s future financial performance, and the risks and uncertainties described in Item 1A of the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Company’s Annual Report on Form 10-K. Accordingly, undue reliance should not be placed on any forward-looking statement made by or on behalf of the Company. The Company assumes no obligation to update any forward-looking statement after the date on which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statement is made, even if new information subsequently becomes available.</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39"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1,207,162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1,111,519</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1,095,797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1,036,344</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21,332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22,207</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8,385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11,759</w:t>
            </w: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98,321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81,648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(57,112)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of affiliates,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(13,361)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2,277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1,986</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(25,896)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(11,810)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38,307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35,653</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30,496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16,759</w:t>
            </w: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(expenses)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113,006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(11,734)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38,500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74,506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(21,134)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72,503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(loss)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16.54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4,352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4,602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(loss)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16.42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4,384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4,602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3" w:right="339" w:bottom="1440" w:gutter="0" w:footer="0" w:header="0"/>
        </w:sectPr>
      </w:pPr>
    </w:p>
    <w:bookmarkStart w:id="7" w:name="page8"/>
    <w:bookmarkEnd w:id="7"/>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3,545,104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3,248,064</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3,280,590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3,018,057</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66,032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63,335</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29,194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39,007</w:t>
            </w: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26,287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99,066</w:t>
            </w: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143,001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28,599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of affiliates,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(8,470)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6,566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4,738</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(136,607)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(37,878)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105,379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97,313</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154,276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113,429</w:t>
            </w: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2,973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22,458</w:t>
            </w:r>
          </w:p>
        </w:tc>
        <w:tc>
          <w:tcPr>
            <w:tcW w:w="7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267,118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226,414</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86,100</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70,400</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181,018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156,014</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(3,985)</w:t>
            </w: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175,843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152,029</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39.74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32.23</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4,395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4,686</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32.14</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4,423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25"/>
        </w:trPr>
        <w:tc>
          <w:tcPr>
            <w:tcW w:w="4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jc w:val="right"/>
              <w:ind w:right="3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438,090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411,837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1,283,587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1,192,105</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145,422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116,112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373,958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347,818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95,385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109,216</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300,914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343,882</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155,413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116,164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431,142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331,505</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289,392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272,018</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902,046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765,251</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83,464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86,653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253,753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269,110</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1,727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1,215</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31"/>
        </w:trPr>
        <w:tc>
          <w:tcPr>
            <w:tcW w:w="46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1,207,162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1,111,519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3,545,104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3,248,064</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403,200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381,978</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1,182,833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1,109,090</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83,508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84,165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251,283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254,098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90,890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150,190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289,085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365,546</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141,153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110,193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398,054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314,221</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280,328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263,781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873,127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736,711</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112,358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164,206</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364,563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401,525</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14,657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14,964</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45,181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41,096</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1,125,514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1,168,631</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3,402,103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3,219,465</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34,890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29,859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100,754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83,015</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61,914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31,947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122,675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93,720</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4,495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(40,974)</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11,829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(21,664)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14,260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5,971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33,088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17,284</w:t>
            </w: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9,064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8,237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28,919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28,540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(28,894)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(77,553)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(110,810)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(132,415)</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(14,081)</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(43,454)</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81,648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(57,112)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143,001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1"/>
        </w:trPr>
        <w:tc>
          <w:tcPr>
            <w:tcW w:w="4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2,421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3,210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8,267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11,610</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4,070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4,088</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2,619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51,489</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8,387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60,683</w:t>
            </w: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866</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1,393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2,702</w:t>
            </w: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1,821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53,149</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33,354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58,987</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8,385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110,080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55,481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138,073</w:t>
            </w: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161"/>
        </w:trPr>
        <w:tc>
          <w:tcPr>
            <w:tcW w:w="4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64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Assets and Impairment of Goodwill and Other Long-Lived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37,311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33,069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109,021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94,625</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63,274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33,310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126,745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97,808</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7,114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10,515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20,216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39,019</w:t>
            </w: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14,419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6,837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34,481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19,986</w:t>
            </w: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9,069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8,240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28,929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28,543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(27,073)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(24,404)</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(77,456)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(73,428)</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(14,081)</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(43,454)</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6"/>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90,033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52,968</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198,482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166,672</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716"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093" w:right="339" w:bottom="716"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7"/>
                <w:szCs w:val="17"/>
                <w:color w:val="auto"/>
              </w:rPr>
            </w:pPr>
          </w:p>
        </w:tc>
      </w:tr>
      <w:tr>
        <w:trPr>
          <w:trHeight w:val="225"/>
        </w:trPr>
        <w:tc>
          <w:tcPr>
            <w:tcW w:w="4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1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2023</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2023</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8,576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10,000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26,736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28,428</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2,756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3,120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8,494</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9,243</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2,818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2,388</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8,227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6,957</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1,754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5,031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3,802</w:t>
            </w: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1,774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1,304</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5,203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3,565</w:t>
            </w: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3,522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3,832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11,909</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10,882</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132</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432</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21,332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22,207</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66,032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63,335</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4,445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2,226</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100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13,267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6,680</w:t>
            </w: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1,528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4,583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2,498</w:t>
            </w: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978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280</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1,897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836</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4,804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14,413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10,563</w:t>
            </w: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86</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1,963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5,577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1,014</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3,043</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14,761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8,490</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74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42,866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25,306</w:t>
            </w: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466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50,332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45,295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149,024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129,733</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67,558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37,263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139,822</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109,549</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10,910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13,183</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30,340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46,812</w:t>
            </w: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20,977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11,769</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53,925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34,351</w:t>
            </w: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10,872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9,560</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34,218</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32,134</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(21,588)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(19,910)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(59,970)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(60,699)</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(12,935)</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(39,979)</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(36,567)</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6"/>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126,126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83,665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307,380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255,313</w:t>
            </w: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260" w:hanging="271"/>
        <w:spacing w:after="0" w:line="285"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Goodwill and Other Long-Lived Assets plus Depreciation Expense and Pension Expense.</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1102" w:right="4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25"/>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59"/>
              <w:spacing w:after="0"/>
              <w:rPr>
                <w:sz w:val="20"/>
                <w:szCs w:val="20"/>
                <w:color w:val="auto"/>
              </w:rPr>
            </w:pPr>
            <w:r>
              <w:rPr>
                <w:rFonts w:ascii="Arial" w:cs="Arial" w:eastAsia="Arial" w:hAnsi="Arial"/>
                <w:sz w:val="14"/>
                <w:szCs w:val="14"/>
                <w:color w:val="auto"/>
              </w:rPr>
              <w:t>%</w:t>
            </w:r>
          </w:p>
        </w:tc>
      </w:tr>
      <w:tr>
        <w:trPr>
          <w:trHeight w:val="20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2023</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277,009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249,976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813,833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714,715</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85,655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81,925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246,818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250,557</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76,134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78,332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221,389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226,535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158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5,739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8,360</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1"/>
        </w:trPr>
        <w:tc>
          <w:tcPr>
            <w:tcW w:w="46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(866)</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438,090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411,837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1,283,587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1,192,105</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2"/>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251,471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227,756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731,159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650,443</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74,270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73,460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215,560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217,214</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64,948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68,603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199,951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209,543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10,875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10,513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32,096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28,434</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2,421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8,267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11,133</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(785)</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(4,200)</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403,200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381,978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1,182,833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1,109,090</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2"/>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25,538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22,220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82,674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64,272</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11,385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8,465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31,258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33,343</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11,186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9,729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21,438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16,992</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(10,717)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(7,412)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(26,357)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(20,074)</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(2,421)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(8,267)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(11,133)</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34,890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100,754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83,015</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61"/>
        </w:trPr>
        <w:tc>
          <w:tcPr>
            <w:tcW w:w="462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620" w:type="dxa"/>
            <w:vAlign w:val="bottom"/>
          </w:tcPr>
          <w:p>
            <w:pPr>
              <w:ind w:left="100"/>
              <w:spacing w:after="0"/>
              <w:rPr>
                <w:sz w:val="20"/>
                <w:szCs w:val="20"/>
                <w:color w:val="auto"/>
              </w:rPr>
            </w:pPr>
            <w:r>
              <w:rPr>
                <w:rFonts w:ascii="Arial" w:cs="Arial" w:eastAsia="Arial" w:hAnsi="Arial"/>
                <w:sz w:val="16"/>
                <w:szCs w:val="16"/>
                <w:b w:val="1"/>
                <w:bCs w:val="1"/>
                <w:color w:val="auto"/>
              </w:rPr>
              <w:t>Assets and Impairment of Long-Lived Assets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25,538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22,220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82,674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64,272</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11,385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8,465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31,258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33,343</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11,186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9,729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21,438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16,992</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(10,717)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(7,412)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(26,357)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(20,074)</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37,311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33,069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109,021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94,625</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2"/>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7,202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7,599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21,735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20,832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589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2,291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3,431</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777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2,653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4,087</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1"/>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(69)</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8,576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26,736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28,428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2"/>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198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527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1,903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5,729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1,962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5,874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3,110</w:t>
            </w: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382</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1,137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4,445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13,267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6,680</w:t>
            </w: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46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32,938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29,902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104,936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85,348</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13,877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10,681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39,278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39,577</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2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13,925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11,909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29,965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24,189</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9"/>
        </w:trPr>
        <w:tc>
          <w:tcPr>
            <w:tcW w:w="462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(10,327)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(7,264)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(25,163)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(19,473)</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1"/>
        </w:trPr>
        <w:tc>
          <w:tcPr>
            <w:tcW w:w="46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6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50,332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45,295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149,024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129,733</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40" w:hanging="271"/>
        <w:spacing w:after="0" w:line="285"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140"/>
          </w:cols>
          <w:pgMar w:left="320" w:top="1093" w:right="439" w:bottom="230" w:gutter="0" w:footer="0" w:header="0"/>
        </w:sectPr>
      </w:pP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40"/>
          </w:cols>
          <w:pgMar w:left="320" w:top="1093" w:right="439" w:bottom="23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6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noncontrolling interest are not directly related to the core performance of the Company’s business operations since these items do not directly relate to the sale of the Company’s services or products. The accounting principles generally accepted in the United States (“GAAP”)</w:t>
      </w:r>
    </w:p>
    <w:p>
      <w:pPr>
        <w:spacing w:after="0" w:line="236" w:lineRule="auto"/>
        <w:rPr>
          <w:sz w:val="20"/>
          <w:szCs w:val="20"/>
          <w:color w:val="auto"/>
        </w:rPr>
      </w:pPr>
      <w:r>
        <w:rPr>
          <w:rFonts w:ascii="Arial" w:cs="Arial" w:eastAsia="Arial" w:hAnsi="Arial"/>
          <w:sz w:val="18"/>
          <w:szCs w:val="18"/>
          <w:color w:val="auto"/>
        </w:rPr>
        <w:t>require that the Company include the gains and losses on marketable equity securities and net interest expense related to fair value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adjustments of the mandatorily redeemable noncontrolling interest in net income on the Condensed Consolidated Statements of Operations. The Company excludes the gains and losses on marketable equity securities and net interest expense related to fair value adjustments of the</w:t>
      </w:r>
    </w:p>
    <w:p>
      <w:pPr>
        <w:spacing w:after="0" w:line="2"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mandatorily redeemable noncontrolling interest from the non-GAAP adjusted net income because these items are independent of the Company’s core operations and not indicative of the performance of the Company’s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9"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03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31"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auto"/>
        </w:rPr>
        <w:t>Three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5"/>
                <w:szCs w:val="15"/>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Income</w:t>
            </w:r>
          </w:p>
        </w:tc>
        <w:tc>
          <w:tcPr>
            <w:tcW w:w="12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8"/>
              </w:rPr>
              <w:t>Net (Loss)</w:t>
            </w:r>
          </w:p>
        </w:tc>
        <w:tc>
          <w:tcPr>
            <w:tcW w:w="280" w:type="dxa"/>
            <w:vAlign w:val="bottom"/>
          </w:tcPr>
          <w:p>
            <w:pPr>
              <w:spacing w:after="0"/>
              <w:rPr>
                <w:sz w:val="15"/>
                <w:szCs w:val="15"/>
                <w:color w:val="auto"/>
              </w:rPr>
            </w:pPr>
          </w:p>
        </w:tc>
        <w:tc>
          <w:tcPr>
            <w:tcW w:w="840" w:type="dxa"/>
            <w:vAlign w:val="bottom"/>
          </w:tcPr>
          <w:p>
            <w:pPr>
              <w:jc w:val="center"/>
              <w:ind w:right="144"/>
              <w:spacing w:after="0"/>
              <w:rPr>
                <w:sz w:val="20"/>
                <w:szCs w:val="20"/>
                <w:color w:val="auto"/>
              </w:rPr>
            </w:pPr>
            <w:r>
              <w:rPr>
                <w:rFonts w:ascii="Arial" w:cs="Arial" w:eastAsia="Arial" w:hAnsi="Arial"/>
                <w:sz w:val="15"/>
                <w:szCs w:val="15"/>
                <w:color w:val="auto"/>
              </w:rPr>
              <w:t>(Loss)</w:t>
            </w:r>
          </w:p>
        </w:tc>
        <w:tc>
          <w:tcPr>
            <w:tcW w:w="240" w:type="dxa"/>
            <w:vAlign w:val="bottom"/>
          </w:tcPr>
          <w:p>
            <w:pPr>
              <w:spacing w:after="0"/>
              <w:rPr>
                <w:sz w:val="15"/>
                <w:szCs w:val="15"/>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144"/>
              <w:spacing w:after="0" w:line="16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121"/>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0"/>
                <w:szCs w:val="10"/>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120" w:type="dxa"/>
            <w:vAlign w:val="bottom"/>
          </w:tcPr>
          <w:p>
            <w:pPr>
              <w:spacing w:after="0"/>
              <w:rPr>
                <w:sz w:val="10"/>
                <w:szCs w:val="10"/>
                <w:color w:val="auto"/>
              </w:rPr>
            </w:pP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Income</w:t>
            </w:r>
          </w:p>
        </w:tc>
        <w:tc>
          <w:tcPr>
            <w:tcW w:w="280" w:type="dxa"/>
            <w:vAlign w:val="bottom"/>
          </w:tcPr>
          <w:p>
            <w:pPr>
              <w:spacing w:after="0"/>
              <w:rPr>
                <w:sz w:val="10"/>
                <w:szCs w:val="10"/>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color w:val="auto"/>
              </w:rPr>
              <w:t>before</w:t>
            </w:r>
          </w:p>
        </w:tc>
        <w:tc>
          <w:tcPr>
            <w:tcW w:w="240" w:type="dxa"/>
            <w:vAlign w:val="bottom"/>
          </w:tcPr>
          <w:p>
            <w:pPr>
              <w:spacing w:after="0"/>
              <w:rPr>
                <w:sz w:val="10"/>
                <w:szCs w:val="10"/>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113,006</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38,500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74,506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(11,734)</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9,400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(21,134)</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(1,897)</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72,503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(23,031)</w:t>
            </w:r>
          </w:p>
        </w:tc>
        <w:tc>
          <w:tcPr>
            <w:tcW w:w="0" w:type="dxa"/>
            <w:vAlign w:val="bottom"/>
          </w:tcPr>
          <w:p>
            <w:pPr>
              <w:spacing w:after="0"/>
              <w:rPr>
                <w:sz w:val="1"/>
                <w:szCs w:val="1"/>
                <w:color w:val="auto"/>
              </w:rPr>
            </w:pPr>
          </w:p>
        </w:tc>
      </w:tr>
      <w:tr>
        <w:trPr>
          <w:trHeight w:val="20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(626)</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626</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98,321</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13,876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84,445</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3,665</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938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2,727</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9,730</w:t>
            </w:r>
          </w:p>
        </w:tc>
        <w:tc>
          <w:tcPr>
            <w:tcW w:w="200" w:type="dxa"/>
            <w:vAlign w:val="bottom"/>
          </w:tcPr>
          <w:p>
            <w:pPr>
              <w:spacing w:after="0"/>
              <w:rPr>
                <w:sz w:val="15"/>
                <w:szCs w:val="15"/>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(3,501)</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13,231</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1,132</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105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1,027</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(30,496)</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(7,808)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(22,688)</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(16,758)</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(4,411)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(12,347)</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2,307</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590</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1,717</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2,836</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746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2,090</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(3,763)</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(1,197)</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(2,566)</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Credit to interest expense resulting from gains realized related to</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the termination of interest rate swaps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(4,581)</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(1,252)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(3,329)</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non-operating loss from impairment and write-up equity and</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14,236</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3,642</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10,594</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cost method investments</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76,144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48,855</w:t>
            </w:r>
          </w:p>
        </w:tc>
        <w:tc>
          <w:tcPr>
            <w:tcW w:w="0" w:type="dxa"/>
            <w:vAlign w:val="bottom"/>
          </w:tcPr>
          <w:p>
            <w:pPr>
              <w:spacing w:after="0"/>
              <w:rPr>
                <w:sz w:val="1"/>
                <w:szCs w:val="1"/>
                <w:color w:val="auto"/>
              </w:rPr>
            </w:pPr>
          </w:p>
        </w:tc>
      </w:tr>
      <w:tr>
        <w:trPr>
          <w:trHeight w:val="3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80"/>
              <w:spacing w:after="0"/>
              <w:rPr>
                <w:sz w:val="20"/>
                <w:szCs w:val="20"/>
                <w:color w:val="auto"/>
              </w:rPr>
            </w:pPr>
            <w:r>
              <w:rPr>
                <w:rFonts w:ascii="Arial" w:cs="Arial" w:eastAsia="Arial" w:hAnsi="Arial"/>
                <w:sz w:val="15"/>
                <w:szCs w:val="15"/>
                <w:color w:val="auto"/>
              </w:rPr>
              <w:t>Diluted (loss) income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16.42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0.14</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18.18</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0.62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3.00</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0.22</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(5.14)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0.39</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0.45</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(0.58)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Credit to interest expense resulting from gains realized related to</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the termination of interest rate swaps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(0.72)</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non-operating loss from impairment and write-up equity and</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2.40</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cost method investments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17.25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9"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039" w:right="339" w:bottom="1440" w:gutter="0" w:footer="0" w:header="0"/>
          <w:type w:val="continuous"/>
        </w:sectPr>
      </w:pPr>
    </w:p>
    <w:bookmarkStart w:id="13" w:name="page14"/>
    <w:bookmarkEnd w:id="13"/>
    <w:p>
      <w:pPr>
        <w:ind w:left="6740"/>
        <w:spacing w:after="0"/>
        <w:rPr>
          <w:sz w:val="20"/>
          <w:szCs w:val="20"/>
          <w:color w:val="auto"/>
        </w:rPr>
      </w:pPr>
      <w:r>
        <w:rPr>
          <w:rFonts w:ascii="Arial" w:cs="Arial" w:eastAsia="Arial" w:hAnsi="Arial"/>
          <w:sz w:val="16"/>
          <w:szCs w:val="16"/>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44"/>
              <w:spacing w:after="0" w:line="169" w:lineRule="exact"/>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4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line="162" w:lineRule="exact"/>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6"/>
        </w:trPr>
        <w:tc>
          <w:tcPr>
            <w:tcW w:w="4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8"/>
                <w:szCs w:val="8"/>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88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10"/>
                <w:szCs w:val="10"/>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taxes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880" w:type="dxa"/>
            <w:vAlign w:val="bottom"/>
          </w:tcPr>
          <w:p>
            <w:pPr>
              <w:ind w:left="20"/>
              <w:spacing w:after="0" w:line="167"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267,118</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86,100</w:t>
            </w:r>
          </w:p>
        </w:tc>
        <w:tc>
          <w:tcPr>
            <w:tcW w:w="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181,018</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226,414</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70,400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156,014</w:t>
            </w:r>
          </w:p>
        </w:tc>
        <w:tc>
          <w:tcPr>
            <w:tcW w:w="0" w:type="dxa"/>
            <w:vAlign w:val="bottom"/>
          </w:tcPr>
          <w:p>
            <w:pPr>
              <w:spacing w:after="0"/>
              <w:rPr>
                <w:sz w:val="1"/>
                <w:szCs w:val="1"/>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(5,175)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(3,985)</w:t>
            </w:r>
          </w:p>
        </w:tc>
        <w:tc>
          <w:tcPr>
            <w:tcW w:w="0" w:type="dxa"/>
            <w:vAlign w:val="bottom"/>
          </w:tcPr>
          <w:p>
            <w:pPr>
              <w:spacing w:after="0"/>
              <w:rPr>
                <w:sz w:val="1"/>
                <w:szCs w:val="1"/>
                <w:color w:val="auto"/>
              </w:rPr>
            </w:pPr>
          </w:p>
        </w:tc>
      </w:tr>
      <w:tr>
        <w:trPr>
          <w:trHeight w:val="209"/>
        </w:trPr>
        <w:tc>
          <w:tcPr>
            <w:tcW w:w="488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175,843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152,029</w:t>
            </w:r>
          </w:p>
        </w:tc>
        <w:tc>
          <w:tcPr>
            <w:tcW w:w="0" w:type="dxa"/>
            <w:vAlign w:val="bottom"/>
          </w:tcPr>
          <w:p>
            <w:pPr>
              <w:spacing w:after="0"/>
              <w:rPr>
                <w:sz w:val="1"/>
                <w:szCs w:val="1"/>
                <w:color w:val="auto"/>
              </w:rPr>
            </w:pPr>
          </w:p>
        </w:tc>
      </w:tr>
      <w:tr>
        <w:trPr>
          <w:trHeight w:val="190"/>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80" w:type="dxa"/>
            <w:vAlign w:val="bottom"/>
          </w:tcPr>
          <w:p>
            <w:pPr>
              <w:ind w:left="400"/>
              <w:spacing w:after="0"/>
              <w:rPr>
                <w:sz w:val="20"/>
                <w:szCs w:val="20"/>
                <w:color w:val="auto"/>
              </w:rPr>
            </w:pPr>
            <w:r>
              <w:rPr>
                <w:rFonts w:ascii="Arial" w:cs="Arial" w:eastAsia="Arial" w:hAnsi="Arial"/>
                <w:sz w:val="15"/>
                <w:szCs w:val="15"/>
                <w:color w:val="auto"/>
              </w:rPr>
              <w:t>Net credit related to fair value changes in contingent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consideration from prior acquisitions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(4,688)</w:t>
            </w:r>
          </w:p>
        </w:tc>
        <w:tc>
          <w:tcPr>
            <w:tcW w:w="24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(143)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(4,545)</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26,287</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5,067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21,220</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99,066</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14,078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84,988</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Charges related to non-operating Voluntary Retirement Incentive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Program and Separation Incentive Programs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20,493</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5,246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15,247</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9,646</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2,481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7,165</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85,145</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8,740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76,405</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1,421</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152</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1,269</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(154,276)</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(39,502)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(114,774)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(113,429)</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(29,861)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(83,568)</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4,922</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1,260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3,662</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9,657</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2,542</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7,115</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(7,246)</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(1,956)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(5,290)</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(10,033)</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(2,641)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(7,392)</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Non-operating loss (gain) from impairment, write-up and sales of</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equity and cost method investments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14,980</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3,833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11,147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(3,935)</w:t>
            </w:r>
          </w:p>
        </w:tc>
        <w:tc>
          <w:tcPr>
            <w:tcW w:w="24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(1,008)</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(2,927)</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Credit to interest expense resulting from gains realized related to</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520"/>
              <w:spacing w:after="0"/>
              <w:rPr>
                <w:sz w:val="20"/>
                <w:szCs w:val="20"/>
                <w:color w:val="auto"/>
              </w:rPr>
            </w:pPr>
            <w:r>
              <w:rPr>
                <w:rFonts w:ascii="Arial" w:cs="Arial" w:eastAsia="Arial" w:hAnsi="Arial"/>
                <w:sz w:val="15"/>
                <w:szCs w:val="15"/>
                <w:color w:val="auto"/>
              </w:rPr>
              <w:t>the termination of interest rate swaps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(4,581)</w:t>
            </w:r>
          </w:p>
        </w:tc>
        <w:tc>
          <w:tcPr>
            <w:tcW w:w="24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(1,252)</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(3,329)</w:t>
            </w:r>
          </w:p>
        </w:tc>
        <w:tc>
          <w:tcPr>
            <w:tcW w:w="0" w:type="dxa"/>
            <w:vAlign w:val="bottom"/>
          </w:tcPr>
          <w:p>
            <w:pPr>
              <w:spacing w:after="0"/>
              <w:rPr>
                <w:sz w:val="1"/>
                <w:szCs w:val="1"/>
                <w:color w:val="auto"/>
              </w:rPr>
            </w:pPr>
          </w:p>
        </w:tc>
      </w:tr>
      <w:tr>
        <w:trPr>
          <w:trHeight w:val="210"/>
        </w:trPr>
        <w:tc>
          <w:tcPr>
            <w:tcW w:w="488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183,460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150,805</w:t>
            </w:r>
          </w:p>
        </w:tc>
        <w:tc>
          <w:tcPr>
            <w:tcW w:w="0" w:type="dxa"/>
            <w:vAlign w:val="bottom"/>
          </w:tcPr>
          <w:p>
            <w:pPr>
              <w:spacing w:after="0"/>
              <w:rPr>
                <w:sz w:val="1"/>
                <w:szCs w:val="1"/>
                <w:color w:val="auto"/>
              </w:rPr>
            </w:pPr>
          </w:p>
        </w:tc>
      </w:tr>
      <w:tr>
        <w:trPr>
          <w:trHeight w:val="298"/>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39.49</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32.14</w:t>
            </w:r>
          </w:p>
        </w:tc>
        <w:tc>
          <w:tcPr>
            <w:tcW w:w="0" w:type="dxa"/>
            <w:vAlign w:val="bottom"/>
          </w:tcPr>
          <w:p>
            <w:pPr>
              <w:spacing w:after="0"/>
              <w:rPr>
                <w:sz w:val="1"/>
                <w:szCs w:val="1"/>
                <w:color w:val="auto"/>
              </w:rPr>
            </w:pPr>
          </w:p>
        </w:tc>
      </w:tr>
      <w:tr>
        <w:trPr>
          <w:trHeight w:val="190"/>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80" w:type="dxa"/>
            <w:vAlign w:val="bottom"/>
          </w:tcPr>
          <w:p>
            <w:pPr>
              <w:ind w:left="400"/>
              <w:spacing w:after="0"/>
              <w:rPr>
                <w:sz w:val="20"/>
                <w:szCs w:val="20"/>
                <w:color w:val="auto"/>
              </w:rPr>
            </w:pPr>
            <w:r>
              <w:rPr>
                <w:rFonts w:ascii="Arial" w:cs="Arial" w:eastAsia="Arial" w:hAnsi="Arial"/>
                <w:sz w:val="15"/>
                <w:szCs w:val="15"/>
                <w:color w:val="auto"/>
              </w:rPr>
              <w:t>Net credit related to fair value changes in contingent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consideration from prior acquisitions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(0.98)</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4.77</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18.30</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Charges related to non-operating Voluntary Retirement Incentive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Program and Separation Incentive Programs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3.42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17.16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0.27</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(25.77)</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(17.99)</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0.82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(1.19)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Gain on sale of Pinna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Non-operating loss (gain) from impairment, write-up and sales of</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520"/>
              <w:spacing w:after="0"/>
              <w:rPr>
                <w:sz w:val="20"/>
                <w:szCs w:val="20"/>
                <w:color w:val="auto"/>
              </w:rPr>
            </w:pPr>
            <w:r>
              <w:rPr>
                <w:rFonts w:ascii="Arial" w:cs="Arial" w:eastAsia="Arial" w:hAnsi="Arial"/>
                <w:sz w:val="15"/>
                <w:szCs w:val="15"/>
                <w:color w:val="auto"/>
              </w:rPr>
              <w:t>equity and cost method investments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2.50</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(0.63)</w:t>
            </w:r>
          </w:p>
        </w:tc>
        <w:tc>
          <w:tcPr>
            <w:tcW w:w="0" w:type="dxa"/>
            <w:vAlign w:val="bottom"/>
          </w:tcPr>
          <w:p>
            <w:pPr>
              <w:spacing w:after="0"/>
              <w:rPr>
                <w:sz w:val="1"/>
                <w:szCs w:val="1"/>
                <w:color w:val="auto"/>
              </w:rPr>
            </w:pPr>
          </w:p>
        </w:tc>
      </w:tr>
      <w:tr>
        <w:trPr>
          <w:trHeight w:val="170"/>
        </w:trPr>
        <w:tc>
          <w:tcPr>
            <w:tcW w:w="4880" w:type="dxa"/>
            <w:vAlign w:val="bottom"/>
          </w:tcPr>
          <w:p>
            <w:pPr>
              <w:ind w:left="400"/>
              <w:spacing w:after="0" w:line="169" w:lineRule="exact"/>
              <w:rPr>
                <w:sz w:val="20"/>
                <w:szCs w:val="20"/>
                <w:color w:val="auto"/>
              </w:rPr>
            </w:pPr>
            <w:r>
              <w:rPr>
                <w:rFonts w:ascii="Arial" w:cs="Arial" w:eastAsia="Arial" w:hAnsi="Arial"/>
                <w:sz w:val="15"/>
                <w:szCs w:val="15"/>
                <w:color w:val="auto"/>
              </w:rPr>
              <w:t>Credit to interest expense resulting from gains realized related to</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520"/>
              <w:spacing w:after="0"/>
              <w:rPr>
                <w:sz w:val="20"/>
                <w:szCs w:val="20"/>
                <w:color w:val="auto"/>
              </w:rPr>
            </w:pPr>
            <w:r>
              <w:rPr>
                <w:rFonts w:ascii="Arial" w:cs="Arial" w:eastAsia="Arial" w:hAnsi="Arial"/>
                <w:sz w:val="15"/>
                <w:szCs w:val="15"/>
                <w:color w:val="auto"/>
              </w:rPr>
              <w:t>the termination of interest rate swaps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(0.72)</w:t>
            </w:r>
          </w:p>
        </w:tc>
        <w:tc>
          <w:tcPr>
            <w:tcW w:w="0" w:type="dxa"/>
            <w:vAlign w:val="bottom"/>
          </w:tcPr>
          <w:p>
            <w:pPr>
              <w:spacing w:after="0"/>
              <w:rPr>
                <w:sz w:val="1"/>
                <w:szCs w:val="1"/>
                <w:color w:val="auto"/>
              </w:rPr>
            </w:pPr>
          </w:p>
        </w:tc>
      </w:tr>
      <w:tr>
        <w:trPr>
          <w:trHeight w:val="210"/>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41.20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2024-10-30T07:42:00Z</dcterms:created>
  <dcterms:modified xsi:type="dcterms:W3CDTF">2024-10-30T07:42:00Z</dcterms:modified>
</cp:coreProperties>
</file>