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0"/>
        <w:spacing w:after="0"/>
        <w:rPr>
          <w:sz w:val="20"/>
          <w:szCs w:val="20"/>
          <w:color w:val="auto"/>
        </w:rPr>
      </w:pPr>
      <w:r>
        <w:rPr>
          <w:rFonts w:ascii="Courier New" w:cs="Courier New" w:eastAsia="Courier New" w:hAnsi="Courier New"/>
          <w:sz w:val="14"/>
          <w:szCs w:val="14"/>
          <w:color w:val="auto"/>
        </w:rPr>
        <w:t>OMB APPROVAL</w:t>
      </w:r>
    </w:p>
    <w:p>
      <w:pPr>
        <w:spacing w:after="0" w:line="33" w:lineRule="exact"/>
        <w:rPr>
          <w:sz w:val="24"/>
          <w:szCs w:val="24"/>
          <w:color w:val="auto"/>
        </w:rPr>
      </w:pPr>
    </w:p>
    <w:p>
      <w:pPr>
        <w:ind w:left="4320"/>
        <w:spacing w:after="0"/>
        <w:rPr>
          <w:sz w:val="20"/>
          <w:szCs w:val="20"/>
          <w:color w:val="auto"/>
        </w:rPr>
      </w:pPr>
      <w:r>
        <w:rPr>
          <w:rFonts w:ascii="Courier New" w:cs="Courier New" w:eastAsia="Courier New" w:hAnsi="Courier New"/>
          <w:sz w:val="14"/>
          <w:szCs w:val="14"/>
          <w:color w:val="auto"/>
        </w:rPr>
        <w:t>------------------------------</w:t>
      </w:r>
    </w:p>
    <w:tbl>
      <w:tblPr>
        <w:tblLayout w:type="fixed"/>
        <w:tblInd w:w="4320" w:type="dxa"/>
        <w:tblCellMar>
          <w:top w:w="0" w:type="dxa"/>
          <w:left w:w="0" w:type="dxa"/>
          <w:bottom w:w="0" w:type="dxa"/>
          <w:right w:w="0" w:type="dxa"/>
        </w:tblCellMar>
      </w:tblPr>
      <w:tr>
        <w:trPr>
          <w:trHeight w:val="147"/>
        </w:trPr>
        <w:tc>
          <w:tcPr>
            <w:tcW w:w="860" w:type="dxa"/>
            <w:vAlign w:val="bottom"/>
          </w:tcPr>
          <w:p>
            <w:pPr>
              <w:spacing w:after="0" w:line="147" w:lineRule="exact"/>
              <w:rPr>
                <w:sz w:val="20"/>
                <w:szCs w:val="20"/>
                <w:color w:val="auto"/>
              </w:rPr>
            </w:pPr>
            <w:r>
              <w:rPr>
                <w:rFonts w:ascii="Courier New" w:cs="Courier New" w:eastAsia="Courier New" w:hAnsi="Courier New"/>
                <w:sz w:val="14"/>
                <w:szCs w:val="14"/>
                <w:color w:val="auto"/>
                <w:w w:val="99"/>
              </w:rPr>
              <w:t>OMB Number</w:t>
            </w:r>
          </w:p>
        </w:tc>
        <w:tc>
          <w:tcPr>
            <w:tcW w:w="72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3235-0104</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Expires:</w:t>
            </w: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12-31-2001</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Estimated</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average burden</w:t>
            </w:r>
          </w:p>
        </w:tc>
      </w:tr>
      <w:tr>
        <w:trPr>
          <w:trHeight w:val="192"/>
        </w:trPr>
        <w:tc>
          <w:tcPr>
            <w:tcW w:w="860" w:type="dxa"/>
            <w:vAlign w:val="bottom"/>
          </w:tcPr>
          <w:p>
            <w:pPr>
              <w:spacing w:after="0"/>
              <w:rPr>
                <w:sz w:val="20"/>
                <w:szCs w:val="20"/>
                <w:color w:val="auto"/>
              </w:rPr>
            </w:pPr>
            <w:r>
              <w:rPr>
                <w:rFonts w:ascii="Courier New" w:cs="Courier New" w:eastAsia="Courier New" w:hAnsi="Courier New"/>
                <w:sz w:val="14"/>
                <w:szCs w:val="14"/>
                <w:color w:val="auto"/>
              </w:rPr>
              <w:t>hours per</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response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0.5</w:t>
            </w:r>
          </w:p>
        </w:tc>
      </w:tr>
    </w:tbl>
    <w:p>
      <w:pPr>
        <w:ind w:left="43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U.S. SECURITIES AND EXCHANGE COMMISSION</w:t>
      </w:r>
    </w:p>
    <w:p>
      <w:pPr>
        <w:spacing w:after="0" w:line="3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D.C. 20549</w:t>
      </w:r>
    </w:p>
    <w:p>
      <w:pPr>
        <w:spacing w:after="0" w:line="14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FORM 3</w:t>
      </w:r>
    </w:p>
    <w:p>
      <w:pPr>
        <w:spacing w:after="0" w:line="173"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INITIAL STATEMENT OF BENEFICIAL OWNERSHIP OF SECURITIES</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Filed pursuant to Section 16(a) of the Securities Exchange Act of 1934,</w:t>
      </w:r>
    </w:p>
    <w:p>
      <w:pPr>
        <w:spacing w:after="0" w:line="3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Section 17(a) of the Public Utility Holding Company Act of 1935 or</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Section 30(f) of the Investment Company Act of 1940</w:t>
      </w:r>
    </w:p>
    <w:p>
      <w:pPr>
        <w:spacing w:after="0" w:line="3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3" w:lineRule="exact"/>
        <w:rPr>
          <w:sz w:val="24"/>
          <w:szCs w:val="2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Reporting Person*</w:t>
      </w:r>
    </w:p>
    <w:p>
      <w:pPr>
        <w:spacing w:after="0" w:line="14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Rosberg, Gerald M.</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260"/>
        <w:spacing w:after="0"/>
        <w:tabs>
          <w:tab w:leader="none" w:pos="3080" w:val="left"/>
          <w:tab w:leader="none" w:pos="4820" w:val="left"/>
        </w:tabs>
        <w:rPr>
          <w:sz w:val="20"/>
          <w:szCs w:val="20"/>
          <w:color w:val="auto"/>
        </w:rPr>
      </w:pPr>
      <w:r>
        <w:rPr>
          <w:rFonts w:ascii="Courier New" w:cs="Courier New" w:eastAsia="Courier New" w:hAnsi="Courier New"/>
          <w:sz w:val="14"/>
          <w:szCs w:val="14"/>
          <w:color w:val="auto"/>
        </w:rPr>
        <w:t>(Last)</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(Middle)</w:t>
      </w:r>
    </w:p>
    <w:p>
      <w:pPr>
        <w:spacing w:after="0" w:line="14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1150 15th Street, N.W.</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(Street)</w:t>
      </w:r>
    </w:p>
    <w:p>
      <w:pPr>
        <w:spacing w:after="0" w:line="147" w:lineRule="exact"/>
        <w:rPr>
          <w:sz w:val="24"/>
          <w:szCs w:val="24"/>
          <w:color w:val="auto"/>
        </w:rPr>
      </w:pPr>
    </w:p>
    <w:p>
      <w:pPr>
        <w:ind w:left="360"/>
        <w:spacing w:after="0"/>
        <w:tabs>
          <w:tab w:leader="none" w:pos="1880" w:val="left"/>
        </w:tabs>
        <w:rPr>
          <w:sz w:val="20"/>
          <w:szCs w:val="20"/>
          <w:color w:val="auto"/>
        </w:rPr>
      </w:pPr>
      <w:r>
        <w:rPr>
          <w:rFonts w:ascii="Courier New" w:cs="Courier New" w:eastAsia="Courier New" w:hAnsi="Courier New"/>
          <w:sz w:val="14"/>
          <w:szCs w:val="14"/>
          <w:color w:val="auto"/>
        </w:rPr>
        <w:t>Washington, D.C.</w:t>
        <w:tab/>
        <w:t>20071</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260"/>
        <w:spacing w:after="0"/>
        <w:tabs>
          <w:tab w:leader="none" w:pos="3080" w:val="left"/>
          <w:tab w:leader="none" w:pos="4900" w:val="left"/>
        </w:tabs>
        <w:rPr>
          <w:sz w:val="20"/>
          <w:szCs w:val="20"/>
          <w:color w:val="auto"/>
        </w:rPr>
      </w:pP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The Washington Post Company, WPO</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Event Requiring Statement (Month/Day/Year)</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N/A</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Number of Reporting Person, if an Entity (Voluntary)</w:t>
      </w:r>
    </w:p>
    <w:p>
      <w:pPr>
        <w:spacing w:after="0" w:line="3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33" w:lineRule="exact"/>
        <w:rPr>
          <w:sz w:val="24"/>
          <w:szCs w:val="24"/>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 Name and Ticker or Trading Symbol</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The Washington Post Company - WPO</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right="7220" w:hanging="432"/>
        <w:spacing w:after="0" w:line="336"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Relationship of Reporting Person(s) to Issuer (Check all applicable)</w:t>
      </w:r>
    </w:p>
    <w:p>
      <w:pPr>
        <w:sectPr>
          <w:pgSz w:w="11900" w:h="16838" w:orient="portrait"/>
          <w:cols w:equalWidth="0" w:num="1">
            <w:col w:w="11540"/>
          </w:cols>
          <w:pgMar w:left="220" w:top="204" w:right="139" w:bottom="0" w:gutter="0" w:footer="0" w:header="0"/>
        </w:sectPr>
      </w:pPr>
    </w:p>
    <w:p>
      <w:pPr>
        <w:spacing w:after="0" w:line="27" w:lineRule="exact"/>
        <w:rPr>
          <w:sz w:val="24"/>
          <w:szCs w:val="24"/>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 ]</w:t>
        <w:tab/>
        <w:t>Director</w:t>
      </w:r>
    </w:p>
    <w:p>
      <w:pPr>
        <w:spacing w:after="0" w:line="33" w:lineRule="exact"/>
        <w:rPr>
          <w:sz w:val="24"/>
          <w:szCs w:val="24"/>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[X]</w:t>
        <w:tab/>
        <w:t>Officer (give title below)</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 ]</w:t>
        <w:tab/>
        <w:t>10% Owner</w:t>
      </w:r>
    </w:p>
    <w:p>
      <w:pPr>
        <w:spacing w:after="0" w:line="33"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[_]</w:t>
        <w:tab/>
        <w:t>Other (specify below)</w:t>
      </w:r>
    </w:p>
    <w:p>
      <w:pPr>
        <w:spacing w:after="0" w:line="147" w:lineRule="exact"/>
        <w:rPr>
          <w:sz w:val="24"/>
          <w:szCs w:val="24"/>
          <w:color w:val="auto"/>
        </w:rPr>
      </w:pPr>
    </w:p>
    <w:p>
      <w:pPr>
        <w:sectPr>
          <w:pgSz w:w="11900" w:h="16838" w:orient="portrait"/>
          <w:cols w:equalWidth="0" w:num="2">
            <w:col w:w="3340" w:space="720"/>
            <w:col w:w="7480"/>
          </w:cols>
          <w:pgMar w:left="220" w:top="204" w:right="139" w:bottom="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Vice President, Planning and Development</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Amendment, Date of Original (Month/Year)</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September 19, 2000</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hanging="432"/>
        <w:spacing w:after="0"/>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or Joint/Group Filing (Check applicable line)</w:t>
      </w:r>
    </w:p>
    <w:p>
      <w:pPr>
        <w:spacing w:after="0" w:line="147" w:lineRule="exact"/>
        <w:rPr>
          <w:sz w:val="24"/>
          <w:szCs w:val="24"/>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filed by One Reporting Person</w:t>
      </w:r>
    </w:p>
    <w:p>
      <w:pPr>
        <w:spacing w:after="0" w:line="33" w:lineRule="exact"/>
        <w:rPr>
          <w:sz w:val="24"/>
          <w:szCs w:val="24"/>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[_]</w:t>
        <w:tab/>
        <w:t>Form filed by more than One Reporting Person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Table I -- Non-Derivative Securities Beneficially Owned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2380" w:type="dxa"/>
            <w:vAlign w:val="bottom"/>
          </w:tcPr>
          <w:p>
            <w:pPr>
              <w:spacing w:after="0"/>
              <w:rPr>
                <w:sz w:val="14"/>
                <w:szCs w:val="14"/>
                <w:color w:val="auto"/>
              </w:rPr>
            </w:pP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4"/>
                <w:szCs w:val="14"/>
                <w:color w:val="auto"/>
              </w:rPr>
            </w:pP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Amount of</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Ownership</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Nature of</w:t>
            </w:r>
          </w:p>
        </w:tc>
        <w:tc>
          <w:tcPr>
            <w:tcW w:w="0" w:type="dxa"/>
            <w:vAlign w:val="bottom"/>
          </w:tcPr>
          <w:p>
            <w:pPr>
              <w:spacing w:after="0"/>
              <w:rPr>
                <w:sz w:val="1"/>
                <w:szCs w:val="1"/>
                <w:color w:val="auto"/>
              </w:rPr>
            </w:pPr>
          </w:p>
        </w:tc>
      </w:tr>
      <w:tr>
        <w:trPr>
          <w:trHeight w:val="166"/>
        </w:trPr>
        <w:tc>
          <w:tcPr>
            <w:tcW w:w="2380" w:type="dxa"/>
            <w:vAlign w:val="bottom"/>
            <w:vMerge w:val="restart"/>
          </w:tcPr>
          <w:p>
            <w:pPr>
              <w:spacing w:after="0"/>
              <w:rPr>
                <w:sz w:val="20"/>
                <w:szCs w:val="20"/>
                <w:color w:val="auto"/>
              </w:rPr>
            </w:pPr>
            <w:r>
              <w:rPr>
                <w:rFonts w:ascii="Courier New" w:cs="Courier New" w:eastAsia="Courier New" w:hAnsi="Courier New"/>
                <w:sz w:val="14"/>
                <w:szCs w:val="14"/>
                <w:color w:val="auto"/>
              </w:rPr>
              <w:t>1.</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Securities</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Form: Direct</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Indirect</w:t>
            </w:r>
          </w:p>
        </w:tc>
        <w:tc>
          <w:tcPr>
            <w:tcW w:w="0" w:type="dxa"/>
            <w:vAlign w:val="bottom"/>
          </w:tcPr>
          <w:p>
            <w:pPr>
              <w:spacing w:after="0"/>
              <w:rPr>
                <w:sz w:val="1"/>
                <w:szCs w:val="1"/>
                <w:color w:val="auto"/>
              </w:rPr>
            </w:pPr>
          </w:p>
        </w:tc>
      </w:tr>
      <w:tr>
        <w:trPr>
          <w:trHeight w:val="166"/>
        </w:trPr>
        <w:tc>
          <w:tcPr>
            <w:tcW w:w="2380" w:type="dxa"/>
            <w:vAlign w:val="bottom"/>
            <w:vMerge w:val="continue"/>
          </w:tcPr>
          <w:p>
            <w:pPr>
              <w:spacing w:after="0"/>
              <w:rPr>
                <w:sz w:val="14"/>
                <w:szCs w:val="14"/>
                <w:color w:val="auto"/>
              </w:rPr>
            </w:pP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Beneficially</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(D) or</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w w:val="99"/>
              </w:rPr>
              <w:t>Beneficial</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Title of Security</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Owned</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Indirect (I)</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Ownership</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(Instr. 4)</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(Instr. 4)</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(Instr. 5)</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w w:val="99"/>
              </w:rPr>
              <w:t>(Instr. 5)</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04" w:right="139" w:bottom="0" w:gutter="0" w:footer="0" w:header="0"/>
          <w:type w:val="continuous"/>
        </w:sectPr>
      </w:pPr>
    </w:p>
    <w:bookmarkStart w:id="1" w:name="page2"/>
    <w:bookmarkEnd w:id="1"/>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860" w:right="4900" w:hanging="860"/>
        <w:spacing w:after="0" w:line="375" w:lineRule="auto"/>
        <w:rPr>
          <w:sz w:val="20"/>
          <w:szCs w:val="20"/>
          <w:color w:val="auto"/>
        </w:rPr>
      </w:pPr>
      <w:r>
        <w:rPr>
          <w:rFonts w:ascii="Courier New" w:cs="Courier New" w:eastAsia="Courier New" w:hAnsi="Courier New"/>
          <w:sz w:val="14"/>
          <w:szCs w:val="14"/>
          <w:color w:val="auto"/>
        </w:rPr>
        <w:t>Reminder: Report on a separate line for each class of securities beneficially owned directly or indirectly.</w:t>
      </w:r>
    </w:p>
    <w:p>
      <w:pPr>
        <w:spacing w:after="0" w:line="1" w:lineRule="exact"/>
        <w:rPr>
          <w:sz w:val="20"/>
          <w:szCs w:val="20"/>
          <w:color w:val="auto"/>
        </w:rPr>
      </w:pPr>
    </w:p>
    <w:p>
      <w:pPr>
        <w:ind w:left="180" w:right="5240" w:hanging="172"/>
        <w:spacing w:after="0" w:line="376" w:lineRule="auto"/>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form is filed by more than one reporting person, see Instruction 5(b)(v).</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(Over)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360" w:type="dxa"/>
            <w:vAlign w:val="bottom"/>
            <w:gridSpan w:val="2"/>
          </w:tcPr>
          <w:p>
            <w:pPr>
              <w:jc w:val="right"/>
              <w:ind w:right="908"/>
              <w:spacing w:after="0"/>
              <w:rPr>
                <w:sz w:val="20"/>
                <w:szCs w:val="20"/>
                <w:color w:val="auto"/>
              </w:rPr>
            </w:pPr>
            <w:r>
              <w:rPr>
                <w:rFonts w:ascii="Courier New" w:cs="Courier New" w:eastAsia="Courier New" w:hAnsi="Courier New"/>
                <w:sz w:val="14"/>
                <w:szCs w:val="14"/>
                <w:color w:val="auto"/>
              </w:rPr>
              <w:t>SEC 1473(7-96)</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1640" w:type="dxa"/>
            <w:vAlign w:val="bottom"/>
          </w:tcPr>
          <w:p>
            <w:pPr>
              <w:spacing w:after="0"/>
              <w:rPr>
                <w:sz w:val="20"/>
                <w:szCs w:val="20"/>
                <w:color w:val="auto"/>
              </w:rPr>
            </w:pPr>
            <w:r>
              <w:rPr>
                <w:rFonts w:ascii="Courier New" w:cs="Courier New" w:eastAsia="Courier New" w:hAnsi="Courier New"/>
                <w:sz w:val="14"/>
                <w:szCs w:val="14"/>
                <w:color w:val="auto"/>
              </w:rPr>
              <w:t>FORM 3 (continued)</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80" w:type="dxa"/>
            <w:vAlign w:val="bottom"/>
            <w:gridSpan w:val="7"/>
          </w:tcPr>
          <w:p>
            <w:pPr>
              <w:spacing w:after="0"/>
              <w:rPr>
                <w:sz w:val="20"/>
                <w:szCs w:val="20"/>
                <w:color w:val="auto"/>
              </w:rPr>
            </w:pPr>
            <w:r>
              <w:rPr>
                <w:rFonts w:ascii="Courier New" w:cs="Courier New" w:eastAsia="Courier New" w:hAnsi="Courier New"/>
                <w:sz w:val="14"/>
                <w:szCs w:val="14"/>
                <w:color w:val="auto"/>
              </w:rPr>
              <w:t>Table II -- DERIVATIVE SECURITIES ACQUIRED, DISPOSED OF, OR BENEFICIALLY OWNED</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340" w:type="dxa"/>
            <w:vAlign w:val="bottom"/>
            <w:gridSpan w:val="6"/>
          </w:tcPr>
          <w:p>
            <w:pPr>
              <w:ind w:left="780"/>
              <w:spacing w:after="0"/>
              <w:rPr>
                <w:sz w:val="20"/>
                <w:szCs w:val="20"/>
                <w:color w:val="auto"/>
              </w:rPr>
            </w:pPr>
            <w:r>
              <w:rPr>
                <w:rFonts w:ascii="Courier New" w:cs="Courier New" w:eastAsia="Courier New" w:hAnsi="Courier New"/>
                <w:sz w:val="14"/>
                <w:szCs w:val="14"/>
                <w:color w:val="auto"/>
              </w:rPr>
              <w:t>(e.g., puts, calls, warrants, options, convertible securities)</w:t>
            </w:r>
          </w:p>
        </w:tc>
        <w:tc>
          <w:tcPr>
            <w:tcW w:w="1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7880" w:type="dxa"/>
            <w:vAlign w:val="bottom"/>
            <w:gridSpan w:val="7"/>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3.</w:t>
            </w: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Owner-</w:t>
            </w:r>
          </w:p>
        </w:tc>
        <w:tc>
          <w:tcPr>
            <w:tcW w:w="8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7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spacing w:after="0"/>
              <w:rPr>
                <w:sz w:val="14"/>
                <w:szCs w:val="14"/>
                <w:color w:val="auto"/>
              </w:rPr>
            </w:pP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Title and Amount</w:t>
            </w:r>
          </w:p>
        </w:tc>
        <w:tc>
          <w:tcPr>
            <w:tcW w:w="8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4.</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ship</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Securities</w:t>
            </w:r>
          </w:p>
        </w:tc>
        <w:tc>
          <w:tcPr>
            <w:tcW w:w="820" w:type="dxa"/>
            <w:vAlign w:val="bottom"/>
            <w:vMerge w:val="continue"/>
          </w:tcPr>
          <w:p>
            <w:pPr>
              <w:spacing w:after="0"/>
              <w:rPr>
                <w:sz w:val="14"/>
                <w:szCs w:val="14"/>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Form of</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Nature</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Date</w:t>
            </w:r>
          </w:p>
        </w:tc>
        <w:tc>
          <w:tcPr>
            <w:tcW w:w="780" w:type="dxa"/>
            <w:vAlign w:val="bottom"/>
          </w:tcPr>
          <w:p>
            <w:pPr>
              <w:spacing w:after="0"/>
              <w:rPr>
                <w:sz w:val="14"/>
                <w:szCs w:val="14"/>
                <w:color w:val="auto"/>
              </w:rPr>
            </w:pP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Underlying</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Conver-</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Deriv-</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of</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Exercisable and</w:t>
            </w: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Derivative</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sion or</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ative</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w w:val="98"/>
              </w:rPr>
              <w:t>Indirect</w:t>
            </w:r>
          </w:p>
        </w:tc>
        <w:tc>
          <w:tcPr>
            <w:tcW w:w="0" w:type="dxa"/>
            <w:vAlign w:val="bottom"/>
          </w:tcPr>
          <w:p>
            <w:pPr>
              <w:spacing w:after="0"/>
              <w:rPr>
                <w:sz w:val="1"/>
                <w:szCs w:val="1"/>
                <w:color w:val="auto"/>
              </w:rPr>
            </w:pPr>
          </w:p>
        </w:tc>
      </w:tr>
      <w:tr>
        <w:trPr>
          <w:trHeight w:val="166"/>
        </w:trPr>
        <w:tc>
          <w:tcPr>
            <w:tcW w:w="1640" w:type="dxa"/>
            <w:vAlign w:val="bottom"/>
            <w:vMerge w:val="restart"/>
          </w:tcPr>
          <w:p>
            <w:pPr>
              <w:spacing w:after="0"/>
              <w:rPr>
                <w:sz w:val="20"/>
                <w:szCs w:val="20"/>
                <w:color w:val="auto"/>
              </w:rPr>
            </w:pPr>
            <w:r>
              <w:rPr>
                <w:rFonts w:ascii="Courier New" w:cs="Courier New" w:eastAsia="Courier New" w:hAnsi="Courier New"/>
                <w:sz w:val="14"/>
                <w:szCs w:val="14"/>
                <w:color w:val="auto"/>
              </w:rPr>
              <w:t>1.</w:t>
            </w:r>
          </w:p>
        </w:tc>
        <w:tc>
          <w:tcPr>
            <w:tcW w:w="15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Expiration Date</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Security</w:t>
            </w:r>
          </w:p>
        </w:tc>
        <w:tc>
          <w:tcPr>
            <w:tcW w:w="15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Secur-</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Bene-</w:t>
            </w:r>
          </w:p>
        </w:tc>
        <w:tc>
          <w:tcPr>
            <w:tcW w:w="0" w:type="dxa"/>
            <w:vAlign w:val="bottom"/>
          </w:tcPr>
          <w:p>
            <w:pPr>
              <w:spacing w:after="0"/>
              <w:rPr>
                <w:sz w:val="1"/>
                <w:szCs w:val="1"/>
                <w:color w:val="auto"/>
              </w:rPr>
            </w:pPr>
          </w:p>
        </w:tc>
      </w:tr>
      <w:tr>
        <w:trPr>
          <w:trHeight w:val="166"/>
        </w:trPr>
        <w:tc>
          <w:tcPr>
            <w:tcW w:w="1640" w:type="dxa"/>
            <w:vAlign w:val="bottom"/>
            <w:vMerge w:val="continue"/>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(Month/Day/Year)</w:t>
            </w: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(Instr. 4)</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Price</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ity:</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ficial</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Title of</w:t>
            </w:r>
          </w:p>
        </w:tc>
        <w:tc>
          <w:tcPr>
            <w:tcW w:w="15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Direct (D)</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Owner-</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Derivative</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Date</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Expira-</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Title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Amount or Number</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Deri-</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or</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ship</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Security</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Exer-</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tion</w:t>
            </w:r>
          </w:p>
        </w:tc>
        <w:tc>
          <w:tcPr>
            <w:tcW w:w="8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vative</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Indirect (I)</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(Instr.</w:t>
            </w:r>
          </w:p>
        </w:tc>
        <w:tc>
          <w:tcPr>
            <w:tcW w:w="0" w:type="dxa"/>
            <w:vAlign w:val="bottom"/>
          </w:tcPr>
          <w:p>
            <w:pPr>
              <w:spacing w:after="0"/>
              <w:rPr>
                <w:sz w:val="1"/>
                <w:szCs w:val="1"/>
                <w:color w:val="auto"/>
              </w:rPr>
            </w:pPr>
          </w:p>
        </w:tc>
      </w:tr>
      <w:tr>
        <w:trPr>
          <w:trHeight w:val="192"/>
        </w:trPr>
        <w:tc>
          <w:tcPr>
            <w:tcW w:w="1640" w:type="dxa"/>
            <w:vAlign w:val="bottom"/>
          </w:tcPr>
          <w:p>
            <w:pPr>
              <w:spacing w:after="0"/>
              <w:rPr>
                <w:sz w:val="20"/>
                <w:szCs w:val="20"/>
                <w:color w:val="auto"/>
              </w:rPr>
            </w:pPr>
            <w:r>
              <w:rPr>
                <w:rFonts w:ascii="Courier New" w:cs="Courier New" w:eastAsia="Courier New" w:hAnsi="Courier New"/>
                <w:sz w:val="14"/>
                <w:szCs w:val="14"/>
                <w:color w:val="auto"/>
              </w:rPr>
              <w:t>(Instr. 4)</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cisable</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Date</w:t>
            </w:r>
          </w:p>
        </w:tc>
        <w:tc>
          <w:tcPr>
            <w:tcW w:w="820" w:type="dxa"/>
            <w:vAlign w:val="bottom"/>
          </w:tcPr>
          <w:p>
            <w:pPr>
              <w:spacing w:after="0"/>
              <w:rPr>
                <w:sz w:val="16"/>
                <w:szCs w:val="16"/>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Security</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(Instr.5)</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7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spacing w:after="0"/>
        <w:tabs>
          <w:tab w:leader="none" w:pos="2060" w:val="left"/>
          <w:tab w:leader="none" w:pos="3440" w:val="left"/>
          <w:tab w:leader="none" w:pos="4820" w:val="left"/>
          <w:tab w:leader="none" w:pos="6880" w:val="left"/>
          <w:tab w:leader="none" w:pos="7560" w:val="left"/>
          <w:tab w:leader="none" w:pos="8940" w:val="left"/>
        </w:tabs>
        <w:rPr>
          <w:sz w:val="20"/>
          <w:szCs w:val="20"/>
          <w:color w:val="auto"/>
        </w:rPr>
      </w:pPr>
      <w:r>
        <w:rPr>
          <w:rFonts w:ascii="Courier New" w:cs="Courier New" w:eastAsia="Courier New" w:hAnsi="Courier New"/>
          <w:sz w:val="14"/>
          <w:szCs w:val="14"/>
          <w:color w:val="auto"/>
        </w:rPr>
        <w:t>Option (right to buy)*</w:t>
        <w:tab/>
        <w:t>12/11/00</w:t>
      </w:r>
      <w:r>
        <w:rPr>
          <w:sz w:val="20"/>
          <w:szCs w:val="20"/>
          <w:color w:val="auto"/>
        </w:rPr>
        <w:tab/>
      </w:r>
      <w:r>
        <w:rPr>
          <w:rFonts w:ascii="Courier New" w:cs="Courier New" w:eastAsia="Courier New" w:hAnsi="Courier New"/>
          <w:sz w:val="14"/>
          <w:szCs w:val="14"/>
          <w:color w:val="auto"/>
        </w:rPr>
        <w:t>12/11/06</w:t>
      </w:r>
      <w:r>
        <w:rPr>
          <w:sz w:val="20"/>
          <w:szCs w:val="20"/>
          <w:color w:val="auto"/>
        </w:rPr>
        <w:tab/>
      </w:r>
      <w:r>
        <w:rPr>
          <w:rFonts w:ascii="Courier New" w:cs="Courier New" w:eastAsia="Courier New" w:hAnsi="Courier New"/>
          <w:sz w:val="14"/>
          <w:szCs w:val="14"/>
          <w:color w:val="auto"/>
        </w:rPr>
        <w:t>Class B Common Stock</w:t>
      </w:r>
      <w:r>
        <w:rPr>
          <w:sz w:val="20"/>
          <w:szCs w:val="20"/>
          <w:color w:val="auto"/>
        </w:rPr>
        <w:tab/>
      </w:r>
      <w:r>
        <w:rPr>
          <w:rFonts w:ascii="Courier New" w:cs="Courier New" w:eastAsia="Courier New" w:hAnsi="Courier New"/>
          <w:sz w:val="14"/>
          <w:szCs w:val="14"/>
          <w:color w:val="auto"/>
        </w:rPr>
        <w:t>1,000</w:t>
        <w:tab/>
        <w:t>$343.938</w:t>
      </w:r>
      <w:r>
        <w:rPr>
          <w:sz w:val="20"/>
          <w:szCs w:val="20"/>
          <w:color w:val="auto"/>
        </w:rPr>
        <w:tab/>
      </w:r>
      <w:r>
        <w:rPr>
          <w:rFonts w:ascii="Courier New" w:cs="Courier New" w:eastAsia="Courier New" w:hAnsi="Courier New"/>
          <w:sz w:val="14"/>
          <w:szCs w:val="14"/>
          <w:color w:val="auto"/>
        </w:rPr>
        <w: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1980" w:type="dxa"/>
            <w:vAlign w:val="bottom"/>
            <w:gridSpan w:val="4"/>
          </w:tcPr>
          <w:p>
            <w:pPr>
              <w:spacing w:after="0" w:line="147" w:lineRule="exact"/>
              <w:rPr>
                <w:sz w:val="20"/>
                <w:szCs w:val="20"/>
                <w:color w:val="auto"/>
              </w:rPr>
            </w:pPr>
            <w:r>
              <w:rPr>
                <w:rFonts w:ascii="Courier New" w:cs="Courier New" w:eastAsia="Courier New" w:hAnsi="Courier New"/>
                <w:sz w:val="14"/>
                <w:szCs w:val="14"/>
                <w:color w:val="auto"/>
              </w:rPr>
              <w:t>Option (right to buy)*</w:t>
            </w:r>
          </w:p>
        </w:tc>
        <w:tc>
          <w:tcPr>
            <w:tcW w:w="112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12/11/00</w:t>
            </w:r>
          </w:p>
        </w:tc>
        <w:tc>
          <w:tcPr>
            <w:tcW w:w="138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12/11/08</w:t>
            </w:r>
          </w:p>
        </w:tc>
        <w:tc>
          <w:tcPr>
            <w:tcW w:w="2240" w:type="dxa"/>
            <w:vAlign w:val="bottom"/>
            <w:gridSpan w:val="3"/>
          </w:tcPr>
          <w:p>
            <w:pPr>
              <w:ind w:left="360"/>
              <w:spacing w:after="0" w:line="147" w:lineRule="exact"/>
              <w:rPr>
                <w:sz w:val="20"/>
                <w:szCs w:val="20"/>
                <w:color w:val="auto"/>
              </w:rPr>
            </w:pPr>
            <w:r>
              <w:rPr>
                <w:rFonts w:ascii="Courier New" w:cs="Courier New" w:eastAsia="Courier New" w:hAnsi="Courier New"/>
                <w:sz w:val="14"/>
                <w:szCs w:val="14"/>
                <w:color w:val="auto"/>
              </w:rPr>
              <w:t>Class B Common Stock</w:t>
            </w:r>
          </w:p>
        </w:tc>
        <w:tc>
          <w:tcPr>
            <w:tcW w:w="740" w:type="dxa"/>
            <w:vAlign w:val="bottom"/>
          </w:tcPr>
          <w:p>
            <w:pPr>
              <w:ind w:left="180"/>
              <w:spacing w:after="0" w:line="147" w:lineRule="exact"/>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308"/>
              <w:spacing w:after="0" w:line="147" w:lineRule="exact"/>
              <w:rPr>
                <w:sz w:val="20"/>
                <w:szCs w:val="20"/>
                <w:color w:val="auto"/>
              </w:rPr>
            </w:pPr>
            <w:r>
              <w:rPr>
                <w:rFonts w:ascii="Courier New" w:cs="Courier New" w:eastAsia="Courier New" w:hAnsi="Courier New"/>
                <w:sz w:val="14"/>
                <w:szCs w:val="14"/>
                <w:color w:val="auto"/>
              </w:rPr>
              <w:t>$517.25</w:t>
            </w:r>
          </w:p>
        </w:tc>
        <w:tc>
          <w:tcPr>
            <w:tcW w:w="2960" w:type="dxa"/>
            <w:vAlign w:val="bottom"/>
          </w:tcPr>
          <w:p>
            <w:pPr>
              <w:ind w:left="380"/>
              <w:spacing w:after="0" w:line="147" w:lineRule="exact"/>
              <w:rPr>
                <w:sz w:val="20"/>
                <w:szCs w:val="20"/>
                <w:color w:val="auto"/>
              </w:rPr>
            </w:pPr>
            <w:r>
              <w:rPr>
                <w:rFonts w:ascii="Courier New" w:cs="Courier New" w:eastAsia="Courier New" w:hAnsi="Courier New"/>
                <w:sz w:val="14"/>
                <w:szCs w:val="14"/>
                <w:color w:val="auto"/>
              </w:rPr>
              <w:t>D</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Option (right</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buy)*</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03/01/01</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03/01/09</w:t>
            </w: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Class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 Common</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500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$548.00</w:t>
            </w:r>
          </w:p>
        </w:tc>
        <w:tc>
          <w:tcPr>
            <w:tcW w:w="2960" w:type="dxa"/>
            <w:vAlign w:val="bottom"/>
          </w:tcPr>
          <w:p>
            <w:pPr>
              <w:ind w:left="380"/>
              <w:spacing w:after="0"/>
              <w:rPr>
                <w:sz w:val="20"/>
                <w:szCs w:val="20"/>
                <w:color w:val="auto"/>
              </w:rPr>
            </w:pPr>
            <w:r>
              <w:rPr>
                <w:rFonts w:ascii="Courier New" w:cs="Courier New" w:eastAsia="Courier New" w:hAnsi="Courier New"/>
                <w:sz w:val="14"/>
                <w:szCs w:val="14"/>
                <w:color w:val="auto"/>
              </w:rPr>
              <w:t>D</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92"/>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Option (right</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buy)*</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12/20/09</w:t>
            </w: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Class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 Common</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1,500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$543.00</w:t>
            </w:r>
          </w:p>
        </w:tc>
        <w:tc>
          <w:tcPr>
            <w:tcW w:w="2960" w:type="dxa"/>
            <w:vAlign w:val="bottom"/>
          </w:tcPr>
          <w:p>
            <w:pPr>
              <w:ind w:left="380"/>
              <w:spacing w:after="0"/>
              <w:rPr>
                <w:sz w:val="20"/>
                <w:szCs w:val="20"/>
                <w:color w:val="auto"/>
              </w:rPr>
            </w:pPr>
            <w:r>
              <w:rPr>
                <w:rFonts w:ascii="Courier New" w:cs="Courier New" w:eastAsia="Courier New" w:hAnsi="Courier New"/>
                <w:sz w:val="14"/>
                <w:szCs w:val="14"/>
                <w:color w:val="auto"/>
              </w:rPr>
              <w:t>D</w:t>
            </w:r>
          </w:p>
        </w:tc>
      </w:tr>
    </w:tbl>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Explanation of Responses: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option granted pursuant to The Washington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 Company Stock Option Plan.</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0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s/Gerald M. Rosberg</w:t>
            </w:r>
          </w:p>
        </w:tc>
        <w:tc>
          <w:tcPr>
            <w:tcW w:w="2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July 29, 2002</w:t>
            </w:r>
          </w:p>
        </w:tc>
        <w:tc>
          <w:tcPr>
            <w:tcW w:w="0" w:type="dxa"/>
            <w:vAlign w:val="bottom"/>
          </w:tcPr>
          <w:p>
            <w:pPr>
              <w:spacing w:after="0"/>
              <w:rPr>
                <w:sz w:val="1"/>
                <w:szCs w:val="1"/>
                <w:color w:val="auto"/>
              </w:rPr>
            </w:pPr>
          </w:p>
        </w:tc>
      </w:tr>
      <w:tr>
        <w:trPr>
          <w:trHeight w:val="166"/>
        </w:trPr>
        <w:tc>
          <w:tcPr>
            <w:tcW w:w="1560" w:type="dxa"/>
            <w:vAlign w:val="bottom"/>
            <w:vMerge w:val="restart"/>
          </w:tcPr>
          <w:p>
            <w:pPr>
              <w:spacing w:after="0"/>
              <w:rPr>
                <w:sz w:val="20"/>
                <w:szCs w:val="20"/>
                <w:color w:val="auto"/>
              </w:rPr>
            </w:pPr>
            <w:r>
              <w:rPr>
                <w:rFonts w:ascii="Courier New" w:cs="Courier New" w:eastAsia="Courier New" w:hAnsi="Courier New"/>
                <w:sz w:val="4"/>
                <w:szCs w:val="4"/>
                <w:color w:val="auto"/>
              </w:rPr>
              <w:t>- ---------------------------------------------</w:t>
            </w:r>
            <w:r>
              <w:rPr>
                <w:rFonts w:ascii="Courier New" w:cs="Courier New" w:eastAsia="Courier New" w:hAnsi="Courier New"/>
                <w:sz w:val="7"/>
                <w:szCs w:val="7"/>
                <w:color w:val="auto"/>
                <w:vertAlign w:val="subscript"/>
              </w:rPr>
              <w:t>**Signature</w:t>
            </w:r>
          </w:p>
        </w:tc>
        <w:tc>
          <w:tcPr>
            <w:tcW w:w="2540" w:type="dxa"/>
            <w:vAlign w:val="bottom"/>
            <w:vMerge w:val="restart"/>
          </w:tcPr>
          <w:p>
            <w:pPr>
              <w:spacing w:after="0"/>
              <w:rPr>
                <w:sz w:val="20"/>
                <w:szCs w:val="20"/>
                <w:color w:val="auto"/>
              </w:rPr>
            </w:pPr>
            <w:r>
              <w:rPr>
                <w:rFonts w:ascii="Courier New" w:cs="Courier New" w:eastAsia="Courier New" w:hAnsi="Courier New"/>
                <w:sz w:val="14"/>
                <w:szCs w:val="14"/>
                <w:color w:val="auto"/>
              </w:rPr>
              <w:t>of Reporting Person</w:t>
            </w: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29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Date</w:t>
            </w:r>
          </w:p>
        </w:tc>
        <w:tc>
          <w:tcPr>
            <w:tcW w:w="0" w:type="dxa"/>
            <w:vAlign w:val="bottom"/>
          </w:tcPr>
          <w:p>
            <w:pPr>
              <w:spacing w:after="0"/>
              <w:rPr>
                <w:sz w:val="1"/>
                <w:szCs w:val="1"/>
                <w:color w:val="auto"/>
              </w:rPr>
            </w:pPr>
          </w:p>
        </w:tc>
      </w:tr>
      <w:tr>
        <w:trPr>
          <w:trHeight w:val="242"/>
        </w:trPr>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Gerald M.</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Rosberg</w:t>
            </w:r>
          </w:p>
        </w:tc>
        <w:tc>
          <w:tcPr>
            <w:tcW w:w="2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20" w:right="5240" w:hanging="612"/>
        <w:spacing w:after="0" w:line="375"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 misstatements or omissions of facts constitute Federal Criminal Violations. See 18 U.S.C. 1001 and 15 U.S.C. 78ff(a).</w:t>
      </w:r>
    </w:p>
    <w:p>
      <w:pPr>
        <w:spacing w:after="0" w:line="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Note:</w:t>
        <w:tab/>
        <w:t>File three copies of this Form, one of which must be manually signed.</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If space provided is insufficient, see Instruction 6 for procedure.</w:t>
      </w:r>
    </w:p>
    <w:p>
      <w:pPr>
        <w:spacing w:after="0" w:line="312"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1540"/>
          </w:cols>
          <w:pgMar w:left="220" w:top="281" w:right="139" w:bottom="1092" w:gutter="0" w:footer="0" w:header="0"/>
        </w:sectPr>
      </w:pPr>
    </w:p>
    <w:bookmarkStart w:id="2" w:name="page3"/>
    <w:bookmarkEnd w:id="2"/>
    <w:p>
      <w:pPr>
        <w:ind w:left="700"/>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Reports Under Section 16(a)</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312" w:lineRule="exact"/>
        <w:rPr>
          <w:sz w:val="20"/>
          <w:szCs w:val="20"/>
          <w:color w:val="auto"/>
        </w:rPr>
      </w:pPr>
    </w:p>
    <w:p>
      <w:pPr>
        <w:ind w:right="4019" w:firstLine="689"/>
        <w:spacing w:after="0" w:line="263" w:lineRule="auto"/>
        <w:rPr>
          <w:sz w:val="20"/>
          <w:szCs w:val="20"/>
          <w:color w:val="auto"/>
        </w:rPr>
      </w:pPr>
      <w:r>
        <w:rPr>
          <w:rFonts w:ascii="Courier New" w:cs="Courier New" w:eastAsia="Courier New" w:hAnsi="Courier New"/>
          <w:sz w:val="14"/>
          <w:szCs w:val="14"/>
          <w:color w:val="auto"/>
        </w:rPr>
        <w:t>KNOW ALL MEN BY THESE PRESENTS that the undersigned, a director, executive officer or beneficial owner of more than ten percent of the equity securities of The Washington Post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 (hereinafter called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appoints DIANA M. DANIELS, JOHN F. HOCKENBERRY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MORSE, JR., and each of them, his or her true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lawful attorneys-in-fact and agents with full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to act without the other and with full power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substitution and resubstitution, to execute, deliver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file, for him or her and in his or her name, place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stead, any and all statements, reports and forms,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any and all amendments and supplements thereto,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be filed with the Securities and Exchange</w:t>
      </w:r>
    </w:p>
    <w:p>
      <w:pPr>
        <w:spacing w:after="0" w:line="7" w:lineRule="exact"/>
        <w:rPr>
          <w:sz w:val="20"/>
          <w:szCs w:val="20"/>
          <w:color w:val="auto"/>
        </w:rPr>
      </w:pPr>
    </w:p>
    <w:p>
      <w:pPr>
        <w:ind w:right="4799"/>
        <w:spacing w:after="0" w:line="250" w:lineRule="auto"/>
        <w:rPr>
          <w:sz w:val="20"/>
          <w:szCs w:val="20"/>
          <w:color w:val="auto"/>
        </w:rPr>
      </w:pPr>
      <w:r>
        <w:rPr>
          <w:rFonts w:ascii="Courier New" w:cs="Courier New" w:eastAsia="Courier New" w:hAnsi="Courier New"/>
          <w:sz w:val="14"/>
          <w:szCs w:val="14"/>
          <w:color w:val="auto"/>
        </w:rPr>
        <w:t>Commission under Section 16(a) of the Securities Exchange Act of 1934 and the rules and regulations adopted thereunder, in each case as the same may be amended from time to time, with respect to the ownership and changes in ownership of equity securities of the Company and derivatives of such equity securities, hereby granting to said attorneys-in-fact and agents, and each of them, full power and authority to do and perform each and every act and thing requisite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necessary to be done in and about the premises as fully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all intents and purposes as he or she might or could do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person, hereby ratifying and confirming all that said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attorneys-in-fact or agents or any of them, or their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substitute or substitutes, may lawfully do our cause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done by virtue hereof.</w:t>
      </w:r>
    </w:p>
    <w:p>
      <w:pPr>
        <w:spacing w:after="0" w:line="31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9/19/00</w:t>
      </w:r>
    </w:p>
    <w:p>
      <w:pPr>
        <w:spacing w:after="0" w:line="338"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s/Gerald M. Rosberg</w:t>
      </w:r>
    </w:p>
    <w:p>
      <w:pPr>
        <w:spacing w:after="0" w:line="3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GERALD M. ROSBERG</w:t>
      </w:r>
    </w:p>
    <w:sectPr>
      <w:pgSz w:w="11900" w:h="16838" w:orient="portrait"/>
      <w:cols w:equalWidth="0" w:num="1">
        <w:col w:w="10239"/>
      </w:cols>
      <w:pgMar w:left="22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upperLetter"/>
      <w:start w:val="24"/>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2019-12-13T07:55:06Z</dcterms:created>
  <dcterms:modified xsi:type="dcterms:W3CDTF">2019-12-13T07:55:06Z</dcterms:modified>
</cp:coreProperties>
</file>