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346710</wp:posOffset>
            </wp:positionV>
            <wp:extent cx="714819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3048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452755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As filed with the Securities and Exchange Commission on June 22, 2022</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Registration No. 333-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3036570</wp:posOffset>
            </wp:positionH>
            <wp:positionV relativeFrom="paragraph">
              <wp:posOffset>196850</wp:posOffset>
            </wp:positionV>
            <wp:extent cx="10687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8705" cy="1524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REGISTRATION STATEMENT</w:t>
      </w:r>
    </w:p>
    <w:p>
      <w:pPr>
        <w:jc w:val="center"/>
        <w:spacing w:after="0" w:line="236" w:lineRule="auto"/>
        <w:rPr>
          <w:sz w:val="20"/>
          <w:szCs w:val="20"/>
          <w:color w:val="auto"/>
        </w:rPr>
      </w:pPr>
      <w:r>
        <w:rPr>
          <w:rFonts w:ascii="Arial" w:cs="Arial" w:eastAsia="Arial" w:hAnsi="Arial"/>
          <w:sz w:val="19"/>
          <w:szCs w:val="19"/>
          <w:color w:val="auto"/>
        </w:rPr>
        <w:t>UNDER</w:t>
      </w:r>
    </w:p>
    <w:p>
      <w:pPr>
        <w:jc w:val="center"/>
        <w:spacing w:after="0"/>
        <w:rPr>
          <w:sz w:val="20"/>
          <w:szCs w:val="20"/>
          <w:color w:val="auto"/>
        </w:rPr>
      </w:pPr>
      <w:r>
        <w:rPr>
          <w:rFonts w:ascii="Arial" w:cs="Arial" w:eastAsia="Arial" w:hAnsi="Arial"/>
          <w:sz w:val="19"/>
          <w:szCs w:val="19"/>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3036570</wp:posOffset>
            </wp:positionH>
            <wp:positionV relativeFrom="paragraph">
              <wp:posOffset>196850</wp:posOffset>
            </wp:positionV>
            <wp:extent cx="10687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8705" cy="1524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GRAHAM HOLDINGS COMPANY</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3036570</wp:posOffset>
            </wp:positionH>
            <wp:positionV relativeFrom="paragraph">
              <wp:posOffset>196850</wp:posOffset>
            </wp:positionV>
            <wp:extent cx="10687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870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1760" w:type="dxa"/>
        <w:tblCellMar>
          <w:top w:w="0" w:type="dxa"/>
          <w:left w:w="0" w:type="dxa"/>
          <w:bottom w:w="0" w:type="dxa"/>
          <w:right w:w="0" w:type="dxa"/>
        </w:tblCellMar>
      </w:tblPr>
      <w:tr>
        <w:trPr>
          <w:trHeight w:val="195"/>
        </w:trPr>
        <w:tc>
          <w:tcPr>
            <w:tcW w:w="4020" w:type="dxa"/>
            <w:vAlign w:val="bottom"/>
          </w:tcPr>
          <w:p>
            <w:pPr>
              <w:jc w:val="center"/>
              <w:ind w:right="1820"/>
              <w:spacing w:after="0"/>
              <w:rPr>
                <w:sz w:val="20"/>
                <w:szCs w:val="20"/>
                <w:color w:val="auto"/>
              </w:rPr>
            </w:pPr>
            <w:r>
              <w:rPr>
                <w:rFonts w:ascii="Arial" w:cs="Arial" w:eastAsia="Arial" w:hAnsi="Arial"/>
                <w:sz w:val="16"/>
                <w:szCs w:val="16"/>
                <w:b w:val="1"/>
                <w:bCs w:val="1"/>
                <w:color w:val="auto"/>
                <w:w w:val="91"/>
              </w:rPr>
              <w:t>Delaware</w:t>
            </w:r>
          </w:p>
        </w:tc>
        <w:tc>
          <w:tcPr>
            <w:tcW w:w="3400" w:type="dxa"/>
            <w:vAlign w:val="bottom"/>
          </w:tcPr>
          <w:p>
            <w:pPr>
              <w:jc w:val="center"/>
              <w:ind w:left="1840"/>
              <w:spacing w:after="0"/>
              <w:rPr>
                <w:sz w:val="20"/>
                <w:szCs w:val="20"/>
                <w:color w:val="auto"/>
              </w:rPr>
            </w:pPr>
            <w:r>
              <w:rPr>
                <w:rFonts w:ascii="Arial" w:cs="Arial" w:eastAsia="Arial" w:hAnsi="Arial"/>
                <w:sz w:val="16"/>
                <w:szCs w:val="16"/>
                <w:b w:val="1"/>
                <w:bCs w:val="1"/>
                <w:color w:val="auto"/>
                <w:w w:val="88"/>
              </w:rPr>
              <w:t>53-0182885</w:t>
            </w:r>
          </w:p>
        </w:tc>
      </w:tr>
      <w:tr>
        <w:trPr>
          <w:trHeight w:val="191"/>
        </w:trPr>
        <w:tc>
          <w:tcPr>
            <w:tcW w:w="4020" w:type="dxa"/>
            <w:vAlign w:val="bottom"/>
          </w:tcPr>
          <w:p>
            <w:pPr>
              <w:jc w:val="center"/>
              <w:ind w:right="1820"/>
              <w:spacing w:after="0"/>
              <w:rPr>
                <w:sz w:val="20"/>
                <w:szCs w:val="20"/>
                <w:color w:val="auto"/>
              </w:rPr>
            </w:pPr>
            <w:r>
              <w:rPr>
                <w:rFonts w:ascii="Arial" w:cs="Arial" w:eastAsia="Arial" w:hAnsi="Arial"/>
                <w:sz w:val="16"/>
                <w:szCs w:val="16"/>
                <w:color w:val="auto"/>
                <w:w w:val="92"/>
              </w:rPr>
              <w:t>(State or other jurisdiction</w:t>
            </w:r>
          </w:p>
        </w:tc>
        <w:tc>
          <w:tcPr>
            <w:tcW w:w="3400" w:type="dxa"/>
            <w:vAlign w:val="bottom"/>
          </w:tcPr>
          <w:p>
            <w:pPr>
              <w:jc w:val="center"/>
              <w:ind w:left="1840"/>
              <w:spacing w:after="0"/>
              <w:rPr>
                <w:sz w:val="20"/>
                <w:szCs w:val="20"/>
                <w:color w:val="auto"/>
              </w:rPr>
            </w:pPr>
            <w:r>
              <w:rPr>
                <w:rFonts w:ascii="Arial" w:cs="Arial" w:eastAsia="Arial" w:hAnsi="Arial"/>
                <w:sz w:val="16"/>
                <w:szCs w:val="16"/>
                <w:color w:val="auto"/>
                <w:w w:val="91"/>
              </w:rPr>
              <w:t>(I.R.S. Employer</w:t>
            </w:r>
          </w:p>
        </w:tc>
      </w:tr>
      <w:tr>
        <w:trPr>
          <w:trHeight w:val="204"/>
        </w:trPr>
        <w:tc>
          <w:tcPr>
            <w:tcW w:w="4020" w:type="dxa"/>
            <w:vAlign w:val="bottom"/>
          </w:tcPr>
          <w:p>
            <w:pPr>
              <w:jc w:val="center"/>
              <w:ind w:right="1840"/>
              <w:spacing w:after="0"/>
              <w:rPr>
                <w:sz w:val="20"/>
                <w:szCs w:val="20"/>
                <w:color w:val="auto"/>
              </w:rPr>
            </w:pPr>
            <w:r>
              <w:rPr>
                <w:rFonts w:ascii="Arial" w:cs="Arial" w:eastAsia="Arial" w:hAnsi="Arial"/>
                <w:sz w:val="16"/>
                <w:szCs w:val="16"/>
                <w:color w:val="auto"/>
                <w:w w:val="92"/>
              </w:rPr>
              <w:t>of incorporation or organization)</w:t>
            </w:r>
          </w:p>
        </w:tc>
        <w:tc>
          <w:tcPr>
            <w:tcW w:w="3400" w:type="dxa"/>
            <w:vAlign w:val="bottom"/>
          </w:tcPr>
          <w:p>
            <w:pPr>
              <w:jc w:val="center"/>
              <w:ind w:left="1840"/>
              <w:spacing w:after="0"/>
              <w:rPr>
                <w:sz w:val="20"/>
                <w:szCs w:val="20"/>
                <w:color w:val="auto"/>
              </w:rPr>
            </w:pPr>
            <w:r>
              <w:rPr>
                <w:rFonts w:ascii="Arial" w:cs="Arial" w:eastAsia="Arial" w:hAnsi="Arial"/>
                <w:sz w:val="16"/>
                <w:szCs w:val="16"/>
                <w:color w:val="auto"/>
                <w:w w:val="94"/>
              </w:rPr>
              <w:t>Identification Number)</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1300 North 17th Street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Arlington, VA 22209</w:t>
      </w:r>
    </w:p>
    <w:p>
      <w:pPr>
        <w:jc w:val="center"/>
        <w:spacing w:after="0"/>
        <w:rPr>
          <w:sz w:val="20"/>
          <w:szCs w:val="20"/>
          <w:color w:val="auto"/>
        </w:rPr>
      </w:pPr>
      <w:r>
        <w:rPr>
          <w:rFonts w:ascii="Arial" w:cs="Arial" w:eastAsia="Arial" w:hAnsi="Arial"/>
          <w:sz w:val="19"/>
          <w:szCs w:val="19"/>
          <w:color w:val="auto"/>
        </w:rPr>
        <w:t>(Address of principal executive offices) (zip code)</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Graham Holdings Company 2022 Incentive Compensation Plan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(Full title of the plan)</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Nicole M. Maddrey</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Senior Vice President, General Counsel and Secretary</w:t>
      </w:r>
    </w:p>
    <w:p>
      <w:pPr>
        <w:jc w:val="center"/>
        <w:spacing w:after="0" w:line="236" w:lineRule="auto"/>
        <w:rPr>
          <w:sz w:val="20"/>
          <w:szCs w:val="20"/>
          <w:color w:val="auto"/>
        </w:rPr>
      </w:pPr>
      <w:r>
        <w:rPr>
          <w:rFonts w:ascii="Arial" w:cs="Arial" w:eastAsia="Arial" w:hAnsi="Arial"/>
          <w:sz w:val="19"/>
          <w:szCs w:val="19"/>
          <w:b w:val="1"/>
          <w:bCs w:val="1"/>
          <w:color w:val="auto"/>
        </w:rPr>
        <w:t>Graham Holdings Company</w:t>
      </w:r>
    </w:p>
    <w:p>
      <w:pPr>
        <w:jc w:val="center"/>
        <w:spacing w:after="0" w:line="236" w:lineRule="auto"/>
        <w:rPr>
          <w:sz w:val="20"/>
          <w:szCs w:val="20"/>
          <w:color w:val="auto"/>
        </w:rPr>
      </w:pPr>
      <w:r>
        <w:rPr>
          <w:rFonts w:ascii="Arial" w:cs="Arial" w:eastAsia="Arial" w:hAnsi="Arial"/>
          <w:sz w:val="19"/>
          <w:szCs w:val="19"/>
          <w:b w:val="1"/>
          <w:bCs w:val="1"/>
          <w:color w:val="auto"/>
        </w:rPr>
        <w:t>1300 North 17th Street</w:t>
      </w:r>
    </w:p>
    <w:p>
      <w:pPr>
        <w:jc w:val="center"/>
        <w:spacing w:after="0" w:line="236" w:lineRule="auto"/>
        <w:rPr>
          <w:sz w:val="20"/>
          <w:szCs w:val="20"/>
          <w:color w:val="auto"/>
        </w:rPr>
      </w:pPr>
      <w:r>
        <w:rPr>
          <w:rFonts w:ascii="Arial" w:cs="Arial" w:eastAsia="Arial" w:hAnsi="Arial"/>
          <w:sz w:val="19"/>
          <w:szCs w:val="19"/>
          <w:b w:val="1"/>
          <w:bCs w:val="1"/>
          <w:color w:val="auto"/>
        </w:rPr>
        <w:t>Arlington, VA 22209</w:t>
      </w:r>
    </w:p>
    <w:p>
      <w:pPr>
        <w:jc w:val="center"/>
        <w:spacing w:after="0" w:line="236" w:lineRule="auto"/>
        <w:rPr>
          <w:sz w:val="20"/>
          <w:szCs w:val="20"/>
          <w:color w:val="auto"/>
        </w:rPr>
      </w:pPr>
      <w:r>
        <w:rPr>
          <w:rFonts w:ascii="Arial" w:cs="Arial" w:eastAsia="Arial" w:hAnsi="Arial"/>
          <w:sz w:val="19"/>
          <w:szCs w:val="19"/>
          <w:color w:val="auto"/>
        </w:rPr>
        <w:t>(Name and address of agent for service)</w:t>
      </w:r>
    </w:p>
    <w:p>
      <w:pPr>
        <w:jc w:val="center"/>
        <w:spacing w:after="0" w:line="236" w:lineRule="auto"/>
        <w:rPr>
          <w:sz w:val="20"/>
          <w:szCs w:val="20"/>
          <w:color w:val="auto"/>
        </w:rPr>
      </w:pPr>
      <w:r>
        <w:rPr>
          <w:rFonts w:ascii="Arial" w:cs="Arial" w:eastAsia="Arial" w:hAnsi="Arial"/>
          <w:sz w:val="19"/>
          <w:szCs w:val="19"/>
          <w:b w:val="1"/>
          <w:bCs w:val="1"/>
          <w:color w:val="auto"/>
        </w:rPr>
        <w:t>(703)-345-6300</w:t>
      </w:r>
    </w:p>
    <w:p>
      <w:pPr>
        <w:jc w:val="center"/>
        <w:spacing w:after="0"/>
        <w:rPr>
          <w:sz w:val="20"/>
          <w:szCs w:val="20"/>
          <w:color w:val="auto"/>
        </w:rPr>
      </w:pPr>
      <w:r>
        <w:rPr>
          <w:rFonts w:ascii="Arial" w:cs="Arial" w:eastAsia="Arial" w:hAnsi="Arial"/>
          <w:sz w:val="19"/>
          <w:szCs w:val="19"/>
          <w:color w:val="auto"/>
        </w:rPr>
        <w:t>(Telephone number, including area code, of agent for service)</w:t>
      </w:r>
    </w:p>
    <w:p>
      <w:pPr>
        <w:spacing w:after="0" w:line="195" w:lineRule="exact"/>
        <w:rPr>
          <w:sz w:val="24"/>
          <w:szCs w:val="24"/>
          <w:color w:val="auto"/>
        </w:rPr>
      </w:pPr>
    </w:p>
    <w:p>
      <w:pPr>
        <w:ind w:right="380"/>
        <w:spacing w:after="0" w:line="32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420" w:type="dxa"/>
            <w:vAlign w:val="bottom"/>
          </w:tcPr>
          <w:p>
            <w:pPr>
              <w:spacing w:after="0"/>
              <w:rPr>
                <w:sz w:val="20"/>
                <w:szCs w:val="20"/>
                <w:color w:val="auto"/>
              </w:rPr>
            </w:pPr>
            <w:r>
              <w:rPr>
                <w:rFonts w:ascii="Arial" w:cs="Arial" w:eastAsia="Arial" w:hAnsi="Arial"/>
                <w:sz w:val="16"/>
                <w:szCs w:val="16"/>
                <w:color w:val="auto"/>
                <w:w w:val="88"/>
              </w:rPr>
              <w:t>Large accelerated filer</w:t>
            </w:r>
          </w:p>
        </w:tc>
        <w:tc>
          <w:tcPr>
            <w:tcW w:w="552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120" w:type="dxa"/>
            <w:vAlign w:val="bottom"/>
          </w:tcPr>
          <w:p>
            <w:pPr>
              <w:jc w:val="right"/>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0"/>
        </w:trPr>
        <w:tc>
          <w:tcPr>
            <w:tcW w:w="1420" w:type="dxa"/>
            <w:vAlign w:val="bottom"/>
          </w:tcPr>
          <w:p>
            <w:pPr>
              <w:spacing w:after="0"/>
              <w:rPr>
                <w:sz w:val="20"/>
                <w:szCs w:val="20"/>
                <w:color w:val="auto"/>
              </w:rPr>
            </w:pPr>
            <w:r>
              <w:rPr>
                <w:rFonts w:ascii="Arial" w:cs="Arial" w:eastAsia="Arial" w:hAnsi="Arial"/>
                <w:sz w:val="16"/>
                <w:szCs w:val="16"/>
                <w:color w:val="auto"/>
                <w:w w:val="94"/>
              </w:rPr>
              <w:t>Non-accelerated filer</w:t>
            </w:r>
          </w:p>
        </w:tc>
        <w:tc>
          <w:tcPr>
            <w:tcW w:w="552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4120" w:type="dxa"/>
            <w:vAlign w:val="bottom"/>
          </w:tcPr>
          <w:p>
            <w:pPr>
              <w:jc w:val="right"/>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4"/>
        </w:trPr>
        <w:tc>
          <w:tcPr>
            <w:tcW w:w="14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39"/>
        </w:trPr>
        <w:tc>
          <w:tcPr>
            <w:tcW w:w="1420" w:type="dxa"/>
            <w:vAlign w:val="bottom"/>
            <w:tcBorders>
              <w:bottom w:val="single" w:sz="8" w:color="auto"/>
            </w:tcBorders>
          </w:tcPr>
          <w:p>
            <w:pPr>
              <w:spacing w:after="0"/>
              <w:rPr>
                <w:sz w:val="12"/>
                <w:szCs w:val="12"/>
                <w:color w:val="auto"/>
              </w:rPr>
            </w:pPr>
          </w:p>
        </w:tc>
        <w:tc>
          <w:tcPr>
            <w:tcW w:w="5520" w:type="dxa"/>
            <w:vAlign w:val="bottom"/>
            <w:tcBorders>
              <w:bottom w:val="single" w:sz="8" w:color="auto"/>
            </w:tcBorders>
          </w:tcPr>
          <w:p>
            <w:pPr>
              <w:spacing w:after="0"/>
              <w:rPr>
                <w:sz w:val="12"/>
                <w:szCs w:val="12"/>
                <w:color w:val="auto"/>
              </w:rPr>
            </w:pPr>
          </w:p>
        </w:tc>
        <w:tc>
          <w:tcPr>
            <w:tcW w:w="4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469"/>
        </w:trPr>
        <w:tc>
          <w:tcPr>
            <w:tcW w:w="1420" w:type="dxa"/>
            <w:vAlign w:val="bottom"/>
            <w:tcBorders>
              <w:bottom w:val="single" w:sz="8" w:color="BFBFBF"/>
            </w:tcBorders>
          </w:tcPr>
          <w:p>
            <w:pPr>
              <w:spacing w:after="0"/>
              <w:rPr>
                <w:sz w:val="24"/>
                <w:szCs w:val="24"/>
                <w:color w:val="auto"/>
              </w:rPr>
            </w:pPr>
          </w:p>
        </w:tc>
        <w:tc>
          <w:tcPr>
            <w:tcW w:w="5520" w:type="dxa"/>
            <w:vAlign w:val="bottom"/>
            <w:tcBorders>
              <w:bottom w:val="single" w:sz="8" w:color="BFBFBF"/>
            </w:tcBorders>
          </w:tcPr>
          <w:p>
            <w:pPr>
              <w:spacing w:after="0"/>
              <w:rPr>
                <w:sz w:val="24"/>
                <w:szCs w:val="24"/>
                <w:color w:val="auto"/>
              </w:rPr>
            </w:pPr>
          </w:p>
        </w:tc>
        <w:tc>
          <w:tcPr>
            <w:tcW w:w="412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60"/>
          </w:cols>
          <w:pgMar w:left="320" w:top="1010" w:right="31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9"/>
          <w:szCs w:val="19"/>
          <w:b w:val="1"/>
          <w:bCs w:val="1"/>
          <w:color w:val="auto"/>
        </w:rPr>
        <w:t>EXPLANATORY NOTE</w:t>
      </w:r>
    </w:p>
    <w:p>
      <w:pPr>
        <w:spacing w:after="0" w:line="217" w:lineRule="exact"/>
        <w:rPr>
          <w:sz w:val="20"/>
          <w:szCs w:val="20"/>
          <w:color w:val="auto"/>
        </w:rPr>
      </w:pPr>
    </w:p>
    <w:p>
      <w:pPr>
        <w:ind w:firstLine="573"/>
        <w:spacing w:after="0" w:line="244" w:lineRule="auto"/>
        <w:rPr>
          <w:sz w:val="20"/>
          <w:szCs w:val="20"/>
          <w:color w:val="auto"/>
        </w:rPr>
      </w:pPr>
      <w:r>
        <w:rPr>
          <w:rFonts w:ascii="Arial" w:cs="Arial" w:eastAsia="Arial" w:hAnsi="Arial"/>
          <w:sz w:val="19"/>
          <w:szCs w:val="19"/>
          <w:color w:val="auto"/>
        </w:rPr>
        <w:t>On May 5, 2022, the shareholders of Graham Holdings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approved the Graham Holdings Company 2022 Incentive Compensation Plan (the “</w:t>
      </w:r>
      <w:r>
        <w:rPr>
          <w:rFonts w:ascii="Arial" w:cs="Arial" w:eastAsia="Arial" w:hAnsi="Arial"/>
          <w:sz w:val="19"/>
          <w:szCs w:val="19"/>
          <w:u w:val="single" w:color="auto"/>
          <w:color w:val="auto"/>
        </w:rPr>
        <w:t>2022 Plan</w:t>
      </w:r>
      <w:r>
        <w:rPr>
          <w:rFonts w:ascii="Arial" w:cs="Arial" w:eastAsia="Arial" w:hAnsi="Arial"/>
          <w:sz w:val="19"/>
          <w:szCs w:val="19"/>
          <w:color w:val="auto"/>
        </w:rPr>
        <w:t>”), which authorizes the issuance of up to 500,000 shares of the Company’s Class B Common Stock, par value $0.01 per share (“</w:t>
      </w:r>
      <w:r>
        <w:rPr>
          <w:rFonts w:ascii="Arial" w:cs="Arial" w:eastAsia="Arial" w:hAnsi="Arial"/>
          <w:sz w:val="19"/>
          <w:szCs w:val="19"/>
          <w:u w:val="single" w:color="auto"/>
          <w:color w:val="auto"/>
        </w:rPr>
        <w:t>Class B Common Stock</w:t>
      </w:r>
      <w:r>
        <w:rPr>
          <w:rFonts w:ascii="Arial" w:cs="Arial" w:eastAsia="Arial" w:hAnsi="Arial"/>
          <w:sz w:val="19"/>
          <w:szCs w:val="19"/>
          <w:color w:val="auto"/>
        </w:rPr>
        <w:t>”). This Registration Statement on Form S-8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registers the 500,000 shares of Class B Common Stock initially reserved for issuance under the 2022 Plan.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PART I</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INFORMATION REQUIRED IN THE SECTION 10(a)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Plan Information</w:t>
      </w:r>
    </w:p>
    <w:p>
      <w:pPr>
        <w:spacing w:after="0" w:line="217" w:lineRule="exact"/>
        <w:rPr>
          <w:sz w:val="20"/>
          <w:szCs w:val="20"/>
          <w:color w:val="auto"/>
        </w:rPr>
      </w:pPr>
    </w:p>
    <w:p>
      <w:pPr>
        <w:ind w:right="480" w:firstLine="287"/>
        <w:spacing w:after="0" w:line="321" w:lineRule="auto"/>
        <w:rPr>
          <w:sz w:val="20"/>
          <w:szCs w:val="20"/>
          <w:color w:val="auto"/>
        </w:rPr>
      </w:pPr>
      <w:r>
        <w:rPr>
          <w:rFonts w:ascii="Arial" w:cs="Arial" w:eastAsia="Arial" w:hAnsi="Arial"/>
          <w:sz w:val="17"/>
          <w:szCs w:val="17"/>
          <w:color w:val="auto"/>
        </w:rPr>
        <w:t>Information required by Part I of Form S-8 to be contained in the Section 10(a) prospectus is omitted from the Registration Statement in accordance with Rule 428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the Note to Part I of Form S-8.</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Registrant Information and Employee Plan Annual Information</w:t>
      </w:r>
    </w:p>
    <w:p>
      <w:pPr>
        <w:spacing w:after="0" w:line="217" w:lineRule="exact"/>
        <w:rPr>
          <w:sz w:val="20"/>
          <w:szCs w:val="20"/>
          <w:color w:val="auto"/>
        </w:rPr>
      </w:pPr>
    </w:p>
    <w:p>
      <w:pPr>
        <w:ind w:right="480" w:firstLine="287"/>
        <w:spacing w:after="0" w:line="262" w:lineRule="auto"/>
        <w:rPr>
          <w:sz w:val="20"/>
          <w:szCs w:val="20"/>
          <w:color w:val="auto"/>
        </w:rPr>
      </w:pPr>
      <w:r>
        <w:rPr>
          <w:rFonts w:ascii="Arial" w:cs="Arial" w:eastAsia="Arial" w:hAnsi="Arial"/>
          <w:sz w:val="19"/>
          <w:szCs w:val="19"/>
          <w:color w:val="auto"/>
        </w:rPr>
        <w:t>Information required by Part I of Form S-8 to be contained in the Section 10(a) prospectus is omitted from the Registration Statement in accordance with Rule 428 under the Securities Act and the Note to Part I of Form S-8.</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PART II</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auto"/>
        </w:rPr>
        <w:t>INFORMATION REQUIRED IN THE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Incorporation of Certain Documents by Reference</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documents of the Company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are incorporated in the</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Registration Statement by reference and made a part hereof:</w:t>
      </w:r>
    </w:p>
    <w:p>
      <w:pPr>
        <w:spacing w:after="0" w:line="202" w:lineRule="exact"/>
        <w:rPr>
          <w:sz w:val="20"/>
          <w:szCs w:val="20"/>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on Form 10-K for the fiscal year ended December 31, 2021;</w:t>
      </w:r>
    </w:p>
    <w:p>
      <w:pPr>
        <w:spacing w:after="0" w:line="221"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Report on Form 10-Q for the quarter ended March 31, 2022;</w:t>
      </w:r>
    </w:p>
    <w:p>
      <w:pPr>
        <w:spacing w:after="0" w:line="221"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Current Report on Form 8-K filed on May 6, 2022;</w:t>
      </w:r>
    </w:p>
    <w:p>
      <w:pPr>
        <w:spacing w:after="0" w:line="221" w:lineRule="exact"/>
        <w:rPr>
          <w:rFonts w:ascii="Arial" w:cs="Arial" w:eastAsia="Arial" w:hAnsi="Arial"/>
          <w:sz w:val="16"/>
          <w:szCs w:val="16"/>
          <w:color w:val="auto"/>
        </w:rPr>
      </w:pPr>
    </w:p>
    <w:p>
      <w:pPr>
        <w:ind w:left="560" w:right="160" w:hanging="278"/>
        <w:spacing w:after="0" w:line="274" w:lineRule="auto"/>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description of the Company’s Class B Common Stock contained in the Company’s Registration Statement on Form 8-A filed on January 1, 1990, including any amendments or reports filed for the purposes of updating such description.</w:t>
      </w:r>
    </w:p>
    <w:p>
      <w:pPr>
        <w:spacing w:after="0" w:line="170" w:lineRule="exact"/>
        <w:rPr>
          <w:sz w:val="20"/>
          <w:szCs w:val="20"/>
          <w:color w:val="auto"/>
        </w:rPr>
      </w:pPr>
    </w:p>
    <w:p>
      <w:pPr>
        <w:ind w:right="20" w:firstLine="287"/>
        <w:spacing w:after="0" w:line="241" w:lineRule="auto"/>
        <w:rPr>
          <w:sz w:val="20"/>
          <w:szCs w:val="20"/>
          <w:color w:val="auto"/>
        </w:rPr>
      </w:pPr>
      <w:r>
        <w:rPr>
          <w:rFonts w:ascii="Arial" w:cs="Arial" w:eastAsia="Arial" w:hAnsi="Arial"/>
          <w:sz w:val="19"/>
          <w:szCs w:val="19"/>
          <w:color w:val="auto"/>
        </w:rPr>
        <w:t>All reports and definitive proxy or information statements filed pursuant to Section 13(a), 13(c), 14 or 15(d)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except for such reports and/or documents (or portions thereof) that are only “furnished” to the Commission or that are otherwise not deemed to be filed with the Commission pursuant to such Exchange Act sections, after the date of the Registration Statement and prior to the filing of a post-effective amendment which indicates that all securities offered hereby have been sold or which deregisters all securities then remaining unsold shall be deemed to be incorporated by reference into the Registration Statement and to be a part hereof from the date of filing of such documents.</w:t>
      </w:r>
    </w:p>
    <w:p>
      <w:pPr>
        <w:spacing w:after="0" w:line="188" w:lineRule="exact"/>
        <w:rPr>
          <w:sz w:val="20"/>
          <w:szCs w:val="20"/>
          <w:color w:val="auto"/>
        </w:rPr>
      </w:pPr>
    </w:p>
    <w:p>
      <w:pPr>
        <w:ind w:right="20" w:firstLine="287"/>
        <w:spacing w:after="0" w:line="262"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the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Item 4. Description of Securities</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Interests of Named Experts and Counsel</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Indemnification of Directors and Officers</w:t>
      </w:r>
    </w:p>
    <w:p>
      <w:pPr>
        <w:spacing w:after="0" w:line="217" w:lineRule="exact"/>
        <w:rPr>
          <w:sz w:val="20"/>
          <w:szCs w:val="20"/>
          <w:color w:val="auto"/>
        </w:rPr>
      </w:pPr>
    </w:p>
    <w:p>
      <w:pPr>
        <w:ind w:right="20" w:firstLine="287"/>
        <w:spacing w:after="0" w:line="269" w:lineRule="auto"/>
        <w:rPr>
          <w:sz w:val="20"/>
          <w:szCs w:val="20"/>
          <w:color w:val="auto"/>
        </w:rPr>
      </w:pPr>
      <w:r>
        <w:rPr>
          <w:rFonts w:ascii="Arial" w:cs="Arial" w:eastAsia="Arial" w:hAnsi="Arial"/>
          <w:sz w:val="17"/>
          <w:szCs w:val="17"/>
          <w:color w:val="auto"/>
        </w:rPr>
        <w:t>Section 145(a)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its request in such capacity in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or, with respect to any criminal action or proceeding, had reasonable cause to believe that such person’s conduct was unlawful.</w:t>
      </w:r>
    </w:p>
    <w:p>
      <w:pPr>
        <w:spacing w:after="0" w:line="168" w:lineRule="exact"/>
        <w:rPr>
          <w:sz w:val="20"/>
          <w:szCs w:val="20"/>
          <w:color w:val="auto"/>
        </w:rPr>
      </w:pPr>
    </w:p>
    <w:p>
      <w:pPr>
        <w:ind w:right="20" w:firstLine="287"/>
        <w:spacing w:after="0" w:line="272" w:lineRule="auto"/>
        <w:rPr>
          <w:sz w:val="20"/>
          <w:szCs w:val="20"/>
          <w:color w:val="auto"/>
        </w:rPr>
      </w:pPr>
      <w:r>
        <w:rPr>
          <w:rFonts w:ascii="Arial" w:cs="Arial" w:eastAsia="Arial" w:hAnsi="Arial"/>
          <w:sz w:val="17"/>
          <w:szCs w:val="17"/>
          <w:color w:val="auto"/>
        </w:rPr>
        <w:t>Section 145(b) of the DGCL provides that a corporation may indemnify any person serving in such capacity who was or is a party or is threatened to be made a party to any threatened, pending or completed action or suit by or in the right of the corporation to procure a judgment in its favor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2" w:lineRule="exact"/>
        <w:rPr>
          <w:sz w:val="20"/>
          <w:szCs w:val="20"/>
          <w:color w:val="auto"/>
        </w:rPr>
      </w:pPr>
    </w:p>
    <w:p>
      <w:pPr>
        <w:jc w:val="both"/>
        <w:ind w:right="120" w:firstLine="287"/>
        <w:spacing w:after="0" w:line="269" w:lineRule="auto"/>
        <w:rPr>
          <w:sz w:val="20"/>
          <w:szCs w:val="20"/>
          <w:color w:val="auto"/>
        </w:rPr>
      </w:pPr>
      <w:r>
        <w:rPr>
          <w:rFonts w:ascii="Arial" w:cs="Arial" w:eastAsia="Arial" w:hAnsi="Arial"/>
          <w:sz w:val="18"/>
          <w:szCs w:val="18"/>
          <w:color w:val="auto"/>
        </w:rPr>
        <w:t>Section 145(c) of the DGCL provides that to the extent that a present or former director or officer of a corporation has been successful on the merits or otherwise in defense of any action, suit or proceeding referred to above, or in defense of any claim, issue or matter, such person shall be indemnified against expenses, including attorneys’ fees, actually and reasonably incurred by such person.</w:t>
      </w:r>
    </w:p>
    <w:p>
      <w:pPr>
        <w:spacing w:after="0" w:line="164" w:lineRule="exact"/>
        <w:rPr>
          <w:sz w:val="20"/>
          <w:szCs w:val="20"/>
          <w:color w:val="auto"/>
        </w:rPr>
      </w:pPr>
    </w:p>
    <w:p>
      <w:pPr>
        <w:ind w:right="60" w:firstLine="287"/>
        <w:spacing w:after="0" w:line="259" w:lineRule="auto"/>
        <w:rPr>
          <w:sz w:val="20"/>
          <w:szCs w:val="20"/>
          <w:color w:val="auto"/>
        </w:rPr>
      </w:pPr>
      <w:r>
        <w:rPr>
          <w:rFonts w:ascii="Arial" w:cs="Arial" w:eastAsia="Arial" w:hAnsi="Arial"/>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72" w:lineRule="exact"/>
        <w:rPr>
          <w:sz w:val="20"/>
          <w:szCs w:val="20"/>
          <w:color w:val="auto"/>
        </w:rPr>
      </w:pPr>
    </w:p>
    <w:p>
      <w:pPr>
        <w:ind w:firstLine="287"/>
        <w:spacing w:after="0" w:line="252" w:lineRule="auto"/>
        <w:rPr>
          <w:sz w:val="20"/>
          <w:szCs w:val="20"/>
          <w:color w:val="auto"/>
        </w:rPr>
      </w:pPr>
      <w:r>
        <w:rPr>
          <w:rFonts w:ascii="Arial" w:cs="Arial" w:eastAsia="Arial" w:hAnsi="Arial"/>
          <w:sz w:val="18"/>
          <w:szCs w:val="18"/>
          <w:color w:val="auto"/>
        </w:rPr>
        <w:t>As permitted by Section 102(b)(7) of the DGCL, Paragraph A of Article Ninth of Graham Holdings Company’s Amended and Restated Certificate of Incorporation, as amended (the “Certificate”), provides that no director of Graham Holdings Company shall be personally liable to Graham Holdings Company or its stockholders for monetary damages for breach of fiduciary duty by such director for corporate actions as a director to the fullest extent permitted by the DGCL. Paragraph B of the Certificate also provides that Graham Holdings Company shall indemnify its officers and directors to the fullest extent permitted by the DGCL. The Certificate provides that each person who was or is made a party or is threatened to be made a party to or is otherwise involved in any claim, action, suit or proceeding, whether civil, criminal, administrative or investigative (hereinafter a “proceeding”), by reason of the fact that he or she is or was a director or an officer of Graham Holdings Company or such director or officer of Graham Holdings Company is or was serving at the request of Graham Holdings Company as a director, officer, employee, or agent of another corporation or of a partnership, joint venture, trust or other enterprise, including service with respect to an employee benefit plan (hereinafter an “indemnitee”), shall be indemnified by Graham Holdings Company to the fullest extent authorized by the DGCL as then in effect. The Certificate requires Graham Holdings Company to advance expenses to its indemnitees, provided that, if the DGCL so requires, they undertake to repay the amount advanced if it is ultimately determined by a court that they are not entitled to indemnification for such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 w:name="page4"/>
    <w:bookmarkEnd w:id="3"/>
    <w:p>
      <w:pPr>
        <w:ind w:firstLine="287"/>
        <w:spacing w:after="0" w:line="244" w:lineRule="auto"/>
        <w:rPr>
          <w:sz w:val="20"/>
          <w:szCs w:val="20"/>
          <w:color w:val="auto"/>
        </w:rPr>
      </w:pPr>
      <w:r>
        <w:rPr>
          <w:rFonts w:ascii="Arial" w:cs="Arial" w:eastAsia="Arial" w:hAnsi="Arial"/>
          <w:sz w:val="19"/>
          <w:szCs w:val="19"/>
          <w:color w:val="auto"/>
        </w:rPr>
        <w:t>Graham Holdings Company maintains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directors or officers of Graham Holdings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 Exemption from Registration Claimed</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245110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60"/>
          </w:cols>
          <w:pgMar w:left="320" w:top="550" w:right="41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Item 8.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40" w:type="dxa"/>
            <w:vAlign w:val="bottom"/>
            <w:gridSpan w:val="5"/>
          </w:tcPr>
          <w:p>
            <w:pPr>
              <w:spacing w:after="0"/>
              <w:rPr>
                <w:sz w:val="20"/>
                <w:szCs w:val="20"/>
                <w:color w:val="auto"/>
              </w:rPr>
            </w:pPr>
            <w:r>
              <w:rPr>
                <w:rFonts w:ascii="Arial" w:cs="Arial" w:eastAsia="Arial" w:hAnsi="Arial"/>
                <w:sz w:val="16"/>
                <w:szCs w:val="16"/>
                <w:b w:val="1"/>
                <w:bCs w:val="1"/>
                <w:color w:val="auto"/>
              </w:rPr>
              <w:t>Exhibit</w:t>
            </w:r>
          </w:p>
        </w:tc>
        <w:tc>
          <w:tcPr>
            <w:tcW w:w="2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1"/>
        </w:trPr>
        <w:tc>
          <w:tcPr>
            <w:tcW w:w="1240" w:type="dxa"/>
            <w:vAlign w:val="bottom"/>
            <w:gridSpan w:val="5"/>
          </w:tcPr>
          <w:p>
            <w:pPr>
              <w:spacing w:after="0"/>
              <w:rPr>
                <w:sz w:val="20"/>
                <w:szCs w:val="20"/>
                <w:color w:val="auto"/>
              </w:rPr>
            </w:pPr>
            <w:r>
              <w:rPr>
                <w:rFonts w:ascii="Arial" w:cs="Arial" w:eastAsia="Arial" w:hAnsi="Arial"/>
                <w:sz w:val="16"/>
                <w:szCs w:val="16"/>
                <w:b w:val="1"/>
                <w:bCs w:val="1"/>
                <w:color w:val="auto"/>
              </w:rPr>
              <w:t>Number</w:t>
            </w:r>
          </w:p>
        </w:tc>
        <w:tc>
          <w:tcPr>
            <w:tcW w:w="10020" w:type="dxa"/>
            <w:vAlign w:val="bottom"/>
            <w:gridSpan w:val="14"/>
          </w:tcPr>
          <w:p>
            <w:pPr>
              <w:spacing w:after="0"/>
              <w:rPr>
                <w:sz w:val="20"/>
                <w:szCs w:val="20"/>
                <w:color w:val="auto"/>
              </w:rPr>
            </w:pPr>
            <w:r>
              <w:rPr>
                <w:rFonts w:ascii="Arial" w:cs="Arial" w:eastAsia="Arial" w:hAnsi="Arial"/>
                <w:sz w:val="16"/>
                <w:szCs w:val="16"/>
                <w:b w:val="1"/>
                <w:bCs w:val="1"/>
                <w:color w:val="auto"/>
              </w:rPr>
              <w:t>Exhibit</w:t>
            </w:r>
          </w:p>
        </w:tc>
      </w:tr>
      <w:tr>
        <w:trPr>
          <w:trHeight w:val="346"/>
        </w:trPr>
        <w:tc>
          <w:tcPr>
            <w:tcW w:w="200" w:type="dxa"/>
            <w:vAlign w:val="bottom"/>
            <w:tcBorders>
              <w:top w:val="single" w:sz="8" w:color="auto"/>
              <w:bottom w:val="single" w:sz="8" w:color="0000EE"/>
            </w:tcBorders>
          </w:tcPr>
          <w:p>
            <w:pPr>
              <w:spacing w:after="0"/>
              <w:rPr>
                <w:rFonts w:ascii="Arial" w:cs="Arial" w:eastAsia="Arial" w:hAnsi="Arial"/>
                <w:sz w:val="16"/>
                <w:szCs w:val="16"/>
                <w:color w:val="0000EE"/>
                <w:w w:val="80"/>
              </w:rPr>
            </w:pPr>
            <w:hyperlink r:id="rId16">
              <w:r>
                <w:rPr>
                  <w:rFonts w:ascii="Arial" w:cs="Arial" w:eastAsia="Arial" w:hAnsi="Arial"/>
                  <w:sz w:val="16"/>
                  <w:szCs w:val="16"/>
                  <w:color w:val="0000EE"/>
                  <w:w w:val="80"/>
                </w:rPr>
                <w:t>4.</w:t>
              </w:r>
              <w:r>
                <w:rPr>
                  <w:rFonts w:ascii="Arial" w:cs="Arial" w:eastAsia="Arial" w:hAnsi="Arial"/>
                  <w:sz w:val="16"/>
                  <w:szCs w:val="16"/>
                  <w:u w:val="single" w:color="auto"/>
                  <w:color w:val="0000EE"/>
                  <w:w w:val="80"/>
                </w:rPr>
                <w:t>1</w:t>
              </w:r>
            </w:hyperlink>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tcBorders>
              <w:top w:val="single" w:sz="8" w:color="auto"/>
              <w:bottom w:val="single" w:sz="8" w:color="0000EE"/>
            </w:tcBorders>
            <w:gridSpan w:val="13"/>
          </w:tcPr>
          <w:p>
            <w:pPr>
              <w:spacing w:after="0"/>
              <w:rPr>
                <w:rFonts w:ascii="Arial" w:cs="Arial" w:eastAsia="Arial" w:hAnsi="Arial"/>
                <w:sz w:val="16"/>
                <w:szCs w:val="16"/>
                <w:color w:val="0000EE"/>
                <w:w w:val="91"/>
              </w:rPr>
            </w:pPr>
            <w:hyperlink r:id="rId16">
              <w:r>
                <w:rPr>
                  <w:rFonts w:ascii="Arial" w:cs="Arial" w:eastAsia="Arial" w:hAnsi="Arial"/>
                  <w:sz w:val="16"/>
                  <w:szCs w:val="16"/>
                  <w:color w:val="0000EE"/>
                  <w:w w:val="91"/>
                </w:rPr>
                <w:t>Restated Certificate of Incorporation of the Company dated November 13, 2003, filed as Exhibit 3.1 to the Company’s Annual Report on Form 10-K for the</w:t>
              </w:r>
            </w:hyperlink>
          </w:p>
        </w:tc>
        <w:tc>
          <w:tcPr>
            <w:tcW w:w="80" w:type="dxa"/>
            <w:vAlign w:val="bottom"/>
            <w:tcBorders>
              <w:top w:val="single" w:sz="8" w:color="auto"/>
            </w:tcBorders>
          </w:tcPr>
          <w:p>
            <w:pPr>
              <w:spacing w:after="0"/>
              <w:rPr>
                <w:sz w:val="24"/>
                <w:szCs w:val="24"/>
                <w:color w:val="auto"/>
              </w:rPr>
            </w:pPr>
          </w:p>
        </w:tc>
      </w:tr>
      <w:tr>
        <w:trPr>
          <w:trHeight w:val="171"/>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20" w:type="dxa"/>
            <w:vAlign w:val="bottom"/>
            <w:gridSpan w:val="14"/>
          </w:tcPr>
          <w:p>
            <w:pPr>
              <w:spacing w:after="0" w:line="171" w:lineRule="exact"/>
              <w:rPr>
                <w:rFonts w:ascii="Arial" w:cs="Arial" w:eastAsia="Arial" w:hAnsi="Arial"/>
                <w:sz w:val="16"/>
                <w:szCs w:val="16"/>
                <w:color w:val="0000EE"/>
              </w:rPr>
            </w:pPr>
            <w:hyperlink r:id="rId16">
              <w:r>
                <w:rPr>
                  <w:rFonts w:ascii="Arial" w:cs="Arial" w:eastAsia="Arial" w:hAnsi="Arial"/>
                  <w:sz w:val="16"/>
                  <w:szCs w:val="16"/>
                  <w:color w:val="0000EE"/>
                </w:rPr>
                <w:t>fiscal year ended December 28, 2003, and incorporated herein by reference.</w:t>
              </w:r>
            </w:hyperlink>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62"/>
        </w:trPr>
        <w:tc>
          <w:tcPr>
            <w:tcW w:w="200" w:type="dxa"/>
            <w:vAlign w:val="bottom"/>
            <w:tcBorders>
              <w:bottom w:val="single" w:sz="8" w:color="0000EE"/>
            </w:tcBorders>
          </w:tcPr>
          <w:p>
            <w:pPr>
              <w:spacing w:after="0"/>
              <w:rPr>
                <w:rFonts w:ascii="Arial" w:cs="Arial" w:eastAsia="Arial" w:hAnsi="Arial"/>
                <w:sz w:val="16"/>
                <w:szCs w:val="16"/>
                <w:color w:val="0000EE"/>
                <w:w w:val="80"/>
              </w:rPr>
            </w:pPr>
            <w:hyperlink r:id="rId17">
              <w:r>
                <w:rPr>
                  <w:rFonts w:ascii="Arial" w:cs="Arial" w:eastAsia="Arial" w:hAnsi="Arial"/>
                  <w:sz w:val="16"/>
                  <w:szCs w:val="16"/>
                  <w:color w:val="0000EE"/>
                  <w:w w:val="80"/>
                </w:rPr>
                <w:t>4.</w:t>
              </w:r>
              <w:r>
                <w:rPr>
                  <w:rFonts w:ascii="Arial" w:cs="Arial" w:eastAsia="Arial" w:hAnsi="Arial"/>
                  <w:sz w:val="16"/>
                  <w:szCs w:val="16"/>
                  <w:u w:val="single" w:color="auto"/>
                  <w:color w:val="0000EE"/>
                  <w:w w:val="80"/>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Arial" w:cs="Arial" w:eastAsia="Arial" w:hAnsi="Arial"/>
                <w:sz w:val="16"/>
                <w:szCs w:val="16"/>
                <w:color w:val="0000EE"/>
                <w:w w:val="91"/>
              </w:rPr>
            </w:pPr>
            <w:hyperlink r:id="rId17">
              <w:r>
                <w:rPr>
                  <w:rFonts w:ascii="Arial" w:cs="Arial" w:eastAsia="Arial" w:hAnsi="Arial"/>
                  <w:sz w:val="16"/>
                  <w:szCs w:val="16"/>
                  <w:color w:val="0000EE"/>
                  <w:w w:val="91"/>
                </w:rPr>
                <w:t>Certificate of Amendment, effective November 29, 2013, to the Restated Certificate of Incorporation of the Company (incorporated by reference to Exhibit</w:t>
              </w:r>
            </w:hyperlink>
          </w:p>
        </w:tc>
        <w:tc>
          <w:tcPr>
            <w:tcW w:w="120" w:type="dxa"/>
            <w:vAlign w:val="bottom"/>
            <w:gridSpan w:val="2"/>
          </w:tcPr>
          <w:p>
            <w:pPr>
              <w:spacing w:after="0"/>
              <w:rPr>
                <w:sz w:val="24"/>
                <w:szCs w:val="24"/>
                <w:color w:val="auto"/>
              </w:rPr>
            </w:pPr>
          </w:p>
        </w:tc>
      </w:tr>
      <w:tr>
        <w:trPr>
          <w:trHeight w:val="171"/>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20" w:type="dxa"/>
            <w:vAlign w:val="bottom"/>
            <w:gridSpan w:val="14"/>
          </w:tcPr>
          <w:p>
            <w:pPr>
              <w:spacing w:after="0" w:line="171" w:lineRule="exact"/>
              <w:rPr>
                <w:rFonts w:ascii="Arial" w:cs="Arial" w:eastAsia="Arial" w:hAnsi="Arial"/>
                <w:sz w:val="16"/>
                <w:szCs w:val="16"/>
                <w:color w:val="0000EE"/>
              </w:rPr>
            </w:pPr>
            <w:hyperlink r:id="rId17">
              <w:r>
                <w:rPr>
                  <w:rFonts w:ascii="Arial" w:cs="Arial" w:eastAsia="Arial" w:hAnsi="Arial"/>
                  <w:sz w:val="16"/>
                  <w:szCs w:val="16"/>
                  <w:color w:val="0000EE"/>
                </w:rPr>
                <w:t>3.</w:t>
              </w:r>
              <w:r>
                <w:rPr>
                  <w:rFonts w:ascii="Arial" w:cs="Arial" w:eastAsia="Arial" w:hAnsi="Arial"/>
                  <w:sz w:val="16"/>
                  <w:szCs w:val="16"/>
                  <w:u w:val="single" w:color="auto"/>
                  <w:color w:val="0000EE"/>
                </w:rPr>
                <w:t>1</w:t>
              </w:r>
              <w:r>
                <w:rPr>
                  <w:rFonts w:ascii="Arial" w:cs="Arial" w:eastAsia="Arial" w:hAnsi="Arial"/>
                  <w:sz w:val="16"/>
                  <w:szCs w:val="16"/>
                  <w:color w:val="0000EE"/>
                </w:rPr>
                <w:t xml:space="preserve"> to the Company’s Current Report on Form 8-K filed November 29, 2013), and incorporated herein by reference</w:t>
              </w:r>
            </w:hyperlink>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62"/>
        </w:trPr>
        <w:tc>
          <w:tcPr>
            <w:tcW w:w="200" w:type="dxa"/>
            <w:vAlign w:val="bottom"/>
            <w:tcBorders>
              <w:bottom w:val="single" w:sz="8" w:color="0000EE"/>
            </w:tcBorders>
          </w:tcPr>
          <w:p>
            <w:pPr>
              <w:spacing w:after="0"/>
              <w:rPr>
                <w:rFonts w:ascii="Arial" w:cs="Arial" w:eastAsia="Arial" w:hAnsi="Arial"/>
                <w:sz w:val="16"/>
                <w:szCs w:val="16"/>
                <w:color w:val="0000EE"/>
                <w:w w:val="80"/>
              </w:rPr>
            </w:pPr>
            <w:hyperlink r:id="rId18">
              <w:r>
                <w:rPr>
                  <w:rFonts w:ascii="Arial" w:cs="Arial" w:eastAsia="Arial" w:hAnsi="Arial"/>
                  <w:sz w:val="16"/>
                  <w:szCs w:val="16"/>
                  <w:color w:val="0000EE"/>
                  <w:w w:val="80"/>
                </w:rPr>
                <w:t>4.</w:t>
              </w:r>
              <w:r>
                <w:rPr>
                  <w:rFonts w:ascii="Arial" w:cs="Arial" w:eastAsia="Arial" w:hAnsi="Arial"/>
                  <w:sz w:val="16"/>
                  <w:szCs w:val="16"/>
                  <w:u w:val="single" w:color="auto"/>
                  <w:color w:val="0000EE"/>
                  <w:w w:val="80"/>
                </w:rPr>
                <w:t>3</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11"/>
          </w:tcPr>
          <w:p>
            <w:pPr>
              <w:spacing w:after="0"/>
              <w:rPr>
                <w:rFonts w:ascii="Arial" w:cs="Arial" w:eastAsia="Arial" w:hAnsi="Arial"/>
                <w:sz w:val="16"/>
                <w:szCs w:val="16"/>
                <w:color w:val="0000EE"/>
                <w:w w:val="89"/>
              </w:rPr>
            </w:pPr>
            <w:hyperlink r:id="rId18">
              <w:r>
                <w:rPr>
                  <w:rFonts w:ascii="Arial" w:cs="Arial" w:eastAsia="Arial" w:hAnsi="Arial"/>
                  <w:sz w:val="16"/>
                  <w:szCs w:val="16"/>
                  <w:color w:val="0000EE"/>
                  <w:w w:val="89"/>
                </w:rPr>
                <w:t>By-Laws of the Company as amended and restated through November 29, 2013 (incorporated by reference to Exhibit 3.2 to the Company’s Current Report</w:t>
              </w:r>
            </w:hyperlink>
          </w:p>
        </w:tc>
        <w:tc>
          <w:tcPr>
            <w:tcW w:w="140" w:type="dxa"/>
            <w:vAlign w:val="bottom"/>
            <w:gridSpan w:val="3"/>
          </w:tcPr>
          <w:p>
            <w:pPr>
              <w:spacing w:after="0"/>
              <w:rPr>
                <w:sz w:val="24"/>
                <w:szCs w:val="24"/>
                <w:color w:val="auto"/>
              </w:rPr>
            </w:pPr>
          </w:p>
        </w:tc>
      </w:tr>
      <w:tr>
        <w:trPr>
          <w:trHeight w:val="171"/>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20" w:type="dxa"/>
            <w:vAlign w:val="bottom"/>
            <w:gridSpan w:val="14"/>
          </w:tcPr>
          <w:p>
            <w:pPr>
              <w:spacing w:after="0" w:line="171" w:lineRule="exact"/>
              <w:rPr>
                <w:rFonts w:ascii="Arial" w:cs="Arial" w:eastAsia="Arial" w:hAnsi="Arial"/>
                <w:sz w:val="16"/>
                <w:szCs w:val="16"/>
                <w:color w:val="0000EE"/>
              </w:rPr>
            </w:pPr>
            <w:hyperlink r:id="rId18">
              <w:r>
                <w:rPr>
                  <w:rFonts w:ascii="Arial" w:cs="Arial" w:eastAsia="Arial" w:hAnsi="Arial"/>
                  <w:sz w:val="16"/>
                  <w:szCs w:val="16"/>
                  <w:color w:val="0000EE"/>
                </w:rPr>
                <w:t>on Form 8-K filed November 29, 2013), and incorporated herein by reference.</w:t>
              </w:r>
            </w:hyperlink>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62"/>
        </w:trPr>
        <w:tc>
          <w:tcPr>
            <w:tcW w:w="200" w:type="dxa"/>
            <w:vAlign w:val="bottom"/>
          </w:tcPr>
          <w:p>
            <w:pPr>
              <w:spacing w:after="0"/>
              <w:rPr>
                <w:rFonts w:ascii="Arial" w:cs="Arial" w:eastAsia="Arial" w:hAnsi="Arial"/>
                <w:sz w:val="16"/>
                <w:szCs w:val="16"/>
                <w:color w:val="0000EE"/>
                <w:w w:val="80"/>
              </w:rPr>
            </w:pPr>
            <w:hyperlink r:id="rId19">
              <w:r>
                <w:rPr>
                  <w:rFonts w:ascii="Arial" w:cs="Arial" w:eastAsia="Arial" w:hAnsi="Arial"/>
                  <w:sz w:val="16"/>
                  <w:szCs w:val="16"/>
                  <w:color w:val="0000EE"/>
                  <w:w w:val="80"/>
                </w:rPr>
                <w:t>4.</w:t>
              </w:r>
              <w:r>
                <w:rPr>
                  <w:rFonts w:ascii="Arial" w:cs="Arial" w:eastAsia="Arial" w:hAnsi="Arial"/>
                  <w:sz w:val="16"/>
                  <w:szCs w:val="16"/>
                  <w:u w:val="single" w:color="auto"/>
                  <w:color w:val="0000EE"/>
                  <w:w w:val="80"/>
                </w:rPr>
                <w:t>4</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20" w:type="dxa"/>
            <w:vAlign w:val="bottom"/>
            <w:gridSpan w:val="14"/>
          </w:tcPr>
          <w:p>
            <w:pPr>
              <w:spacing w:after="0"/>
              <w:rPr>
                <w:rFonts w:ascii="Arial" w:cs="Arial" w:eastAsia="Arial" w:hAnsi="Arial"/>
                <w:sz w:val="16"/>
                <w:szCs w:val="16"/>
                <w:color w:val="0000EE"/>
                <w:w w:val="93"/>
              </w:rPr>
            </w:pPr>
            <w:hyperlink r:id="rId19">
              <w:r>
                <w:rPr>
                  <w:rFonts w:ascii="Arial" w:cs="Arial" w:eastAsia="Arial" w:hAnsi="Arial"/>
                  <w:sz w:val="16"/>
                  <w:szCs w:val="16"/>
                  <w:color w:val="0000EE"/>
                  <w:w w:val="93"/>
                </w:rPr>
                <w:t>Graham Holdings Company 2022 Incentive Compensation Plan, filed as Appendix A to the Company’s Proxy Statement on Form DEF 14A for the fiscal</w:t>
              </w:r>
            </w:hyperlink>
          </w:p>
        </w:tc>
      </w:tr>
      <w:tr>
        <w:trPr>
          <w:trHeight w:val="171"/>
        </w:trPr>
        <w:tc>
          <w:tcPr>
            <w:tcW w:w="2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60" w:type="dxa"/>
            <w:vAlign w:val="bottom"/>
            <w:tcBorders>
              <w:top w:val="single" w:sz="8" w:color="0000EE"/>
            </w:tcBorders>
            <w:gridSpan w:val="10"/>
          </w:tcPr>
          <w:p>
            <w:pPr>
              <w:spacing w:after="0" w:line="171" w:lineRule="exact"/>
              <w:rPr>
                <w:rFonts w:ascii="Arial" w:cs="Arial" w:eastAsia="Arial" w:hAnsi="Arial"/>
                <w:sz w:val="16"/>
                <w:szCs w:val="16"/>
                <w:color w:val="0000EE"/>
              </w:rPr>
            </w:pPr>
            <w:hyperlink r:id="rId19">
              <w:r>
                <w:rPr>
                  <w:rFonts w:ascii="Arial" w:cs="Arial" w:eastAsia="Arial" w:hAnsi="Arial"/>
                  <w:sz w:val="16"/>
                  <w:szCs w:val="16"/>
                  <w:color w:val="0000EE"/>
                </w:rPr>
                <w:t>year ended December 31, 2021, and incorporated herein by reference.</w:t>
              </w:r>
            </w:hyperlink>
          </w:p>
        </w:tc>
        <w:tc>
          <w:tcPr>
            <w:tcW w:w="260" w:type="dxa"/>
            <w:vAlign w:val="bottom"/>
            <w:gridSpan w:val="4"/>
          </w:tcPr>
          <w:p>
            <w:pPr>
              <w:spacing w:after="0"/>
              <w:rPr>
                <w:sz w:val="14"/>
                <w:szCs w:val="14"/>
                <w:color w:val="auto"/>
              </w:rPr>
            </w:pPr>
          </w:p>
        </w:tc>
      </w:tr>
      <w:tr>
        <w:trPr>
          <w:trHeight w:val="362"/>
        </w:trPr>
        <w:tc>
          <w:tcPr>
            <w:tcW w:w="200" w:type="dxa"/>
            <w:vAlign w:val="bottom"/>
          </w:tcPr>
          <w:p>
            <w:pPr>
              <w:spacing w:after="0"/>
              <w:rPr>
                <w:rFonts w:ascii="Arial" w:cs="Arial" w:eastAsia="Arial" w:hAnsi="Arial"/>
                <w:sz w:val="16"/>
                <w:szCs w:val="16"/>
                <w:color w:val="0000EE"/>
                <w:w w:val="80"/>
              </w:rPr>
            </w:pPr>
            <w:hyperlink w:anchor="page9">
              <w:r>
                <w:rPr>
                  <w:rFonts w:ascii="Arial" w:cs="Arial" w:eastAsia="Arial" w:hAnsi="Arial"/>
                  <w:sz w:val="16"/>
                  <w:szCs w:val="16"/>
                  <w:color w:val="0000EE"/>
                  <w:w w:val="80"/>
                </w:rPr>
                <w:t>5.</w:t>
              </w:r>
              <w:r>
                <w:rPr>
                  <w:rFonts w:ascii="Arial" w:cs="Arial" w:eastAsia="Arial" w:hAnsi="Arial"/>
                  <w:sz w:val="16"/>
                  <w:szCs w:val="16"/>
                  <w:u w:val="single" w:color="auto"/>
                  <w:color w:val="0000EE"/>
                  <w:w w:val="80"/>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40" w:type="dxa"/>
            <w:vAlign w:val="bottom"/>
            <w:tcBorders>
              <w:top w:val="single" w:sz="8" w:color="0000EE"/>
            </w:tcBorders>
            <w:gridSpan w:val="5"/>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Opinion of Cravath, Swaine &amp; Moore LLP (filed herewith).</w:t>
              </w:r>
            </w:hyperlink>
          </w:p>
        </w:tc>
        <w:tc>
          <w:tcPr>
            <w:tcW w:w="5580" w:type="dxa"/>
            <w:vAlign w:val="bottom"/>
            <w:gridSpan w:val="9"/>
          </w:tcPr>
          <w:p>
            <w:pPr>
              <w:spacing w:after="0"/>
              <w:rPr>
                <w:sz w:val="24"/>
                <w:szCs w:val="24"/>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r>
      <w:tr>
        <w:trPr>
          <w:trHeight w:val="362"/>
        </w:trPr>
        <w:tc>
          <w:tcPr>
            <w:tcW w:w="280" w:type="dxa"/>
            <w:vAlign w:val="bottom"/>
            <w:gridSpan w:val="2"/>
          </w:tcPr>
          <w:p>
            <w:pPr>
              <w:spacing w:after="0"/>
              <w:rPr>
                <w:rFonts w:ascii="Arial" w:cs="Arial" w:eastAsia="Arial" w:hAnsi="Arial"/>
                <w:sz w:val="16"/>
                <w:szCs w:val="16"/>
                <w:color w:val="0000EE"/>
                <w:w w:val="76"/>
              </w:rPr>
            </w:pPr>
            <w:hyperlink w:anchor="page11">
              <w:r>
                <w:rPr>
                  <w:rFonts w:ascii="Arial" w:cs="Arial" w:eastAsia="Arial" w:hAnsi="Arial"/>
                  <w:sz w:val="16"/>
                  <w:szCs w:val="16"/>
                  <w:color w:val="0000EE"/>
                  <w:w w:val="76"/>
                </w:rPr>
                <w:t>23.</w:t>
              </w:r>
              <w:r>
                <w:rPr>
                  <w:rFonts w:ascii="Arial" w:cs="Arial" w:eastAsia="Arial" w:hAnsi="Arial"/>
                  <w:sz w:val="16"/>
                  <w:szCs w:val="16"/>
                  <w:u w:val="single" w:color="auto"/>
                  <w:color w:val="0000EE"/>
                  <w:w w:val="76"/>
                </w:rPr>
                <w:t>1</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20" w:type="dxa"/>
            <w:vAlign w:val="bottom"/>
            <w:gridSpan w:val="14"/>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Consent of PricewaterhouseCoopers LLP (filed herewith).</w:t>
              </w:r>
            </w:hyperlink>
          </w:p>
        </w:tc>
      </w:tr>
      <w:tr>
        <w:trPr>
          <w:trHeight w:val="20"/>
        </w:trPr>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r>
      <w:tr>
        <w:trPr>
          <w:trHeight w:val="362"/>
        </w:trPr>
        <w:tc>
          <w:tcPr>
            <w:tcW w:w="280" w:type="dxa"/>
            <w:vAlign w:val="bottom"/>
            <w:tcBorders>
              <w:bottom w:val="single" w:sz="8" w:color="0000EE"/>
            </w:tcBorders>
            <w:gridSpan w:val="2"/>
          </w:tcPr>
          <w:p>
            <w:pPr>
              <w:spacing w:after="0"/>
              <w:rPr>
                <w:rFonts w:ascii="Arial" w:cs="Arial" w:eastAsia="Arial" w:hAnsi="Arial"/>
                <w:sz w:val="16"/>
                <w:szCs w:val="16"/>
                <w:color w:val="0000EE"/>
                <w:w w:val="76"/>
              </w:rPr>
            </w:pPr>
            <w:hyperlink w:anchor="page9">
              <w:r>
                <w:rPr>
                  <w:rFonts w:ascii="Arial" w:cs="Arial" w:eastAsia="Arial" w:hAnsi="Arial"/>
                  <w:sz w:val="16"/>
                  <w:szCs w:val="16"/>
                  <w:color w:val="0000EE"/>
                  <w:w w:val="76"/>
                </w:rPr>
                <w:t>23.</w:t>
              </w:r>
              <w:r>
                <w:rPr>
                  <w:rFonts w:ascii="Arial" w:cs="Arial" w:eastAsia="Arial" w:hAnsi="Arial"/>
                  <w:sz w:val="16"/>
                  <w:szCs w:val="16"/>
                  <w:u w:val="single" w:color="auto"/>
                  <w:color w:val="0000EE"/>
                  <w:w w:val="76"/>
                </w:rPr>
                <w:t>2</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Borders>
              <w:bottom w:val="single" w:sz="8" w:color="0000EE"/>
            </w:tcBorders>
            <w:gridSpan w:val="4"/>
          </w:tcPr>
          <w:p>
            <w:pPr>
              <w:spacing w:after="0"/>
              <w:rPr>
                <w:rFonts w:ascii="Arial" w:cs="Arial" w:eastAsia="Arial" w:hAnsi="Arial"/>
                <w:sz w:val="16"/>
                <w:szCs w:val="16"/>
                <w:color w:val="0000EE"/>
                <w:w w:val="92"/>
              </w:rPr>
            </w:pPr>
            <w:hyperlink w:anchor="page9">
              <w:r>
                <w:rPr>
                  <w:rFonts w:ascii="Arial" w:cs="Arial" w:eastAsia="Arial" w:hAnsi="Arial"/>
                  <w:sz w:val="16"/>
                  <w:szCs w:val="16"/>
                  <w:color w:val="0000EE"/>
                  <w:w w:val="92"/>
                </w:rPr>
                <w:t>Consent of Cravath, Swaine &amp; Moore LLP (included in Exhibit 5.1).</w:t>
              </w:r>
            </w:hyperlink>
          </w:p>
        </w:tc>
        <w:tc>
          <w:tcPr>
            <w:tcW w:w="5640" w:type="dxa"/>
            <w:vAlign w:val="bottom"/>
            <w:gridSpan w:val="10"/>
          </w:tcPr>
          <w:p>
            <w:pPr>
              <w:spacing w:after="0"/>
              <w:rPr>
                <w:sz w:val="24"/>
                <w:szCs w:val="24"/>
                <w:color w:val="auto"/>
              </w:rPr>
            </w:pPr>
          </w:p>
        </w:tc>
      </w:tr>
      <w:tr>
        <w:trPr>
          <w:trHeight w:val="362"/>
        </w:trPr>
        <w:tc>
          <w:tcPr>
            <w:tcW w:w="280" w:type="dxa"/>
            <w:vAlign w:val="bottom"/>
            <w:gridSpan w:val="2"/>
          </w:tcPr>
          <w:p>
            <w:pPr>
              <w:spacing w:after="0"/>
              <w:rPr>
                <w:rFonts w:ascii="Arial" w:cs="Arial" w:eastAsia="Arial" w:hAnsi="Arial"/>
                <w:sz w:val="16"/>
                <w:szCs w:val="16"/>
                <w:color w:val="0000EE"/>
                <w:w w:val="76"/>
              </w:rPr>
            </w:pPr>
            <w:hyperlink w:anchor="page8">
              <w:r>
                <w:rPr>
                  <w:rFonts w:ascii="Arial" w:cs="Arial" w:eastAsia="Arial" w:hAnsi="Arial"/>
                  <w:sz w:val="16"/>
                  <w:szCs w:val="16"/>
                  <w:color w:val="0000EE"/>
                  <w:w w:val="76"/>
                </w:rPr>
                <w:t>24.</w:t>
              </w:r>
              <w:r>
                <w:rPr>
                  <w:rFonts w:ascii="Arial" w:cs="Arial" w:eastAsia="Arial" w:hAnsi="Arial"/>
                  <w:sz w:val="16"/>
                  <w:szCs w:val="16"/>
                  <w:u w:val="single" w:color="auto"/>
                  <w:color w:val="0000EE"/>
                  <w:w w:val="76"/>
                </w:rPr>
                <w:t>1</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20" w:type="dxa"/>
            <w:vAlign w:val="bottom"/>
            <w:gridSpan w:val="14"/>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Power of Attorney (included in the signature page to the Registration Statement).</w:t>
              </w:r>
            </w:hyperlink>
          </w:p>
        </w:tc>
      </w:tr>
      <w:tr>
        <w:trPr>
          <w:trHeight w:val="20"/>
        </w:trPr>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040" w:type="dxa"/>
            <w:vAlign w:val="bottom"/>
            <w:gridSpan w:val="7"/>
            <w:shd w:val="clear" w:color="auto" w:fill="0000EE"/>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r>
      <w:tr>
        <w:trPr>
          <w:trHeight w:val="362"/>
        </w:trPr>
        <w:tc>
          <w:tcPr>
            <w:tcW w:w="360" w:type="dxa"/>
            <w:vAlign w:val="bottom"/>
            <w:tcBorders>
              <w:bottom w:val="single" w:sz="8" w:color="0000EE"/>
            </w:tcBorders>
            <w:gridSpan w:val="3"/>
          </w:tcPr>
          <w:p>
            <w:pPr>
              <w:spacing w:after="0"/>
              <w:rPr>
                <w:rFonts w:ascii="Arial" w:cs="Arial" w:eastAsia="Arial" w:hAnsi="Arial"/>
                <w:sz w:val="16"/>
                <w:szCs w:val="16"/>
                <w:color w:val="0000EE"/>
                <w:w w:val="84"/>
              </w:rPr>
            </w:pPr>
            <w:hyperlink w:anchor="page12">
              <w:r>
                <w:rPr>
                  <w:rFonts w:ascii="Arial" w:cs="Arial" w:eastAsia="Arial" w:hAnsi="Arial"/>
                  <w:sz w:val="16"/>
                  <w:szCs w:val="16"/>
                  <w:color w:val="0000EE"/>
                  <w:w w:val="84"/>
                </w:rPr>
                <w:t>107.</w:t>
              </w:r>
              <w:r>
                <w:rPr>
                  <w:rFonts w:ascii="Arial" w:cs="Arial" w:eastAsia="Arial" w:hAnsi="Arial"/>
                  <w:sz w:val="16"/>
                  <w:szCs w:val="16"/>
                  <w:u w:val="single" w:color="auto"/>
                  <w:color w:val="0000EE"/>
                  <w:w w:val="84"/>
                </w:rPr>
                <w:t>1</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Borders>
              <w:bottom w:val="single" w:sz="8" w:color="0000EE"/>
            </w:tcBorders>
          </w:tcPr>
          <w:p>
            <w:pPr>
              <w:spacing w:after="0"/>
              <w:rPr>
                <w:rFonts w:ascii="Arial" w:cs="Arial" w:eastAsia="Arial" w:hAnsi="Arial"/>
                <w:sz w:val="16"/>
                <w:szCs w:val="16"/>
                <w:color w:val="0000EE"/>
                <w:w w:val="91"/>
              </w:rPr>
            </w:pPr>
            <w:hyperlink w:anchor="page12">
              <w:r>
                <w:rPr>
                  <w:rFonts w:ascii="Arial" w:cs="Arial" w:eastAsia="Arial" w:hAnsi="Arial"/>
                  <w:sz w:val="16"/>
                  <w:szCs w:val="16"/>
                  <w:color w:val="0000EE"/>
                  <w:w w:val="91"/>
                </w:rPr>
                <w:t>Filing Fee Table (filed herewith).</w:t>
              </w:r>
            </w:hyperlink>
          </w:p>
        </w:tc>
        <w:tc>
          <w:tcPr>
            <w:tcW w:w="7900" w:type="dxa"/>
            <w:vAlign w:val="bottom"/>
            <w:gridSpan w:val="13"/>
          </w:tcPr>
          <w:p>
            <w:pPr>
              <w:spacing w:after="0"/>
              <w:rPr>
                <w:sz w:val="24"/>
                <w:szCs w:val="24"/>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Undertakings</w:t>
      </w: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A. The undersigned Company hereby undertakes:</w:t>
      </w:r>
    </w:p>
    <w:p>
      <w:pPr>
        <w:spacing w:after="0" w:line="218" w:lineRule="exact"/>
        <w:rPr>
          <w:sz w:val="20"/>
          <w:szCs w:val="20"/>
          <w:color w:val="auto"/>
        </w:rPr>
      </w:pPr>
    </w:p>
    <w:p>
      <w:pPr>
        <w:ind w:left="1420" w:hanging="279"/>
        <w:spacing w:after="0"/>
        <w:tabs>
          <w:tab w:leader="none" w:pos="1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the Registration Statement:</w:t>
      </w:r>
    </w:p>
    <w:p>
      <w:pPr>
        <w:spacing w:after="0" w:line="221" w:lineRule="exact"/>
        <w:rPr>
          <w:rFonts w:ascii="Arial" w:cs="Arial" w:eastAsia="Arial" w:hAnsi="Arial"/>
          <w:sz w:val="16"/>
          <w:szCs w:val="16"/>
          <w:color w:val="auto"/>
        </w:rPr>
      </w:pPr>
    </w:p>
    <w:p>
      <w:pPr>
        <w:ind w:left="1720" w:hanging="292"/>
        <w:spacing w:after="0"/>
        <w:tabs>
          <w:tab w:leader="none" w:pos="172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w:t>
      </w:r>
    </w:p>
    <w:p>
      <w:pPr>
        <w:spacing w:after="0" w:line="221" w:lineRule="exact"/>
        <w:rPr>
          <w:rFonts w:ascii="Arial" w:cs="Arial" w:eastAsia="Arial" w:hAnsi="Arial"/>
          <w:sz w:val="16"/>
          <w:szCs w:val="16"/>
          <w:color w:val="auto"/>
        </w:rPr>
      </w:pPr>
    </w:p>
    <w:p>
      <w:pPr>
        <w:ind w:left="1720" w:right="60" w:hanging="292"/>
        <w:spacing w:after="0" w:line="297" w:lineRule="auto"/>
        <w:tabs>
          <w:tab w:leader="none" w:pos="1720" w:val="left"/>
        </w:tabs>
        <w:numPr>
          <w:ilvl w:val="1"/>
          <w:numId w:val="2"/>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211455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5" w:name="page6"/>
    <w:bookmarkEnd w:id="5"/>
    <w:p>
      <w:pPr>
        <w:ind w:left="600" w:right="360" w:hanging="292"/>
        <w:spacing w:after="0" w:line="274"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00" w:right="100"/>
        <w:spacing w:after="0" w:line="262"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registration statement is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S-8, and the information required to be included in a post-effective amendment by those paragraphs is contained in reports filed with or furnished to the Commission by the Company pursuant to Section 13 or Section 15(d) of the Exchange Act that are incorporated by reference in the Registration Statement;</w:t>
      </w:r>
    </w:p>
    <w:p>
      <w:pPr>
        <w:spacing w:after="0" w:line="177" w:lineRule="exact"/>
        <w:rPr>
          <w:sz w:val="20"/>
          <w:szCs w:val="20"/>
          <w:color w:val="auto"/>
        </w:rPr>
      </w:pPr>
    </w:p>
    <w:p>
      <w:pPr>
        <w:ind w:left="300" w:right="120" w:hanging="279"/>
        <w:spacing w:after="0" w:line="262"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5" w:lineRule="exact"/>
        <w:rPr>
          <w:rFonts w:ascii="Arial" w:cs="Arial" w:eastAsia="Arial" w:hAnsi="Arial"/>
          <w:sz w:val="16"/>
          <w:szCs w:val="16"/>
          <w:color w:val="auto"/>
        </w:rPr>
      </w:pPr>
    </w:p>
    <w:p>
      <w:pPr>
        <w:ind w:left="300" w:right="80" w:hanging="279"/>
        <w:spacing w:after="0" w:line="274"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both"/>
        <w:ind w:left="-1120" w:firstLine="1141"/>
        <w:spacing w:after="0" w:line="242" w:lineRule="auto"/>
        <w:tabs>
          <w:tab w:leader="none" w:pos="297"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9"/>
          <w:szCs w:val="19"/>
          <w:u w:val="single" w:color="auto"/>
          <w:color w:val="auto"/>
        </w:rPr>
        <w:t>bona fide</w:t>
      </w:r>
      <w:r>
        <w:rPr>
          <w:rFonts w:ascii="Arial" w:cs="Arial" w:eastAsia="Arial" w:hAnsi="Arial"/>
          <w:sz w:val="19"/>
          <w:szCs w:val="19"/>
          <w:color w:val="auto"/>
        </w:rPr>
        <w:t xml:space="preserve"> offering thereof.</w:t>
      </w:r>
    </w:p>
    <w:p>
      <w:pPr>
        <w:spacing w:after="0" w:line="187" w:lineRule="exact"/>
        <w:rPr>
          <w:rFonts w:ascii="Arial" w:cs="Arial" w:eastAsia="Arial" w:hAnsi="Arial"/>
          <w:sz w:val="19"/>
          <w:szCs w:val="19"/>
          <w:color w:val="auto"/>
        </w:rPr>
      </w:pPr>
    </w:p>
    <w:p>
      <w:pPr>
        <w:ind w:left="-1120" w:right="80" w:firstLine="1141"/>
        <w:spacing w:after="0" w:line="254" w:lineRule="auto"/>
        <w:tabs>
          <w:tab w:leader="none" w:pos="29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226060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9"/>
          <w:szCs w:val="19"/>
          <w:b w:val="1"/>
          <w:bCs w:val="1"/>
          <w:color w:val="auto"/>
        </w:rPr>
        <w:t>SIGNATURES</w:t>
      </w:r>
    </w:p>
    <w:p>
      <w:pPr>
        <w:spacing w:after="0" w:line="217" w:lineRule="exact"/>
        <w:rPr>
          <w:sz w:val="20"/>
          <w:szCs w:val="20"/>
          <w:color w:val="auto"/>
        </w:rPr>
      </w:pPr>
    </w:p>
    <w:p>
      <w:pPr>
        <w:jc w:val="both"/>
        <w:ind w:firstLine="1146"/>
        <w:spacing w:after="0" w:line="249" w:lineRule="auto"/>
        <w:rPr>
          <w:sz w:val="20"/>
          <w:szCs w:val="20"/>
          <w:color w:val="auto"/>
        </w:rPr>
      </w:pPr>
      <w:r>
        <w:rPr>
          <w:rFonts w:ascii="Arial" w:cs="Arial" w:eastAsia="Arial" w:hAnsi="Arial"/>
          <w:sz w:val="19"/>
          <w:szCs w:val="19"/>
          <w:color w:val="auto"/>
        </w:rPr>
        <w:t>Pursuant to the requirements of the Securities Act, the Registrant certifies that it has reasonable grounds to believe that it meets all of the requirements for filing on Form S-8 and has duly caused the Registration Statement to be signed on its behalf by the undersigned, thereunto duly authorized, in the City of Arlington, State of Virginia, on June 22, 2022.</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GRAHAM HOLDINGS COMPANY</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12700</wp:posOffset>
            </wp:positionV>
            <wp:extent cx="249364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493645" cy="15240"/>
                    </a:xfrm>
                    <a:prstGeom prst="rect">
                      <a:avLst/>
                    </a:prstGeom>
                    <a:noFill/>
                  </pic:spPr>
                </pic:pic>
              </a:graphicData>
            </a:graphic>
          </wp:anchor>
        </w:drawing>
      </w:r>
    </w:p>
    <w:p>
      <w:pPr>
        <w:spacing w:after="0" w:line="11"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Name:Nicole M. Maddrey</w:t>
      </w:r>
    </w:p>
    <w:p>
      <w:pPr>
        <w:spacing w:after="0" w:line="20"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769620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9"/>
          <w:szCs w:val="19"/>
          <w:b w:val="1"/>
          <w:bCs w:val="1"/>
          <w:color w:val="auto"/>
        </w:rPr>
        <w:t>POWER OF ATTORNEY</w:t>
      </w:r>
    </w:p>
    <w:p>
      <w:pPr>
        <w:spacing w:after="0" w:line="217" w:lineRule="exact"/>
        <w:rPr>
          <w:sz w:val="20"/>
          <w:szCs w:val="20"/>
          <w:color w:val="auto"/>
        </w:rPr>
      </w:pPr>
    </w:p>
    <w:p>
      <w:pPr>
        <w:ind w:firstLine="1146"/>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Timothy J. O’Shaughnessy, Wallace R. Cooney and Nicole M. Maddrey and each of them, his or her true and lawful attorneys-in-fact and agents, with full power to act without the others, with full power of substitution and resubstitution, for him or her and in his or her name, place and stead, in any and all capacities, to sign any or all amendments (including post-effective amendments) and exhibits to the Registration Statement on Form S-8, and to any registration statement filed under Rule 462(b) under the Securities Act of 1933, as amended, and to file the same, with all exhibits thereto (including this power of attorney),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2" w:lineRule="exact"/>
        <w:rPr>
          <w:sz w:val="20"/>
          <w:szCs w:val="20"/>
          <w:color w:val="auto"/>
        </w:rPr>
      </w:pPr>
    </w:p>
    <w:p>
      <w:pPr>
        <w:ind w:right="20" w:firstLine="1146"/>
        <w:spacing w:after="0" w:line="262" w:lineRule="auto"/>
        <w:rPr>
          <w:sz w:val="20"/>
          <w:szCs w:val="20"/>
          <w:color w:val="auto"/>
        </w:rPr>
      </w:pPr>
      <w:r>
        <w:rPr>
          <w:rFonts w:ascii="Arial" w:cs="Arial" w:eastAsia="Arial" w:hAnsi="Arial"/>
          <w:sz w:val="19"/>
          <w:szCs w:val="19"/>
          <w:color w:val="auto"/>
        </w:rPr>
        <w:t>Pursuant to the requirements of the Securities Act of 1933, the Registration Statement has been signed by the following persons in the capacities and on the dates indicated.</w:t>
      </w:r>
    </w:p>
    <w:p>
      <w:pPr>
        <w:sectPr>
          <w:pgSz w:w="11900" w:h="16838" w:orient="portrait"/>
          <w:cols w:equalWidth="0" w:num="1">
            <w:col w:w="11120"/>
          </w:cols>
          <w:pgMar w:left="320" w:top="544" w:right="45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Signatures</w:t>
            </w:r>
          </w:p>
        </w:tc>
        <w:tc>
          <w:tcPr>
            <w:tcW w:w="120" w:type="dxa"/>
            <w:vAlign w:val="bottom"/>
          </w:tcPr>
          <w:p>
            <w:pPr>
              <w:spacing w:after="0"/>
              <w:rPr>
                <w:sz w:val="18"/>
                <w:szCs w:val="18"/>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Title</w:t>
            </w:r>
          </w:p>
        </w:tc>
      </w:tr>
      <w:tr>
        <w:trPr>
          <w:trHeight w:val="386"/>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Donald E. Graham</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Chairman of the Board of Directors and Director</w:t>
            </w:r>
          </w:p>
        </w:tc>
      </w:tr>
      <w:tr>
        <w:trPr>
          <w:trHeight w:val="204"/>
        </w:trPr>
        <w:tc>
          <w:tcPr>
            <w:tcW w:w="3940" w:type="dxa"/>
            <w:vAlign w:val="bottom"/>
          </w:tcPr>
          <w:p>
            <w:pPr>
              <w:spacing w:after="0"/>
              <w:rPr>
                <w:sz w:val="20"/>
                <w:szCs w:val="20"/>
                <w:color w:val="auto"/>
              </w:rPr>
            </w:pPr>
            <w:r>
              <w:rPr>
                <w:rFonts w:ascii="Arial" w:cs="Arial" w:eastAsia="Arial" w:hAnsi="Arial"/>
                <w:sz w:val="16"/>
                <w:szCs w:val="16"/>
                <w:color w:val="auto"/>
              </w:rPr>
              <w:t>Donald E. Graham</w:t>
            </w: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37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Timothy J. O’Shaughnessy</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04"/>
        </w:trPr>
        <w:tc>
          <w:tcPr>
            <w:tcW w:w="3940" w:type="dxa"/>
            <w:vAlign w:val="bottom"/>
          </w:tcPr>
          <w:p>
            <w:pPr>
              <w:spacing w:after="0"/>
              <w:rPr>
                <w:sz w:val="20"/>
                <w:szCs w:val="20"/>
                <w:color w:val="auto"/>
              </w:rPr>
            </w:pPr>
            <w:r>
              <w:rPr>
                <w:rFonts w:ascii="Arial" w:cs="Arial" w:eastAsia="Arial" w:hAnsi="Arial"/>
                <w:sz w:val="16"/>
                <w:szCs w:val="16"/>
                <w:color w:val="auto"/>
              </w:rPr>
              <w:t>Timothy J. O’Shaughnessy</w:t>
            </w:r>
          </w:p>
        </w:tc>
        <w:tc>
          <w:tcPr>
            <w:tcW w:w="120" w:type="dxa"/>
            <w:vAlign w:val="bottom"/>
          </w:tcPr>
          <w:p>
            <w:pPr>
              <w:spacing w:after="0"/>
              <w:rPr>
                <w:sz w:val="17"/>
                <w:szCs w:val="17"/>
                <w:color w:val="auto"/>
              </w:rPr>
            </w:pPr>
          </w:p>
        </w:tc>
        <w:tc>
          <w:tcPr>
            <w:tcW w:w="5060" w:type="dxa"/>
            <w:vAlign w:val="bottom"/>
          </w:tcPr>
          <w:p>
            <w:pPr>
              <w:spacing w:after="0" w:line="180" w:lineRule="exact"/>
              <w:rPr>
                <w:sz w:val="20"/>
                <w:szCs w:val="20"/>
                <w:color w:val="auto"/>
              </w:rPr>
            </w:pPr>
            <w:r>
              <w:rPr>
                <w:rFonts w:ascii="Arial" w:cs="Arial" w:eastAsia="Arial" w:hAnsi="Arial"/>
                <w:sz w:val="16"/>
                <w:szCs w:val="16"/>
                <w:color w:val="auto"/>
              </w:rPr>
              <w:t>(Principal Executive Officer) and Director</w:t>
            </w:r>
          </w:p>
        </w:tc>
      </w:tr>
      <w:tr>
        <w:trPr>
          <w:trHeight w:val="37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Wallace R. Cooney</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4"/>
        </w:trPr>
        <w:tc>
          <w:tcPr>
            <w:tcW w:w="3940" w:type="dxa"/>
            <w:vAlign w:val="bottom"/>
          </w:tcPr>
          <w:p>
            <w:pPr>
              <w:spacing w:after="0"/>
              <w:rPr>
                <w:sz w:val="20"/>
                <w:szCs w:val="20"/>
                <w:color w:val="auto"/>
              </w:rPr>
            </w:pPr>
            <w:r>
              <w:rPr>
                <w:rFonts w:ascii="Arial" w:cs="Arial" w:eastAsia="Arial" w:hAnsi="Arial"/>
                <w:sz w:val="16"/>
                <w:szCs w:val="16"/>
                <w:color w:val="auto"/>
              </w:rPr>
              <w:t>Wallace R. Cooney</w:t>
            </w:r>
          </w:p>
        </w:tc>
        <w:tc>
          <w:tcPr>
            <w:tcW w:w="120" w:type="dxa"/>
            <w:vAlign w:val="bottom"/>
          </w:tcPr>
          <w:p>
            <w:pPr>
              <w:spacing w:after="0"/>
              <w:rPr>
                <w:sz w:val="17"/>
                <w:szCs w:val="17"/>
                <w:color w:val="auto"/>
              </w:rPr>
            </w:pPr>
          </w:p>
        </w:tc>
        <w:tc>
          <w:tcPr>
            <w:tcW w:w="5060" w:type="dxa"/>
            <w:vAlign w:val="bottom"/>
          </w:tcPr>
          <w:p>
            <w:pPr>
              <w:spacing w:after="0" w:line="180" w:lineRule="exact"/>
              <w:rPr>
                <w:sz w:val="20"/>
                <w:szCs w:val="20"/>
                <w:color w:val="auto"/>
              </w:rPr>
            </w:pPr>
            <w:r>
              <w:rPr>
                <w:rFonts w:ascii="Arial" w:cs="Arial" w:eastAsia="Arial" w:hAnsi="Arial"/>
                <w:sz w:val="16"/>
                <w:szCs w:val="16"/>
                <w:color w:val="auto"/>
              </w:rPr>
              <w:t>(Principal Financial Officer)</w:t>
            </w:r>
          </w:p>
        </w:tc>
      </w:tr>
      <w:tr>
        <w:trPr>
          <w:trHeight w:val="37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Marcel A. Snyman</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Chief Accounting Officer</w:t>
            </w:r>
          </w:p>
        </w:tc>
      </w:tr>
      <w:tr>
        <w:trPr>
          <w:trHeight w:val="204"/>
        </w:trPr>
        <w:tc>
          <w:tcPr>
            <w:tcW w:w="3940" w:type="dxa"/>
            <w:vAlign w:val="bottom"/>
          </w:tcPr>
          <w:p>
            <w:pPr>
              <w:spacing w:after="0"/>
              <w:rPr>
                <w:sz w:val="20"/>
                <w:szCs w:val="20"/>
                <w:color w:val="auto"/>
              </w:rPr>
            </w:pPr>
            <w:r>
              <w:rPr>
                <w:rFonts w:ascii="Arial" w:cs="Arial" w:eastAsia="Arial" w:hAnsi="Arial"/>
                <w:sz w:val="16"/>
                <w:szCs w:val="16"/>
                <w:color w:val="auto"/>
              </w:rPr>
              <w:t>Marcel A. Snyman</w:t>
            </w:r>
          </w:p>
        </w:tc>
        <w:tc>
          <w:tcPr>
            <w:tcW w:w="120" w:type="dxa"/>
            <w:vAlign w:val="bottom"/>
          </w:tcPr>
          <w:p>
            <w:pPr>
              <w:spacing w:after="0"/>
              <w:rPr>
                <w:sz w:val="17"/>
                <w:szCs w:val="17"/>
                <w:color w:val="auto"/>
              </w:rPr>
            </w:pPr>
          </w:p>
        </w:tc>
        <w:tc>
          <w:tcPr>
            <w:tcW w:w="5060" w:type="dxa"/>
            <w:vAlign w:val="bottom"/>
          </w:tcPr>
          <w:p>
            <w:pPr>
              <w:spacing w:after="0" w:line="180" w:lineRule="exact"/>
              <w:rPr>
                <w:sz w:val="20"/>
                <w:szCs w:val="20"/>
                <w:color w:val="auto"/>
              </w:rPr>
            </w:pPr>
            <w:r>
              <w:rPr>
                <w:rFonts w:ascii="Arial" w:cs="Arial" w:eastAsia="Arial" w:hAnsi="Arial"/>
                <w:sz w:val="16"/>
                <w:szCs w:val="16"/>
                <w:color w:val="auto"/>
              </w:rPr>
              <w:t>(Principal Accounting Officer)</w:t>
            </w:r>
          </w:p>
        </w:tc>
      </w:tr>
      <w:tr>
        <w:trPr>
          <w:trHeight w:val="37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Tony Allen</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Director</w:t>
            </w:r>
          </w:p>
        </w:tc>
      </w:tr>
      <w:tr>
        <w:trPr>
          <w:trHeight w:val="204"/>
        </w:trPr>
        <w:tc>
          <w:tcPr>
            <w:tcW w:w="3940" w:type="dxa"/>
            <w:vAlign w:val="bottom"/>
          </w:tcPr>
          <w:p>
            <w:pPr>
              <w:spacing w:after="0"/>
              <w:rPr>
                <w:sz w:val="20"/>
                <w:szCs w:val="20"/>
                <w:color w:val="auto"/>
              </w:rPr>
            </w:pPr>
            <w:r>
              <w:rPr>
                <w:rFonts w:ascii="Arial" w:cs="Arial" w:eastAsia="Arial" w:hAnsi="Arial"/>
                <w:sz w:val="16"/>
                <w:szCs w:val="16"/>
                <w:color w:val="auto"/>
              </w:rPr>
              <w:t>Tony Allen</w:t>
            </w: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37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Christopher C. Davis</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Director</w:t>
            </w:r>
          </w:p>
        </w:tc>
      </w:tr>
      <w:tr>
        <w:trPr>
          <w:trHeight w:val="204"/>
        </w:trPr>
        <w:tc>
          <w:tcPr>
            <w:tcW w:w="3940" w:type="dxa"/>
            <w:vAlign w:val="bottom"/>
          </w:tcPr>
          <w:p>
            <w:pPr>
              <w:spacing w:after="0"/>
              <w:rPr>
                <w:sz w:val="20"/>
                <w:szCs w:val="20"/>
                <w:color w:val="auto"/>
              </w:rPr>
            </w:pPr>
            <w:r>
              <w:rPr>
                <w:rFonts w:ascii="Arial" w:cs="Arial" w:eastAsia="Arial" w:hAnsi="Arial"/>
                <w:sz w:val="16"/>
                <w:szCs w:val="16"/>
                <w:color w:val="auto"/>
              </w:rPr>
              <w:t>Christopher C. Davis</w:t>
            </w: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37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Thomas S. Gayner</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Director</w:t>
            </w:r>
          </w:p>
        </w:tc>
      </w:tr>
      <w:tr>
        <w:trPr>
          <w:trHeight w:val="204"/>
        </w:trPr>
        <w:tc>
          <w:tcPr>
            <w:tcW w:w="3940" w:type="dxa"/>
            <w:vAlign w:val="bottom"/>
          </w:tcPr>
          <w:p>
            <w:pPr>
              <w:spacing w:after="0"/>
              <w:rPr>
                <w:sz w:val="20"/>
                <w:szCs w:val="20"/>
                <w:color w:val="auto"/>
              </w:rPr>
            </w:pPr>
            <w:r>
              <w:rPr>
                <w:rFonts w:ascii="Arial" w:cs="Arial" w:eastAsia="Arial" w:hAnsi="Arial"/>
                <w:sz w:val="16"/>
                <w:szCs w:val="16"/>
                <w:color w:val="auto"/>
              </w:rPr>
              <w:t>Thomas S. Gayner</w:t>
            </w: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37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Anne M. Mulcahy</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Director</w:t>
            </w:r>
          </w:p>
        </w:tc>
      </w:tr>
      <w:tr>
        <w:trPr>
          <w:trHeight w:val="204"/>
        </w:trPr>
        <w:tc>
          <w:tcPr>
            <w:tcW w:w="3940" w:type="dxa"/>
            <w:vAlign w:val="bottom"/>
          </w:tcPr>
          <w:p>
            <w:pPr>
              <w:spacing w:after="0"/>
              <w:rPr>
                <w:sz w:val="20"/>
                <w:szCs w:val="20"/>
                <w:color w:val="auto"/>
              </w:rPr>
            </w:pPr>
            <w:r>
              <w:rPr>
                <w:rFonts w:ascii="Arial" w:cs="Arial" w:eastAsia="Arial" w:hAnsi="Arial"/>
                <w:sz w:val="16"/>
                <w:szCs w:val="16"/>
                <w:color w:val="auto"/>
              </w:rPr>
              <w:t>Anne M. Mulcahy</w:t>
            </w: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37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 Richard Wagoner, Jr.</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Director</w:t>
            </w:r>
          </w:p>
        </w:tc>
      </w:tr>
      <w:tr>
        <w:trPr>
          <w:trHeight w:val="204"/>
        </w:trPr>
        <w:tc>
          <w:tcPr>
            <w:tcW w:w="3940" w:type="dxa"/>
            <w:vAlign w:val="bottom"/>
          </w:tcPr>
          <w:p>
            <w:pPr>
              <w:spacing w:after="0"/>
              <w:rPr>
                <w:sz w:val="20"/>
                <w:szCs w:val="20"/>
                <w:color w:val="auto"/>
              </w:rPr>
            </w:pPr>
            <w:r>
              <w:rPr>
                <w:rFonts w:ascii="Arial" w:cs="Arial" w:eastAsia="Arial" w:hAnsi="Arial"/>
                <w:sz w:val="16"/>
                <w:szCs w:val="16"/>
                <w:color w:val="auto"/>
              </w:rPr>
              <w:t>G. Richard Wagoner, Jr.</w:t>
            </w: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37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Katharine Weymouth</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Director</w:t>
            </w:r>
          </w:p>
        </w:tc>
      </w:tr>
      <w:tr>
        <w:trPr>
          <w:trHeight w:val="204"/>
        </w:trPr>
        <w:tc>
          <w:tcPr>
            <w:tcW w:w="3940" w:type="dxa"/>
            <w:vAlign w:val="bottom"/>
          </w:tcPr>
          <w:p>
            <w:pPr>
              <w:spacing w:after="0"/>
              <w:rPr>
                <w:sz w:val="20"/>
                <w:szCs w:val="20"/>
                <w:color w:val="auto"/>
              </w:rPr>
            </w:pPr>
            <w:r>
              <w:rPr>
                <w:rFonts w:ascii="Arial" w:cs="Arial" w:eastAsia="Arial" w:hAnsi="Arial"/>
                <w:sz w:val="16"/>
                <w:szCs w:val="16"/>
                <w:color w:val="auto"/>
              </w:rPr>
              <w:t>Katharine Weymouth</w:t>
            </w: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12807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80795" cy="1524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May 5,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May 5,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May 5,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May 5,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May 5,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May 5,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May 5,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May 5,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May 5,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May 5, 2022</w:t>
      </w:r>
    </w:p>
    <w:p>
      <w:pPr>
        <w:sectPr>
          <w:pgSz w:w="11900" w:h="16838" w:orient="portrait"/>
          <w:cols w:equalWidth="0" w:num="2">
            <w:col w:w="9120" w:space="120"/>
            <w:col w:w="1880"/>
          </w:cols>
          <w:pgMar w:left="320" w:top="544" w:right="45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7204075" cy="2759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204075" cy="275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June 22,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Graham Holdings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Registration Statement on Form S-8</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1" w:lineRule="exact"/>
        <w:rPr>
          <w:sz w:val="20"/>
          <w:szCs w:val="20"/>
          <w:color w:val="auto"/>
        </w:rPr>
      </w:pPr>
    </w:p>
    <w:p>
      <w:pPr>
        <w:ind w:right="200" w:firstLine="573"/>
        <w:spacing w:after="0" w:line="282" w:lineRule="auto"/>
        <w:rPr>
          <w:sz w:val="20"/>
          <w:szCs w:val="20"/>
          <w:color w:val="auto"/>
        </w:rPr>
      </w:pPr>
      <w:r>
        <w:rPr>
          <w:rFonts w:ascii="Arial" w:cs="Arial" w:eastAsia="Arial" w:hAnsi="Arial"/>
          <w:sz w:val="17"/>
          <w:szCs w:val="17"/>
          <w:color w:val="auto"/>
        </w:rPr>
        <w:t>We have acted as counsel for Graham Holdings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S-8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500,000 shares of the Company’s Class B common stock, par value $0.01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issuable pursuant to the Graham Holdings Company 2022 Incentive Compensation Plan (the “</w:t>
      </w:r>
      <w:r>
        <w:rPr>
          <w:rFonts w:ascii="Arial" w:cs="Arial" w:eastAsia="Arial" w:hAnsi="Arial"/>
          <w:sz w:val="17"/>
          <w:szCs w:val="17"/>
          <w:u w:val="single" w:color="auto"/>
          <w:color w:val="auto"/>
        </w:rPr>
        <w:t>2022 Plan</w:t>
      </w:r>
      <w:r>
        <w:rPr>
          <w:rFonts w:ascii="Arial" w:cs="Arial" w:eastAsia="Arial" w:hAnsi="Arial"/>
          <w:sz w:val="17"/>
          <w:szCs w:val="17"/>
          <w:color w:val="auto"/>
        </w:rPr>
        <w:t>”).</w:t>
      </w:r>
    </w:p>
    <w:p>
      <w:pPr>
        <w:spacing w:after="0" w:line="156" w:lineRule="exact"/>
        <w:rPr>
          <w:sz w:val="20"/>
          <w:szCs w:val="20"/>
          <w:color w:val="auto"/>
        </w:rPr>
      </w:pPr>
    </w:p>
    <w:p>
      <w:pPr>
        <w:ind w:right="40" w:firstLine="573"/>
        <w:spacing w:after="0" w:line="244" w:lineRule="auto"/>
        <w:rPr>
          <w:sz w:val="20"/>
          <w:szCs w:val="20"/>
          <w:color w:val="auto"/>
        </w:rPr>
      </w:pPr>
      <w:r>
        <w:rPr>
          <w:rFonts w:ascii="Arial" w:cs="Arial" w:eastAsia="Arial" w:hAnsi="Arial"/>
          <w:sz w:val="19"/>
          <w:szCs w:val="19"/>
          <w:color w:val="auto"/>
        </w:rPr>
        <w:t>In that connection, we have examined originals, or copies certified or otherwise identified to our satisfaction, of such documents, corporate records and other instruments as we have deemed necessary or appropriate for the purposes of this opinion, including, without limitation: (a) Restated Certificate of Incorporation of the Company, as amended; (b) the Amended and Restated By-laws of the Company; (c) certain resolutions adopted by the Board of Directors of the Company; and (d) the 2022 Plan.</w:t>
      </w:r>
    </w:p>
    <w:p>
      <w:pPr>
        <w:spacing w:after="0" w:line="186" w:lineRule="exact"/>
        <w:rPr>
          <w:sz w:val="20"/>
          <w:szCs w:val="20"/>
          <w:color w:val="auto"/>
        </w:rPr>
      </w:pPr>
    </w:p>
    <w:p>
      <w:pPr>
        <w:ind w:right="40" w:firstLine="573"/>
        <w:spacing w:after="0" w:line="282" w:lineRule="auto"/>
        <w:rPr>
          <w:sz w:val="20"/>
          <w:szCs w:val="20"/>
          <w:color w:val="auto"/>
        </w:rPr>
      </w:pPr>
      <w:r>
        <w:rPr>
          <w:rFonts w:ascii="Arial" w:cs="Arial" w:eastAsia="Arial" w:hAnsi="Arial"/>
          <w:sz w:val="17"/>
          <w:szCs w:val="17"/>
          <w:color w:val="auto"/>
        </w:rPr>
        <w:t>In rendering our opinion,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482600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 w:name="page10"/>
    <w:bookmarkEnd w:id="9"/>
    <w:p>
      <w:pPr>
        <w:ind w:right="180" w:firstLine="573"/>
        <w:spacing w:after="0" w:line="289" w:lineRule="auto"/>
        <w:rPr>
          <w:sz w:val="20"/>
          <w:szCs w:val="20"/>
          <w:color w:val="auto"/>
        </w:rPr>
      </w:pPr>
      <w:r>
        <w:rPr>
          <w:rFonts w:ascii="Arial" w:cs="Arial" w:eastAsia="Arial" w:hAnsi="Arial"/>
          <w:sz w:val="18"/>
          <w:szCs w:val="18"/>
          <w:color w:val="auto"/>
        </w:rPr>
        <w:t>Based on the foregoing and in reliance thereon, and subject to compliance with applicable state securities laws, we are of opinion that the Shares when, and if, issued pursuant to the terms of the 2022 Plan will be validly issued, fully paid and non-assessable.</w:t>
      </w:r>
    </w:p>
    <w:p>
      <w:pPr>
        <w:spacing w:after="0" w:line="146" w:lineRule="exact"/>
        <w:rPr>
          <w:sz w:val="20"/>
          <w:szCs w:val="20"/>
          <w:color w:val="auto"/>
        </w:rPr>
      </w:pPr>
    </w:p>
    <w:p>
      <w:pPr>
        <w:ind w:right="20" w:firstLine="573"/>
        <w:spacing w:after="0" w:line="244" w:lineRule="auto"/>
        <w:rPr>
          <w:sz w:val="20"/>
          <w:szCs w:val="20"/>
          <w:color w:val="auto"/>
        </w:rPr>
      </w:pPr>
      <w:r>
        <w:rPr>
          <w:rFonts w:ascii="Arial" w:cs="Arial" w:eastAsia="Arial" w:hAnsi="Arial"/>
          <w:sz w:val="19"/>
          <w:szCs w:val="19"/>
          <w:color w:val="auto"/>
        </w:rPr>
        <w:t>We are admitted to practice in the State of New York, and we express no opinion as to matters governed by any laws other than the General Corporation Law of the State of Delaware and the Federal laws of the United States of America. The reference and limitation to “General Corporation Law of the State of Delaware” includes the statutory provisions and all applicable provisions of the Delaware Constitution and reported judicial decisions interpreting these laws.</w:t>
      </w:r>
    </w:p>
    <w:p>
      <w:pPr>
        <w:spacing w:after="0" w:line="186" w:lineRule="exact"/>
        <w:rPr>
          <w:sz w:val="20"/>
          <w:szCs w:val="20"/>
          <w:color w:val="auto"/>
        </w:rPr>
      </w:pPr>
    </w:p>
    <w:p>
      <w:pPr>
        <w:ind w:firstLine="573"/>
        <w:spacing w:after="0" w:line="249" w:lineRule="auto"/>
        <w:rPr>
          <w:sz w:val="20"/>
          <w:szCs w:val="20"/>
          <w:color w:val="auto"/>
        </w:rPr>
      </w:pPr>
      <w:r>
        <w:rPr>
          <w:rFonts w:ascii="Arial" w:cs="Arial" w:eastAsia="Arial" w:hAnsi="Arial"/>
          <w:sz w:val="19"/>
          <w:szCs w:val="19"/>
          <w:color w:val="auto"/>
        </w:rPr>
        <w:t>We hereby consent to the filing of this opinion with the Commission as Exhibit 5.1 to the Registration Statement. In giving this consent, we do not thereby admit that we are included in the category of persons whose consent is required under Section 7 of the Securities Act or the rules and regulations of the Commission.</w:t>
      </w:r>
    </w:p>
    <w:p>
      <w:pPr>
        <w:spacing w:after="0" w:line="186"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/s/ Cravath, Swaine &amp; Moore LLP</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Graham Holdings Company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9"/>
          <w:szCs w:val="19"/>
          <w:color w:val="auto"/>
        </w:rPr>
        <w:t>1300 North 17th Street</w:t>
      </w:r>
    </w:p>
    <w:p>
      <w:pPr>
        <w:ind w:left="560"/>
        <w:spacing w:after="0"/>
        <w:rPr>
          <w:sz w:val="20"/>
          <w:szCs w:val="20"/>
          <w:color w:val="auto"/>
        </w:rPr>
      </w:pPr>
      <w:r>
        <w:rPr>
          <w:rFonts w:ascii="Arial" w:cs="Arial" w:eastAsia="Arial" w:hAnsi="Arial"/>
          <w:sz w:val="19"/>
          <w:szCs w:val="19"/>
          <w:color w:val="auto"/>
        </w:rPr>
        <w:t>Arlington, VA 22209</w:t>
      </w:r>
    </w:p>
    <w:p>
      <w:pPr>
        <w:sectPr>
          <w:pgSz w:w="11900" w:h="16838" w:orient="portrait"/>
          <w:cols w:equalWidth="0" w:num="1">
            <w:col w:w="11240"/>
          </w:cols>
          <w:pgMar w:left="320" w:top="550"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CONSENT OF INDEPENDENT REGISTERED PUBLIC ACCOUNTING FIRM</w:t>
      </w:r>
    </w:p>
    <w:p>
      <w:pPr>
        <w:spacing w:after="0" w:line="211"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color w:val="auto"/>
        </w:rPr>
        <w:t>We hereby consent to the incorporation by reference in this Registration Statement on Form S-8 of Graham Holdings Company of our report dated February 25, 2022 relating to the financial statements and the effectiveness of internal control over financial reporting, which appears in Graham Holdings Company’s Annual Report on Form 10-K for the year ended December 31, 2021.</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Washington, District of Columbia</w:t>
      </w:r>
    </w:p>
    <w:p>
      <w:pPr>
        <w:spacing w:after="0"/>
        <w:rPr>
          <w:sz w:val="20"/>
          <w:szCs w:val="20"/>
          <w:color w:val="auto"/>
        </w:rPr>
      </w:pPr>
      <w:r>
        <w:rPr>
          <w:rFonts w:ascii="Arial" w:cs="Arial" w:eastAsia="Arial" w:hAnsi="Arial"/>
          <w:sz w:val="19"/>
          <w:szCs w:val="19"/>
          <w:color w:val="auto"/>
        </w:rPr>
        <w:t>June 22, 2022</w:t>
      </w:r>
    </w:p>
    <w:p>
      <w:pPr>
        <w:sectPr>
          <w:pgSz w:w="11900" w:h="16838" w:orient="portrait"/>
          <w:cols w:equalWidth="0" w:num="1">
            <w:col w:w="11260"/>
          </w:cols>
          <w:pgMar w:left="320" w:top="115" w:right="31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b w:val="1"/>
          <w:bCs w:val="1"/>
          <w:color w:val="auto"/>
        </w:rPr>
        <w:t>Exhibit 107.1</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Calculation of Filing Fee Table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Form S-8</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(Form Type)</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Graham Holdings Company</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(Exact Name of Registrant as Specified in its Charter)</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Table 1—Newly Registered Securities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ind w:left="60"/>
              <w:spacing w:after="0"/>
              <w:rPr>
                <w:sz w:val="20"/>
                <w:szCs w:val="20"/>
                <w:color w:val="auto"/>
              </w:rPr>
            </w:pPr>
            <w:r>
              <w:rPr>
                <w:rFonts w:ascii="Arial" w:cs="Arial" w:eastAsia="Arial" w:hAnsi="Arial"/>
                <w:sz w:val="13"/>
                <w:szCs w:val="13"/>
                <w:b w:val="1"/>
                <w:bCs w:val="1"/>
                <w:color w:val="auto"/>
                <w:w w:val="98"/>
              </w:rPr>
              <w:t>Security Type</w:t>
            </w:r>
          </w:p>
        </w:tc>
        <w:tc>
          <w:tcPr>
            <w:tcW w:w="1600" w:type="dxa"/>
            <w:vAlign w:val="bottom"/>
          </w:tcPr>
          <w:p>
            <w:pPr>
              <w:ind w:left="280"/>
              <w:spacing w:after="0"/>
              <w:rPr>
                <w:sz w:val="20"/>
                <w:szCs w:val="20"/>
                <w:color w:val="auto"/>
              </w:rPr>
            </w:pPr>
            <w:r>
              <w:rPr>
                <w:rFonts w:ascii="Arial" w:cs="Arial" w:eastAsia="Arial" w:hAnsi="Arial"/>
                <w:sz w:val="13"/>
                <w:szCs w:val="13"/>
                <w:b w:val="1"/>
                <w:bCs w:val="1"/>
                <w:color w:val="auto"/>
              </w:rPr>
              <w:t>Security Class Title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9"/>
              </w:rPr>
              <w:t>Fee Calculation Rule</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w w:val="94"/>
              </w:rPr>
              <w:t>Amount Registered(1)</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0"/>
              </w:rPr>
              <w:t>Proposed Maximum Offering</w:t>
            </w:r>
          </w:p>
        </w:tc>
        <w:tc>
          <w:tcPr>
            <w:tcW w:w="1940" w:type="dxa"/>
            <w:vAlign w:val="bottom"/>
          </w:tcPr>
          <w:p>
            <w:pPr>
              <w:jc w:val="right"/>
              <w:ind w:right="176"/>
              <w:spacing w:after="0"/>
              <w:rPr>
                <w:sz w:val="20"/>
                <w:szCs w:val="20"/>
                <w:color w:val="auto"/>
              </w:rPr>
            </w:pPr>
            <w:r>
              <w:rPr>
                <w:rFonts w:ascii="Arial" w:cs="Arial" w:eastAsia="Arial" w:hAnsi="Arial"/>
                <w:sz w:val="13"/>
                <w:szCs w:val="13"/>
                <w:b w:val="1"/>
                <w:bCs w:val="1"/>
                <w:color w:val="auto"/>
                <w:w w:val="92"/>
              </w:rPr>
              <w:t>Maximum Aggregate Offering</w:t>
            </w:r>
          </w:p>
        </w:tc>
        <w:tc>
          <w:tcPr>
            <w:tcW w:w="1120" w:type="dxa"/>
            <w:vAlign w:val="bottom"/>
          </w:tcPr>
          <w:p>
            <w:pPr>
              <w:jc w:val="right"/>
              <w:ind w:right="376"/>
              <w:spacing w:after="0"/>
              <w:rPr>
                <w:sz w:val="20"/>
                <w:szCs w:val="20"/>
                <w:color w:val="auto"/>
              </w:rPr>
            </w:pPr>
            <w:r>
              <w:rPr>
                <w:rFonts w:ascii="Arial" w:cs="Arial" w:eastAsia="Arial" w:hAnsi="Arial"/>
                <w:sz w:val="13"/>
                <w:szCs w:val="13"/>
                <w:b w:val="1"/>
                <w:bCs w:val="1"/>
                <w:color w:val="auto"/>
              </w:rPr>
              <w:t>Fee Rate</w:t>
            </w:r>
          </w:p>
        </w:tc>
        <w:tc>
          <w:tcPr>
            <w:tcW w:w="122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89"/>
              </w:rPr>
              <w:t>Amount of</w:t>
            </w:r>
          </w:p>
        </w:tc>
      </w:tr>
      <w:tr>
        <w:trPr>
          <w:trHeight w:val="165"/>
        </w:trPr>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9"/>
              </w:rPr>
              <w:t>Price Per Share</w:t>
            </w:r>
          </w:p>
        </w:tc>
        <w:tc>
          <w:tcPr>
            <w:tcW w:w="1940" w:type="dxa"/>
            <w:vAlign w:val="bottom"/>
          </w:tcPr>
          <w:p>
            <w:pPr>
              <w:jc w:val="right"/>
              <w:ind w:right="856"/>
              <w:spacing w:after="0"/>
              <w:rPr>
                <w:sz w:val="20"/>
                <w:szCs w:val="20"/>
                <w:color w:val="auto"/>
              </w:rPr>
            </w:pPr>
            <w:r>
              <w:rPr>
                <w:rFonts w:ascii="Arial" w:cs="Arial" w:eastAsia="Arial" w:hAnsi="Arial"/>
                <w:sz w:val="13"/>
                <w:szCs w:val="13"/>
                <w:b w:val="1"/>
                <w:bCs w:val="1"/>
                <w:color w:val="auto"/>
              </w:rPr>
              <w:t>Price</w:t>
            </w:r>
          </w:p>
        </w:tc>
        <w:tc>
          <w:tcPr>
            <w:tcW w:w="1120" w:type="dxa"/>
            <w:vAlign w:val="bottom"/>
          </w:tcPr>
          <w:p>
            <w:pPr>
              <w:spacing w:after="0"/>
              <w:rPr>
                <w:sz w:val="14"/>
                <w:szCs w:val="14"/>
                <w:color w:val="auto"/>
              </w:rPr>
            </w:pPr>
          </w:p>
        </w:tc>
        <w:tc>
          <w:tcPr>
            <w:tcW w:w="1220" w:type="dxa"/>
            <w:vAlign w:val="bottom"/>
            <w:gridSpan w:val="2"/>
          </w:tcPr>
          <w:p>
            <w:pPr>
              <w:jc w:val="center"/>
              <w:ind w:right="36"/>
              <w:spacing w:after="0"/>
              <w:rPr>
                <w:sz w:val="20"/>
                <w:szCs w:val="20"/>
                <w:color w:val="auto"/>
              </w:rPr>
            </w:pPr>
            <w:r>
              <w:rPr>
                <w:rFonts w:ascii="Arial" w:cs="Arial" w:eastAsia="Arial" w:hAnsi="Arial"/>
                <w:sz w:val="13"/>
                <w:szCs w:val="13"/>
                <w:b w:val="1"/>
                <w:bCs w:val="1"/>
                <w:color w:val="auto"/>
                <w:w w:val="86"/>
              </w:rPr>
              <w:t>Registration Fee</w:t>
            </w:r>
          </w:p>
        </w:tc>
      </w:tr>
      <w:tr>
        <w:trPr>
          <w:trHeight w:val="85"/>
        </w:trPr>
        <w:tc>
          <w:tcPr>
            <w:tcW w:w="9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3"/>
                <w:szCs w:val="13"/>
                <w:color w:val="auto"/>
              </w:rPr>
              <w:t>Equity</w:t>
            </w:r>
          </w:p>
        </w:tc>
        <w:tc>
          <w:tcPr>
            <w:tcW w:w="1600" w:type="dxa"/>
            <w:vAlign w:val="bottom"/>
          </w:tcPr>
          <w:p>
            <w:pPr>
              <w:spacing w:after="0"/>
              <w:rPr>
                <w:sz w:val="20"/>
                <w:szCs w:val="20"/>
                <w:color w:val="auto"/>
              </w:rPr>
            </w:pPr>
            <w:r>
              <w:rPr>
                <w:rFonts w:ascii="Arial" w:cs="Arial" w:eastAsia="Arial" w:hAnsi="Arial"/>
                <w:sz w:val="13"/>
                <w:szCs w:val="13"/>
                <w:color w:val="auto"/>
                <w:w w:val="96"/>
              </w:rPr>
              <w:t>Class B Common Stock, par</w:t>
            </w:r>
          </w:p>
        </w:tc>
        <w:tc>
          <w:tcPr>
            <w:tcW w:w="1360" w:type="dxa"/>
            <w:vAlign w:val="bottom"/>
          </w:tcPr>
          <w:p>
            <w:pPr>
              <w:jc w:val="center"/>
              <w:ind w:left="16"/>
              <w:spacing w:after="0"/>
              <w:rPr>
                <w:sz w:val="20"/>
                <w:szCs w:val="20"/>
                <w:color w:val="auto"/>
              </w:rPr>
            </w:pPr>
            <w:r>
              <w:rPr>
                <w:rFonts w:ascii="Arial" w:cs="Arial" w:eastAsia="Arial" w:hAnsi="Arial"/>
                <w:sz w:val="13"/>
                <w:szCs w:val="13"/>
                <w:color w:val="auto"/>
                <w:w w:val="87"/>
              </w:rPr>
              <w:t>Rule 457(c) and Rule</w:t>
            </w:r>
          </w:p>
        </w:tc>
        <w:tc>
          <w:tcPr>
            <w:tcW w:w="1360" w:type="dxa"/>
            <w:vAlign w:val="bottom"/>
          </w:tcPr>
          <w:p>
            <w:pPr>
              <w:jc w:val="right"/>
              <w:spacing w:after="0"/>
              <w:rPr>
                <w:sz w:val="20"/>
                <w:szCs w:val="20"/>
                <w:color w:val="auto"/>
              </w:rPr>
            </w:pPr>
            <w:r>
              <w:rPr>
                <w:rFonts w:ascii="Arial" w:cs="Arial" w:eastAsia="Arial" w:hAnsi="Arial"/>
                <w:sz w:val="13"/>
                <w:szCs w:val="13"/>
                <w:color w:val="auto"/>
              </w:rPr>
              <w:t>500,000 (2)</w:t>
            </w:r>
          </w:p>
        </w:tc>
        <w:tc>
          <w:tcPr>
            <w:tcW w:w="1740" w:type="dxa"/>
            <w:vAlign w:val="bottom"/>
          </w:tcPr>
          <w:p>
            <w:pPr>
              <w:jc w:val="right"/>
              <w:spacing w:after="0"/>
              <w:rPr>
                <w:sz w:val="20"/>
                <w:szCs w:val="20"/>
                <w:color w:val="auto"/>
              </w:rPr>
            </w:pPr>
            <w:r>
              <w:rPr>
                <w:rFonts w:ascii="Arial" w:cs="Arial" w:eastAsia="Arial" w:hAnsi="Arial"/>
                <w:sz w:val="13"/>
                <w:szCs w:val="13"/>
                <w:color w:val="auto"/>
              </w:rPr>
              <w:t>$ 540.875 (3)</w:t>
            </w:r>
          </w:p>
        </w:tc>
        <w:tc>
          <w:tcPr>
            <w:tcW w:w="1940" w:type="dxa"/>
            <w:vAlign w:val="bottom"/>
          </w:tcPr>
          <w:p>
            <w:pPr>
              <w:jc w:val="right"/>
              <w:ind w:right="136"/>
              <w:spacing w:after="0"/>
              <w:rPr>
                <w:sz w:val="20"/>
                <w:szCs w:val="20"/>
                <w:color w:val="auto"/>
              </w:rPr>
            </w:pPr>
            <w:r>
              <w:rPr>
                <w:rFonts w:ascii="Arial" w:cs="Arial" w:eastAsia="Arial" w:hAnsi="Arial"/>
                <w:sz w:val="13"/>
                <w:szCs w:val="13"/>
                <w:color w:val="auto"/>
              </w:rPr>
              <w:t>$ 270,437,500.00</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$92.70 per</w:t>
            </w:r>
          </w:p>
        </w:tc>
        <w:tc>
          <w:tcPr>
            <w:tcW w:w="640" w:type="dxa"/>
            <w:vAlign w:val="bottom"/>
          </w:tcPr>
          <w:p>
            <w:pPr>
              <w:jc w:val="center"/>
              <w:ind w:left="4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89"/>
              </w:rPr>
              <w:t>25,069.56</w:t>
            </w:r>
          </w:p>
        </w:tc>
      </w:tr>
      <w:tr>
        <w:trPr>
          <w:trHeight w:val="161"/>
        </w:trPr>
        <w:tc>
          <w:tcPr>
            <w:tcW w:w="92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value $0.01 per share</w:t>
            </w:r>
          </w:p>
        </w:tc>
        <w:tc>
          <w:tcPr>
            <w:tcW w:w="1360" w:type="dxa"/>
            <w:vAlign w:val="bottom"/>
          </w:tcPr>
          <w:p>
            <w:pPr>
              <w:jc w:val="center"/>
              <w:spacing w:after="0"/>
              <w:rPr>
                <w:sz w:val="20"/>
                <w:szCs w:val="20"/>
                <w:color w:val="auto"/>
              </w:rPr>
            </w:pPr>
            <w:r>
              <w:rPr>
                <w:rFonts w:ascii="Arial" w:cs="Arial" w:eastAsia="Arial" w:hAnsi="Arial"/>
                <w:sz w:val="13"/>
                <w:szCs w:val="13"/>
                <w:color w:val="auto"/>
                <w:w w:val="90"/>
              </w:rPr>
              <w:t>457(h)</w:t>
            </w:r>
          </w:p>
        </w:tc>
        <w:tc>
          <w:tcPr>
            <w:tcW w:w="1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$1,000,000</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6"/>
        </w:trPr>
        <w:tc>
          <w:tcPr>
            <w:tcW w:w="25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1"/>
        </w:trPr>
        <w:tc>
          <w:tcPr>
            <w:tcW w:w="2520" w:type="dxa"/>
            <w:vAlign w:val="bottom"/>
            <w:gridSpan w:val="2"/>
          </w:tcPr>
          <w:p>
            <w:pPr>
              <w:ind w:left="40"/>
              <w:spacing w:after="0"/>
              <w:rPr>
                <w:sz w:val="20"/>
                <w:szCs w:val="20"/>
                <w:color w:val="auto"/>
              </w:rPr>
            </w:pPr>
            <w:r>
              <w:rPr>
                <w:rFonts w:ascii="Arial" w:cs="Arial" w:eastAsia="Arial" w:hAnsi="Arial"/>
                <w:sz w:val="13"/>
                <w:szCs w:val="13"/>
                <w:color w:val="auto"/>
              </w:rPr>
              <w:t>Total Offering Amounts</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jc w:val="right"/>
              <w:ind w:right="136"/>
              <w:spacing w:after="0"/>
              <w:rPr>
                <w:sz w:val="20"/>
                <w:szCs w:val="20"/>
                <w:color w:val="auto"/>
              </w:rPr>
            </w:pPr>
            <w:r>
              <w:rPr>
                <w:rFonts w:ascii="Arial" w:cs="Arial" w:eastAsia="Arial" w:hAnsi="Arial"/>
                <w:sz w:val="13"/>
                <w:szCs w:val="13"/>
                <w:color w:val="auto"/>
              </w:rPr>
              <w:t>$ 270,437,500.00</w:t>
            </w:r>
          </w:p>
        </w:tc>
        <w:tc>
          <w:tcPr>
            <w:tcW w:w="1120" w:type="dxa"/>
            <w:vAlign w:val="bottom"/>
          </w:tcPr>
          <w:p>
            <w:pPr>
              <w:spacing w:after="0"/>
              <w:rPr>
                <w:sz w:val="15"/>
                <w:szCs w:val="15"/>
                <w:color w:val="auto"/>
              </w:rPr>
            </w:pPr>
          </w:p>
        </w:tc>
        <w:tc>
          <w:tcPr>
            <w:tcW w:w="640" w:type="dxa"/>
            <w:vAlign w:val="bottom"/>
          </w:tcPr>
          <w:p>
            <w:pPr>
              <w:jc w:val="center"/>
              <w:ind w:left="4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89"/>
              </w:rPr>
              <w:t>25,069.56</w:t>
            </w:r>
          </w:p>
        </w:tc>
      </w:tr>
      <w:tr>
        <w:trPr>
          <w:trHeight w:val="85"/>
        </w:trPr>
        <w:tc>
          <w:tcPr>
            <w:tcW w:w="9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r>
      <w:tr>
        <w:trPr>
          <w:trHeight w:val="181"/>
        </w:trPr>
        <w:tc>
          <w:tcPr>
            <w:tcW w:w="920" w:type="dxa"/>
            <w:vAlign w:val="bottom"/>
          </w:tcPr>
          <w:p>
            <w:pPr>
              <w:ind w:left="40"/>
              <w:spacing w:after="0"/>
              <w:rPr>
                <w:sz w:val="20"/>
                <w:szCs w:val="20"/>
                <w:color w:val="auto"/>
              </w:rPr>
            </w:pPr>
            <w:r>
              <w:rPr>
                <w:rFonts w:ascii="Arial" w:cs="Arial" w:eastAsia="Arial" w:hAnsi="Arial"/>
                <w:sz w:val="13"/>
                <w:szCs w:val="13"/>
                <w:color w:val="auto"/>
                <w:w w:val="86"/>
              </w:rPr>
              <w:t>Total Fee Offsets</w:t>
            </w:r>
          </w:p>
        </w:tc>
        <w:tc>
          <w:tcPr>
            <w:tcW w:w="1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85"/>
        </w:trPr>
        <w:tc>
          <w:tcPr>
            <w:tcW w:w="9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r>
      <w:tr>
        <w:trPr>
          <w:trHeight w:val="181"/>
        </w:trPr>
        <w:tc>
          <w:tcPr>
            <w:tcW w:w="920" w:type="dxa"/>
            <w:vAlign w:val="bottom"/>
          </w:tcPr>
          <w:p>
            <w:pPr>
              <w:ind w:left="40"/>
              <w:spacing w:after="0"/>
              <w:rPr>
                <w:sz w:val="20"/>
                <w:szCs w:val="20"/>
                <w:color w:val="auto"/>
              </w:rPr>
            </w:pPr>
            <w:r>
              <w:rPr>
                <w:rFonts w:ascii="Arial" w:cs="Arial" w:eastAsia="Arial" w:hAnsi="Arial"/>
                <w:sz w:val="13"/>
                <w:szCs w:val="13"/>
                <w:color w:val="auto"/>
              </w:rPr>
              <w:t>Net Fee Due</w:t>
            </w:r>
          </w:p>
        </w:tc>
        <w:tc>
          <w:tcPr>
            <w:tcW w:w="1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center"/>
              <w:ind w:left="4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89"/>
              </w:rPr>
              <w:t>25,069.56</w:t>
            </w:r>
          </w:p>
        </w:tc>
      </w:tr>
      <w:tr>
        <w:trPr>
          <w:trHeight w:val="85"/>
        </w:trPr>
        <w:tc>
          <w:tcPr>
            <w:tcW w:w="9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r>
    </w:tbl>
    <w:p>
      <w:pPr>
        <w:spacing w:after="0" w:line="223" w:lineRule="exact"/>
        <w:rPr>
          <w:sz w:val="20"/>
          <w:szCs w:val="20"/>
          <w:color w:val="auto"/>
        </w:rPr>
      </w:pPr>
    </w:p>
    <w:p>
      <w:pPr>
        <w:ind w:left="360" w:right="220" w:hanging="341"/>
        <w:spacing w:after="0" w:line="248" w:lineRule="auto"/>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This Registration Statement on Form S-8 covers shares of Class B common stock, par value $0.01 per share (“Class B Common Stock”), of Graham Holdings Company (the “Registrant”) that are authorized for issuance under the Graham Holdings Company 2022 Incentive Compensation Plan (the “2022 Plan”). In the event of any stock dividend, stock split or other similar transaction involving the Class B Common Stock, the number of shares registered hereby shall automatically be adjusted in accordance with Rule 416(a) under the Securities Act of 1933, as amended (the “Securities Act”).</w:t>
      </w:r>
    </w:p>
    <w:p>
      <w:pPr>
        <w:spacing w:after="0" w:line="13" w:lineRule="exact"/>
        <w:rPr>
          <w:rFonts w:ascii="Arial" w:cs="Arial" w:eastAsia="Arial" w:hAnsi="Arial"/>
          <w:sz w:val="12"/>
          <w:szCs w:val="12"/>
          <w:color w:val="auto"/>
        </w:rPr>
      </w:pPr>
    </w:p>
    <w:p>
      <w:pPr>
        <w:ind w:left="360" w:hanging="341"/>
        <w:spacing w:after="0"/>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additional shares of Class B Common Stock reserved for issuance under the 2022 Plan.</w:t>
      </w:r>
    </w:p>
    <w:p>
      <w:pPr>
        <w:spacing w:after="0" w:line="29" w:lineRule="exact"/>
        <w:rPr>
          <w:rFonts w:ascii="Arial" w:cs="Arial" w:eastAsia="Arial" w:hAnsi="Arial"/>
          <w:sz w:val="13"/>
          <w:szCs w:val="13"/>
          <w:color w:val="auto"/>
        </w:rPr>
      </w:pPr>
    </w:p>
    <w:p>
      <w:pPr>
        <w:ind w:left="360" w:right="180" w:hanging="341"/>
        <w:spacing w:after="0" w:line="234" w:lineRule="auto"/>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the provisions of Rule 457(c) and (h) under the Securities Act on the basis of $540.88 per share, which represents the average of the high and low prices of the Registrant’s Class B Common Stock as reported on the New York Stock Exchange on June 21, 2022.</w:t>
      </w:r>
    </w:p>
    <w:sectPr>
      <w:pgSz w:w="11900" w:h="16838" w:orient="portrait"/>
      <w:cols w:equalWidth="0" w:num="1">
        <w:col w:w="11260"/>
      </w:cols>
      <w:pgMar w:left="320" w:top="1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1"/>
    </w:lvl>
    <w:lvl w:ilvl="1">
      <w:lvlJc w:val="left"/>
      <w:lvlText w:val="(%2)"/>
      <w:numFmt w:val="lowerRoman"/>
      <w:start w:val="1"/>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upperLetter"/>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jpeg"/><Relationship Id="rId26" Type="http://schemas.openxmlformats.org/officeDocument/2006/relationships/image" Target="media/image15.png"/><Relationship Id="rId16" Type="http://schemas.openxmlformats.org/officeDocument/2006/relationships/hyperlink" Target="https://www.sec.gov/Archives/edgar/data/104889/000095013304000785/w94191exv3w1.htm" TargetMode="External"/><Relationship Id="rId17" Type="http://schemas.openxmlformats.org/officeDocument/2006/relationships/hyperlink" Target="https://www.sec.gov/Archives/edgar/data/104889/000095015713000428/ex3-1.htm" TargetMode="External"/><Relationship Id="rId18" Type="http://schemas.openxmlformats.org/officeDocument/2006/relationships/hyperlink" Target="https://www.sec.gov/Archives/edgar/data/104889/000095015713000428/ex3-2.htm" TargetMode="External"/><Relationship Id="rId19" Type="http://schemas.openxmlformats.org/officeDocument/2006/relationships/hyperlink" Target="https://www.sec.gov/Archives/edgar/data/104889/000119312522083932/d229673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2022-06-22T14:15:13Z</dcterms:created>
  <dcterms:modified xsi:type="dcterms:W3CDTF">2022-06-22T14:15:13Z</dcterms:modified>
</cp:coreProperties>
</file>