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May 12,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WASHINGTON POST COMPANY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1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900" w:type="dxa"/>
            <w:vAlign w:val="bottom"/>
          </w:tcPr>
          <w:p>
            <w:pPr>
              <w:jc w:val="center"/>
              <w:ind w:right="1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1-6714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left="1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53-0182885</w:t>
            </w:r>
          </w:p>
        </w:tc>
      </w:tr>
      <w:tr>
        <w:trPr>
          <w:trHeight w:val="149"/>
        </w:trPr>
        <w:tc>
          <w:tcPr>
            <w:tcW w:w="2900" w:type="dxa"/>
            <w:vAlign w:val="bottom"/>
          </w:tcPr>
          <w:p>
            <w:pPr>
              <w:jc w:val="center"/>
              <w:ind w:right="128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or other jurisdiction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right="10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(Commission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left="122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2900" w:type="dxa"/>
            <w:vAlign w:val="bottom"/>
          </w:tcPr>
          <w:p>
            <w:pPr>
              <w:jc w:val="center"/>
              <w:ind w:right="1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of incorporation)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File Number)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left="1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621"/>
        </w:trPr>
        <w:tc>
          <w:tcPr>
            <w:tcW w:w="2900" w:type="dxa"/>
            <w:vAlign w:val="bottom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1150 15th Street, N.W.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1"/>
        </w:trPr>
        <w:tc>
          <w:tcPr>
            <w:tcW w:w="2900" w:type="dxa"/>
            <w:vAlign w:val="bottom"/>
          </w:tcPr>
          <w:p>
            <w:pPr>
              <w:jc w:val="center"/>
              <w:ind w:lef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Washington, D.C.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right"/>
              <w:ind w:right="1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20071</w:t>
            </w:r>
          </w:p>
        </w:tc>
      </w:tr>
      <w:tr>
        <w:trPr>
          <w:trHeight w:val="174"/>
        </w:trPr>
        <w:tc>
          <w:tcPr>
            <w:tcW w:w="2900" w:type="dxa"/>
            <w:vAlign w:val="bottom"/>
          </w:tcPr>
          <w:p>
            <w:pPr>
              <w:jc w:val="center"/>
              <w:ind w:lef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(Address of principal executive offices)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center"/>
              <w:ind w:righ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  <w:tr>
        <w:trPr>
          <w:trHeight w:val="35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right"/>
              <w:ind w:right="1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(202) 334-6000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(Registrant’s telephone number, including area code)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96520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5.07 Submission of Matters to a Vote of Security Holders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12, 2011, The Washington Post Company held its Annual Meeting of Stockholders. The following is a summary of the final voting results for each matter presented to stockholders.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1: Election of Directors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stockholders elected the ten persons nominated as Directors of the Company as set forth below: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Class A Common Stock Nominees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jc w:val="right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Withheld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Broker Non-Votes</w:t>
            </w:r>
          </w:p>
        </w:tc>
      </w:tr>
      <w:tr>
        <w:trPr>
          <w:trHeight w:val="95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Lee C. Bollinger</w:t>
            </w:r>
          </w:p>
        </w:tc>
        <w:tc>
          <w:tcPr>
            <w:tcW w:w="3240" w:type="dxa"/>
            <w:vAlign w:val="bottom"/>
            <w:shd w:val="clear" w:color="auto" w:fill="CCEEFF"/>
          </w:tcPr>
          <w:p>
            <w:pPr>
              <w:jc w:val="center"/>
              <w:ind w:left="1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1,240,883</w:t>
            </w:r>
          </w:p>
        </w:tc>
        <w:tc>
          <w:tcPr>
            <w:tcW w:w="12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280" w:type="dxa"/>
            <w:vAlign w:val="bottom"/>
            <w:shd w:val="clear" w:color="auto" w:fill="CCEEFF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Barry Diller</w:t>
            </w:r>
          </w:p>
        </w:tc>
        <w:tc>
          <w:tcPr>
            <w:tcW w:w="3240" w:type="dxa"/>
            <w:vAlign w:val="bottom"/>
          </w:tcPr>
          <w:p>
            <w:pPr>
              <w:jc w:val="center"/>
              <w:ind w:left="1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1,240,883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Thomas S. Gayner</w:t>
            </w:r>
          </w:p>
        </w:tc>
        <w:tc>
          <w:tcPr>
            <w:tcW w:w="3240" w:type="dxa"/>
            <w:vAlign w:val="bottom"/>
            <w:shd w:val="clear" w:color="auto" w:fill="CCEEFF"/>
          </w:tcPr>
          <w:p>
            <w:pPr>
              <w:jc w:val="center"/>
              <w:ind w:left="1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1,240,883</w:t>
            </w:r>
          </w:p>
        </w:tc>
        <w:tc>
          <w:tcPr>
            <w:tcW w:w="12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280" w:type="dxa"/>
            <w:vAlign w:val="bottom"/>
            <w:shd w:val="clear" w:color="auto" w:fill="CCEEFF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Donald E. Graham</w:t>
            </w:r>
          </w:p>
        </w:tc>
        <w:tc>
          <w:tcPr>
            <w:tcW w:w="3240" w:type="dxa"/>
            <w:vAlign w:val="bottom"/>
          </w:tcPr>
          <w:p>
            <w:pPr>
              <w:jc w:val="center"/>
              <w:ind w:left="1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1,240,883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Ronald L. Olson</w:t>
            </w:r>
          </w:p>
        </w:tc>
        <w:tc>
          <w:tcPr>
            <w:tcW w:w="3240" w:type="dxa"/>
            <w:vAlign w:val="bottom"/>
            <w:shd w:val="clear" w:color="auto" w:fill="CCEEFF"/>
          </w:tcPr>
          <w:p>
            <w:pPr>
              <w:jc w:val="center"/>
              <w:ind w:left="1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1,240,883</w:t>
            </w:r>
          </w:p>
        </w:tc>
        <w:tc>
          <w:tcPr>
            <w:tcW w:w="12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280" w:type="dxa"/>
            <w:vAlign w:val="bottom"/>
            <w:shd w:val="clear" w:color="auto" w:fill="CCEEFF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G. Richard Wagoner, Jr.</w:t>
            </w:r>
          </w:p>
        </w:tc>
        <w:tc>
          <w:tcPr>
            <w:tcW w:w="3240" w:type="dxa"/>
            <w:vAlign w:val="bottom"/>
          </w:tcPr>
          <w:p>
            <w:pPr>
              <w:jc w:val="center"/>
              <w:ind w:left="1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1,240,883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Katharine Weymouth</w:t>
            </w:r>
          </w:p>
        </w:tc>
        <w:tc>
          <w:tcPr>
            <w:tcW w:w="3240" w:type="dxa"/>
            <w:vAlign w:val="bottom"/>
            <w:shd w:val="clear" w:color="auto" w:fill="CCEEFF"/>
          </w:tcPr>
          <w:p>
            <w:pPr>
              <w:jc w:val="center"/>
              <w:ind w:left="1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1,240,883</w:t>
            </w:r>
          </w:p>
        </w:tc>
        <w:tc>
          <w:tcPr>
            <w:tcW w:w="12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  <w:tc>
          <w:tcPr>
            <w:tcW w:w="1280" w:type="dxa"/>
            <w:vAlign w:val="bottom"/>
            <w:shd w:val="clear" w:color="auto" w:fill="CCEEFF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  <w:tr>
        <w:trPr>
          <w:trHeight w:val="376"/>
        </w:trPr>
        <w:tc>
          <w:tcPr>
            <w:tcW w:w="4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Class B Common Stock Nominees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jc w:val="center"/>
              <w:ind w:left="17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For</w:t>
            </w:r>
          </w:p>
        </w:tc>
        <w:tc>
          <w:tcPr>
            <w:tcW w:w="12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Withheld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Broker Non-Votes</w:t>
            </w:r>
          </w:p>
        </w:tc>
      </w:tr>
      <w:tr>
        <w:trPr>
          <w:trHeight w:val="95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Christopher C. Davis</w:t>
            </w:r>
          </w:p>
        </w:tc>
        <w:tc>
          <w:tcPr>
            <w:tcW w:w="3240" w:type="dxa"/>
            <w:vAlign w:val="bottom"/>
            <w:shd w:val="clear" w:color="auto" w:fill="CCEEFF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5,653,817</w:t>
            </w:r>
          </w:p>
        </w:tc>
        <w:tc>
          <w:tcPr>
            <w:tcW w:w="12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136,792</w:t>
            </w:r>
          </w:p>
        </w:tc>
        <w:tc>
          <w:tcPr>
            <w:tcW w:w="1280" w:type="dxa"/>
            <w:vAlign w:val="bottom"/>
            <w:shd w:val="clear" w:color="auto" w:fill="CCEEFF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L. Dotson Jr.</w:t>
            </w:r>
          </w:p>
        </w:tc>
        <w:tc>
          <w:tcPr>
            <w:tcW w:w="3240" w:type="dxa"/>
            <w:vAlign w:val="bottom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5,648,240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142,369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Anne M. Mulcahy</w:t>
            </w:r>
          </w:p>
        </w:tc>
        <w:tc>
          <w:tcPr>
            <w:tcW w:w="3240" w:type="dxa"/>
            <w:vAlign w:val="bottom"/>
            <w:shd w:val="clear" w:color="auto" w:fill="CCEEFF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5,527,410</w:t>
            </w:r>
          </w:p>
        </w:tc>
        <w:tc>
          <w:tcPr>
            <w:tcW w:w="12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263,199</w:t>
            </w:r>
          </w:p>
        </w:tc>
        <w:tc>
          <w:tcPr>
            <w:tcW w:w="1280" w:type="dxa"/>
            <w:vAlign w:val="bottom"/>
            <w:shd w:val="clear" w:color="auto" w:fill="CCEEFF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0</w:t>
            </w:r>
          </w:p>
        </w:tc>
      </w:tr>
    </w:tbl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2: Approval of 2010 Compensation Awarded to Named Executive Officers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1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Class A stockholders, on an advisory basis, voted to approve the compensation paid to the Company’s named executive officers for 2010, as set forth below: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Class A Common Stock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4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For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Against</w:t>
            </w:r>
          </w:p>
        </w:tc>
        <w:tc>
          <w:tcPr>
            <w:tcW w:w="246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Abstain</w:t>
            </w:r>
          </w:p>
        </w:tc>
        <w:tc>
          <w:tcPr>
            <w:tcW w:w="256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Broker Non-Votes</w:t>
            </w:r>
          </w:p>
        </w:tc>
      </w:tr>
      <w:tr>
        <w:trPr>
          <w:trHeight w:val="9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  <w:shd w:val="clear" w:color="auto" w:fill="CCEEFF"/>
          </w:tcPr>
          <w:p>
            <w:pPr>
              <w:jc w:val="right"/>
              <w:ind w:right="10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1,240,883</w:t>
            </w:r>
          </w:p>
        </w:tc>
        <w:tc>
          <w:tcPr>
            <w:tcW w:w="2640" w:type="dxa"/>
            <w:vAlign w:val="bottom"/>
            <w:shd w:val="clear" w:color="auto" w:fill="CCEEFF"/>
          </w:tcPr>
          <w:p>
            <w:pPr>
              <w:jc w:val="right"/>
              <w:ind w:right="1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460" w:type="dxa"/>
            <w:vAlign w:val="bottom"/>
            <w:shd w:val="clear" w:color="auto" w:fill="CCEEFF"/>
          </w:tcPr>
          <w:p>
            <w:pPr>
              <w:jc w:val="right"/>
              <w:ind w:right="10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560" w:type="dxa"/>
            <w:vAlign w:val="bottom"/>
            <w:shd w:val="clear" w:color="auto" w:fill="CCEEFF"/>
          </w:tcPr>
          <w:p>
            <w:pPr>
              <w:jc w:val="right"/>
              <w:ind w:right="10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</w:tbl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3: Determine Frequency of Shareholder Advisory Vote Regarding Compensation Awarded to Named Executive Officers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3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Class A stockholders, on an advisory basis, voted to determine the frequency of future advisory votes on executive compensation, as set forth below: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Class A Common Stock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32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1 Year</w:t>
            </w:r>
          </w:p>
        </w:tc>
        <w:tc>
          <w:tcPr>
            <w:tcW w:w="2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2 Years</w:t>
            </w:r>
          </w:p>
        </w:tc>
        <w:tc>
          <w:tcPr>
            <w:tcW w:w="2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 Years</w:t>
            </w:r>
          </w:p>
        </w:tc>
        <w:tc>
          <w:tcPr>
            <w:tcW w:w="194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Abstain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Broker Non-Votes</w:t>
            </w:r>
          </w:p>
        </w:tc>
      </w:tr>
      <w:tr>
        <w:trPr>
          <w:trHeight w:val="95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16"/>
        </w:trPr>
        <w:tc>
          <w:tcPr>
            <w:tcW w:w="2320" w:type="dxa"/>
            <w:vAlign w:val="bottom"/>
            <w:shd w:val="clear" w:color="auto" w:fill="CCEEFF"/>
          </w:tcPr>
          <w:p>
            <w:pPr>
              <w:jc w:val="right"/>
              <w:ind w:right="7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1,240,883</w:t>
            </w:r>
          </w:p>
        </w:tc>
        <w:tc>
          <w:tcPr>
            <w:tcW w:w="2120" w:type="dxa"/>
            <w:vAlign w:val="bottom"/>
            <w:shd w:val="clear" w:color="auto" w:fill="CCEEFF"/>
          </w:tcPr>
          <w:p>
            <w:pPr>
              <w:jc w:val="right"/>
              <w:ind w:right="9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080" w:type="dxa"/>
            <w:vAlign w:val="bottom"/>
            <w:shd w:val="clear" w:color="auto" w:fill="CCEEFF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940" w:type="dxa"/>
            <w:vAlign w:val="bottom"/>
            <w:shd w:val="clear" w:color="auto" w:fill="CCEEFF"/>
          </w:tcPr>
          <w:p>
            <w:pPr>
              <w:jc w:val="right"/>
              <w:ind w:righ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040" w:type="dxa"/>
            <w:vAlign w:val="bottom"/>
            <w:shd w:val="clear" w:color="auto" w:fill="CCEEFF"/>
          </w:tcPr>
          <w:p>
            <w:pPr>
              <w:jc w:val="right"/>
              <w:ind w:righ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80" w:right="25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Washington Post Company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16,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Veronica Dillon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3701415</wp:posOffset>
            </wp:positionH>
            <wp:positionV relativeFrom="paragraph">
              <wp:posOffset>10795</wp:posOffset>
            </wp:positionV>
            <wp:extent cx="355028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(Signature)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Veronica Dillon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Secretary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and General Counsel</w:t>
      </w:r>
    </w:p>
    <w:sectPr>
      <w:pgSz w:w="11900" w:h="16838" w:orient="portrait"/>
      <w:cols w:equalWidth="0" w:num="1">
        <w:col w:w="11000"/>
      </w:cols>
      <w:pgMar w:left="240" w:top="280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2019-12-10T04:13:50Z</dcterms:created>
  <dcterms:modified xsi:type="dcterms:W3CDTF">2019-12-10T04:13:50Z</dcterms:modified>
</cp:coreProperties>
</file>