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Date of Report (Date of earliest event reported) September 23,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840" w:type="dxa"/>
        <w:tblCellMar>
          <w:top w:w="0" w:type="dxa"/>
          <w:left w:w="0" w:type="dxa"/>
          <w:bottom w:w="0" w:type="dxa"/>
          <w:right w:w="0" w:type="dxa"/>
        </w:tblCellMar>
      </w:tblPr>
      <w:tr>
        <w:trPr>
          <w:trHeight w:val="218"/>
        </w:trPr>
        <w:tc>
          <w:tcPr>
            <w:tcW w:w="2660" w:type="dxa"/>
            <w:vAlign w:val="bottom"/>
          </w:tcPr>
          <w:p>
            <w:pPr>
              <w:jc w:val="center"/>
              <w:ind w:right="362"/>
              <w:spacing w:after="0"/>
              <w:rPr>
                <w:sz w:val="20"/>
                <w:szCs w:val="20"/>
                <w:color w:val="auto"/>
              </w:rPr>
            </w:pPr>
            <w:r>
              <w:rPr>
                <w:rFonts w:ascii="Arial" w:cs="Arial" w:eastAsia="Arial" w:hAnsi="Arial"/>
                <w:sz w:val="18"/>
                <w:szCs w:val="18"/>
                <w:b w:val="1"/>
                <w:bCs w:val="1"/>
                <w:color w:val="auto"/>
                <w:w w:val="88"/>
              </w:rPr>
              <w:t>Delaware</w:t>
            </w:r>
          </w:p>
        </w:tc>
        <w:tc>
          <w:tcPr>
            <w:tcW w:w="4800" w:type="dxa"/>
            <w:vAlign w:val="bottom"/>
          </w:tcPr>
          <w:p>
            <w:pPr>
              <w:jc w:val="center"/>
              <w:ind w:right="24"/>
              <w:spacing w:after="0"/>
              <w:rPr>
                <w:sz w:val="20"/>
                <w:szCs w:val="20"/>
                <w:color w:val="auto"/>
              </w:rPr>
            </w:pPr>
            <w:r>
              <w:rPr>
                <w:rFonts w:ascii="Arial" w:cs="Arial" w:eastAsia="Arial" w:hAnsi="Arial"/>
                <w:sz w:val="18"/>
                <w:szCs w:val="18"/>
                <w:b w:val="1"/>
                <w:bCs w:val="1"/>
                <w:color w:val="auto"/>
                <w:w w:val="89"/>
              </w:rPr>
              <w:t>1-6714</w:t>
            </w:r>
          </w:p>
        </w:tc>
        <w:tc>
          <w:tcPr>
            <w:tcW w:w="182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26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48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(Commission</w:t>
            </w:r>
          </w:p>
        </w:tc>
        <w:tc>
          <w:tcPr>
            <w:tcW w:w="1820" w:type="dxa"/>
            <w:vAlign w:val="bottom"/>
          </w:tcPr>
          <w:p>
            <w:pPr>
              <w:jc w:val="center"/>
              <w:ind w:left="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660" w:type="dxa"/>
            <w:vAlign w:val="bottom"/>
          </w:tcPr>
          <w:p>
            <w:pPr>
              <w:jc w:val="center"/>
              <w:ind w:right="362"/>
              <w:spacing w:after="0"/>
              <w:rPr>
                <w:sz w:val="20"/>
                <w:szCs w:val="20"/>
                <w:color w:val="auto"/>
              </w:rPr>
            </w:pPr>
            <w:r>
              <w:rPr>
                <w:rFonts w:ascii="Arial" w:cs="Arial" w:eastAsia="Arial" w:hAnsi="Arial"/>
                <w:sz w:val="14"/>
                <w:szCs w:val="14"/>
                <w:b w:val="1"/>
                <w:bCs w:val="1"/>
                <w:color w:val="auto"/>
                <w:w w:val="87"/>
              </w:rPr>
              <w:t>of incorporation)</w:t>
            </w:r>
          </w:p>
        </w:tc>
        <w:tc>
          <w:tcPr>
            <w:tcW w:w="48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File Number)</w:t>
            </w:r>
          </w:p>
        </w:tc>
        <w:tc>
          <w:tcPr>
            <w:tcW w:w="1820" w:type="dxa"/>
            <w:vAlign w:val="bottom"/>
          </w:tcPr>
          <w:p>
            <w:pPr>
              <w:jc w:val="center"/>
              <w:ind w:left="6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660" w:type="dxa"/>
            <w:vAlign w:val="bottom"/>
          </w:tcPr>
          <w:p>
            <w:pPr>
              <w:jc w:val="center"/>
              <w:ind w:right="362"/>
              <w:spacing w:after="0"/>
              <w:rPr>
                <w:sz w:val="20"/>
                <w:szCs w:val="20"/>
                <w:color w:val="auto"/>
              </w:rPr>
            </w:pPr>
            <w:r>
              <w:rPr>
                <w:rFonts w:ascii="Arial" w:cs="Arial" w:eastAsia="Arial" w:hAnsi="Arial"/>
                <w:sz w:val="18"/>
                <w:szCs w:val="18"/>
                <w:b w:val="1"/>
                <w:bCs w:val="1"/>
                <w:color w:val="auto"/>
                <w:w w:val="88"/>
              </w:rPr>
              <w:t>1150 15th Street, N.W.</w:t>
            </w:r>
          </w:p>
        </w:tc>
        <w:tc>
          <w:tcPr>
            <w:tcW w:w="48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1"/>
        </w:trPr>
        <w:tc>
          <w:tcPr>
            <w:tcW w:w="2660" w:type="dxa"/>
            <w:vAlign w:val="bottom"/>
          </w:tcPr>
          <w:p>
            <w:pPr>
              <w:jc w:val="center"/>
              <w:ind w:right="362"/>
              <w:spacing w:after="0"/>
              <w:rPr>
                <w:sz w:val="20"/>
                <w:szCs w:val="20"/>
                <w:color w:val="auto"/>
              </w:rPr>
            </w:pPr>
            <w:r>
              <w:rPr>
                <w:rFonts w:ascii="Arial" w:cs="Arial" w:eastAsia="Arial" w:hAnsi="Arial"/>
                <w:sz w:val="18"/>
                <w:szCs w:val="18"/>
                <w:b w:val="1"/>
                <w:bCs w:val="1"/>
                <w:color w:val="auto"/>
                <w:w w:val="89"/>
              </w:rPr>
              <w:t>Washington, D.C.</w:t>
            </w:r>
          </w:p>
        </w:tc>
        <w:tc>
          <w:tcPr>
            <w:tcW w:w="4800" w:type="dxa"/>
            <w:vAlign w:val="bottom"/>
          </w:tcPr>
          <w:p>
            <w:pPr>
              <w:spacing w:after="0"/>
              <w:rPr>
                <w:sz w:val="20"/>
                <w:szCs w:val="20"/>
                <w:color w:val="auto"/>
              </w:rPr>
            </w:pPr>
          </w:p>
        </w:tc>
        <w:tc>
          <w:tcPr>
            <w:tcW w:w="182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2660" w:type="dxa"/>
            <w:vAlign w:val="bottom"/>
          </w:tcPr>
          <w:p>
            <w:pPr>
              <w:jc w:val="center"/>
              <w:ind w:right="3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4800" w:type="dxa"/>
            <w:vAlign w:val="bottom"/>
          </w:tcPr>
          <w:p>
            <w:pPr>
              <w:spacing w:after="0"/>
              <w:rPr>
                <w:sz w:val="15"/>
                <w:szCs w:val="15"/>
                <w:color w:val="auto"/>
              </w:rPr>
            </w:pPr>
          </w:p>
        </w:tc>
        <w:tc>
          <w:tcPr>
            <w:tcW w:w="1820" w:type="dxa"/>
            <w:vAlign w:val="bottom"/>
          </w:tcPr>
          <w:p>
            <w:pPr>
              <w:jc w:val="center"/>
              <w:ind w:left="6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660" w:type="dxa"/>
            <w:vAlign w:val="bottom"/>
          </w:tcPr>
          <w:p>
            <w:pPr>
              <w:spacing w:after="0"/>
              <w:rPr>
                <w:sz w:val="24"/>
                <w:szCs w:val="24"/>
                <w:color w:val="auto"/>
              </w:rPr>
            </w:pPr>
          </w:p>
        </w:tc>
        <w:tc>
          <w:tcPr>
            <w:tcW w:w="4800" w:type="dxa"/>
            <w:vAlign w:val="bottom"/>
          </w:tcPr>
          <w:p>
            <w:pPr>
              <w:jc w:val="center"/>
              <w:ind w:right="304"/>
              <w:spacing w:after="0"/>
              <w:rPr>
                <w:sz w:val="20"/>
                <w:szCs w:val="20"/>
                <w:color w:val="auto"/>
              </w:rPr>
            </w:pPr>
            <w:r>
              <w:rPr>
                <w:rFonts w:ascii="Arial" w:cs="Arial" w:eastAsia="Arial" w:hAnsi="Arial"/>
                <w:sz w:val="18"/>
                <w:szCs w:val="18"/>
                <w:b w:val="1"/>
                <w:bCs w:val="1"/>
                <w:color w:val="auto"/>
                <w:w w:val="89"/>
              </w:rPr>
              <w:t>(202) 334-6000</w:t>
            </w:r>
          </w:p>
        </w:tc>
        <w:tc>
          <w:tcPr>
            <w:tcW w:w="1820" w:type="dxa"/>
            <w:vAlign w:val="bottom"/>
          </w:tcPr>
          <w:p>
            <w:pPr>
              <w:spacing w:after="0"/>
              <w:rPr>
                <w:sz w:val="24"/>
                <w:szCs w:val="24"/>
                <w:color w:val="auto"/>
              </w:rPr>
            </w:pPr>
          </w:p>
        </w:tc>
      </w:tr>
      <w:tr>
        <w:trPr>
          <w:trHeight w:val="174"/>
        </w:trPr>
        <w:tc>
          <w:tcPr>
            <w:tcW w:w="2660" w:type="dxa"/>
            <w:vAlign w:val="bottom"/>
          </w:tcPr>
          <w:p>
            <w:pPr>
              <w:spacing w:after="0"/>
              <w:rPr>
                <w:sz w:val="15"/>
                <w:szCs w:val="15"/>
                <w:color w:val="auto"/>
              </w:rPr>
            </w:pPr>
          </w:p>
        </w:tc>
        <w:tc>
          <w:tcPr>
            <w:tcW w:w="4800" w:type="dxa"/>
            <w:vAlign w:val="bottom"/>
          </w:tcPr>
          <w:p>
            <w:pPr>
              <w:jc w:val="center"/>
              <w:ind w:right="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820" w:type="dxa"/>
            <w:vAlign w:val="bottom"/>
          </w:tcPr>
          <w:p>
            <w:pPr>
              <w:spacing w:after="0"/>
              <w:rPr>
                <w:sz w:val="15"/>
                <w:szCs w:val="15"/>
                <w:color w:val="auto"/>
              </w:rPr>
            </w:pPr>
          </w:p>
        </w:tc>
      </w:tr>
      <w:tr>
        <w:trPr>
          <w:trHeight w:val="352"/>
        </w:trPr>
        <w:tc>
          <w:tcPr>
            <w:tcW w:w="2660" w:type="dxa"/>
            <w:vAlign w:val="bottom"/>
          </w:tcPr>
          <w:p>
            <w:pPr>
              <w:spacing w:after="0"/>
              <w:rPr>
                <w:sz w:val="24"/>
                <w:szCs w:val="24"/>
                <w:color w:val="auto"/>
              </w:rPr>
            </w:pPr>
          </w:p>
        </w:tc>
        <w:tc>
          <w:tcPr>
            <w:tcW w:w="4800" w:type="dxa"/>
            <w:vAlign w:val="bottom"/>
          </w:tcPr>
          <w:p>
            <w:pPr>
              <w:jc w:val="center"/>
              <w:ind w:right="284"/>
              <w:spacing w:after="0"/>
              <w:rPr>
                <w:sz w:val="20"/>
                <w:szCs w:val="20"/>
                <w:color w:val="auto"/>
              </w:rPr>
            </w:pPr>
            <w:r>
              <w:rPr>
                <w:rFonts w:ascii="Arial" w:cs="Arial" w:eastAsia="Arial" w:hAnsi="Arial"/>
                <w:sz w:val="18"/>
                <w:szCs w:val="18"/>
                <w:b w:val="1"/>
                <w:bCs w:val="1"/>
                <w:color w:val="auto"/>
                <w:w w:val="88"/>
              </w:rPr>
              <w:t>Not Applicable</w:t>
            </w:r>
          </w:p>
        </w:tc>
        <w:tc>
          <w:tcPr>
            <w:tcW w:w="1820" w:type="dxa"/>
            <w:vAlign w:val="bottom"/>
          </w:tcPr>
          <w:p>
            <w:pPr>
              <w:spacing w:after="0"/>
              <w:rPr>
                <w:sz w:val="24"/>
                <w:szCs w:val="24"/>
                <w:color w:val="auto"/>
              </w:rPr>
            </w:pPr>
          </w:p>
        </w:tc>
      </w:tr>
      <w:tr>
        <w:trPr>
          <w:trHeight w:val="174"/>
        </w:trPr>
        <w:tc>
          <w:tcPr>
            <w:tcW w:w="2660" w:type="dxa"/>
            <w:vAlign w:val="bottom"/>
          </w:tcPr>
          <w:p>
            <w:pPr>
              <w:spacing w:after="0"/>
              <w:rPr>
                <w:sz w:val="15"/>
                <w:szCs w:val="15"/>
                <w:color w:val="auto"/>
              </w:rPr>
            </w:pPr>
          </w:p>
        </w:tc>
        <w:tc>
          <w:tcPr>
            <w:tcW w:w="4800" w:type="dxa"/>
            <w:vAlign w:val="bottom"/>
          </w:tcPr>
          <w:p>
            <w:pPr>
              <w:jc w:val="center"/>
              <w:ind w:right="284"/>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8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5—Corporate Governance and Management</w:t>
      </w:r>
    </w:p>
    <w:p>
      <w:pPr>
        <w:spacing w:after="0" w:line="90" w:lineRule="exact"/>
        <w:rPr>
          <w:sz w:val="20"/>
          <w:szCs w:val="20"/>
          <w:color w:val="auto"/>
        </w:rPr>
      </w:pPr>
    </w:p>
    <w:p>
      <w:pPr>
        <w:ind w:left="11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 Compensatory Arrangements of Certain Officers</w:t>
      </w:r>
    </w:p>
    <w:p>
      <w:pPr>
        <w:spacing w:after="0" w:line="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5.02(d)</w:t>
      </w:r>
      <w:r>
        <w:rPr>
          <w:sz w:val="20"/>
          <w:szCs w:val="20"/>
          <w:color w:val="auto"/>
        </w:rPr>
        <w:tab/>
      </w:r>
      <w:r>
        <w:rPr>
          <w:rFonts w:ascii="Arial" w:cs="Arial" w:eastAsia="Arial" w:hAnsi="Arial"/>
          <w:sz w:val="15"/>
          <w:szCs w:val="15"/>
          <w:b w:val="1"/>
          <w:bCs w:val="1"/>
          <w:color w:val="auto"/>
        </w:rPr>
        <w:t>Election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September 23, 2010, Katharine Weymouth was elected to the Board of Directors of The Washington Post Company (the “Company”).</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September 23, 2010, G. Richard Wagoner, Jr. was named to the Audit Committee of the Company. On September 23, 2010, Anne M. Mulcahy was named Chairman of the Compensation Committee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8—Other Events</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September 23, 2010, The Washington Post Company issued the press releases attached hereto as Exhibits 99.1 and 99.2.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284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Financial Statements and Exhibits</w:t>
            </w:r>
          </w:p>
        </w:tc>
      </w:tr>
      <w:tr>
        <w:trPr>
          <w:trHeight w:val="29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9"/>
              </w:rPr>
              <w:t>Item 9.01(d)</w:t>
            </w:r>
          </w:p>
        </w:tc>
        <w:tc>
          <w:tcPr>
            <w:tcW w:w="28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219"/>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214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84"/>
              </w:rPr>
              <w:t>Press Release dated September 23, 2010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84"/>
              </w:rPr>
              <w:t>Press Release dated September 23, 2010</w:t>
            </w:r>
          </w:p>
        </w:tc>
      </w:tr>
    </w:tbl>
    <w:p>
      <w:pPr>
        <w:sectPr>
          <w:pgSz w:w="11900" w:h="16838" w:orient="portrait"/>
          <w:cols w:equalWidth="0" w:num="1">
            <w:col w:w="11280"/>
          </w:cols>
          <w:pgMar w:left="240" w:top="274" w:right="3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2010</w:t>
      </w:r>
    </w:p>
    <w:p>
      <w:pPr>
        <w:spacing w:after="0" w:line="9" w:lineRule="exact"/>
        <w:rPr>
          <w:sz w:val="20"/>
          <w:szCs w:val="20"/>
          <w:color w:val="auto"/>
        </w:rPr>
      </w:pPr>
    </w:p>
    <w:p>
      <w:pPr>
        <w:ind w:left="7580"/>
        <w:spacing w:after="0"/>
        <w:tabs>
          <w:tab w:leader="none" w:pos="790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w:t>
        <w:tab/>
        <w:t>V</w:t>
      </w:r>
      <w:r>
        <w:rPr>
          <w:rFonts w:ascii="Arial" w:cs="Arial" w:eastAsia="Arial" w:hAnsi="Arial"/>
          <w:sz w:val="14"/>
          <w:szCs w:val="14"/>
          <w:b w:val="1"/>
          <w:bCs w:val="1"/>
          <w:color w:val="auto"/>
        </w:rPr>
        <w:t>ERONICA</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(Signature)</w:t>
      </w:r>
    </w:p>
    <w:p>
      <w:pPr>
        <w:jc w:val="center"/>
        <w:ind w:left="5840"/>
        <w:spacing w:after="0" w:line="223" w:lineRule="auto"/>
        <w:rPr>
          <w:sz w:val="20"/>
          <w:szCs w:val="20"/>
          <w:color w:val="auto"/>
        </w:rPr>
      </w:pPr>
      <w:r>
        <w:rPr>
          <w:rFonts w:ascii="Arial" w:cs="Arial" w:eastAsia="Arial" w:hAnsi="Arial"/>
          <w:sz w:val="14"/>
          <w:szCs w:val="14"/>
          <w:b w:val="1"/>
          <w:bCs w:val="1"/>
          <w:color w:val="auto"/>
        </w:rPr>
        <w:t>Veronica Dillon</w:t>
      </w:r>
    </w:p>
    <w:p>
      <w:pPr>
        <w:jc w:val="center"/>
        <w:ind w:left="5840"/>
        <w:spacing w:after="0"/>
        <w:rPr>
          <w:sz w:val="20"/>
          <w:szCs w:val="20"/>
          <w:color w:val="auto"/>
        </w:rPr>
      </w:pPr>
      <w:r>
        <w:rPr>
          <w:rFonts w:ascii="Arial" w:cs="Arial" w:eastAsia="Arial" w:hAnsi="Arial"/>
          <w:sz w:val="14"/>
          <w:szCs w:val="14"/>
          <w:b w:val="1"/>
          <w:bCs w:val="1"/>
          <w:color w:val="auto"/>
        </w:rPr>
        <w:t>Senior Vice President, Secretary and General Counsel</w:t>
      </w:r>
    </w:p>
    <w:p>
      <w:pPr>
        <w:sectPr>
          <w:pgSz w:w="11900" w:h="16838" w:orient="portrait"/>
          <w:cols w:equalWidth="0" w:num="1">
            <w:col w:w="11000"/>
          </w:cols>
          <w:pgMar w:left="240" w:top="274" w:right="6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83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September 23, 2010</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5"/>
          <w:szCs w:val="15"/>
          <w:color w:val="auto"/>
        </w:rPr>
        <w:t>Press Release dated September 23, 2010</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 Declares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Regular Quarterly Dividend;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Stock Repurchase Authorization</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WASHINGTON—September 23, 2010—The Washington Post Company (NYSE: WPO) today declared a regular quarterly dividend of $2.25 per share, payable on November 5, 2010, to shareholders of record on October 25, 2010.</w:t>
      </w:r>
    </w:p>
    <w:p>
      <w:pPr>
        <w:spacing w:after="0" w:line="132"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Company also said its Board of Directors today authorized the Company to acquire up to 750,000 shares of its Class B common stock. The Company did not announce a ceiling price or a time limit for the purchases. This authorization includes 16,312 shares that remained under the previous authorization.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currently 7,235,962 million Class B common shares outstanding.</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Rima Calderon</w:t>
      </w:r>
    </w:p>
    <w:p>
      <w:pPr>
        <w:spacing w:after="0" w:line="15" w:lineRule="exact"/>
        <w:rPr>
          <w:sz w:val="20"/>
          <w:szCs w:val="20"/>
          <w:color w:val="auto"/>
        </w:rPr>
      </w:pPr>
    </w:p>
    <w:p>
      <w:pPr>
        <w:ind w:left="920" w:right="8660" w:firstLine="6"/>
        <w:spacing w:after="0" w:line="361" w:lineRule="auto"/>
        <w:tabs>
          <w:tab w:leader="none" w:pos="1344"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Katharine Weymouth Elected a Director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6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WASHINGTON—September 23, 2010—The Washington Post Company (NYSE: WPO) announced today that Katharine Weymouth has been elected to the Board of Directors. Her election increases the Company’s board to 12 members.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Weymouth is chief executive officer of Washington Post Media, a unit of The Washington Post Company that includes The Washington Post, Express and El Tiempo Latino, and publisher of The Washington Post. She was named to both positions in February 2008. She had been vice president of advertising for The Washington Post since January 2005.</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Weymouth joined the Post in 1996 as assistant counsel. After two years, she moved to Washingtonpost.Newsweek Interactive (WPNI), then the online publishing subsidiary of The Washington Post Company, as associate counsel. In 2000, Weymouth returned to the newspaper, where she served as the advertising department’s liaison between the Post and WPNI. She became director of the advertising department’s Jobs unit in 2002 and was named director of advertising sales in April 2004.</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She earned a BA magna cum laude from Harvard College in 1988 and a JD from Stanford Law School in 1992. Following law school, she clerked on the Ninth Circuit Court of Appeals for one year. She practiced law at Williams &amp; Connolly in Washington, DC, from 1993-1996.</w:t>
      </w:r>
    </w:p>
    <w:p>
      <w:pPr>
        <w:spacing w:after="0" w:line="85" w:lineRule="exact"/>
        <w:rPr>
          <w:sz w:val="20"/>
          <w:szCs w:val="20"/>
          <w:color w:val="auto"/>
        </w:rPr>
      </w:pPr>
    </w:p>
    <w:p>
      <w:pPr>
        <w:jc w:val="center"/>
        <w:ind w:left="400" w:right="300"/>
        <w:spacing w:after="0" w:line="438" w:lineRule="auto"/>
        <w:rPr>
          <w:sz w:val="20"/>
          <w:szCs w:val="20"/>
          <w:color w:val="auto"/>
        </w:rPr>
      </w:pPr>
      <w:r>
        <w:rPr>
          <w:rFonts w:ascii="Arial" w:cs="Arial" w:eastAsia="Arial" w:hAnsi="Arial"/>
          <w:sz w:val="18"/>
          <w:szCs w:val="18"/>
          <w:color w:val="auto"/>
        </w:rPr>
        <w:t>Weymouth is a great-granddaughter of Eugene Meyer, who bought The Washington Post in 1933. She lives in Washington, DC, with her three children. # #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Press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15" w:lineRule="exact"/>
        <w:rPr>
          <w:sz w:val="20"/>
          <w:szCs w:val="20"/>
          <w:color w:val="auto"/>
        </w:rPr>
      </w:pPr>
    </w:p>
    <w:p>
      <w:pPr>
        <w:ind w:right="9580" w:firstLine="8"/>
        <w:spacing w:after="0" w:line="361"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02"/>
    </w:lvl>
  </w:abstractNum>
  <w:abstractNum w:abstractNumId="2">
    <w:nsid w:val="19495CFF"/>
    <w:multiLevelType w:val="hybridMultilevel"/>
    <w:lvl w:ilvl="0">
      <w:lvlJc w:val="left"/>
      <w:lvlText w:val="(%1)"/>
      <w:numFmt w:val="decimal"/>
      <w:start w:val="20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2019-12-10T03:32:08Z</dcterms:created>
  <dcterms:modified xsi:type="dcterms:W3CDTF">2019-12-10T03:32:08Z</dcterms:modified>
</cp:coreProperties>
</file>