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ind w:left="3261"/>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4"/>
          <w:szCs w:val="24"/>
          <w:color w:val="auto"/>
        </w:rPr>
      </w:pPr>
    </w:p>
    <w:p>
      <w:pPr>
        <w:ind w:left="202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ind w:left="2681"/>
        <w:spacing w:after="0"/>
        <w:tabs>
          <w:tab w:leader="none" w:pos="4201" w:val="left"/>
        </w:tabs>
        <w:rPr>
          <w:sz w:val="20"/>
          <w:szCs w:val="20"/>
          <w:color w:val="auto"/>
        </w:rPr>
      </w:pPr>
      <w:r>
        <w:rPr>
          <w:rFonts w:ascii="Courier New" w:cs="Courier New" w:eastAsia="Courier New" w:hAnsi="Courier New"/>
          <w:sz w:val="16"/>
          <w:szCs w:val="16"/>
          <w:color w:val="auto"/>
        </w:rPr>
        <w:t>WASHINGTON, DC</w:t>
        <w:tab/>
        <w:t>20549</w:t>
      </w:r>
    </w:p>
    <w:p>
      <w:pPr>
        <w:spacing w:after="0" w:line="188" w:lineRule="exact"/>
        <w:rPr>
          <w:sz w:val="24"/>
          <w:szCs w:val="24"/>
          <w:color w:val="auto"/>
        </w:rPr>
      </w:pPr>
    </w:p>
    <w:p>
      <w:pPr>
        <w:jc w:val="center"/>
        <w:ind w:right="2918"/>
        <w:spacing w:after="0"/>
        <w:rPr>
          <w:sz w:val="20"/>
          <w:szCs w:val="20"/>
          <w:color w:val="auto"/>
        </w:rPr>
      </w:pPr>
      <w:r>
        <w:rPr>
          <w:rFonts w:ascii="Courier New" w:cs="Courier New" w:eastAsia="Courier New" w:hAnsi="Courier New"/>
          <w:sz w:val="16"/>
          <w:szCs w:val="16"/>
          <w:color w:val="auto"/>
        </w:rPr>
        <w:t>Quarterly Report Pursuant to Section 13 or 15(d)</w:t>
      </w:r>
    </w:p>
    <w:p>
      <w:pPr>
        <w:spacing w:after="0" w:line="4" w:lineRule="exact"/>
        <w:rPr>
          <w:sz w:val="24"/>
          <w:szCs w:val="24"/>
          <w:color w:val="auto"/>
        </w:rPr>
      </w:pPr>
    </w:p>
    <w:p>
      <w:pPr>
        <w:jc w:val="center"/>
        <w:ind w:right="2918"/>
        <w:spacing w:after="0"/>
        <w:rPr>
          <w:sz w:val="20"/>
          <w:szCs w:val="20"/>
          <w:color w:val="auto"/>
        </w:rPr>
      </w:pPr>
      <w:r>
        <w:rPr>
          <w:rFonts w:ascii="Courier New" w:cs="Courier New" w:eastAsia="Courier New" w:hAnsi="Courier New"/>
          <w:sz w:val="16"/>
          <w:szCs w:val="16"/>
          <w:color w:val="auto"/>
        </w:rPr>
        <w:t>of the Securities Exchange Act of 1934</w:t>
      </w:r>
    </w:p>
    <w:p>
      <w:pPr>
        <w:sectPr>
          <w:pgSz w:w="11900" w:h="16838" w:orient="portrait"/>
          <w:cols w:equalWidth="0" w:num="1">
            <w:col w:w="10221"/>
          </w:cols>
          <w:pgMar w:left="239" w:top="238" w:right="1440" w:bottom="1440" w:gutter="0" w:footer="0" w:header="0"/>
        </w:sectPr>
      </w:pPr>
    </w:p>
    <w:p>
      <w:pPr>
        <w:spacing w:after="0" w:line="200" w:lineRule="exact"/>
        <w:rPr>
          <w:sz w:val="24"/>
          <w:szCs w:val="24"/>
          <w:color w:val="auto"/>
        </w:rPr>
      </w:pPr>
    </w:p>
    <w:p>
      <w:pPr>
        <w:spacing w:after="0" w:line="360" w:lineRule="exact"/>
        <w:rPr>
          <w:sz w:val="24"/>
          <w:szCs w:val="24"/>
          <w:color w:val="auto"/>
        </w:rPr>
      </w:pPr>
    </w:p>
    <w:p>
      <w:pPr>
        <w:ind w:left="1"/>
        <w:spacing w:after="0" w:line="242" w:lineRule="auto"/>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spacing w:after="0"/>
        <w:tabs>
          <w:tab w:leader="none" w:pos="2400" w:val="left"/>
        </w:tabs>
        <w:rPr>
          <w:sz w:val="20"/>
          <w:szCs w:val="20"/>
          <w:color w:val="auto"/>
        </w:rPr>
      </w:pPr>
      <w:r>
        <w:rPr>
          <w:rFonts w:ascii="Courier New" w:cs="Courier New" w:eastAsia="Courier New" w:hAnsi="Courier New"/>
          <w:sz w:val="16"/>
          <w:szCs w:val="16"/>
          <w:color w:val="auto"/>
        </w:rPr>
        <w:t>March 30, 1997</w:t>
      </w:r>
      <w:r>
        <w:rPr>
          <w:sz w:val="20"/>
          <w:szCs w:val="20"/>
          <w:color w:val="auto"/>
        </w:rPr>
        <w:tab/>
      </w:r>
      <w:r>
        <w:rPr>
          <w:rFonts w:ascii="Courier New" w:cs="Courier New" w:eastAsia="Courier New" w:hAnsi="Courier New"/>
          <w:sz w:val="15"/>
          <w:szCs w:val="15"/>
          <w:color w:val="auto"/>
        </w:rPr>
        <w:t>Commission File Number 1-6714</w:t>
      </w:r>
    </w:p>
    <w:p>
      <w:pPr>
        <w:spacing w:after="0" w:line="3" w:lineRule="exact"/>
        <w:rPr>
          <w:sz w:val="24"/>
          <w:szCs w:val="24"/>
          <w:color w:val="auto"/>
        </w:rPr>
      </w:pPr>
    </w:p>
    <w:p>
      <w:pPr>
        <w:sectPr>
          <w:pgSz w:w="11900" w:h="16838" w:orient="portrait"/>
          <w:cols w:equalWidth="0" w:num="2">
            <w:col w:w="1641" w:space="80"/>
            <w:col w:w="8499"/>
          </w:cols>
          <w:pgMar w:left="239" w:top="238" w:right="1440" w:bottom="1440" w:gutter="0" w:footer="0" w:header="0"/>
          <w:type w:val="continuous"/>
        </w:sectPr>
      </w:pPr>
    </w:p>
    <w:p>
      <w:pPr>
        <w:ind w:left="116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THE WASHINGTON POST COMPANY</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5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1161"/>
        <w:spacing w:after="0"/>
        <w:tabs>
          <w:tab w:leader="none" w:pos="4981" w:val="left"/>
        </w:tabs>
        <w:rPr>
          <w:sz w:val="20"/>
          <w:szCs w:val="20"/>
          <w:color w:val="auto"/>
        </w:rPr>
      </w:pPr>
      <w:r>
        <w:rPr>
          <w:rFonts w:ascii="Courier New" w:cs="Courier New" w:eastAsia="Courier New" w:hAnsi="Courier New"/>
          <w:sz w:val="16"/>
          <w:szCs w:val="16"/>
          <w:color w:val="auto"/>
        </w:rPr>
        <w:t>Delaware</w:t>
      </w:r>
      <w:r>
        <w:rPr>
          <w:sz w:val="20"/>
          <w:szCs w:val="20"/>
          <w:color w:val="auto"/>
        </w:rPr>
        <w:tab/>
      </w:r>
      <w:r>
        <w:rPr>
          <w:rFonts w:ascii="Courier New" w:cs="Courier New" w:eastAsia="Courier New" w:hAnsi="Courier New"/>
          <w:sz w:val="15"/>
          <w:szCs w:val="15"/>
          <w:color w:val="auto"/>
        </w:rPr>
        <w:t>53-0182885</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4"/>
          <w:szCs w:val="24"/>
          <w:color w:val="auto"/>
        </w:rPr>
      </w:pPr>
    </w:p>
    <w:p>
      <w:pPr>
        <w:ind w:left="281"/>
        <w:spacing w:after="0"/>
        <w:tabs>
          <w:tab w:leader="none" w:pos="4601" w:val="left"/>
        </w:tabs>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ab/>
      </w:r>
      <w:r>
        <w:rPr>
          <w:rFonts w:ascii="Courier New" w:cs="Courier New" w:eastAsia="Courier New" w:hAnsi="Courier New"/>
          <w:sz w:val="15"/>
          <w:szCs w:val="15"/>
          <w:color w:val="auto"/>
        </w:rPr>
        <w:t>(I.R.S. Employer</w:t>
      </w:r>
    </w:p>
    <w:p>
      <w:pPr>
        <w:spacing w:after="0" w:line="4" w:lineRule="exact"/>
        <w:rPr>
          <w:sz w:val="24"/>
          <w:szCs w:val="24"/>
          <w:color w:val="auto"/>
        </w:rPr>
      </w:pPr>
    </w:p>
    <w:p>
      <w:pPr>
        <w:ind w:left="281"/>
        <w:spacing w:after="0"/>
        <w:tabs>
          <w:tab w:leader="none" w:pos="4601" w:val="left"/>
        </w:tabs>
        <w:rPr>
          <w:sz w:val="20"/>
          <w:szCs w:val="20"/>
          <w:color w:val="auto"/>
        </w:rPr>
      </w:pPr>
      <w:r>
        <w:rPr>
          <w:rFonts w:ascii="Courier New" w:cs="Courier New" w:eastAsia="Courier New" w:hAnsi="Courier New"/>
          <w:sz w:val="16"/>
          <w:szCs w:val="16"/>
          <w:color w:val="auto"/>
        </w:rPr>
        <w:t>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373" w:lineRule="exact"/>
        <w:rPr>
          <w:sz w:val="24"/>
          <w:szCs w:val="24"/>
          <w:color w:val="auto"/>
        </w:rPr>
      </w:pPr>
    </w:p>
    <w:p>
      <w:pPr>
        <w:ind w:left="281"/>
        <w:spacing w:after="0"/>
        <w:tabs>
          <w:tab w:leader="none" w:pos="3241" w:val="left"/>
          <w:tab w:leader="none" w:pos="6121" w:val="left"/>
        </w:tabs>
        <w:rPr>
          <w:sz w:val="20"/>
          <w:szCs w:val="20"/>
          <w:color w:val="auto"/>
        </w:rPr>
      </w:pPr>
      <w:r>
        <w:rPr>
          <w:rFonts w:ascii="Courier New" w:cs="Courier New" w:eastAsia="Courier New" w:hAnsi="Courier New"/>
          <w:sz w:val="16"/>
          <w:szCs w:val="16"/>
          <w:color w:val="auto"/>
        </w:rPr>
        <w:t>1150 15th Street, N.W.</w:t>
      </w:r>
      <w:r>
        <w:rPr>
          <w:sz w:val="20"/>
          <w:szCs w:val="20"/>
          <w:color w:val="auto"/>
        </w:rPr>
        <w:tab/>
      </w: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4"/>
          <w:szCs w:val="24"/>
          <w:color w:val="auto"/>
        </w:rPr>
      </w:pPr>
    </w:p>
    <w:p>
      <w:pPr>
        <w:ind w:left="481"/>
        <w:spacing w:after="0"/>
        <w:tabs>
          <w:tab w:leader="none" w:pos="6041"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200" w:lineRule="exact"/>
        <w:rPr>
          <w:sz w:val="24"/>
          <w:szCs w:val="24"/>
          <w:color w:val="auto"/>
        </w:rPr>
      </w:pPr>
    </w:p>
    <w:p>
      <w:pPr>
        <w:spacing w:after="0" w:line="358" w:lineRule="exact"/>
        <w:rPr>
          <w:sz w:val="24"/>
          <w:szCs w:val="24"/>
          <w:color w:val="auto"/>
        </w:rPr>
      </w:pPr>
    </w:p>
    <w:p>
      <w:pPr>
        <w:ind w:left="3561" w:hanging="583"/>
        <w:spacing w:after="0"/>
        <w:tabs>
          <w:tab w:leader="none" w:pos="356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334-6000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360" w:lineRule="exact"/>
        <w:rPr>
          <w:sz w:val="24"/>
          <w:szCs w:val="24"/>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ind w:left="1"/>
        <w:spacing w:after="0"/>
        <w:tabs>
          <w:tab w:leader="none" w:pos="4121" w:val="left"/>
          <w:tab w:leader="none" w:pos="4681" w:val="left"/>
          <w:tab w:leader="none" w:pos="5161" w:val="left"/>
          <w:tab w:leader="none" w:pos="5561" w:val="left"/>
          <w:tab w:leader="none" w:pos="6421" w:val="left"/>
        </w:tabs>
        <w:rPr>
          <w:sz w:val="20"/>
          <w:szCs w:val="20"/>
          <w:color w:val="auto"/>
        </w:rPr>
      </w:pPr>
      <w:r>
        <w:rPr>
          <w:rFonts w:ascii="Courier New" w:cs="Courier New" w:eastAsia="Courier New" w:hAnsi="Courier New"/>
          <w:sz w:val="16"/>
          <w:szCs w:val="16"/>
          <w:color w:val="auto"/>
        </w:rPr>
        <w:t>filing requirements for the past 90 days.</w:t>
        <w:tab/>
        <w:t>Yes</w:t>
        <w:tab/>
        <w:t>X</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w:t>
      </w:r>
    </w:p>
    <w:p>
      <w:pPr>
        <w:spacing w:after="0" w:line="4" w:lineRule="exact"/>
        <w:rPr>
          <w:sz w:val="24"/>
          <w:szCs w:val="24"/>
          <w:color w:val="auto"/>
        </w:rPr>
      </w:pPr>
    </w:p>
    <w:p>
      <w:pPr>
        <w:ind w:left="4421"/>
        <w:spacing w:after="0"/>
        <w:tabs>
          <w:tab w:leader="none" w:pos="574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73" w:lineRule="exact"/>
        <w:rPr>
          <w:sz w:val="24"/>
          <w:szCs w:val="24"/>
          <w:color w:val="auto"/>
        </w:rPr>
      </w:pPr>
    </w:p>
    <w:p>
      <w:pPr>
        <w:ind w:left="861"/>
        <w:spacing w:after="0"/>
        <w:rPr>
          <w:sz w:val="20"/>
          <w:szCs w:val="20"/>
          <w:color w:val="auto"/>
        </w:rPr>
      </w:pPr>
      <w:r>
        <w:rPr>
          <w:rFonts w:ascii="Courier New" w:cs="Courier New" w:eastAsia="Courier New" w:hAnsi="Courier New"/>
          <w:sz w:val="16"/>
          <w:szCs w:val="16"/>
          <w:color w:val="auto"/>
        </w:rPr>
        <w:t>Shares outstanding at May 2, 1997:</w:t>
      </w:r>
    </w:p>
    <w:p>
      <w:pPr>
        <w:sectPr>
          <w:pgSz w:w="11900" w:h="16838" w:orient="portrait"/>
          <w:cols w:equalWidth="0" w:num="1">
            <w:col w:w="10221"/>
          </w:cols>
          <w:pgMar w:left="239" w:top="238" w:right="1440" w:bottom="1440" w:gutter="0" w:footer="0" w:header="0"/>
          <w:type w:val="continuous"/>
        </w:sectPr>
      </w:pPr>
    </w:p>
    <w:p>
      <w:pPr>
        <w:spacing w:after="0" w:line="190" w:lineRule="exact"/>
        <w:rPr>
          <w:sz w:val="24"/>
          <w:szCs w:val="24"/>
          <w:color w:val="auto"/>
        </w:rPr>
      </w:pPr>
    </w:p>
    <w:p>
      <w:pPr>
        <w:ind w:left="1641"/>
        <w:spacing w:after="0"/>
        <w:rPr>
          <w:sz w:val="20"/>
          <w:szCs w:val="20"/>
          <w:color w:val="auto"/>
        </w:rPr>
      </w:pPr>
      <w:r>
        <w:rPr>
          <w:rFonts w:ascii="Courier New" w:cs="Courier New" w:eastAsia="Courier New" w:hAnsi="Courier New"/>
          <w:sz w:val="15"/>
          <w:szCs w:val="15"/>
          <w:color w:val="auto"/>
        </w:rPr>
        <w:t>Class A Common Stock</w:t>
      </w:r>
    </w:p>
    <w:p>
      <w:pPr>
        <w:spacing w:after="0" w:line="15" w:lineRule="exact"/>
        <w:rPr>
          <w:sz w:val="24"/>
          <w:szCs w:val="24"/>
          <w:color w:val="auto"/>
        </w:rPr>
      </w:pPr>
    </w:p>
    <w:p>
      <w:pPr>
        <w:ind w:left="1641"/>
        <w:spacing w:after="0"/>
        <w:rPr>
          <w:sz w:val="20"/>
          <w:szCs w:val="20"/>
          <w:color w:val="auto"/>
        </w:rPr>
      </w:pPr>
      <w:r>
        <w:rPr>
          <w:rFonts w:ascii="Courier New" w:cs="Courier New" w:eastAsia="Courier New" w:hAnsi="Courier New"/>
          <w:sz w:val="15"/>
          <w:szCs w:val="15"/>
          <w:color w:val="auto"/>
        </w:rPr>
        <w:t>Class B Common Stock</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1,779,250 Shares</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8,956,515 Shares</w:t>
      </w:r>
    </w:p>
    <w:p>
      <w:pPr>
        <w:sectPr>
          <w:pgSz w:w="11900" w:h="16838" w:orient="portrait"/>
          <w:cols w:equalWidth="0" w:num="2">
            <w:col w:w="4861" w:space="720"/>
            <w:col w:w="4639"/>
          </w:cols>
          <w:pgMar w:left="239"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4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4080" w:type="dxa"/>
            <w:vAlign w:val="bottom"/>
          </w:tcPr>
          <w:p>
            <w:pPr>
              <w:ind w:left="60"/>
              <w:spacing w:after="0"/>
              <w:rPr>
                <w:sz w:val="20"/>
                <w:szCs w:val="20"/>
                <w:color w:val="auto"/>
              </w:rPr>
            </w:pPr>
            <w:r>
              <w:rPr>
                <w:rFonts w:ascii="Courier New" w:cs="Courier New" w:eastAsia="Courier New" w:hAnsi="Courier New"/>
                <w:sz w:val="16"/>
                <w:szCs w:val="16"/>
                <w:color w:val="auto"/>
              </w:rPr>
              <w:t>2.</w:t>
            </w:r>
          </w:p>
        </w:tc>
      </w:tr>
      <w:tr>
        <w:trPr>
          <w:trHeight w:val="739"/>
        </w:trPr>
        <w:tc>
          <w:tcPr>
            <w:tcW w:w="1640" w:type="dxa"/>
            <w:vAlign w:val="bottom"/>
          </w:tcPr>
          <w:p>
            <w:pPr>
              <w:spacing w:after="0"/>
              <w:rPr>
                <w:sz w:val="24"/>
                <w:szCs w:val="24"/>
                <w:color w:val="auto"/>
              </w:rPr>
            </w:pPr>
          </w:p>
        </w:tc>
        <w:tc>
          <w:tcPr>
            <w:tcW w:w="5800" w:type="dxa"/>
            <w:vAlign w:val="bottom"/>
          </w:tcPr>
          <w:p>
            <w:pPr>
              <w:ind w:left="860"/>
              <w:spacing w:after="0"/>
              <w:rPr>
                <w:sz w:val="20"/>
                <w:szCs w:val="20"/>
                <w:color w:val="auto"/>
              </w:rPr>
            </w:pPr>
            <w:r>
              <w:rPr>
                <w:rFonts w:ascii="Courier New" w:cs="Courier New" w:eastAsia="Courier New" w:hAnsi="Courier New"/>
                <w:sz w:val="16"/>
                <w:szCs w:val="16"/>
                <w:color w:val="auto"/>
              </w:rPr>
              <w:t>THE WASHINGTON POST COMPANY</w:t>
            </w:r>
          </w:p>
        </w:tc>
        <w:tc>
          <w:tcPr>
            <w:tcW w:w="4080" w:type="dxa"/>
            <w:vAlign w:val="bottom"/>
          </w:tcPr>
          <w:p>
            <w:pPr>
              <w:spacing w:after="0"/>
              <w:rPr>
                <w:sz w:val="24"/>
                <w:szCs w:val="24"/>
                <w:color w:val="auto"/>
              </w:rPr>
            </w:pPr>
          </w:p>
        </w:tc>
      </w:tr>
      <w:tr>
        <w:trPr>
          <w:trHeight w:val="370"/>
        </w:trPr>
        <w:tc>
          <w:tcPr>
            <w:tcW w:w="1640" w:type="dxa"/>
            <w:vAlign w:val="bottom"/>
          </w:tcPr>
          <w:p>
            <w:pPr>
              <w:spacing w:after="0"/>
              <w:rPr>
                <w:sz w:val="24"/>
                <w:szCs w:val="24"/>
                <w:color w:val="auto"/>
              </w:rPr>
            </w:pPr>
          </w:p>
        </w:tc>
        <w:tc>
          <w:tcPr>
            <w:tcW w:w="5800" w:type="dxa"/>
            <w:vAlign w:val="bottom"/>
          </w:tcPr>
          <w:p>
            <w:pPr>
              <w:ind w:left="1340"/>
              <w:spacing w:after="0"/>
              <w:rPr>
                <w:sz w:val="20"/>
                <w:szCs w:val="20"/>
                <w:color w:val="auto"/>
              </w:rPr>
            </w:pPr>
            <w:r>
              <w:rPr>
                <w:rFonts w:ascii="Courier New" w:cs="Courier New" w:eastAsia="Courier New" w:hAnsi="Courier New"/>
                <w:sz w:val="16"/>
                <w:szCs w:val="16"/>
                <w:color w:val="auto"/>
              </w:rPr>
              <w:t>INDEX TO FORM 10-Q</w:t>
            </w:r>
          </w:p>
        </w:tc>
        <w:tc>
          <w:tcPr>
            <w:tcW w:w="4080" w:type="dxa"/>
            <w:vAlign w:val="bottom"/>
          </w:tcPr>
          <w:p>
            <w:pPr>
              <w:spacing w:after="0"/>
              <w:rPr>
                <w:sz w:val="24"/>
                <w:szCs w:val="24"/>
                <w:color w:val="auto"/>
              </w:rPr>
            </w:pPr>
          </w:p>
        </w:tc>
      </w:tr>
      <w:tr>
        <w:trPr>
          <w:trHeight w:val="739"/>
        </w:trPr>
        <w:tc>
          <w:tcPr>
            <w:tcW w:w="16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080" w:type="dxa"/>
            <w:vAlign w:val="bottom"/>
          </w:tcPr>
          <w:p>
            <w:pPr>
              <w:ind w:left="3700"/>
              <w:spacing w:after="0"/>
              <w:rPr>
                <w:sz w:val="20"/>
                <w:szCs w:val="20"/>
                <w:color w:val="auto"/>
              </w:rPr>
            </w:pPr>
            <w:r>
              <w:rPr>
                <w:rFonts w:ascii="Courier New" w:cs="Courier New" w:eastAsia="Courier New" w:hAnsi="Courier New"/>
                <w:sz w:val="16"/>
                <w:szCs w:val="16"/>
                <w:color w:val="auto"/>
                <w:w w:val="93"/>
              </w:rPr>
              <w:t>PAGE</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80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4080" w:type="dxa"/>
            <w:vAlign w:val="bottom"/>
          </w:tcPr>
          <w:p>
            <w:pPr>
              <w:spacing w:after="0"/>
              <w:rPr>
                <w:sz w:val="24"/>
                <w:szCs w:val="24"/>
                <w:color w:val="auto"/>
              </w:rPr>
            </w:pP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80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4080" w:type="dxa"/>
            <w:vAlign w:val="bottom"/>
          </w:tcPr>
          <w:p>
            <w:pPr>
              <w:spacing w:after="0"/>
              <w:rPr>
                <w:sz w:val="24"/>
                <w:szCs w:val="24"/>
                <w:color w:val="auto"/>
              </w:rPr>
            </w:pPr>
          </w:p>
        </w:tc>
      </w:tr>
      <w:tr>
        <w:trPr>
          <w:trHeight w:val="370"/>
        </w:trPr>
        <w:tc>
          <w:tcPr>
            <w:tcW w:w="164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Courier New" w:cs="Courier New" w:eastAsia="Courier New" w:hAnsi="Courier New"/>
                <w:sz w:val="16"/>
                <w:szCs w:val="16"/>
                <w:color w:val="auto"/>
              </w:rPr>
              <w:t>Condensed Consolidated Statements of Income</w:t>
            </w:r>
          </w:p>
        </w:tc>
        <w:tc>
          <w:tcPr>
            <w:tcW w:w="4080" w:type="dxa"/>
            <w:vAlign w:val="bottom"/>
          </w:tcPr>
          <w:p>
            <w:pPr>
              <w:spacing w:after="0"/>
              <w:rPr>
                <w:sz w:val="24"/>
                <w:szCs w:val="24"/>
                <w:color w:val="auto"/>
              </w:rPr>
            </w:pPr>
          </w:p>
        </w:tc>
      </w:tr>
      <w:tr>
        <w:trPr>
          <w:trHeight w:val="185"/>
        </w:trPr>
        <w:tc>
          <w:tcPr>
            <w:tcW w:w="1640" w:type="dxa"/>
            <w:vAlign w:val="bottom"/>
          </w:tcPr>
          <w:p>
            <w:pPr>
              <w:spacing w:after="0"/>
              <w:rPr>
                <w:sz w:val="16"/>
                <w:szCs w:val="16"/>
                <w:color w:val="auto"/>
              </w:rPr>
            </w:pPr>
          </w:p>
        </w:tc>
        <w:tc>
          <w:tcPr>
            <w:tcW w:w="5800" w:type="dxa"/>
            <w:vAlign w:val="bottom"/>
          </w:tcPr>
          <w:p>
            <w:pPr>
              <w:ind w:left="860"/>
              <w:spacing w:after="0"/>
              <w:rPr>
                <w:sz w:val="20"/>
                <w:szCs w:val="20"/>
                <w:color w:val="auto"/>
              </w:rPr>
            </w:pPr>
            <w:r>
              <w:rPr>
                <w:rFonts w:ascii="Courier New" w:cs="Courier New" w:eastAsia="Courier New" w:hAnsi="Courier New"/>
                <w:sz w:val="16"/>
                <w:szCs w:val="16"/>
                <w:color w:val="auto"/>
              </w:rPr>
              <w:t>(Unaudited) for the Thirteen Weeks</w:t>
            </w:r>
          </w:p>
        </w:tc>
        <w:tc>
          <w:tcPr>
            <w:tcW w:w="4080" w:type="dxa"/>
            <w:vAlign w:val="bottom"/>
          </w:tcPr>
          <w:p>
            <w:pPr>
              <w:spacing w:after="0"/>
              <w:rPr>
                <w:sz w:val="16"/>
                <w:szCs w:val="16"/>
                <w:color w:val="auto"/>
              </w:rPr>
            </w:pPr>
          </w:p>
        </w:tc>
      </w:tr>
      <w:tr>
        <w:trPr>
          <w:trHeight w:val="185"/>
        </w:trPr>
        <w:tc>
          <w:tcPr>
            <w:tcW w:w="1640" w:type="dxa"/>
            <w:vAlign w:val="bottom"/>
          </w:tcPr>
          <w:p>
            <w:pPr>
              <w:spacing w:after="0"/>
              <w:rPr>
                <w:sz w:val="16"/>
                <w:szCs w:val="16"/>
                <w:color w:val="auto"/>
              </w:rPr>
            </w:pPr>
          </w:p>
        </w:tc>
        <w:tc>
          <w:tcPr>
            <w:tcW w:w="5800" w:type="dxa"/>
            <w:vAlign w:val="bottom"/>
          </w:tcPr>
          <w:p>
            <w:pPr>
              <w:ind w:left="860"/>
              <w:spacing w:after="0"/>
              <w:rPr>
                <w:sz w:val="20"/>
                <w:szCs w:val="20"/>
                <w:color w:val="auto"/>
              </w:rPr>
            </w:pPr>
            <w:r>
              <w:rPr>
                <w:rFonts w:ascii="Courier New" w:cs="Courier New" w:eastAsia="Courier New" w:hAnsi="Courier New"/>
                <w:sz w:val="16"/>
                <w:szCs w:val="16"/>
                <w:color w:val="auto"/>
              </w:rPr>
              <w:t>Ended March 30, 1997 and March 31, 1996 . . . . . .</w:t>
            </w:r>
          </w:p>
        </w:tc>
        <w:tc>
          <w:tcPr>
            <w:tcW w:w="4080" w:type="dxa"/>
            <w:vAlign w:val="bottom"/>
          </w:tcPr>
          <w:p>
            <w:pPr>
              <w:ind w:left="60"/>
              <w:spacing w:after="0"/>
              <w:rPr>
                <w:sz w:val="20"/>
                <w:szCs w:val="20"/>
                <w:color w:val="auto"/>
              </w:rPr>
            </w:pPr>
            <w:r>
              <w:rPr>
                <w:rFonts w:ascii="Courier New" w:cs="Courier New" w:eastAsia="Courier New" w:hAnsi="Courier New"/>
                <w:sz w:val="16"/>
                <w:szCs w:val="16"/>
                <w:color w:val="auto"/>
              </w:rPr>
              <w:t>. . . . . . . . . . . . . . . . . . .   3</w:t>
            </w:r>
          </w:p>
        </w:tc>
      </w:tr>
      <w:tr>
        <w:trPr>
          <w:trHeight w:val="370"/>
        </w:trPr>
        <w:tc>
          <w:tcPr>
            <w:tcW w:w="164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Courier New" w:cs="Courier New" w:eastAsia="Courier New" w:hAnsi="Courier New"/>
                <w:sz w:val="16"/>
                <w:szCs w:val="16"/>
                <w:color w:val="auto"/>
              </w:rPr>
              <w:t>Condensed Consolidated Balance Sheets (Unaudited)</w:t>
            </w:r>
          </w:p>
        </w:tc>
        <w:tc>
          <w:tcPr>
            <w:tcW w:w="4080" w:type="dxa"/>
            <w:vAlign w:val="bottom"/>
          </w:tcPr>
          <w:p>
            <w:pPr>
              <w:spacing w:after="0"/>
              <w:rPr>
                <w:sz w:val="24"/>
                <w:szCs w:val="24"/>
                <w:color w:val="auto"/>
              </w:rPr>
            </w:pPr>
          </w:p>
        </w:tc>
      </w:tr>
      <w:tr>
        <w:trPr>
          <w:trHeight w:val="185"/>
        </w:trPr>
        <w:tc>
          <w:tcPr>
            <w:tcW w:w="1640" w:type="dxa"/>
            <w:vAlign w:val="bottom"/>
          </w:tcPr>
          <w:p>
            <w:pPr>
              <w:spacing w:after="0"/>
              <w:rPr>
                <w:sz w:val="16"/>
                <w:szCs w:val="16"/>
                <w:color w:val="auto"/>
              </w:rPr>
            </w:pPr>
          </w:p>
        </w:tc>
        <w:tc>
          <w:tcPr>
            <w:tcW w:w="5800" w:type="dxa"/>
            <w:vAlign w:val="bottom"/>
          </w:tcPr>
          <w:p>
            <w:pPr>
              <w:ind w:left="860"/>
              <w:spacing w:after="0"/>
              <w:rPr>
                <w:sz w:val="20"/>
                <w:szCs w:val="20"/>
                <w:color w:val="auto"/>
              </w:rPr>
            </w:pPr>
            <w:r>
              <w:rPr>
                <w:rFonts w:ascii="Courier New" w:cs="Courier New" w:eastAsia="Courier New" w:hAnsi="Courier New"/>
                <w:sz w:val="16"/>
                <w:szCs w:val="16"/>
                <w:color w:val="auto"/>
              </w:rPr>
              <w:t>at March 30, 1997 and December 29, 1996 . . . . . .</w:t>
            </w:r>
          </w:p>
        </w:tc>
        <w:tc>
          <w:tcPr>
            <w:tcW w:w="4080" w:type="dxa"/>
            <w:vAlign w:val="bottom"/>
          </w:tcPr>
          <w:p>
            <w:pPr>
              <w:ind w:left="60"/>
              <w:spacing w:after="0"/>
              <w:rPr>
                <w:sz w:val="20"/>
                <w:szCs w:val="20"/>
                <w:color w:val="auto"/>
              </w:rPr>
            </w:pPr>
            <w:r>
              <w:rPr>
                <w:rFonts w:ascii="Courier New" w:cs="Courier New" w:eastAsia="Courier New" w:hAnsi="Courier New"/>
                <w:sz w:val="16"/>
                <w:szCs w:val="16"/>
                <w:color w:val="auto"/>
              </w:rPr>
              <w:t>. . . . . . . . . . . . . . . . . . .   4</w:t>
            </w:r>
          </w:p>
        </w:tc>
      </w:tr>
      <w:tr>
        <w:trPr>
          <w:trHeight w:val="370"/>
        </w:trPr>
        <w:tc>
          <w:tcPr>
            <w:tcW w:w="164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Courier New" w:cs="Courier New" w:eastAsia="Courier New" w:hAnsi="Courier New"/>
                <w:sz w:val="16"/>
                <w:szCs w:val="16"/>
                <w:color w:val="auto"/>
              </w:rPr>
              <w:t>Condensed Consolidated Statements of Cash Flows</w:t>
            </w:r>
          </w:p>
        </w:tc>
        <w:tc>
          <w:tcPr>
            <w:tcW w:w="4080" w:type="dxa"/>
            <w:vAlign w:val="bottom"/>
          </w:tcPr>
          <w:p>
            <w:pPr>
              <w:spacing w:after="0"/>
              <w:rPr>
                <w:sz w:val="24"/>
                <w:szCs w:val="24"/>
                <w:color w:val="auto"/>
              </w:rPr>
            </w:pPr>
          </w:p>
        </w:tc>
      </w:tr>
      <w:tr>
        <w:trPr>
          <w:trHeight w:val="185"/>
        </w:trPr>
        <w:tc>
          <w:tcPr>
            <w:tcW w:w="1640" w:type="dxa"/>
            <w:vAlign w:val="bottom"/>
          </w:tcPr>
          <w:p>
            <w:pPr>
              <w:spacing w:after="0"/>
              <w:rPr>
                <w:sz w:val="16"/>
                <w:szCs w:val="16"/>
                <w:color w:val="auto"/>
              </w:rPr>
            </w:pPr>
          </w:p>
        </w:tc>
        <w:tc>
          <w:tcPr>
            <w:tcW w:w="5800" w:type="dxa"/>
            <w:vAlign w:val="bottom"/>
          </w:tcPr>
          <w:p>
            <w:pPr>
              <w:ind w:left="860"/>
              <w:spacing w:after="0"/>
              <w:rPr>
                <w:sz w:val="20"/>
                <w:szCs w:val="20"/>
                <w:color w:val="auto"/>
              </w:rPr>
            </w:pPr>
            <w:r>
              <w:rPr>
                <w:rFonts w:ascii="Courier New" w:cs="Courier New" w:eastAsia="Courier New" w:hAnsi="Courier New"/>
                <w:sz w:val="16"/>
                <w:szCs w:val="16"/>
                <w:color w:val="auto"/>
              </w:rPr>
              <w:t>(Unaudited) for the Thirteen Weeks Ended</w:t>
            </w:r>
          </w:p>
        </w:tc>
        <w:tc>
          <w:tcPr>
            <w:tcW w:w="4080" w:type="dxa"/>
            <w:vAlign w:val="bottom"/>
          </w:tcPr>
          <w:p>
            <w:pPr>
              <w:spacing w:after="0"/>
              <w:rPr>
                <w:sz w:val="16"/>
                <w:szCs w:val="16"/>
                <w:color w:val="auto"/>
              </w:rPr>
            </w:pPr>
          </w:p>
        </w:tc>
      </w:tr>
      <w:tr>
        <w:trPr>
          <w:trHeight w:val="185"/>
        </w:trPr>
        <w:tc>
          <w:tcPr>
            <w:tcW w:w="1640" w:type="dxa"/>
            <w:vAlign w:val="bottom"/>
          </w:tcPr>
          <w:p>
            <w:pPr>
              <w:spacing w:after="0"/>
              <w:rPr>
                <w:sz w:val="16"/>
                <w:szCs w:val="16"/>
                <w:color w:val="auto"/>
              </w:rPr>
            </w:pPr>
          </w:p>
        </w:tc>
        <w:tc>
          <w:tcPr>
            <w:tcW w:w="5800" w:type="dxa"/>
            <w:vAlign w:val="bottom"/>
          </w:tcPr>
          <w:p>
            <w:pPr>
              <w:ind w:left="860"/>
              <w:spacing w:after="0"/>
              <w:rPr>
                <w:sz w:val="20"/>
                <w:szCs w:val="20"/>
                <w:color w:val="auto"/>
              </w:rPr>
            </w:pPr>
            <w:r>
              <w:rPr>
                <w:rFonts w:ascii="Courier New" w:cs="Courier New" w:eastAsia="Courier New" w:hAnsi="Courier New"/>
                <w:sz w:val="16"/>
                <w:szCs w:val="16"/>
                <w:color w:val="auto"/>
              </w:rPr>
              <w:t>March 30, 1997 and March 31, 1996 . . . . . . . . .</w:t>
            </w:r>
          </w:p>
        </w:tc>
        <w:tc>
          <w:tcPr>
            <w:tcW w:w="4080" w:type="dxa"/>
            <w:vAlign w:val="bottom"/>
          </w:tcPr>
          <w:p>
            <w:pPr>
              <w:ind w:left="60"/>
              <w:spacing w:after="0"/>
              <w:rPr>
                <w:sz w:val="20"/>
                <w:szCs w:val="20"/>
                <w:color w:val="auto"/>
              </w:rPr>
            </w:pPr>
            <w:r>
              <w:rPr>
                <w:rFonts w:ascii="Courier New" w:cs="Courier New" w:eastAsia="Courier New" w:hAnsi="Courier New"/>
                <w:sz w:val="16"/>
                <w:szCs w:val="16"/>
                <w:color w:val="auto"/>
              </w:rPr>
              <w:t>. . . . . . . . . . . . . . . . . . .   5</w:t>
            </w:r>
          </w:p>
        </w:tc>
      </w:tr>
      <w:tr>
        <w:trPr>
          <w:trHeight w:val="370"/>
        </w:trPr>
        <w:tc>
          <w:tcPr>
            <w:tcW w:w="164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4080" w:type="dxa"/>
            <w:vAlign w:val="bottom"/>
          </w:tcPr>
          <w:p>
            <w:pPr>
              <w:spacing w:after="0"/>
              <w:rPr>
                <w:sz w:val="24"/>
                <w:szCs w:val="24"/>
                <w:color w:val="auto"/>
              </w:rPr>
            </w:pPr>
          </w:p>
        </w:tc>
      </w:tr>
      <w:tr>
        <w:trPr>
          <w:trHeight w:val="185"/>
        </w:trPr>
        <w:tc>
          <w:tcPr>
            <w:tcW w:w="1640" w:type="dxa"/>
            <w:vAlign w:val="bottom"/>
          </w:tcPr>
          <w:p>
            <w:pPr>
              <w:spacing w:after="0"/>
              <w:rPr>
                <w:sz w:val="16"/>
                <w:szCs w:val="16"/>
                <w:color w:val="auto"/>
              </w:rPr>
            </w:pPr>
          </w:p>
        </w:tc>
        <w:tc>
          <w:tcPr>
            <w:tcW w:w="5800" w:type="dxa"/>
            <w:vAlign w:val="bottom"/>
          </w:tcPr>
          <w:p>
            <w:pPr>
              <w:ind w:left="860"/>
              <w:spacing w:after="0"/>
              <w:rPr>
                <w:sz w:val="20"/>
                <w:szCs w:val="20"/>
                <w:color w:val="auto"/>
              </w:rPr>
            </w:pPr>
            <w:r>
              <w:rPr>
                <w:rFonts w:ascii="Courier New" w:cs="Courier New" w:eastAsia="Courier New" w:hAnsi="Courier New"/>
                <w:sz w:val="16"/>
                <w:szCs w:val="16"/>
                <w:color w:val="auto"/>
              </w:rPr>
              <w:t>(Unaudited) . . . . . . . . . . . . . . . . . . . .</w:t>
            </w:r>
          </w:p>
        </w:tc>
        <w:tc>
          <w:tcPr>
            <w:tcW w:w="4080" w:type="dxa"/>
            <w:vAlign w:val="bottom"/>
          </w:tcPr>
          <w:p>
            <w:pPr>
              <w:ind w:left="60"/>
              <w:spacing w:after="0"/>
              <w:rPr>
                <w:sz w:val="20"/>
                <w:szCs w:val="20"/>
                <w:color w:val="auto"/>
              </w:rPr>
            </w:pPr>
            <w:r>
              <w:rPr>
                <w:rFonts w:ascii="Courier New" w:cs="Courier New" w:eastAsia="Courier New" w:hAnsi="Courier New"/>
                <w:sz w:val="16"/>
                <w:szCs w:val="16"/>
                <w:color w:val="auto"/>
              </w:rPr>
              <w:t>. . . . . . . . . . . . . . . . . . .   6</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580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 of Results of</w:t>
            </w:r>
          </w:p>
        </w:tc>
        <w:tc>
          <w:tcPr>
            <w:tcW w:w="4080" w:type="dxa"/>
            <w:vAlign w:val="bottom"/>
          </w:tcPr>
          <w:p>
            <w:pPr>
              <w:spacing w:after="0"/>
              <w:rPr>
                <w:sz w:val="24"/>
                <w:szCs w:val="24"/>
                <w:color w:val="auto"/>
              </w:rPr>
            </w:pPr>
          </w:p>
        </w:tc>
      </w:tr>
      <w:tr>
        <w:trPr>
          <w:trHeight w:val="185"/>
        </w:trPr>
        <w:tc>
          <w:tcPr>
            <w:tcW w:w="1640" w:type="dxa"/>
            <w:vAlign w:val="bottom"/>
          </w:tcPr>
          <w:p>
            <w:pPr>
              <w:spacing w:after="0"/>
              <w:rPr>
                <w:sz w:val="16"/>
                <w:szCs w:val="16"/>
                <w:color w:val="auto"/>
              </w:rPr>
            </w:pPr>
          </w:p>
        </w:tc>
        <w:tc>
          <w:tcPr>
            <w:tcW w:w="5800" w:type="dxa"/>
            <w:vAlign w:val="bottom"/>
          </w:tcPr>
          <w:p>
            <w:pPr>
              <w:ind w:left="860"/>
              <w:spacing w:after="0"/>
              <w:rPr>
                <w:sz w:val="20"/>
                <w:szCs w:val="20"/>
                <w:color w:val="auto"/>
              </w:rPr>
            </w:pPr>
            <w:r>
              <w:rPr>
                <w:rFonts w:ascii="Courier New" w:cs="Courier New" w:eastAsia="Courier New" w:hAnsi="Courier New"/>
                <w:sz w:val="16"/>
                <w:szCs w:val="16"/>
                <w:color w:val="auto"/>
              </w:rPr>
              <w:t>Operations and Financial Condition  . . . . . . . .</w:t>
            </w:r>
          </w:p>
        </w:tc>
        <w:tc>
          <w:tcPr>
            <w:tcW w:w="4080" w:type="dxa"/>
            <w:vAlign w:val="bottom"/>
          </w:tcPr>
          <w:p>
            <w:pPr>
              <w:ind w:left="60"/>
              <w:spacing w:after="0"/>
              <w:rPr>
                <w:sz w:val="20"/>
                <w:szCs w:val="20"/>
                <w:color w:val="auto"/>
              </w:rPr>
            </w:pPr>
            <w:r>
              <w:rPr>
                <w:rFonts w:ascii="Courier New" w:cs="Courier New" w:eastAsia="Courier New" w:hAnsi="Courier New"/>
                <w:sz w:val="16"/>
                <w:szCs w:val="16"/>
                <w:color w:val="auto"/>
              </w:rPr>
              <w:t>. . . . . . . . . . . . . . . . . . .   7</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5800" w:type="dxa"/>
            <w:vAlign w:val="bottom"/>
          </w:tcPr>
          <w:p>
            <w:pPr>
              <w:spacing w:after="0"/>
              <w:rPr>
                <w:sz w:val="20"/>
                <w:szCs w:val="20"/>
                <w:color w:val="auto"/>
              </w:rPr>
            </w:pPr>
            <w:r>
              <w:rPr>
                <w:rFonts w:ascii="Courier New" w:cs="Courier New" w:eastAsia="Courier New" w:hAnsi="Courier New"/>
                <w:sz w:val="16"/>
                <w:szCs w:val="16"/>
                <w:color w:val="auto"/>
              </w:rPr>
              <w:t>OTHER INFORMATION</w:t>
            </w:r>
          </w:p>
        </w:tc>
        <w:tc>
          <w:tcPr>
            <w:tcW w:w="4080" w:type="dxa"/>
            <w:vAlign w:val="bottom"/>
          </w:tcPr>
          <w:p>
            <w:pPr>
              <w:spacing w:after="0"/>
              <w:rPr>
                <w:sz w:val="24"/>
                <w:szCs w:val="24"/>
                <w:color w:val="auto"/>
              </w:rPr>
            </w:pP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5800" w:type="dxa"/>
            <w:vAlign w:val="bottom"/>
          </w:tcPr>
          <w:p>
            <w:pPr>
              <w:spacing w:after="0"/>
              <w:rPr>
                <w:sz w:val="20"/>
                <w:szCs w:val="20"/>
                <w:color w:val="auto"/>
              </w:rPr>
            </w:pPr>
            <w:r>
              <w:rPr>
                <w:rFonts w:ascii="Courier New" w:cs="Courier New" w:eastAsia="Courier New" w:hAnsi="Courier New"/>
                <w:sz w:val="16"/>
                <w:szCs w:val="16"/>
                <w:color w:val="auto"/>
              </w:rPr>
              <w:t>Exhibits and Reports on Form 8-K . . . . . . . . . . . . . .</w:t>
            </w:r>
          </w:p>
        </w:tc>
        <w:tc>
          <w:tcPr>
            <w:tcW w:w="4080" w:type="dxa"/>
            <w:vAlign w:val="bottom"/>
          </w:tcPr>
          <w:p>
            <w:pPr>
              <w:ind w:left="60"/>
              <w:spacing w:after="0"/>
              <w:rPr>
                <w:sz w:val="20"/>
                <w:szCs w:val="20"/>
                <w:color w:val="auto"/>
              </w:rPr>
            </w:pPr>
            <w:r>
              <w:rPr>
                <w:rFonts w:ascii="Courier New" w:cs="Courier New" w:eastAsia="Courier New" w:hAnsi="Courier New"/>
                <w:sz w:val="16"/>
                <w:szCs w:val="16"/>
                <w:color w:val="auto"/>
              </w:rPr>
              <w:t>. . . . . . . . . . . . . . . . . . .  10</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w w:val="99"/>
              </w:rPr>
              <w:t>Signatures  . . .</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 . . . . . . . . . . . . . . . . . . . . . . . . . . . . .</w:t>
            </w:r>
          </w:p>
        </w:tc>
        <w:tc>
          <w:tcPr>
            <w:tcW w:w="4080" w:type="dxa"/>
            <w:vAlign w:val="bottom"/>
          </w:tcPr>
          <w:p>
            <w:pPr>
              <w:ind w:left="60"/>
              <w:spacing w:after="0"/>
              <w:rPr>
                <w:sz w:val="20"/>
                <w:szCs w:val="20"/>
                <w:color w:val="auto"/>
              </w:rPr>
            </w:pPr>
            <w:r>
              <w:rPr>
                <w:rFonts w:ascii="Courier New" w:cs="Courier New" w:eastAsia="Courier New" w:hAnsi="Courier New"/>
                <w:sz w:val="16"/>
                <w:szCs w:val="16"/>
                <w:color w:val="auto"/>
              </w:rPr>
              <w:t>. . . . . . . . . . . . . . . . . . .  11</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 11</w:t>
            </w:r>
          </w:p>
        </w:tc>
        <w:tc>
          <w:tcPr>
            <w:tcW w:w="5800" w:type="dxa"/>
            <w:vAlign w:val="bottom"/>
          </w:tcPr>
          <w:p>
            <w:pPr>
              <w:spacing w:after="0"/>
              <w:rPr>
                <w:sz w:val="24"/>
                <w:szCs w:val="24"/>
                <w:color w:val="auto"/>
              </w:rPr>
            </w:pPr>
          </w:p>
        </w:tc>
        <w:tc>
          <w:tcPr>
            <w:tcW w:w="4080" w:type="dxa"/>
            <w:vAlign w:val="bottom"/>
          </w:tcPr>
          <w:p>
            <w:pPr>
              <w:spacing w:after="0"/>
              <w:rPr>
                <w:sz w:val="24"/>
                <w:szCs w:val="24"/>
                <w:color w:val="auto"/>
              </w:rPr>
            </w:pP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27 (Electronic Filing Only)</w:t>
      </w:r>
    </w:p>
    <w:p>
      <w:pPr>
        <w:sectPr>
          <w:pgSz w:w="11900" w:h="16838" w:orient="portrait"/>
          <w:cols w:equalWidth="0" w:num="1">
            <w:col w:w="11520"/>
          </w:cols>
          <w:pgMar w:left="240" w:top="300" w:right="13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ind w:left="1440"/>
              <w:spacing w:after="0"/>
              <w:rPr>
                <w:sz w:val="20"/>
                <w:szCs w:val="20"/>
                <w:color w:val="auto"/>
              </w:rPr>
            </w:pPr>
            <w:r>
              <w:rPr>
                <w:rFonts w:ascii="Courier New" w:cs="Courier New" w:eastAsia="Courier New" w:hAnsi="Courier New"/>
                <w:sz w:val="16"/>
                <w:szCs w:val="16"/>
                <w:color w:val="auto"/>
              </w:rPr>
              <w:t>3.</w:t>
            </w:r>
          </w:p>
        </w:tc>
        <w:tc>
          <w:tcPr>
            <w:tcW w:w="1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70"/>
        </w:trPr>
        <w:tc>
          <w:tcPr>
            <w:tcW w:w="8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20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20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2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0"/>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The Washington Post Company</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Statements of Income (Unaudited)</w:t>
            </w:r>
          </w:p>
        </w:tc>
        <w:tc>
          <w:tcPr>
            <w:tcW w:w="2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54"/>
        </w:trPr>
        <w:tc>
          <w:tcPr>
            <w:tcW w:w="8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00" w:type="dxa"/>
            <w:vAlign w:val="bottom"/>
            <w:gridSpan w:val="3"/>
          </w:tcPr>
          <w:p>
            <w:pPr>
              <w:jc w:val="right"/>
              <w:ind w:right="600"/>
              <w:spacing w:after="0"/>
              <w:rPr>
                <w:sz w:val="20"/>
                <w:szCs w:val="20"/>
                <w:color w:val="auto"/>
              </w:rPr>
            </w:pPr>
            <w:r>
              <w:rPr>
                <w:rFonts w:ascii="Courier New" w:cs="Courier New" w:eastAsia="Courier New" w:hAnsi="Courier New"/>
                <w:sz w:val="16"/>
                <w:szCs w:val="16"/>
                <w:color w:val="auto"/>
              </w:rPr>
              <w:t>Thirteen Weeks Ended</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90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360" w:type="dxa"/>
            <w:vAlign w:val="bottom"/>
            <w:gridSpan w:val="2"/>
          </w:tcPr>
          <w:p>
            <w:pPr>
              <w:ind w:left="1920"/>
              <w:spacing w:after="0"/>
              <w:rPr>
                <w:sz w:val="20"/>
                <w:szCs w:val="20"/>
                <w:color w:val="auto"/>
              </w:rPr>
            </w:pPr>
            <w:r>
              <w:rPr>
                <w:rFonts w:ascii="Courier New" w:cs="Courier New" w:eastAsia="Courier New" w:hAnsi="Courier New"/>
                <w:sz w:val="16"/>
                <w:szCs w:val="16"/>
                <w:color w:val="auto"/>
              </w:rPr>
              <w:t>March 30,</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March 31,</w:t>
            </w:r>
          </w:p>
        </w:tc>
      </w:tr>
      <w:tr>
        <w:trPr>
          <w:trHeight w:val="185"/>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2000" w:type="dxa"/>
            <w:vAlign w:val="bottom"/>
          </w:tcPr>
          <w:p>
            <w:pPr>
              <w:spacing w:after="0"/>
              <w:rPr>
                <w:sz w:val="16"/>
                <w:szCs w:val="16"/>
                <w:color w:val="auto"/>
              </w:rPr>
            </w:pPr>
          </w:p>
        </w:tc>
        <w:tc>
          <w:tcPr>
            <w:tcW w:w="136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1997</w:t>
            </w:r>
          </w:p>
        </w:tc>
        <w:tc>
          <w:tcPr>
            <w:tcW w:w="760" w:type="dxa"/>
            <w:vAlign w:val="bottom"/>
          </w:tcPr>
          <w:p>
            <w:pPr>
              <w:spacing w:after="0"/>
              <w:rPr>
                <w:sz w:val="16"/>
                <w:szCs w:val="16"/>
                <w:color w:val="auto"/>
              </w:rPr>
            </w:pPr>
          </w:p>
        </w:tc>
        <w:tc>
          <w:tcPr>
            <w:tcW w:w="780" w:type="dxa"/>
            <w:vAlign w:val="bottom"/>
          </w:tcPr>
          <w:p>
            <w:pPr>
              <w:jc w:val="right"/>
              <w:ind w:right="320"/>
              <w:spacing w:after="0"/>
              <w:rPr>
                <w:sz w:val="20"/>
                <w:szCs w:val="20"/>
                <w:color w:val="auto"/>
              </w:rPr>
            </w:pPr>
            <w:r>
              <w:rPr>
                <w:rFonts w:ascii="Courier New" w:cs="Courier New" w:eastAsia="Courier New" w:hAnsi="Courier New"/>
                <w:sz w:val="16"/>
                <w:szCs w:val="16"/>
                <w:color w:val="auto"/>
                <w:w w:val="93"/>
              </w:rPr>
              <w:t>1996</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36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Operating revenues</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Advertising</w:t>
            </w:r>
          </w:p>
        </w:tc>
        <w:tc>
          <w:tcPr>
            <w:tcW w:w="2000" w:type="dxa"/>
            <w:vAlign w:val="bottom"/>
          </w:tcPr>
          <w:p>
            <w:pPr>
              <w:ind w:left="19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278,528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252,807</w:t>
            </w:r>
          </w:p>
        </w:tc>
      </w:tr>
      <w:tr>
        <w:trPr>
          <w:trHeight w:val="185"/>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Circulation and subscriber</w:t>
            </w: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123,674</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117,070</w:t>
            </w:r>
          </w:p>
        </w:tc>
      </w:tr>
      <w:tr>
        <w:trPr>
          <w:trHeight w:val="185"/>
        </w:trPr>
        <w:tc>
          <w:tcPr>
            <w:tcW w:w="86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51,899</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46,742</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454,101</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416,619</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2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Operating</w:t>
            </w: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243,504</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242,482</w:t>
            </w:r>
          </w:p>
        </w:tc>
      </w:tr>
      <w:tr>
        <w:trPr>
          <w:trHeight w:val="185"/>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Selling, general and administrative</w:t>
            </w: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106,886</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100,792</w:t>
            </w:r>
          </w:p>
        </w:tc>
      </w:tr>
      <w:tr>
        <w:trPr>
          <w:trHeight w:val="185"/>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Depreciation and amortization of</w:t>
            </w:r>
          </w:p>
        </w:tc>
        <w:tc>
          <w:tcPr>
            <w:tcW w:w="2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0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property, plant and equipment</w:t>
            </w: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17,790</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16,160</w:t>
            </w:r>
          </w:p>
        </w:tc>
      </w:tr>
      <w:tr>
        <w:trPr>
          <w:trHeight w:val="185"/>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7,953</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6,985</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376,133</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366,419</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Income from operations</w:t>
            </w:r>
          </w:p>
        </w:tc>
        <w:tc>
          <w:tcPr>
            <w:tcW w:w="2000" w:type="dxa"/>
            <w:vAlign w:val="bottom"/>
          </w:tcPr>
          <w:p>
            <w:pPr>
              <w:spacing w:after="0"/>
              <w:rPr>
                <w:sz w:val="24"/>
                <w:szCs w:val="24"/>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77,968</w:t>
            </w:r>
          </w:p>
        </w:tc>
        <w:tc>
          <w:tcPr>
            <w:tcW w:w="76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50,200</w:t>
            </w:r>
          </w:p>
        </w:tc>
      </w:tr>
      <w:tr>
        <w:trPr>
          <w:trHeight w:val="370"/>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Equity in earnings of affiliates</w:t>
            </w: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125</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7,353</w:t>
            </w:r>
          </w:p>
        </w:tc>
      </w:tr>
      <w:tr>
        <w:trPr>
          <w:trHeight w:val="185"/>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Interest income</w:t>
            </w: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1,112</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1,224</w:t>
            </w:r>
          </w:p>
        </w:tc>
      </w:tr>
      <w:tr>
        <w:trPr>
          <w:trHeight w:val="185"/>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200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(165)</w:t>
            </w:r>
          </w:p>
        </w:tc>
        <w:tc>
          <w:tcPr>
            <w:tcW w:w="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(1,083)</w:t>
            </w:r>
          </w:p>
        </w:tc>
      </w:tr>
      <w:tr>
        <w:trPr>
          <w:trHeight w:val="185"/>
        </w:trPr>
        <w:tc>
          <w:tcPr>
            <w:tcW w:w="86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(846)</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2,867</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2000" w:type="dxa"/>
            <w:vAlign w:val="bottom"/>
          </w:tcPr>
          <w:p>
            <w:pPr>
              <w:spacing w:after="0"/>
              <w:rPr>
                <w:sz w:val="24"/>
                <w:szCs w:val="24"/>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78,194</w:t>
            </w:r>
          </w:p>
        </w:tc>
        <w:tc>
          <w:tcPr>
            <w:tcW w:w="76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60,561</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Provision for income taxes</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860" w:type="dxa"/>
            <w:vAlign w:val="bottom"/>
          </w:tcPr>
          <w:p>
            <w:pPr>
              <w:ind w:left="200"/>
              <w:spacing w:after="0"/>
              <w:rPr>
                <w:sz w:val="20"/>
                <w:szCs w:val="20"/>
                <w:color w:val="auto"/>
              </w:rPr>
            </w:pPr>
            <w:r>
              <w:rPr>
                <w:rFonts w:ascii="Courier New" w:cs="Courier New" w:eastAsia="Courier New" w:hAnsi="Courier New"/>
                <w:sz w:val="16"/>
                <w:szCs w:val="16"/>
                <w:color w:val="auto"/>
                <w:w w:val="95"/>
              </w:rPr>
              <w:t>Current</w:t>
            </w: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30,253</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22,343</w:t>
            </w:r>
          </w:p>
        </w:tc>
      </w:tr>
      <w:tr>
        <w:trPr>
          <w:trHeight w:val="185"/>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Deferred</w:t>
            </w: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247</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1,276</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30,500</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23,619</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2000" w:type="dxa"/>
            <w:vAlign w:val="bottom"/>
          </w:tcPr>
          <w:p>
            <w:pPr>
              <w:spacing w:after="0"/>
              <w:rPr>
                <w:sz w:val="24"/>
                <w:szCs w:val="24"/>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47,694</w:t>
            </w:r>
          </w:p>
        </w:tc>
        <w:tc>
          <w:tcPr>
            <w:tcW w:w="76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36,942</w:t>
            </w:r>
          </w:p>
        </w:tc>
      </w:tr>
      <w:tr>
        <w:trPr>
          <w:trHeight w:val="370"/>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Redeemable preferred stock dividends</w:t>
            </w:r>
          </w:p>
        </w:tc>
        <w:tc>
          <w:tcPr>
            <w:tcW w:w="2000" w:type="dxa"/>
            <w:vAlign w:val="bottom"/>
          </w:tcPr>
          <w:p>
            <w:pPr>
              <w:spacing w:after="0"/>
              <w:rPr>
                <w:sz w:val="24"/>
                <w:szCs w:val="24"/>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(478)</w:t>
            </w:r>
          </w:p>
        </w:tc>
        <w:tc>
          <w:tcPr>
            <w:tcW w:w="7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(202)</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Net income available for common shares</w:t>
            </w:r>
          </w:p>
        </w:tc>
        <w:tc>
          <w:tcPr>
            <w:tcW w:w="2000" w:type="dxa"/>
            <w:vAlign w:val="bottom"/>
          </w:tcPr>
          <w:p>
            <w:pPr>
              <w:ind w:left="19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47,216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36,740</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common share</w:t>
            </w:r>
          </w:p>
        </w:tc>
        <w:tc>
          <w:tcPr>
            <w:tcW w:w="2000" w:type="dxa"/>
            <w:vAlign w:val="bottom"/>
          </w:tcPr>
          <w:p>
            <w:pPr>
              <w:ind w:left="19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4.35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3.34</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Dividends declared per common share</w:t>
            </w:r>
          </w:p>
        </w:tc>
        <w:tc>
          <w:tcPr>
            <w:tcW w:w="2000" w:type="dxa"/>
            <w:vAlign w:val="bottom"/>
          </w:tcPr>
          <w:p>
            <w:pPr>
              <w:ind w:left="19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2.40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2.30</w:t>
            </w:r>
          </w:p>
        </w:tc>
      </w:tr>
      <w:tr>
        <w:trPr>
          <w:trHeight w:val="185"/>
        </w:trPr>
        <w:tc>
          <w:tcPr>
            <w:tcW w:w="8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Average number of common shares outstanding</w:t>
            </w:r>
          </w:p>
        </w:tc>
        <w:tc>
          <w:tcPr>
            <w:tcW w:w="2000" w:type="dxa"/>
            <w:vAlign w:val="bottom"/>
          </w:tcPr>
          <w:p>
            <w:pPr>
              <w:spacing w:after="0"/>
              <w:rPr>
                <w:sz w:val="24"/>
                <w:szCs w:val="24"/>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10,866</w:t>
            </w:r>
          </w:p>
        </w:tc>
        <w:tc>
          <w:tcPr>
            <w:tcW w:w="76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11,011</w:t>
            </w:r>
          </w:p>
        </w:tc>
      </w:tr>
    </w:tbl>
    <w:p>
      <w:pPr>
        <w:sectPr>
          <w:pgSz w:w="11900" w:h="16838" w:orient="portrait"/>
          <w:cols w:equalWidth="0" w:num="1">
            <w:col w:w="10960"/>
          </w:cols>
          <w:pgMar w:left="240" w:top="300" w:right="69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tcPr>
          <w:p>
            <w:pPr>
              <w:spacing w:after="0"/>
              <w:rPr>
                <w:sz w:val="15"/>
                <w:szCs w:val="15"/>
                <w:color w:val="auto"/>
              </w:rPr>
            </w:pPr>
          </w:p>
        </w:tc>
        <w:tc>
          <w:tcPr>
            <w:tcW w:w="1780" w:type="dxa"/>
            <w:vAlign w:val="bottom"/>
          </w:tcPr>
          <w:p>
            <w:pPr>
              <w:ind w:left="1400"/>
              <w:spacing w:after="0"/>
              <w:rPr>
                <w:sz w:val="20"/>
                <w:szCs w:val="20"/>
                <w:color w:val="auto"/>
              </w:rPr>
            </w:pPr>
            <w:r>
              <w:rPr>
                <w:rFonts w:ascii="Courier New" w:cs="Courier New" w:eastAsia="Courier New" w:hAnsi="Courier New"/>
                <w:sz w:val="16"/>
                <w:szCs w:val="16"/>
                <w:color w:val="auto"/>
              </w:rPr>
              <w:t>4.</w:t>
            </w: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554"/>
        </w:trPr>
        <w:tc>
          <w:tcPr>
            <w:tcW w:w="610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Consolidated Balance Sheets (Unaudited)</w:t>
            </w:r>
          </w:p>
        </w:tc>
        <w:tc>
          <w:tcPr>
            <w:tcW w:w="1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739"/>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6100" w:type="dxa"/>
            <w:vAlign w:val="bottom"/>
          </w:tcPr>
          <w:p>
            <w:pPr>
              <w:spacing w:after="0"/>
              <w:rPr>
                <w:sz w:val="16"/>
                <w:szCs w:val="16"/>
                <w:color w:val="auto"/>
              </w:rPr>
            </w:pPr>
          </w:p>
        </w:tc>
        <w:tc>
          <w:tcPr>
            <w:tcW w:w="3220" w:type="dxa"/>
            <w:vAlign w:val="bottom"/>
            <w:gridSpan w:val="2"/>
          </w:tcPr>
          <w:p>
            <w:pPr>
              <w:ind w:left="1680"/>
              <w:spacing w:after="0"/>
              <w:rPr>
                <w:sz w:val="20"/>
                <w:szCs w:val="20"/>
                <w:color w:val="auto"/>
              </w:rPr>
            </w:pPr>
            <w:r>
              <w:rPr>
                <w:rFonts w:ascii="Courier New" w:cs="Courier New" w:eastAsia="Courier New" w:hAnsi="Courier New"/>
                <w:sz w:val="16"/>
                <w:szCs w:val="16"/>
                <w:color w:val="auto"/>
              </w:rPr>
              <w:t>March 30,</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29,</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780" w:type="dxa"/>
            <w:vAlign w:val="bottom"/>
          </w:tcPr>
          <w:p>
            <w:pPr>
              <w:spacing w:after="0"/>
              <w:rPr>
                <w:sz w:val="16"/>
                <w:szCs w:val="16"/>
                <w:color w:val="auto"/>
              </w:rPr>
            </w:pPr>
          </w:p>
        </w:tc>
        <w:tc>
          <w:tcPr>
            <w:tcW w:w="14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1997</w:t>
            </w:r>
          </w:p>
        </w:tc>
        <w:tc>
          <w:tcPr>
            <w:tcW w:w="680" w:type="dxa"/>
            <w:vAlign w:val="bottom"/>
          </w:tcPr>
          <w:p>
            <w:pPr>
              <w:spacing w:after="0"/>
              <w:rPr>
                <w:sz w:val="16"/>
                <w:szCs w:val="16"/>
                <w:color w:val="auto"/>
              </w:rPr>
            </w:pPr>
          </w:p>
        </w:tc>
        <w:tc>
          <w:tcPr>
            <w:tcW w:w="9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6100" w:type="dxa"/>
            <w:vAlign w:val="bottom"/>
          </w:tcPr>
          <w:p>
            <w:pPr>
              <w:spacing w:after="0"/>
              <w:rPr>
                <w:sz w:val="16"/>
                <w:szCs w:val="16"/>
                <w:color w:val="auto"/>
              </w:rPr>
            </w:pPr>
          </w:p>
        </w:tc>
        <w:tc>
          <w:tcPr>
            <w:tcW w:w="32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780" w:type="dxa"/>
            <w:vAlign w:val="bottom"/>
          </w:tcPr>
          <w:p>
            <w:pPr>
              <w:ind w:left="1680"/>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104,804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102,278</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estimated returns,</w:t>
            </w:r>
          </w:p>
        </w:tc>
        <w:tc>
          <w:tcPr>
            <w:tcW w:w="1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doubtful accounts and allowances</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209,489</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233,063</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30,641</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24,427</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Other current assets</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17,844</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22,863</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362,778</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382,631</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Investments in affiliates</w:t>
            </w:r>
          </w:p>
        </w:tc>
        <w:tc>
          <w:tcPr>
            <w:tcW w:w="1780" w:type="dxa"/>
            <w:vAlign w:val="bottom"/>
          </w:tcPr>
          <w:p>
            <w:pPr>
              <w:spacing w:after="0"/>
              <w:rPr>
                <w:sz w:val="24"/>
                <w:szCs w:val="24"/>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196,403</w:t>
            </w:r>
          </w:p>
        </w:tc>
        <w:tc>
          <w:tcPr>
            <w:tcW w:w="68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199,278</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Buildings</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188,461</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188,527</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Machinery, equipment and fixtures</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762,379</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768,509</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Leasehold improvements</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28,987</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28,883</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979,827</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985,919</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7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(600,110)</w:t>
            </w:r>
          </w:p>
        </w:tc>
        <w:tc>
          <w:tcPr>
            <w:tcW w:w="6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(594,195)</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379,717</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391,724</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Land</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34,333</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34,332</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Construction in progress</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120,974</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85,307</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535,024</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511,363</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intangibles,</w:t>
            </w:r>
          </w:p>
        </w:tc>
        <w:tc>
          <w:tcPr>
            <w:tcW w:w="1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amortization</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552,669</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544,349</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Deferred charges and other assets</w:t>
            </w:r>
          </w:p>
        </w:tc>
        <w:tc>
          <w:tcPr>
            <w:tcW w:w="1780" w:type="dxa"/>
            <w:vAlign w:val="bottom"/>
          </w:tcPr>
          <w:p>
            <w:pPr>
              <w:spacing w:after="0"/>
              <w:rPr>
                <w:sz w:val="24"/>
                <w:szCs w:val="24"/>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237,181</w:t>
            </w:r>
          </w:p>
        </w:tc>
        <w:tc>
          <w:tcPr>
            <w:tcW w:w="68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232,790</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6100" w:type="dxa"/>
            <w:vAlign w:val="bottom"/>
          </w:tcPr>
          <w:p>
            <w:pPr>
              <w:spacing w:after="0"/>
              <w:rPr>
                <w:sz w:val="16"/>
                <w:szCs w:val="16"/>
                <w:color w:val="auto"/>
              </w:rPr>
            </w:pPr>
          </w:p>
        </w:tc>
        <w:tc>
          <w:tcPr>
            <w:tcW w:w="1780" w:type="dxa"/>
            <w:vAlign w:val="bottom"/>
          </w:tcPr>
          <w:p>
            <w:pPr>
              <w:ind w:left="1680"/>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1,884,055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1,870,411</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liabilities</w:t>
            </w:r>
          </w:p>
        </w:tc>
        <w:tc>
          <w:tcPr>
            <w:tcW w:w="1780" w:type="dxa"/>
            <w:vAlign w:val="bottom"/>
          </w:tcPr>
          <w:p>
            <w:pPr>
              <w:ind w:left="1680"/>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180,782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194,186</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Federal and state income taxes</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32,304</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5,381</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Deferred subscription revenue</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85,011</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82,069</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Dividends declared</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13,226</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311,323</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281,636</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780" w:type="dxa"/>
            <w:vAlign w:val="bottom"/>
          </w:tcPr>
          <w:p>
            <w:pPr>
              <w:spacing w:after="0"/>
              <w:rPr>
                <w:sz w:val="24"/>
                <w:szCs w:val="24"/>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226,719</w:t>
            </w:r>
          </w:p>
        </w:tc>
        <w:tc>
          <w:tcPr>
            <w:tcW w:w="68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223,878</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780" w:type="dxa"/>
            <w:vAlign w:val="bottom"/>
          </w:tcPr>
          <w:p>
            <w:pPr>
              <w:spacing w:after="0"/>
              <w:rPr>
                <w:sz w:val="24"/>
                <w:szCs w:val="24"/>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29,588</w:t>
            </w:r>
          </w:p>
        </w:tc>
        <w:tc>
          <w:tcPr>
            <w:tcW w:w="68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30,147</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567,630</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535,661</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Redeemable preferred stock</w:t>
            </w:r>
          </w:p>
        </w:tc>
        <w:tc>
          <w:tcPr>
            <w:tcW w:w="1780" w:type="dxa"/>
            <w:vAlign w:val="bottom"/>
          </w:tcPr>
          <w:p>
            <w:pPr>
              <w:spacing w:after="0"/>
              <w:rPr>
                <w:sz w:val="24"/>
                <w:szCs w:val="24"/>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11,947</w:t>
            </w:r>
          </w:p>
        </w:tc>
        <w:tc>
          <w:tcPr>
            <w:tcW w:w="68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11,947</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780" w:type="dxa"/>
            <w:vAlign w:val="bottom"/>
          </w:tcPr>
          <w:p>
            <w:pPr>
              <w:spacing w:after="0"/>
              <w:rPr>
                <w:sz w:val="24"/>
                <w:szCs w:val="24"/>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Common shareholders' equity</w:t>
            </w: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Common stock</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20,000</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20,000</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30,297</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26,455</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2,023,601</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2,002,359</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Cumulative foreign currency translation</w:t>
            </w:r>
          </w:p>
        </w:tc>
        <w:tc>
          <w:tcPr>
            <w:tcW w:w="1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adjustment</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2,285</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4,663</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 on available-for-sale</w:t>
            </w:r>
          </w:p>
        </w:tc>
        <w:tc>
          <w:tcPr>
            <w:tcW w:w="1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securities</w:t>
            </w: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1,906</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3,155</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Cost of Class B common stock held in treasury</w:t>
            </w:r>
          </w:p>
        </w:tc>
        <w:tc>
          <w:tcPr>
            <w:tcW w:w="17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(773,611)</w:t>
            </w:r>
          </w:p>
        </w:tc>
        <w:tc>
          <w:tcPr>
            <w:tcW w:w="6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(733,829)</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1,304,478</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1,322,803</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6100" w:type="dxa"/>
            <w:vAlign w:val="bottom"/>
          </w:tcPr>
          <w:p>
            <w:pPr>
              <w:spacing w:after="0"/>
              <w:rPr>
                <w:sz w:val="16"/>
                <w:szCs w:val="16"/>
                <w:color w:val="auto"/>
              </w:rPr>
            </w:pPr>
          </w:p>
        </w:tc>
        <w:tc>
          <w:tcPr>
            <w:tcW w:w="1780" w:type="dxa"/>
            <w:vAlign w:val="bottom"/>
          </w:tcPr>
          <w:p>
            <w:pPr>
              <w:ind w:left="1680"/>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1,884,055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1,870,411</w:t>
            </w:r>
          </w:p>
        </w:tc>
      </w:tr>
      <w:tr>
        <w:trPr>
          <w:trHeight w:val="185"/>
        </w:trPr>
        <w:tc>
          <w:tcPr>
            <w:tcW w:w="6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bl>
    <w:p>
      <w:pPr>
        <w:sectPr>
          <w:pgSz w:w="11900" w:h="16838" w:orient="portrait"/>
          <w:cols w:equalWidth="0" w:num="1">
            <w:col w:w="10960"/>
          </w:cols>
          <w:pgMar w:left="240" w:top="300" w:right="699" w:bottom="1011"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080" w:type="dxa"/>
            <w:vAlign w:val="bottom"/>
          </w:tcPr>
          <w:p>
            <w:pPr>
              <w:jc w:val="right"/>
              <w:ind w:right="1760"/>
              <w:spacing w:after="0"/>
              <w:rPr>
                <w:sz w:val="20"/>
                <w:szCs w:val="20"/>
                <w:color w:val="auto"/>
              </w:rPr>
            </w:pPr>
            <w:r>
              <w:rPr>
                <w:rFonts w:ascii="Courier New" w:cs="Courier New" w:eastAsia="Courier New" w:hAnsi="Courier New"/>
                <w:sz w:val="16"/>
                <w:szCs w:val="16"/>
                <w:color w:val="auto"/>
              </w:rPr>
              <w:t>5.</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554"/>
        </w:trPr>
        <w:tc>
          <w:tcPr>
            <w:tcW w:w="634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3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 (Unaudited)</w:t>
            </w:r>
          </w:p>
        </w:tc>
        <w:tc>
          <w:tcPr>
            <w:tcW w:w="3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54"/>
        </w:trPr>
        <w:tc>
          <w:tcPr>
            <w:tcW w:w="6340" w:type="dxa"/>
            <w:vAlign w:val="bottom"/>
          </w:tcPr>
          <w:p>
            <w:pPr>
              <w:spacing w:after="0"/>
              <w:rPr>
                <w:sz w:val="24"/>
                <w:szCs w:val="24"/>
                <w:color w:val="auto"/>
              </w:rPr>
            </w:pPr>
          </w:p>
        </w:tc>
        <w:tc>
          <w:tcPr>
            <w:tcW w:w="4620" w:type="dxa"/>
            <w:vAlign w:val="bottom"/>
            <w:gridSpan w:val="3"/>
          </w:tcPr>
          <w:p>
            <w:pPr>
              <w:jc w:val="right"/>
              <w:ind w:right="600"/>
              <w:spacing w:after="0"/>
              <w:rPr>
                <w:sz w:val="20"/>
                <w:szCs w:val="20"/>
                <w:color w:val="auto"/>
              </w:rPr>
            </w:pPr>
            <w:r>
              <w:rPr>
                <w:rFonts w:ascii="Courier New" w:cs="Courier New" w:eastAsia="Courier New" w:hAnsi="Courier New"/>
                <w:sz w:val="16"/>
                <w:szCs w:val="16"/>
                <w:color w:val="auto"/>
              </w:rPr>
              <w:t>Thirteen Weeks Ended</w:t>
            </w:r>
          </w:p>
        </w:tc>
      </w:tr>
      <w:tr>
        <w:trPr>
          <w:trHeight w:val="185"/>
        </w:trPr>
        <w:tc>
          <w:tcPr>
            <w:tcW w:w="6340" w:type="dxa"/>
            <w:vAlign w:val="bottom"/>
          </w:tcPr>
          <w:p>
            <w:pPr>
              <w:spacing w:after="0"/>
              <w:rPr>
                <w:sz w:val="16"/>
                <w:szCs w:val="16"/>
                <w:color w:val="auto"/>
              </w:rPr>
            </w:pPr>
          </w:p>
        </w:tc>
        <w:tc>
          <w:tcPr>
            <w:tcW w:w="462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40" w:type="dxa"/>
            <w:vAlign w:val="bottom"/>
          </w:tcPr>
          <w:p>
            <w:pPr>
              <w:spacing w:after="0"/>
              <w:rPr>
                <w:sz w:val="16"/>
                <w:szCs w:val="16"/>
                <w:color w:val="auto"/>
              </w:rPr>
            </w:pPr>
          </w:p>
        </w:tc>
        <w:tc>
          <w:tcPr>
            <w:tcW w:w="30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March 30,</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March 31,</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08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1997</w:t>
            </w:r>
          </w:p>
        </w:tc>
        <w:tc>
          <w:tcPr>
            <w:tcW w:w="760" w:type="dxa"/>
            <w:vAlign w:val="bottom"/>
          </w:tcPr>
          <w:p>
            <w:pPr>
              <w:spacing w:after="0"/>
              <w:rPr>
                <w:sz w:val="16"/>
                <w:szCs w:val="16"/>
                <w:color w:val="auto"/>
              </w:rPr>
            </w:pPr>
          </w:p>
        </w:tc>
        <w:tc>
          <w:tcPr>
            <w:tcW w:w="780" w:type="dxa"/>
            <w:vAlign w:val="bottom"/>
          </w:tcPr>
          <w:p>
            <w:pPr>
              <w:jc w:val="right"/>
              <w:ind w:right="320"/>
              <w:spacing w:after="0"/>
              <w:rPr>
                <w:sz w:val="20"/>
                <w:szCs w:val="20"/>
                <w:color w:val="auto"/>
              </w:rPr>
            </w:pPr>
            <w:r>
              <w:rPr>
                <w:rFonts w:ascii="Courier New" w:cs="Courier New" w:eastAsia="Courier New" w:hAnsi="Courier New"/>
                <w:sz w:val="16"/>
                <w:szCs w:val="16"/>
                <w:color w:val="auto"/>
                <w:w w:val="93"/>
              </w:rPr>
              <w:t>1996</w:t>
            </w:r>
          </w:p>
        </w:tc>
      </w:tr>
      <w:tr>
        <w:trPr>
          <w:trHeight w:val="185"/>
        </w:trPr>
        <w:tc>
          <w:tcPr>
            <w:tcW w:w="6340" w:type="dxa"/>
            <w:vAlign w:val="bottom"/>
          </w:tcPr>
          <w:p>
            <w:pPr>
              <w:spacing w:after="0"/>
              <w:rPr>
                <w:sz w:val="16"/>
                <w:szCs w:val="16"/>
                <w:color w:val="auto"/>
              </w:rPr>
            </w:pP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$ 47,694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36,942</w:t>
            </w:r>
          </w:p>
        </w:tc>
      </w:tr>
      <w:tr>
        <w:trPr>
          <w:trHeight w:val="185"/>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3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provided by operating activities:</w:t>
            </w:r>
          </w:p>
        </w:tc>
        <w:tc>
          <w:tcPr>
            <w:tcW w:w="3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Depreciation and amortization of property, plant</w:t>
            </w:r>
          </w:p>
        </w:tc>
        <w:tc>
          <w:tcPr>
            <w:tcW w:w="3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and equipment</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17,790</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16,160</w:t>
            </w:r>
          </w:p>
        </w:tc>
      </w:tr>
      <w:tr>
        <w:trPr>
          <w:trHeight w:val="185"/>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7,953</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6,985</w:t>
            </w:r>
          </w:p>
        </w:tc>
      </w:tr>
      <w:tr>
        <w:trPr>
          <w:trHeight w:val="185"/>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Gain on disposition of business, net</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(3,112)</w:t>
            </w:r>
          </w:p>
        </w:tc>
      </w:tr>
      <w:tr>
        <w:trPr>
          <w:trHeight w:val="185"/>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Equity in earnings of affiliates, net</w:t>
            </w:r>
          </w:p>
        </w:tc>
        <w:tc>
          <w:tcPr>
            <w:tcW w:w="3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of distributions</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498</w:t>
            </w:r>
          </w:p>
        </w:tc>
        <w:tc>
          <w:tcPr>
            <w:tcW w:w="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(2,569)</w:t>
            </w:r>
          </w:p>
        </w:tc>
      </w:tr>
      <w:tr>
        <w:trPr>
          <w:trHeight w:val="185"/>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Increase in income taxes payable</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26,923</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19,626</w:t>
            </w:r>
          </w:p>
        </w:tc>
      </w:tr>
      <w:tr>
        <w:trPr>
          <w:trHeight w:val="185"/>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Provision for deferred income taxes</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247</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1,276</w:t>
            </w:r>
          </w:p>
        </w:tc>
      </w:tr>
      <w:tr>
        <w:trPr>
          <w:trHeight w:val="185"/>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Change in assets and liabilities:</w:t>
            </w:r>
          </w:p>
        </w:tc>
        <w:tc>
          <w:tcPr>
            <w:tcW w:w="3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Decrease in accounts receivable, net</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23,574</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3,284</w:t>
            </w:r>
          </w:p>
        </w:tc>
      </w:tr>
      <w:tr>
        <w:trPr>
          <w:trHeight w:val="185"/>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(Increase) in inventories</w:t>
            </w:r>
          </w:p>
        </w:tc>
        <w:tc>
          <w:tcPr>
            <w:tcW w:w="30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(6,214)</w:t>
            </w:r>
          </w:p>
        </w:tc>
        <w:tc>
          <w:tcPr>
            <w:tcW w:w="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(3,835)</w:t>
            </w:r>
          </w:p>
        </w:tc>
      </w:tr>
      <w:tr>
        <w:trPr>
          <w:trHeight w:val="185"/>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(Decrease) increase in accounts payable and</w:t>
            </w:r>
          </w:p>
        </w:tc>
        <w:tc>
          <w:tcPr>
            <w:tcW w:w="3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340" w:type="dxa"/>
            <w:vAlign w:val="bottom"/>
          </w:tcPr>
          <w:p>
            <w:pPr>
              <w:ind w:left="1060"/>
              <w:spacing w:after="0"/>
              <w:rPr>
                <w:sz w:val="20"/>
                <w:szCs w:val="20"/>
                <w:color w:val="auto"/>
              </w:rPr>
            </w:pPr>
            <w:r>
              <w:rPr>
                <w:rFonts w:ascii="Courier New" w:cs="Courier New" w:eastAsia="Courier New" w:hAnsi="Courier New"/>
                <w:sz w:val="16"/>
                <w:szCs w:val="16"/>
                <w:color w:val="auto"/>
              </w:rPr>
              <w:t>accrued liabilities</w:t>
            </w:r>
          </w:p>
        </w:tc>
        <w:tc>
          <w:tcPr>
            <w:tcW w:w="30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(13,405)</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9,818</w:t>
            </w:r>
          </w:p>
        </w:tc>
      </w:tr>
      <w:tr>
        <w:trPr>
          <w:trHeight w:val="185"/>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Decrease (increase) in other assets and other</w:t>
            </w:r>
          </w:p>
        </w:tc>
        <w:tc>
          <w:tcPr>
            <w:tcW w:w="3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340" w:type="dxa"/>
            <w:vAlign w:val="bottom"/>
          </w:tcPr>
          <w:p>
            <w:pPr>
              <w:ind w:left="1060"/>
              <w:spacing w:after="0"/>
              <w:rPr>
                <w:sz w:val="20"/>
                <w:szCs w:val="20"/>
                <w:color w:val="auto"/>
              </w:rPr>
            </w:pPr>
            <w:r>
              <w:rPr>
                <w:rFonts w:ascii="Courier New" w:cs="Courier New" w:eastAsia="Courier New" w:hAnsi="Courier New"/>
                <w:sz w:val="16"/>
                <w:szCs w:val="16"/>
                <w:color w:val="auto"/>
              </w:rPr>
              <w:t>liabilities, net</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4,719</w:t>
            </w:r>
          </w:p>
        </w:tc>
        <w:tc>
          <w:tcPr>
            <w:tcW w:w="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(16,700)</w:t>
            </w:r>
          </w:p>
        </w:tc>
      </w:tr>
      <w:tr>
        <w:trPr>
          <w:trHeight w:val="185"/>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Other</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4,925</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6,099</w:t>
            </w:r>
          </w:p>
        </w:tc>
      </w:tr>
      <w:tr>
        <w:trPr>
          <w:trHeight w:val="185"/>
        </w:trPr>
        <w:tc>
          <w:tcPr>
            <w:tcW w:w="6340" w:type="dxa"/>
            <w:vAlign w:val="bottom"/>
          </w:tcPr>
          <w:p>
            <w:pPr>
              <w:spacing w:after="0"/>
              <w:rPr>
                <w:sz w:val="16"/>
                <w:szCs w:val="16"/>
                <w:color w:val="auto"/>
              </w:rPr>
            </w:pP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114,704</w:t>
            </w:r>
          </w:p>
        </w:tc>
        <w:tc>
          <w:tcPr>
            <w:tcW w:w="76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73,974</w:t>
            </w:r>
          </w:p>
        </w:tc>
      </w:tr>
      <w:tr>
        <w:trPr>
          <w:trHeight w:val="185"/>
        </w:trPr>
        <w:tc>
          <w:tcPr>
            <w:tcW w:w="6340" w:type="dxa"/>
            <w:vAlign w:val="bottom"/>
          </w:tcPr>
          <w:p>
            <w:pPr>
              <w:spacing w:after="0"/>
              <w:rPr>
                <w:sz w:val="16"/>
                <w:szCs w:val="16"/>
                <w:color w:val="auto"/>
              </w:rPr>
            </w:pP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Net proceeds from sale of business</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3,517</w:t>
            </w:r>
          </w:p>
        </w:tc>
      </w:tr>
      <w:tr>
        <w:trPr>
          <w:trHeight w:val="185"/>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Purchases of property, plant and equipment</w:t>
            </w:r>
          </w:p>
        </w:tc>
        <w:tc>
          <w:tcPr>
            <w:tcW w:w="30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(35,206)</w:t>
            </w:r>
          </w:p>
        </w:tc>
        <w:tc>
          <w:tcPr>
            <w:tcW w:w="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(23,078)</w:t>
            </w:r>
          </w:p>
        </w:tc>
      </w:tr>
      <w:tr>
        <w:trPr>
          <w:trHeight w:val="185"/>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sales of marketable securities</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12,821</w:t>
            </w:r>
          </w:p>
        </w:tc>
      </w:tr>
      <w:tr>
        <w:trPr>
          <w:trHeight w:val="185"/>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Investments in certain businesses</w:t>
            </w:r>
          </w:p>
        </w:tc>
        <w:tc>
          <w:tcPr>
            <w:tcW w:w="30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(23,098)</w:t>
            </w:r>
          </w:p>
        </w:tc>
        <w:tc>
          <w:tcPr>
            <w:tcW w:w="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(83,638)</w:t>
            </w:r>
          </w:p>
        </w:tc>
      </w:tr>
      <w:tr>
        <w:trPr>
          <w:trHeight w:val="185"/>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391</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w:t>
            </w:r>
          </w:p>
        </w:tc>
      </w:tr>
      <w:tr>
        <w:trPr>
          <w:trHeight w:val="185"/>
        </w:trPr>
        <w:tc>
          <w:tcPr>
            <w:tcW w:w="6340" w:type="dxa"/>
            <w:vAlign w:val="bottom"/>
          </w:tcPr>
          <w:p>
            <w:pPr>
              <w:spacing w:after="0"/>
              <w:rPr>
                <w:sz w:val="16"/>
                <w:szCs w:val="16"/>
                <w:color w:val="auto"/>
              </w:rPr>
            </w:pP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Net cash used in investing activities</w:t>
            </w:r>
          </w:p>
        </w:tc>
        <w:tc>
          <w:tcPr>
            <w:tcW w:w="30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(57,913)</w:t>
            </w:r>
          </w:p>
        </w:tc>
        <w:tc>
          <w:tcPr>
            <w:tcW w:w="7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(90,306)</w:t>
            </w:r>
          </w:p>
        </w:tc>
      </w:tr>
      <w:tr>
        <w:trPr>
          <w:trHeight w:val="185"/>
        </w:trPr>
        <w:tc>
          <w:tcPr>
            <w:tcW w:w="6340" w:type="dxa"/>
            <w:vAlign w:val="bottom"/>
          </w:tcPr>
          <w:p>
            <w:pPr>
              <w:spacing w:after="0"/>
              <w:rPr>
                <w:sz w:val="16"/>
                <w:szCs w:val="16"/>
                <w:color w:val="auto"/>
              </w:rPr>
            </w:pP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Principal payments on debt</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(50,209)</w:t>
            </w:r>
          </w:p>
        </w:tc>
      </w:tr>
      <w:tr>
        <w:trPr>
          <w:trHeight w:val="185"/>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Issuance of redeemable preferred stock</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11,947</w:t>
            </w:r>
          </w:p>
        </w:tc>
      </w:tr>
      <w:tr>
        <w:trPr>
          <w:trHeight w:val="185"/>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Dividends paid</w:t>
            </w:r>
          </w:p>
        </w:tc>
        <w:tc>
          <w:tcPr>
            <w:tcW w:w="30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(13,226)</w:t>
            </w:r>
          </w:p>
        </w:tc>
        <w:tc>
          <w:tcPr>
            <w:tcW w:w="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(12,645)</w:t>
            </w:r>
          </w:p>
        </w:tc>
      </w:tr>
      <w:tr>
        <w:trPr>
          <w:trHeight w:val="185"/>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Common shares repurchased</w:t>
            </w:r>
          </w:p>
        </w:tc>
        <w:tc>
          <w:tcPr>
            <w:tcW w:w="30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(41,039)</w:t>
            </w:r>
          </w:p>
        </w:tc>
        <w:tc>
          <w:tcPr>
            <w:tcW w:w="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(5,712)</w:t>
            </w:r>
          </w:p>
        </w:tc>
      </w:tr>
      <w:tr>
        <w:trPr>
          <w:trHeight w:val="185"/>
        </w:trPr>
        <w:tc>
          <w:tcPr>
            <w:tcW w:w="6340" w:type="dxa"/>
            <w:vAlign w:val="bottom"/>
          </w:tcPr>
          <w:p>
            <w:pPr>
              <w:spacing w:after="0"/>
              <w:rPr>
                <w:sz w:val="16"/>
                <w:szCs w:val="16"/>
                <w:color w:val="auto"/>
              </w:rPr>
            </w:pP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Net cash used in financing activities</w:t>
            </w:r>
          </w:p>
        </w:tc>
        <w:tc>
          <w:tcPr>
            <w:tcW w:w="30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(54,265)</w:t>
            </w:r>
          </w:p>
        </w:tc>
        <w:tc>
          <w:tcPr>
            <w:tcW w:w="7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(56,619)</w:t>
            </w:r>
          </w:p>
        </w:tc>
      </w:tr>
      <w:tr>
        <w:trPr>
          <w:trHeight w:val="185"/>
        </w:trPr>
        <w:tc>
          <w:tcPr>
            <w:tcW w:w="6340" w:type="dxa"/>
            <w:vAlign w:val="bottom"/>
          </w:tcPr>
          <w:p>
            <w:pPr>
              <w:spacing w:after="0"/>
              <w:rPr>
                <w:sz w:val="16"/>
                <w:szCs w:val="16"/>
                <w:color w:val="auto"/>
              </w:rPr>
            </w:pP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34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w:t>
            </w:r>
          </w:p>
        </w:tc>
        <w:tc>
          <w:tcPr>
            <w:tcW w:w="3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equivalents</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2,526</w:t>
            </w:r>
          </w:p>
        </w:tc>
        <w:tc>
          <w:tcPr>
            <w:tcW w:w="7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(72,951)</w:t>
            </w:r>
          </w:p>
        </w:tc>
      </w:tr>
      <w:tr>
        <w:trPr>
          <w:trHeight w:val="370"/>
        </w:trPr>
        <w:tc>
          <w:tcPr>
            <w:tcW w:w="6340" w:type="dxa"/>
            <w:vAlign w:val="bottom"/>
          </w:tcPr>
          <w:p>
            <w:pPr>
              <w:spacing w:after="0"/>
              <w:rPr>
                <w:sz w:val="20"/>
                <w:szCs w:val="20"/>
                <w:color w:val="auto"/>
              </w:rPr>
            </w:pPr>
            <w:r>
              <w:rPr>
                <w:rFonts w:ascii="Courier New" w:cs="Courier New" w:eastAsia="Courier New" w:hAnsi="Courier New"/>
                <w:sz w:val="16"/>
                <w:szCs w:val="16"/>
                <w:color w:val="auto"/>
              </w:rPr>
              <w:t>Beginning cash and cash equivalents</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102,278</w:t>
            </w:r>
          </w:p>
        </w:tc>
        <w:tc>
          <w:tcPr>
            <w:tcW w:w="76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146,901</w:t>
            </w:r>
          </w:p>
        </w:tc>
      </w:tr>
      <w:tr>
        <w:trPr>
          <w:trHeight w:val="185"/>
        </w:trPr>
        <w:tc>
          <w:tcPr>
            <w:tcW w:w="6340" w:type="dxa"/>
            <w:vAlign w:val="bottom"/>
          </w:tcPr>
          <w:p>
            <w:pPr>
              <w:spacing w:after="0"/>
              <w:rPr>
                <w:sz w:val="16"/>
                <w:szCs w:val="16"/>
                <w:color w:val="auto"/>
              </w:rPr>
            </w:pP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340" w:type="dxa"/>
            <w:vAlign w:val="bottom"/>
          </w:tcPr>
          <w:p>
            <w:pPr>
              <w:spacing w:after="0"/>
              <w:rPr>
                <w:sz w:val="20"/>
                <w:szCs w:val="20"/>
                <w:color w:val="auto"/>
              </w:rPr>
            </w:pPr>
            <w:r>
              <w:rPr>
                <w:rFonts w:ascii="Courier New" w:cs="Courier New" w:eastAsia="Courier New" w:hAnsi="Courier New"/>
                <w:sz w:val="16"/>
                <w:szCs w:val="16"/>
                <w:color w:val="auto"/>
              </w:rPr>
              <w:t>Ending cash and cash equivalents</w:t>
            </w: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$104,804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73,950</w:t>
            </w:r>
          </w:p>
        </w:tc>
      </w:tr>
      <w:tr>
        <w:trPr>
          <w:trHeight w:val="185"/>
        </w:trPr>
        <w:tc>
          <w:tcPr>
            <w:tcW w:w="6340" w:type="dxa"/>
            <w:vAlign w:val="bottom"/>
          </w:tcPr>
          <w:p>
            <w:pPr>
              <w:spacing w:after="0"/>
              <w:rPr>
                <w:sz w:val="16"/>
                <w:szCs w:val="16"/>
                <w:color w:val="auto"/>
              </w:rPr>
            </w:pPr>
          </w:p>
        </w:tc>
        <w:tc>
          <w:tcPr>
            <w:tcW w:w="30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bl>
    <w:p>
      <w:pPr>
        <w:sectPr>
          <w:pgSz w:w="11900" w:h="16838" w:orient="portrait"/>
          <w:cols w:equalWidth="0" w:num="1">
            <w:col w:w="10960"/>
          </w:cols>
          <w:pgMar w:left="240" w:top="300" w:right="69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375" w:lineRule="exact"/>
        <w:rPr>
          <w:sz w:val="20"/>
          <w:szCs w:val="20"/>
          <w:color w:val="auto"/>
        </w:rPr>
      </w:pPr>
    </w:p>
    <w:p>
      <w:pPr>
        <w:ind w:right="2639"/>
        <w:spacing w:after="0" w:line="264" w:lineRule="auto"/>
        <w:rPr>
          <w:sz w:val="20"/>
          <w:szCs w:val="20"/>
          <w:color w:val="auto"/>
        </w:rPr>
      </w:pPr>
      <w:r>
        <w:rPr>
          <w:rFonts w:ascii="Courier New" w:cs="Courier New" w:eastAsia="Courier New" w:hAnsi="Courier New"/>
          <w:sz w:val="15"/>
          <w:szCs w:val="15"/>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74"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Note 2: Summarized combined (unaudited) results of operations for the first quarters of 1997 and 1996 for the company's affiliates are as follows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410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First Quarter</w:t>
            </w:r>
          </w:p>
        </w:tc>
      </w:tr>
      <w:tr>
        <w:trPr>
          <w:trHeight w:val="185"/>
        </w:trPr>
        <w:tc>
          <w:tcPr>
            <w:tcW w:w="3400" w:type="dxa"/>
            <w:vAlign w:val="bottom"/>
          </w:tcPr>
          <w:p>
            <w:pPr>
              <w:spacing w:after="0"/>
              <w:rPr>
                <w:sz w:val="16"/>
                <w:szCs w:val="16"/>
                <w:color w:val="auto"/>
              </w:rPr>
            </w:pPr>
          </w:p>
        </w:tc>
        <w:tc>
          <w:tcPr>
            <w:tcW w:w="4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00" w:type="dxa"/>
            <w:vAlign w:val="bottom"/>
          </w:tcPr>
          <w:p>
            <w:pPr>
              <w:spacing w:after="0"/>
              <w:rPr>
                <w:sz w:val="16"/>
                <w:szCs w:val="16"/>
                <w:color w:val="auto"/>
              </w:rPr>
            </w:pPr>
          </w:p>
        </w:tc>
        <w:tc>
          <w:tcPr>
            <w:tcW w:w="29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1997</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3400" w:type="dxa"/>
            <w:vAlign w:val="bottom"/>
          </w:tcPr>
          <w:p>
            <w:pPr>
              <w:spacing w:after="0"/>
              <w:rPr>
                <w:sz w:val="16"/>
                <w:szCs w:val="16"/>
                <w:color w:val="auto"/>
              </w:rPr>
            </w:pPr>
          </w:p>
        </w:tc>
        <w:tc>
          <w:tcPr>
            <w:tcW w:w="29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4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9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$213,598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$235,473</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9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7,146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37,403</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9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4,302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27,373</w:t>
            </w:r>
          </w:p>
        </w:tc>
      </w:tr>
    </w:tbl>
    <w:p>
      <w:pPr>
        <w:spacing w:after="0" w:line="375"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Note 3: In the first quarter of 1997 the company purchased a cable system in Cleveland, Mississippi, serving about 16,000 subscribers for approximately $23 million.</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In the first quarter of 1996 the company purchased two businesses for approximately $60 million, a cable system in Texarkana serving about 24,000 subscribers and a commercial printing operation located in the Maryland suburbs of Washington, D.C. The company also acquired a cable system in Columbus, Mississippi, serving about 15,700 subscribers for approximately $23 million consisting of cash and non-convertible, redeemable preferred stock of the company.</w:t>
      </w:r>
    </w:p>
    <w:p>
      <w:pPr>
        <w:spacing w:after="0" w:line="188" w:lineRule="exact"/>
        <w:rPr>
          <w:sz w:val="20"/>
          <w:szCs w:val="20"/>
          <w:color w:val="auto"/>
        </w:rPr>
      </w:pPr>
    </w:p>
    <w:p>
      <w:pPr>
        <w:ind w:right="2639" w:firstLine="384"/>
        <w:spacing w:after="0" w:line="260" w:lineRule="auto"/>
        <w:rPr>
          <w:sz w:val="20"/>
          <w:szCs w:val="20"/>
          <w:color w:val="auto"/>
        </w:rPr>
      </w:pPr>
      <w:r>
        <w:rPr>
          <w:rFonts w:ascii="Courier New" w:cs="Courier New" w:eastAsia="Courier New" w:hAnsi="Courier New"/>
          <w:sz w:val="15"/>
          <w:szCs w:val="15"/>
          <w:color w:val="auto"/>
        </w:rPr>
        <w:t>The redeemable preferred stock issued in conjunction with the Columbus cable acquisition has a par value of $1.00 per share and a redemption price and liquidation preference of $1,000 per share. Dividends are payable four times a year at the annual rate of $80 per share. Shares of the redeemable preferred stock are redeemable by the company at any time on or after October 1, 2015.</w:t>
      </w:r>
    </w:p>
    <w:p>
      <w:pPr>
        <w:spacing w:after="0" w:line="3"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In addition, holders of such stock have a right to require the company to purchase their shares at the redemption price during an annual 60-day election period, with the first such period beginning on February 23, 2001.</w:t>
      </w:r>
    </w:p>
    <w:p>
      <w:pPr>
        <w:spacing w:after="0" w:line="189"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Note 4: In February 1997, the Financial Accounting Standards Board issued Statement of Financial Accounting Standards No. 128, "Earnings Per Share," which is effective for periods ending after December 15, 1997, including interim periods. The new standard requires disclosure of basic and diluted earnings per share for income from continuing operations and net income. The company intends to adopt this standard in the fourth quarter of its fiscal year ending December 28, 1997. Adoption of this new standard will not have a material impact on the company's computation of earnings per share.</w:t>
      </w:r>
    </w:p>
    <w:p>
      <w:pPr>
        <w:spacing w:after="0" w:line="189"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Note 5: During the first three months of 1997 the company repurchased 122,000 shares of its Class B common stock at a cost of approximately $41 million.</w:t>
      </w:r>
    </w:p>
    <w:p>
      <w:pPr>
        <w:sectPr>
          <w:pgSz w:w="11900" w:h="16838" w:orient="portrait"/>
          <w:cols w:equalWidth="0" w:num="1">
            <w:col w:w="10219"/>
          </w:cols>
          <w:pgMar w:left="240" w:top="30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7.</w:t>
      </w:r>
    </w:p>
    <w:p>
      <w:pPr>
        <w:spacing w:after="0" w:line="375" w:lineRule="exact"/>
        <w:rPr>
          <w:sz w:val="20"/>
          <w:szCs w:val="20"/>
          <w:color w:val="auto"/>
        </w:rPr>
      </w:pPr>
    </w:p>
    <w:p>
      <w:pPr>
        <w:ind w:right="4559"/>
        <w:spacing w:after="0" w:line="242" w:lineRule="auto"/>
        <w:rPr>
          <w:sz w:val="20"/>
          <w:szCs w:val="20"/>
          <w:color w:val="auto"/>
        </w:rPr>
      </w:pPr>
      <w:r>
        <w:rPr>
          <w:rFonts w:ascii="Courier New" w:cs="Courier New" w:eastAsia="Courier New" w:hAnsi="Courier New"/>
          <w:sz w:val="16"/>
          <w:szCs w:val="16"/>
          <w:color w:val="auto"/>
        </w:rPr>
        <w:t>ITEM 2. MANAGEMENT'S DISCUSSION AND ANALYSIS OF RESULTS OF OPERATIONS AND FINANCIAL CONDITION</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This analysis should be read in conjunction with the consolidated financial statements and the notes thereto.</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Net income for the first quarter of 1997 was $47.7 million, an increase of 29 percent from net income of $36.9 million in the first quarter of last year. Earnings per share increased 30 percent to $4.35 per share, compared to $3.34 per share in the same period in 1996.</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Revenues for the first three months of 1997 were $454.1 million, up 9 percent from $416.6 million in 1996. Advertising revenues rose 10 percent, and circulation and subscriber revenues increased 6 percent over the prior year. Other revenues were up 11 percent over 1996. All divisions of the company reported higher revenues in the first quarter of 1997.</w:t>
      </w:r>
    </w:p>
    <w:p>
      <w:pPr>
        <w:spacing w:after="0" w:line="187"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Costs and expenses for the first quarter of 1997 increased 3 percent to $376.1 million, from $366.4 million in the first quarter of 1996. Selling, general and administrative expenses increased 6 percent while operating expenses did not vary significantly from 1996. A 21 percent decline in newsprint expense was offset by additional expenses associated with newly acquired businesses as well as normal increases in operating costs. Depreciation and amortization increased 10 percent and 14 percent, respectively, over 1996 due to recent acquisitions.</w:t>
      </w:r>
    </w:p>
    <w:p>
      <w:pPr>
        <w:spacing w:after="0" w:line="189" w:lineRule="exact"/>
        <w:rPr>
          <w:sz w:val="20"/>
          <w:szCs w:val="20"/>
          <w:color w:val="auto"/>
        </w:rPr>
      </w:pPr>
    </w:p>
    <w:p>
      <w:pPr>
        <w:jc w:val="both"/>
        <w:ind w:right="3299" w:firstLine="865"/>
        <w:spacing w:after="0" w:line="243" w:lineRule="auto"/>
        <w:rPr>
          <w:sz w:val="20"/>
          <w:szCs w:val="20"/>
          <w:color w:val="auto"/>
        </w:rPr>
      </w:pPr>
      <w:r>
        <w:rPr>
          <w:rFonts w:ascii="Courier New" w:cs="Courier New" w:eastAsia="Courier New" w:hAnsi="Courier New"/>
          <w:sz w:val="16"/>
          <w:szCs w:val="16"/>
          <w:color w:val="auto"/>
        </w:rPr>
        <w:t>In the first quarter of 1997 operating income was $78.0 million compared to $50.2 million in 1996. The increase primarily resulted from strength at the company's print businesses.</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NEWSPAPER DIVISION. At the newspaper division, revenues increased 8 percent over the first quarter of 1996. Advertising revenues for the division rose 11 percent. At The Post, total advertising volume improved 7 percent over the first three months of 1996 - retail lineage rose 4 percent, general lineage increased 6 percent, and classified lineage, boosted by strong results for recruitment advertising, was up 8 percent. Preprint volume did not vary significantly from the prior year. Circulation revenues were essentially unchanged from the first quarter of 1996, although daily</w:t>
      </w:r>
    </w:p>
    <w:p>
      <w:pPr>
        <w:sectPr>
          <w:pgSz w:w="11900" w:h="16838" w:orient="portrait"/>
          <w:cols w:equalWidth="0" w:num="1">
            <w:col w:w="10219"/>
          </w:cols>
          <w:pgMar w:left="240" w:top="300"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8.</w:t>
      </w:r>
    </w:p>
    <w:p>
      <w:pPr>
        <w:spacing w:after="0" w:line="375"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and Sunday circulation at The Post both declined 1 percent compared to the same period in 1996.</w:t>
      </w:r>
    </w:p>
    <w:p>
      <w:pPr>
        <w:spacing w:after="0" w:line="189"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BROADCAST DIVISION. Revenues at the broadcast division increased 3 percent over the first quarter of 1996. National advertising revenues increased 5 percent while local advertising revenues were essentially even with the first quarter of 1996. Network compensation increased 5 percent in the first three months of 1997.</w:t>
      </w:r>
    </w:p>
    <w:p>
      <w:pPr>
        <w:spacing w:after="0" w:line="187"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6"/>
          <w:szCs w:val="16"/>
          <w:color w:val="auto"/>
        </w:rPr>
        <w:t>MAGAZINE DIVISION. In the first quarter of 1997, Newsweek revenues rose 11 percent. Advertising revenues increased 20 percent due primarily to higher advertising volume at both the domestic and international divisions. Circulation revenues were flat compared to the first three months of 1996.</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CABLE DIVISION. At the cable division, first quarter revenues were 12 percent higher than in the comparable period in 1996. Higher subscriber levels, resulting mainly from recent acquisitions, as well as higher rates accounted for the increase. At the end of the quarter, there were approximately 610,000 basic subscribers.</w:t>
      </w:r>
    </w:p>
    <w:p>
      <w:pPr>
        <w:spacing w:after="0" w:line="187"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OTHER BUSINESSES. Revenues from other businesses, principally Kaplan Educational Centers, PASS Sports, Legi-Slate, Digital Ink, and MLJ (Moffet, Larson &amp; Johnson) increased 17 percent during the first three months of 1997. The improvement was due mainly to growth at Kaplan Educational Centers.</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EQUITY IN EARNINGS AND LOSSES OF AFFILIATES. The company's equity in earnings of affiliates in the first quarter of 1997 was $0.1 million compared with $7.4 million in 1996. The decrease was due to declining results at the company's affiliated newsprint mills, which were adversely affected by lower newsprint prices.</w:t>
      </w:r>
    </w:p>
    <w:p>
      <w:pPr>
        <w:spacing w:after="0" w:line="187"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NON-OPERATING ITEMS. Interest income, net of interest expense, was $0.9 million, compared with $0.1 million in the first quarter of 1996. Other income (expense), net in the first quarter of 1997 was a loss of $0.8 million compared with income of $2.9 million in the same period last year.</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INCOME TAXES. The effective tax rate in both 1997 and 1996 was approximately 39 percent.</w:t>
      </w:r>
    </w:p>
    <w:p>
      <w:pPr>
        <w:spacing w:after="0" w:line="187"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6"/>
          <w:szCs w:val="16"/>
          <w:color w:val="auto"/>
        </w:rPr>
        <w:t>FINANCIAL CONDITION:</w:t>
        <w:tab/>
        <w:t>CAPITAL RESOURCES AND LIQUIDITY</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During the first quarter 1997 the company purchased a cable system in Cleveland, Mississippi, serving about 16,000 subscribers for approximately $23 million. The company has also reached an agreement in principle to exchange the assets of certain cable systems with Tele-Communications, Inc. (TCI). According to the terms of the TCI</w:t>
      </w:r>
    </w:p>
    <w:p>
      <w:pPr>
        <w:sectPr>
          <w:pgSz w:w="11900" w:h="16838" w:orient="portrait"/>
          <w:cols w:equalWidth="0" w:num="1">
            <w:col w:w="10219"/>
          </w:cols>
          <w:pgMar w:left="240" w:top="30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9.</w:t>
      </w:r>
    </w:p>
    <w:p>
      <w:pPr>
        <w:spacing w:after="0" w:line="375"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agreement, the exchange will result in an aggregate increase of about 23,000 subscribers for the company. This transaction is expected to be completed in the second quarter of 1997.</w:t>
      </w:r>
    </w:p>
    <w:p>
      <w:pPr>
        <w:spacing w:after="0" w:line="189" w:lineRule="exact"/>
        <w:rPr>
          <w:sz w:val="20"/>
          <w:szCs w:val="20"/>
          <w:color w:val="auto"/>
        </w:rPr>
      </w:pPr>
    </w:p>
    <w:p>
      <w:pPr>
        <w:ind w:right="2719" w:firstLine="769"/>
        <w:spacing w:after="0" w:line="244" w:lineRule="auto"/>
        <w:rPr>
          <w:sz w:val="20"/>
          <w:szCs w:val="20"/>
          <w:color w:val="auto"/>
        </w:rPr>
      </w:pPr>
      <w:r>
        <w:rPr>
          <w:rFonts w:ascii="Courier New" w:cs="Courier New" w:eastAsia="Courier New" w:hAnsi="Courier New"/>
          <w:sz w:val="16"/>
          <w:szCs w:val="16"/>
          <w:color w:val="auto"/>
        </w:rPr>
        <w:t>As of the end of 1996, the company had repurchased approximately 339,000 shares of the one million Class B common shares authorized for repurchase by the Board of Directors in January 1995. In the first quarter of 1997, the company repurchased 122,000 shares of its Class B common stock for approximately $41 million. Approximately 539,000 Class B common shares remain to be repurchased under the January 1995 authorization.</w:t>
      </w:r>
    </w:p>
    <w:p>
      <w:pPr>
        <w:spacing w:after="0" w:line="188" w:lineRule="exact"/>
        <w:rPr>
          <w:sz w:val="20"/>
          <w:szCs w:val="20"/>
          <w:color w:val="auto"/>
        </w:rPr>
      </w:pPr>
    </w:p>
    <w:p>
      <w:pPr>
        <w:ind w:right="3399" w:firstLine="769"/>
        <w:spacing w:after="0" w:line="242" w:lineRule="auto"/>
        <w:rPr>
          <w:sz w:val="20"/>
          <w:szCs w:val="20"/>
          <w:color w:val="auto"/>
        </w:rPr>
      </w:pPr>
      <w:r>
        <w:rPr>
          <w:rFonts w:ascii="Courier New" w:cs="Courier New" w:eastAsia="Courier New" w:hAnsi="Courier New"/>
          <w:sz w:val="16"/>
          <w:szCs w:val="16"/>
          <w:color w:val="auto"/>
        </w:rPr>
        <w:t>The company has experienced no other significant changes in its financial condition since the end of 1996.</w:t>
      </w:r>
    </w:p>
    <w:p>
      <w:pPr>
        <w:sectPr>
          <w:pgSz w:w="11900" w:h="16838" w:orient="portrait"/>
          <w:cols w:equalWidth="0" w:num="1">
            <w:col w:w="10219"/>
          </w:cols>
          <w:pgMar w:left="240" w:top="30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373" w:lineRule="exact"/>
        <w:rPr>
          <w:sz w:val="20"/>
          <w:szCs w:val="20"/>
          <w:color w:val="auto"/>
        </w:rPr>
      </w:pPr>
    </w:p>
    <w:p>
      <w:pPr>
        <w:ind w:left="1640" w:hanging="777"/>
        <w:spacing w:after="0"/>
        <w:tabs>
          <w:tab w:leader="none" w:pos="1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documents are filed as exhibits to this report:</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EXHIBIT</w:t>
      </w:r>
    </w:p>
    <w:p>
      <w:pPr>
        <w:spacing w:after="0" w:line="1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99" w:lineRule="exact"/>
        <w:rPr>
          <w:sz w:val="20"/>
          <w:szCs w:val="20"/>
          <w:color w:val="auto"/>
        </w:rPr>
      </w:pPr>
    </w:p>
    <w:p>
      <w:pPr>
        <w:sectPr>
          <w:pgSz w:w="11900" w:h="16838" w:orient="portrait"/>
          <w:cols w:equalWidth="0" w:num="2">
            <w:col w:w="3420" w:space="720"/>
            <w:col w:w="6079"/>
          </w:cols>
          <w:pgMar w:left="240" w:top="300" w:right="1440" w:bottom="1440" w:gutter="0" w:footer="0" w:header="0"/>
          <w:type w:val="continuous"/>
        </w:sectPr>
      </w:pPr>
    </w:p>
    <w:p>
      <w:pPr>
        <w:ind w:left="2500" w:right="4259" w:hanging="1637"/>
        <w:spacing w:after="0" w:line="242" w:lineRule="auto"/>
        <w:tabs>
          <w:tab w:leader="none" w:pos="2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of Earnings per Share of Common Stock.</w:t>
      </w:r>
    </w:p>
    <w:p>
      <w:pPr>
        <w:spacing w:after="0" w:line="187" w:lineRule="exact"/>
        <w:rPr>
          <w:sz w:val="20"/>
          <w:szCs w:val="20"/>
          <w:color w:val="auto"/>
        </w:rPr>
      </w:pPr>
    </w:p>
    <w:p>
      <w:pPr>
        <w:ind w:left="860"/>
        <w:spacing w:after="0"/>
        <w:tabs>
          <w:tab w:leader="none" w:pos="248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 (Electronic Filing Only).</w:t>
      </w:r>
    </w:p>
    <w:p>
      <w:pPr>
        <w:spacing w:after="0" w:line="200" w:lineRule="exact"/>
        <w:rPr>
          <w:sz w:val="20"/>
          <w:szCs w:val="20"/>
          <w:color w:val="auto"/>
        </w:rPr>
      </w:pPr>
    </w:p>
    <w:p>
      <w:pPr>
        <w:spacing w:after="0" w:line="360" w:lineRule="exact"/>
        <w:rPr>
          <w:sz w:val="20"/>
          <w:szCs w:val="20"/>
          <w:color w:val="auto"/>
        </w:rPr>
      </w:pPr>
    </w:p>
    <w:p>
      <w:pPr>
        <w:ind w:left="1640" w:right="2639" w:hanging="777"/>
        <w:spacing w:after="0" w:line="242" w:lineRule="auto"/>
        <w:tabs>
          <w:tab w:leader="none" w:pos="1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period covered by this report.</w:t>
      </w:r>
    </w:p>
    <w:p>
      <w:pPr>
        <w:sectPr>
          <w:pgSz w:w="11900" w:h="16838" w:orient="portrait"/>
          <w:cols w:equalWidth="0" w:num="1">
            <w:col w:w="10219"/>
          </w:cols>
          <w:pgMar w:left="240" w:top="300"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740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36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THE WASHINGTON POST COMPANY</w:t>
      </w:r>
    </w:p>
    <w:p>
      <w:pPr>
        <w:spacing w:after="0" w:line="13"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13, 1997</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Donald E. Graham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Donald E. Graham, Chairman &amp;</w:t>
      </w:r>
    </w:p>
    <w:p>
      <w:pPr>
        <w:spacing w:after="0" w:line="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Chief Executive Officer</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480" w:space="200"/>
            <w:col w:w="3220" w:space="720"/>
            <w:col w:w="5599"/>
          </w:cols>
          <w:pgMar w:left="240" w:top="300"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13, 1997</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 John B. Morse,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B. Morse, Jr., Vice President-Finance</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(Principal Financial Officer)</w:t>
      </w:r>
    </w:p>
    <w:p>
      <w:pPr>
        <w:sectPr>
          <w:pgSz w:w="11900" w:h="16838" w:orient="portrait"/>
          <w:cols w:equalWidth="0" w:num="3">
            <w:col w:w="480" w:space="200"/>
            <w:col w:w="3020" w:space="720"/>
            <w:col w:w="5799"/>
          </w:cols>
          <w:pgMar w:left="240" w:top="300" w:right="1440" w:bottom="1440" w:gutter="0" w:footer="0" w:header="0"/>
          <w:type w:val="continuous"/>
        </w:sectPr>
      </w:pPr>
    </w:p>
    <w:bookmarkStart w:id="11" w:name="page12"/>
    <w:bookmarkEnd w:id="11"/>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left="6721"/>
        <w:spacing w:after="0"/>
        <w:rPr>
          <w:sz w:val="20"/>
          <w:szCs w:val="20"/>
          <w:color w:val="auto"/>
        </w:rPr>
      </w:pPr>
      <w:r>
        <w:rPr>
          <w:rFonts w:ascii="Courier New" w:cs="Courier New" w:eastAsia="Courier New" w:hAnsi="Courier New"/>
          <w:sz w:val="16"/>
          <w:szCs w:val="16"/>
          <w:color w:val="auto"/>
        </w:rPr>
        <w:t>EXHIBIT 11</w:t>
      </w:r>
    </w:p>
    <w:p>
      <w:pPr>
        <w:spacing w:after="0" w:line="373"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CALCULATION OF EARNINGS</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PER SHARE OF COMMON STOCK</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(In thousands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Thirteen Weeks Ended</w:t>
            </w:r>
          </w:p>
        </w:tc>
        <w:tc>
          <w:tcPr>
            <w:tcW w:w="680" w:type="dxa"/>
            <w:vAlign w:val="bottom"/>
          </w:tcPr>
          <w:p>
            <w:pPr>
              <w:spacing w:after="0"/>
              <w:rPr>
                <w:sz w:val="15"/>
                <w:szCs w:val="15"/>
                <w:color w:val="auto"/>
              </w:rPr>
            </w:pPr>
          </w:p>
        </w:tc>
      </w:tr>
      <w:tr>
        <w:trPr>
          <w:trHeight w:val="185"/>
        </w:trPr>
        <w:tc>
          <w:tcPr>
            <w:tcW w:w="5240" w:type="dxa"/>
            <w:vAlign w:val="bottom"/>
          </w:tcPr>
          <w:p>
            <w:pPr>
              <w:spacing w:after="0"/>
              <w:rPr>
                <w:sz w:val="16"/>
                <w:szCs w:val="16"/>
                <w:color w:val="auto"/>
              </w:rPr>
            </w:pPr>
          </w:p>
        </w:tc>
        <w:tc>
          <w:tcPr>
            <w:tcW w:w="428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tcPr>
          <w:p>
            <w:pPr>
              <w:spacing w:after="0"/>
              <w:rPr>
                <w:sz w:val="16"/>
                <w:szCs w:val="16"/>
                <w:color w:val="auto"/>
              </w:rPr>
            </w:pPr>
          </w:p>
        </w:tc>
        <w:tc>
          <w:tcPr>
            <w:tcW w:w="2580" w:type="dxa"/>
            <w:vAlign w:val="bottom"/>
            <w:gridSpan w:val="2"/>
          </w:tcPr>
          <w:p>
            <w:pPr>
              <w:jc w:val="right"/>
              <w:ind w:right="820"/>
              <w:spacing w:after="0"/>
              <w:rPr>
                <w:sz w:val="20"/>
                <w:szCs w:val="20"/>
                <w:color w:val="auto"/>
              </w:rPr>
            </w:pPr>
            <w:r>
              <w:rPr>
                <w:rFonts w:ascii="Courier New" w:cs="Courier New" w:eastAsia="Courier New" w:hAnsi="Courier New"/>
                <w:sz w:val="16"/>
                <w:szCs w:val="16"/>
                <w:color w:val="auto"/>
              </w:rPr>
              <w:t>March 30,</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March 31,</w:t>
            </w:r>
          </w:p>
        </w:tc>
      </w:tr>
      <w:tr>
        <w:trPr>
          <w:trHeight w:val="185"/>
        </w:trPr>
        <w:tc>
          <w:tcPr>
            <w:tcW w:w="5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jc w:val="right"/>
              <w:ind w:right="1020"/>
              <w:spacing w:after="0"/>
              <w:rPr>
                <w:sz w:val="20"/>
                <w:szCs w:val="20"/>
                <w:color w:val="auto"/>
              </w:rPr>
            </w:pPr>
            <w:r>
              <w:rPr>
                <w:rFonts w:ascii="Courier New" w:cs="Courier New" w:eastAsia="Courier New" w:hAnsi="Courier New"/>
                <w:sz w:val="16"/>
                <w:szCs w:val="16"/>
                <w:color w:val="auto"/>
                <w:w w:val="93"/>
              </w:rPr>
              <w:t>1997</w:t>
            </w:r>
          </w:p>
        </w:tc>
        <w:tc>
          <w:tcPr>
            <w:tcW w:w="102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3"/>
              </w:rPr>
              <w:t>1996</w:t>
            </w:r>
          </w:p>
        </w:tc>
      </w:tr>
      <w:tr>
        <w:trPr>
          <w:trHeight w:val="185"/>
        </w:trPr>
        <w:tc>
          <w:tcPr>
            <w:tcW w:w="5240" w:type="dxa"/>
            <w:vAlign w:val="bottom"/>
          </w:tcPr>
          <w:p>
            <w:pPr>
              <w:spacing w:after="0"/>
              <w:rPr>
                <w:sz w:val="16"/>
                <w:szCs w:val="16"/>
                <w:color w:val="auto"/>
              </w:rPr>
            </w:pPr>
          </w:p>
        </w:tc>
        <w:tc>
          <w:tcPr>
            <w:tcW w:w="2580" w:type="dxa"/>
            <w:vAlign w:val="bottom"/>
            <w:gridSpan w:val="2"/>
          </w:tcPr>
          <w:p>
            <w:pPr>
              <w:jc w:val="right"/>
              <w:ind w:right="820"/>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Number of shares of</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Class A and Class B</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common stock outstanding</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at beginning of</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1100" w:type="dxa"/>
            <w:vAlign w:val="bottom"/>
          </w:tcPr>
          <w:p>
            <w:pPr>
              <w:spacing w:after="0"/>
              <w:rPr>
                <w:sz w:val="16"/>
                <w:szCs w:val="16"/>
                <w:color w:val="auto"/>
              </w:rPr>
            </w:pP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w w:val="97"/>
              </w:rPr>
              <w:t>10,910</w:t>
            </w:r>
          </w:p>
        </w:tc>
        <w:tc>
          <w:tcPr>
            <w:tcW w:w="102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11,005</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Issuance of shares of</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Class B common stock</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(weighted), net of</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forfeiture of restricted stock awards</w:t>
            </w:r>
          </w:p>
        </w:tc>
        <w:tc>
          <w:tcPr>
            <w:tcW w:w="1100" w:type="dxa"/>
            <w:vAlign w:val="bottom"/>
          </w:tcPr>
          <w:p>
            <w:pPr>
              <w:spacing w:after="0"/>
              <w:rPr>
                <w:sz w:val="16"/>
                <w:szCs w:val="16"/>
                <w:color w:val="auto"/>
              </w:rPr>
            </w:pP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15</w:t>
            </w:r>
          </w:p>
        </w:tc>
        <w:tc>
          <w:tcPr>
            <w:tcW w:w="102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Repurchase of Class B</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common stock (weighted)</w:t>
            </w:r>
          </w:p>
        </w:tc>
        <w:tc>
          <w:tcPr>
            <w:tcW w:w="1100" w:type="dxa"/>
            <w:vAlign w:val="bottom"/>
          </w:tcPr>
          <w:p>
            <w:pPr>
              <w:spacing w:after="0"/>
              <w:rPr>
                <w:sz w:val="16"/>
                <w:szCs w:val="16"/>
                <w:color w:val="auto"/>
              </w:rPr>
            </w:pPr>
          </w:p>
        </w:tc>
        <w:tc>
          <w:tcPr>
            <w:tcW w:w="148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(82)</w:t>
            </w:r>
          </w:p>
        </w:tc>
        <w:tc>
          <w:tcPr>
            <w:tcW w:w="10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Unexercised stock option</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equivalent shares computed under the "treasury</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stock method"</w:t>
            </w:r>
          </w:p>
        </w:tc>
        <w:tc>
          <w:tcPr>
            <w:tcW w:w="1100" w:type="dxa"/>
            <w:vAlign w:val="bottom"/>
          </w:tcPr>
          <w:p>
            <w:pPr>
              <w:spacing w:after="0"/>
              <w:rPr>
                <w:sz w:val="16"/>
                <w:szCs w:val="16"/>
                <w:color w:val="auto"/>
              </w:rPr>
            </w:pP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23</w:t>
            </w:r>
          </w:p>
        </w:tc>
        <w:tc>
          <w:tcPr>
            <w:tcW w:w="102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w:t>
            </w:r>
          </w:p>
        </w:tc>
      </w:tr>
      <w:tr>
        <w:trPr>
          <w:trHeight w:val="185"/>
        </w:trPr>
        <w:tc>
          <w:tcPr>
            <w:tcW w:w="5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w w:val="97"/>
              </w:rPr>
              <w:t>------</w:t>
            </w:r>
          </w:p>
        </w:tc>
        <w:tc>
          <w:tcPr>
            <w:tcW w:w="102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Shares used in the</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computation of primary</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1100" w:type="dxa"/>
            <w:vAlign w:val="bottom"/>
          </w:tcPr>
          <w:p>
            <w:pPr>
              <w:spacing w:after="0"/>
              <w:rPr>
                <w:sz w:val="16"/>
                <w:szCs w:val="16"/>
                <w:color w:val="auto"/>
              </w:rPr>
            </w:pP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w w:val="97"/>
              </w:rPr>
              <w:t>10,866</w:t>
            </w:r>
          </w:p>
        </w:tc>
        <w:tc>
          <w:tcPr>
            <w:tcW w:w="102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11,011</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Adjustment to reflect fully</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diluted computation (1)</w:t>
            </w:r>
          </w:p>
        </w:tc>
        <w:tc>
          <w:tcPr>
            <w:tcW w:w="1100" w:type="dxa"/>
            <w:vAlign w:val="bottom"/>
          </w:tcPr>
          <w:p>
            <w:pPr>
              <w:spacing w:after="0"/>
              <w:rPr>
                <w:sz w:val="16"/>
                <w:szCs w:val="16"/>
                <w:color w:val="auto"/>
              </w:rPr>
            </w:pP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w w:val="97"/>
              </w:rPr>
              <w:t>------</w:t>
            </w:r>
          </w:p>
        </w:tc>
        <w:tc>
          <w:tcPr>
            <w:tcW w:w="102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w w:val="97"/>
              </w:rPr>
              <w:t>10,866</w:t>
            </w:r>
          </w:p>
        </w:tc>
        <w:tc>
          <w:tcPr>
            <w:tcW w:w="102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11,011</w:t>
            </w:r>
          </w:p>
        </w:tc>
      </w:tr>
      <w:tr>
        <w:trPr>
          <w:trHeight w:val="185"/>
        </w:trPr>
        <w:tc>
          <w:tcPr>
            <w:tcW w:w="5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income available for</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common shares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w w:val="97"/>
              </w:rPr>
              <w:t>47,216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36,740</w:t>
            </w:r>
          </w:p>
        </w:tc>
      </w:tr>
      <w:tr>
        <w:trPr>
          <w:trHeight w:val="185"/>
        </w:trPr>
        <w:tc>
          <w:tcPr>
            <w:tcW w:w="5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w w:val="97"/>
              </w:rPr>
              <w:t>------</w:t>
            </w:r>
          </w:p>
        </w:tc>
        <w:tc>
          <w:tcPr>
            <w:tcW w:w="102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Primary earnings per common</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4.35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3.34</w:t>
            </w:r>
          </w:p>
        </w:tc>
      </w:tr>
      <w:tr>
        <w:trPr>
          <w:trHeight w:val="185"/>
        </w:trPr>
        <w:tc>
          <w:tcPr>
            <w:tcW w:w="5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w w:val="97"/>
              </w:rPr>
              <w:t>------</w:t>
            </w:r>
          </w:p>
        </w:tc>
        <w:tc>
          <w:tcPr>
            <w:tcW w:w="102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Fully diluted earnings per</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common share (1)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4.35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3.34</w:t>
            </w:r>
          </w:p>
        </w:tc>
      </w:tr>
      <w:tr>
        <w:trPr>
          <w:trHeight w:val="185"/>
        </w:trPr>
        <w:tc>
          <w:tcPr>
            <w:tcW w:w="5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jc w:val="right"/>
              <w:ind w:right="820"/>
              <w:spacing w:after="0"/>
              <w:rPr>
                <w:sz w:val="20"/>
                <w:szCs w:val="20"/>
                <w:color w:val="auto"/>
              </w:rPr>
            </w:pPr>
            <w:r>
              <w:rPr>
                <w:rFonts w:ascii="Courier New" w:cs="Courier New" w:eastAsia="Courier New" w:hAnsi="Courier New"/>
                <w:sz w:val="16"/>
                <w:szCs w:val="16"/>
                <w:color w:val="auto"/>
                <w:w w:val="97"/>
              </w:rPr>
              <w:t>------</w:t>
            </w:r>
          </w:p>
        </w:tc>
        <w:tc>
          <w:tcPr>
            <w:tcW w:w="102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1" w:right="3019" w:hanging="1"/>
        <w:spacing w:after="0" w:line="243" w:lineRule="auto"/>
        <w:tabs>
          <w:tab w:leader="none" w:pos="3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computation is submitted although it is not required by Accounting Principles Board Opinion No. 15 since it results in dilution of less than 3 percent.</w:t>
      </w:r>
    </w:p>
    <w:p>
      <w:pPr>
        <w:sectPr>
          <w:pgSz w:w="11900" w:h="16838" w:orient="portrait"/>
          <w:cols w:equalWidth="0" w:num="1">
            <w:col w:w="10221"/>
          </w:cols>
          <w:pgMar w:left="239" w:top="140" w:right="1440" w:bottom="1440" w:gutter="0" w:footer="0" w:header="0"/>
        </w:sectPr>
      </w:pPr>
    </w:p>
    <w:bookmarkStart w:id="12" w:name="page13"/>
    <w:bookmarkEnd w:id="12"/>
    <w:p>
      <w:pPr>
        <w:ind w:left="8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right="2519"/>
        <w:spacing w:after="0" w:line="24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Income for the thirteen weeks ended March 30, 1997 and the Consolidated Balance Sheet as of March 30, 1997 and is qualified in its entirety by reference to such financial statements.</w:t>
      </w:r>
    </w:p>
    <w:p>
      <w:pPr>
        <w:spacing w:after="0" w:line="18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7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3-MOS</w:t>
      </w:r>
    </w:p>
    <w:p>
      <w:pPr>
        <w:spacing w:after="0" w:line="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DEC-28-1997</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MAR-30-1997</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104,804</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255,743</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46,254</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30,641</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362,778</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1,135,134</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600,110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1,884,055</w:t>
      </w:r>
    </w:p>
    <w:p>
      <w:pPr>
        <w:spacing w:after="0" w:line="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311,323</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11,947</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20,000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1,284,478</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1,884,055</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454,101</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243,504</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15,834</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165</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78,194</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30,500</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47,694</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47,694</w:t>
      </w:r>
    </w:p>
    <w:p>
      <w:pPr>
        <w:spacing w:after="0" w:line="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4.35</w:t>
      </w:r>
    </w:p>
    <w:p>
      <w:pPr>
        <w:spacing w:after="0" w:line="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4.35</w:t>
      </w:r>
    </w:p>
    <w:sectPr>
      <w:pgSz w:w="11900" w:h="16838" w:orient="portrait"/>
      <w:cols w:equalWidth="0" w:num="1">
        <w:col w:w="10199"/>
      </w:cols>
      <w:pgMar w:left="260"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202"/>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2019-12-13T08:08:58Z</dcterms:created>
  <dcterms:modified xsi:type="dcterms:W3CDTF">2019-12-13T08:08:58Z</dcterms:modified>
</cp:coreProperties>
</file>