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O'Shaughnessy Laura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GRAHAM HOLDINGS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1300 NORTH 17TH STREET, SUITE 1700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Graham Holdings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GHC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875"/>
        <w:gridCol w:w="437"/>
        <w:gridCol w:w="984"/>
        <w:gridCol w:w="1139"/>
        <w:gridCol w:w="982"/>
        <w:gridCol w:w="97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9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11/11/2025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7,582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872.01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34,315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11/11/2025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1,085.29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27,476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Spouse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5,600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872.01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7,582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11/12/2025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7,582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Spouse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options exercise was executed in anticipation of the November 12, 2025 expiration date on a net settlement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has no voting or investment power with respect to such shares. The reporting person disclaims beneficial ownership of the reported securities.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reporting person's spouse is a trustee of the trust that owns the reported securities. The reporting person is a beneficiary of such trust but has no voting or investment power with respect to the shares held in such trust. The reporting person disclaims beneficial ownership of the reported securities.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Shares of Class A Common Stock are convertible into shares of Class B Common Stock at any time on a one-for-one basis and have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stock option is fully vested. After this exercise of 7,582 options, the reporting person's spouse has no options remaining under the related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Nicole Maddrey,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11/13/2025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3477" TargetMode="External"/><Relationship Id="rId5" Type="http://schemas.openxmlformats.org/officeDocument/2006/relationships/hyperlink" Target="http://www.sec.gov/cgi-bin/browse-edgar?action=getcompany&amp;CIK=00001048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773</Words>
  <Characters>4094</Characters>
  <CharactersWithSpaces>4775</CharactersWithSpaces>
  <Paragraphs>136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