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26, 2004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540" w:right="4320" w:hanging="4532"/>
        <w:spacing w:after="0" w:line="487" w:lineRule="auto"/>
        <w:tabs>
          <w:tab w:leader="none" w:pos="462"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Commission File Number 1-6714</w:t>
      </w: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center"/>
              <w:ind w:left="36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30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127"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an accelerated filer as defined by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61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5240" w:type="dxa"/>
            <w:vAlign w:val="bottom"/>
          </w:tcPr>
          <w:p>
            <w:pPr>
              <w:spacing w:after="0"/>
              <w:rPr>
                <w:sz w:val="23"/>
                <w:szCs w:val="23"/>
                <w:color w:val="auto"/>
              </w:rPr>
            </w:pPr>
          </w:p>
        </w:tc>
      </w:tr>
      <w:tr>
        <w:trPr>
          <w:trHeight w:val="306"/>
        </w:trPr>
        <w:tc>
          <w:tcPr>
            <w:tcW w:w="6180" w:type="dxa"/>
            <w:vAlign w:val="bottom"/>
          </w:tcPr>
          <w:p>
            <w:pPr>
              <w:ind w:left="460"/>
              <w:spacing w:after="0"/>
              <w:rPr>
                <w:sz w:val="20"/>
                <w:szCs w:val="20"/>
                <w:color w:val="auto"/>
              </w:rPr>
            </w:pPr>
            <w:r>
              <w:rPr>
                <w:rFonts w:ascii="Arial" w:cs="Arial" w:eastAsia="Arial" w:hAnsi="Arial"/>
                <w:sz w:val="18"/>
                <w:szCs w:val="18"/>
                <w:color w:val="auto"/>
              </w:rPr>
              <w:t>Shares outstanding at October 28, 2004:</w:t>
            </w:r>
          </w:p>
        </w:tc>
        <w:tc>
          <w:tcPr>
            <w:tcW w:w="5240" w:type="dxa"/>
            <w:vAlign w:val="bottom"/>
          </w:tcPr>
          <w:p>
            <w:pPr>
              <w:spacing w:after="0"/>
              <w:rPr>
                <w:sz w:val="24"/>
                <w:szCs w:val="24"/>
                <w:color w:val="auto"/>
              </w:rPr>
            </w:pPr>
          </w:p>
        </w:tc>
      </w:tr>
      <w:tr>
        <w:trPr>
          <w:trHeight w:val="358"/>
        </w:trPr>
        <w:tc>
          <w:tcPr>
            <w:tcW w:w="6180" w:type="dxa"/>
            <w:vAlign w:val="bottom"/>
          </w:tcPr>
          <w:p>
            <w:pPr>
              <w:ind w:left="1140"/>
              <w:spacing w:after="0"/>
              <w:rPr>
                <w:sz w:val="20"/>
                <w:szCs w:val="20"/>
                <w:color w:val="auto"/>
              </w:rPr>
            </w:pPr>
            <w:r>
              <w:rPr>
                <w:rFonts w:ascii="Arial" w:cs="Arial" w:eastAsia="Arial" w:hAnsi="Arial"/>
                <w:sz w:val="18"/>
                <w:szCs w:val="18"/>
                <w:color w:val="auto"/>
              </w:rPr>
              <w:t>Class A Common Stock</w:t>
            </w:r>
          </w:p>
        </w:tc>
        <w:tc>
          <w:tcPr>
            <w:tcW w:w="5240" w:type="dxa"/>
            <w:vAlign w:val="bottom"/>
          </w:tcPr>
          <w:p>
            <w:pPr>
              <w:ind w:left="2880"/>
              <w:spacing w:after="0"/>
              <w:rPr>
                <w:sz w:val="20"/>
                <w:szCs w:val="20"/>
                <w:color w:val="auto"/>
              </w:rPr>
            </w:pPr>
            <w:r>
              <w:rPr>
                <w:rFonts w:ascii="Arial" w:cs="Arial" w:eastAsia="Arial" w:hAnsi="Arial"/>
                <w:sz w:val="18"/>
                <w:szCs w:val="18"/>
                <w:color w:val="auto"/>
              </w:rPr>
              <w:t>1,722,250 Shares</w:t>
            </w:r>
          </w:p>
        </w:tc>
      </w:tr>
      <w:tr>
        <w:trPr>
          <w:trHeight w:val="222"/>
        </w:trPr>
        <w:tc>
          <w:tcPr>
            <w:tcW w:w="6180" w:type="dxa"/>
            <w:vAlign w:val="bottom"/>
          </w:tcPr>
          <w:p>
            <w:pPr>
              <w:ind w:left="1140"/>
              <w:spacing w:after="0"/>
              <w:rPr>
                <w:sz w:val="20"/>
                <w:szCs w:val="20"/>
                <w:color w:val="auto"/>
              </w:rPr>
            </w:pPr>
            <w:r>
              <w:rPr>
                <w:rFonts w:ascii="Arial" w:cs="Arial" w:eastAsia="Arial" w:hAnsi="Arial"/>
                <w:sz w:val="18"/>
                <w:szCs w:val="18"/>
                <w:color w:val="auto"/>
              </w:rPr>
              <w:t>Class B Common Stock</w:t>
            </w:r>
          </w:p>
        </w:tc>
        <w:tc>
          <w:tcPr>
            <w:tcW w:w="5240" w:type="dxa"/>
            <w:vAlign w:val="bottom"/>
          </w:tcPr>
          <w:p>
            <w:pPr>
              <w:ind w:left="2880"/>
              <w:spacing w:after="0"/>
              <w:rPr>
                <w:sz w:val="20"/>
                <w:szCs w:val="20"/>
                <w:color w:val="auto"/>
              </w:rPr>
            </w:pPr>
            <w:r>
              <w:rPr>
                <w:rFonts w:ascii="Arial" w:cs="Arial" w:eastAsia="Arial" w:hAnsi="Arial"/>
                <w:sz w:val="18"/>
                <w:szCs w:val="18"/>
                <w:color w:val="auto"/>
              </w:rPr>
              <w:t>7,847,497 Shares</w:t>
            </w:r>
          </w:p>
        </w:tc>
      </w:tr>
      <w:tr>
        <w:trPr>
          <w:trHeight w:val="282"/>
        </w:trPr>
        <w:tc>
          <w:tcPr>
            <w:tcW w:w="6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117" w:lineRule="exact"/>
        <w:rPr>
          <w:sz w:val="20"/>
          <w:szCs w:val="20"/>
          <w:color w:val="auto"/>
        </w:rPr>
      </w:pPr>
    </w:p>
    <w:p>
      <w:pPr>
        <w:ind w:left="1340" w:hanging="441"/>
        <w:spacing w:after="0"/>
        <w:tabs>
          <w:tab w:leader="none" w:pos="1340" w:val="left"/>
        </w:tabs>
        <w:numPr>
          <w:ilvl w:val="0"/>
          <w:numId w:val="3"/>
        </w:numPr>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Income (Unaudited) for the Thirteen and Thirty-Nine Weeks Ended September 26, 2004 and</w:t>
        </w:r>
      </w:hyperlink>
    </w:p>
    <w:p>
      <w:pPr>
        <w:spacing w:after="0" w:line="9"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1420" w:type="dxa"/>
            <w:vAlign w:val="bottom"/>
            <w:tcBorders>
              <w:bottom w:val="single" w:sz="8" w:color="0000EE"/>
            </w:tcBorders>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September 28, 2003</w:t>
              </w:r>
            </w:hyperlink>
          </w:p>
        </w:tc>
        <w:tc>
          <w:tcPr>
            <w:tcW w:w="84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1340" w:hanging="441"/>
        <w:spacing w:after="0"/>
        <w:tabs>
          <w:tab w:leader="none" w:pos="1340" w:val="left"/>
        </w:tabs>
        <w:numPr>
          <w:ilvl w:val="0"/>
          <w:numId w:val="4"/>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 (Unaudited) for the Thirteen and Thirty-Nine Weeks Ended September 26,</w:t>
        </w:r>
      </w:hyperlink>
    </w:p>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2004 and September 28, 2003</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71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Sheets at September 26, 2004 (Unaudited) and December 28, 2003</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27" w:lineRule="exact"/>
        <w:rPr>
          <w:sz w:val="20"/>
          <w:szCs w:val="20"/>
          <w:color w:val="auto"/>
        </w:rPr>
      </w:pPr>
    </w:p>
    <w:p>
      <w:pPr>
        <w:ind w:left="1340" w:hanging="441"/>
        <w:spacing w:after="0"/>
        <w:tabs>
          <w:tab w:leader="none" w:pos="1340" w:val="left"/>
        </w:tabs>
        <w:numPr>
          <w:ilvl w:val="0"/>
          <w:numId w:val="5"/>
        </w:numPr>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Cash Flows (Unaudited) for the Thirty-Nine Weeks Ended September 26, 2004 and September 28,</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0000EE"/>
            </w:tcBorders>
          </w:tcPr>
          <w:p>
            <w:pPr>
              <w:jc w:val="right"/>
              <w:spacing w:after="0"/>
              <w:rPr>
                <w:rFonts w:ascii="Arial" w:cs="Arial" w:eastAsia="Arial" w:hAnsi="Arial"/>
                <w:sz w:val="18"/>
                <w:szCs w:val="18"/>
                <w:color w:val="0000EE"/>
                <w:w w:val="84"/>
              </w:rPr>
            </w:pPr>
            <w:hyperlink w:anchor="page7">
              <w:r>
                <w:rPr>
                  <w:rFonts w:ascii="Arial" w:cs="Arial" w:eastAsia="Arial" w:hAnsi="Arial"/>
                  <w:sz w:val="18"/>
                  <w:szCs w:val="18"/>
                  <w:color w:val="0000EE"/>
                  <w:w w:val="84"/>
                </w:rPr>
                <w:t>2003</w:t>
              </w:r>
            </w:hyperlink>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e.</w:t>
            </w:r>
          </w:p>
        </w:tc>
        <w:tc>
          <w:tcPr>
            <w:tcW w:w="4800" w:type="dxa"/>
            <w:vAlign w:val="bottom"/>
            <w:tcBorders>
              <w:bottom w:val="single" w:sz="8" w:color="0000EE"/>
            </w:tcBorders>
            <w:gridSpan w:val="5"/>
          </w:tcPr>
          <w:p>
            <w:pPr>
              <w:jc w:val="right"/>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308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Results of Operations and Financial Condition</w:t>
              </w:r>
            </w:hyperlink>
          </w:p>
        </w:tc>
        <w:tc>
          <w:tcPr>
            <w:tcW w:w="2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2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51"/>
        </w:trPr>
        <w:tc>
          <w:tcPr>
            <w:tcW w:w="9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320" w:type="dxa"/>
            <w:vAlign w:val="bottom"/>
            <w:gridSpan w:val="8"/>
          </w:tcPr>
          <w:p>
            <w:pPr>
              <w:spacing w:after="0"/>
              <w:rPr>
                <w:sz w:val="20"/>
                <w:szCs w:val="20"/>
                <w:color w:val="auto"/>
              </w:rPr>
            </w:pPr>
            <w:r>
              <w:rPr>
                <w:rFonts w:ascii="Arial" w:cs="Arial" w:eastAsia="Arial" w:hAnsi="Arial"/>
                <w:sz w:val="18"/>
                <w:szCs w:val="18"/>
                <w:color w:val="auto"/>
              </w:rPr>
              <w:t>OTHER INFORMATION</w:t>
            </w:r>
          </w:p>
        </w:tc>
        <w:tc>
          <w:tcPr>
            <w:tcW w:w="2200" w:type="dxa"/>
            <w:vAlign w:val="bottom"/>
          </w:tcPr>
          <w:p>
            <w:pPr>
              <w:spacing w:after="0"/>
              <w:rPr>
                <w:sz w:val="24"/>
                <w:szCs w:val="24"/>
                <w:color w:val="auto"/>
              </w:rPr>
            </w:pPr>
          </w:p>
        </w:tc>
      </w:tr>
      <w:tr>
        <w:trPr>
          <w:trHeight w:val="286"/>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320" w:type="dxa"/>
            <w:vAlign w:val="bottom"/>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 and Reports on Form 8-K</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90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7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5"/>
          </w:tcPr>
          <w:p>
            <w:pPr>
              <w:jc w:val="right"/>
              <w:ind w:right="38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02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The Washington Post Company</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 (Unaudited)</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20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September 28,</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6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18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317,056</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287,984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960,207</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886,707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185,521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175,595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551,509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293,621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224,663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828,588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820,032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706,079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2,397,392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422,894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378,864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1,252,983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1,096,472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210,488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244,299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611,953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42,420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133,648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679,734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665,981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2,006,177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1,827,371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140,298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earnings (losses) of affiliates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(6,874)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135,172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52,700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13,800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145,000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w:t>
            </w:r>
          </w:p>
        </w:tc>
        <w:tc>
          <w:tcPr>
            <w:tcW w:w="4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9,556</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80" w:type="dxa"/>
            <w:vAlign w:val="bottom"/>
            <w:vMerge w:val="restart"/>
          </w:tcPr>
          <w:p>
            <w:pPr>
              <w:ind w:left="72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-1646555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-1646555</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-1646555</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-1646555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-1646555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-1646555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-1646555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-1646555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-1646555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-1646555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-1646555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-1646555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-1346835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-1346835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-1346835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-1346835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-1346835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-1346835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-1346835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-1346835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-1346835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-1346835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-1346835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-1346835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-1046480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-1046480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-1046480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-1046480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-1046480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-1046480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-1046480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-1046480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-1046480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-1046480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-1046480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-1046480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-746125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-746125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-746125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-746125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-746125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-746125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-746125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-746125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-746125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-746125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-746125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-746125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5"/>
                <w:szCs w:val="15"/>
                <w:color w:val="auto"/>
              </w:rPr>
            </w:pPr>
          </w:p>
        </w:tc>
        <w:tc>
          <w:tcPr>
            <w:tcW w:w="20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September 26,</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226,802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on sale of affiliate investment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realized losses included in net income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Income tax expense related to other comprehensive income</w:t>
            </w: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(3,359)</w:t>
            </w: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(2,357)</w:t>
            </w:r>
          </w:p>
        </w:tc>
        <w:tc>
          <w:tcPr>
            <w:tcW w:w="180" w:type="dxa"/>
            <w:vAlign w:val="bottom"/>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(10,637)</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244,488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680" w:type="dxa"/>
            <w:vAlign w:val="bottom"/>
            <w:gridSpan w:val="2"/>
            <w:vMerge w:val="restart"/>
          </w:tcPr>
          <w:p>
            <w:pPr>
              <w:jc w:val="right"/>
              <w:ind w:right="832"/>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1,747,101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1,656,111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2,170,414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2,047,825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(1,208,699)</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(1,084,790)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1,068,323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1,055,630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256,731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1,017,109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74,413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4,097,378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197,424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Federal and state income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144,736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325,381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1,819,713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1,814,077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3,523,293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3,364,407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(1,513,999)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(1,517,894)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2,265,398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2,074,941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4,097,378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3,901,558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-4497070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-4497070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-4497070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-4497070</wp:posOffset>
            </wp:positionV>
            <wp:extent cx="57848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September 26,</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226,802</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133,648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Arial" w:cs="Arial" w:eastAsia="Arial" w:hAnsi="Arial"/>
                <w:sz w:val="18"/>
                <w:szCs w:val="18"/>
                <w:color w:val="auto"/>
              </w:rPr>
              <w:t>Net pension benefit</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(31,021)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Arial" w:cs="Arial" w:eastAsia="Arial" w:hAnsi="Arial"/>
                <w:sz w:val="18"/>
                <w:szCs w:val="18"/>
                <w:color w:val="auto"/>
              </w:rPr>
              <w:t>Gain from sale of affiliate</w:t>
            </w:r>
          </w:p>
        </w:tc>
        <w:tc>
          <w:tcPr>
            <w:tcW w:w="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in accounts receivable, net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(19,805)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128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(4,404)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in accounts payable and accrued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52,888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1280"/>
              <w:spacing w:after="0"/>
              <w:rPr>
                <w:sz w:val="20"/>
                <w:szCs w:val="20"/>
                <w:color w:val="auto"/>
              </w:rPr>
            </w:pPr>
            <w:r>
              <w:rPr>
                <w:rFonts w:ascii="Arial" w:cs="Arial" w:eastAsia="Arial" w:hAnsi="Arial"/>
                <w:sz w:val="18"/>
                <w:szCs w:val="18"/>
                <w:color w:val="auto"/>
              </w:rPr>
              <w:t>Increase in deferred revenue</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24,586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Increase (decrease) in income taxes payable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18,224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1280"/>
              <w:spacing w:after="0"/>
              <w:rPr>
                <w:sz w:val="20"/>
                <w:szCs w:val="20"/>
                <w:color w:val="auto"/>
              </w:rPr>
            </w:pPr>
            <w:r>
              <w:rPr>
                <w:rFonts w:ascii="Arial" w:cs="Arial" w:eastAsia="Arial" w:hAnsi="Arial"/>
                <w:sz w:val="18"/>
                <w:szCs w:val="18"/>
                <w:color w:val="auto"/>
              </w:rPr>
              <w:t>(Increase) decrease in other assets and other liabilities, net</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(14,926)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405,949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(137,834)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(55,102)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Proceeds from the sale of business</w:t>
            </w:r>
          </w:p>
        </w:tc>
        <w:tc>
          <w:tcPr>
            <w:tcW w:w="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(46,937)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(239,190)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(135,757)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Net repayment of commercial paper</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(122,072)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(109,424)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(18,654)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(50,919)</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(179,719)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(151,452)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(13,115)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87,437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74,322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00" w:type="dxa"/>
            <w:vAlign w:val="bottom"/>
            <w:gridSpan w:val="2"/>
            <w:vMerge w:val="restart"/>
          </w:tcPr>
          <w:p>
            <w:pPr>
              <w:jc w:val="right"/>
              <w:ind w:right="3352"/>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2004 presentation.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 and Dispositions.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2004, Kaplan acquired three businesses in their professional division totaling $3.9 million.</w:t>
      </w:r>
    </w:p>
    <w:p>
      <w:pPr>
        <w:spacing w:after="0" w:line="158"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the second quarter of 2004, Kaplan acquired two businesses in their higher education and professional divisions totaling $4.5 million, financed through cash and debt, with $0.3 million remaining to be paid. In addition, the cable division completed two small transactions for $1.8 million. In May 2004, the Company acquired El Tiempo Latino, a leading Spanish-language weekly newspaper in the greater Washington area.</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quarter of 2004, Kaplan acquired three businesses in their higher education and test preparation divisions, totaling $49.8 million, financed through cash and debt. Most of the purchase price has been allocated to goodwill on a preliminary basis.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the third quarter of 2003, Kaplan acquired five additional businesses in its higher education and professional divisions for a total of $38.2 million, financed through cash and debt. In addition, the cable division acquired two additional systems for $1.2 million.</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second quarter of 2003, Kaplan acquired two businesses in its higher education and professional divisions for a total of $17.5 million. In addition, the cable division acquired a system in North Dakota for $1.5 million.</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26, 2004 and December 28, 2003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60" w:type="dxa"/>
            <w:vAlign w:val="bottom"/>
            <w:gridSpan w:val="3"/>
          </w:tcPr>
          <w:p>
            <w:pPr>
              <w:ind w:left="3240"/>
              <w:spacing w:after="0"/>
              <w:rPr>
                <w:sz w:val="20"/>
                <w:szCs w:val="20"/>
                <w:color w:val="auto"/>
              </w:rPr>
            </w:pPr>
            <w:r>
              <w:rPr>
                <w:rFonts w:ascii="Arial" w:cs="Arial" w:eastAsia="Arial" w:hAnsi="Arial"/>
                <w:sz w:val="14"/>
                <w:szCs w:val="14"/>
                <w:b w:val="1"/>
                <w:bCs w:val="1"/>
                <w:color w:val="auto"/>
                <w:w w:val="83"/>
              </w:rPr>
              <w:t>September 26,</w:t>
            </w:r>
          </w:p>
        </w:tc>
        <w:tc>
          <w:tcPr>
            <w:tcW w:w="1400" w:type="dxa"/>
            <w:vAlign w:val="bottom"/>
            <w:gridSpan w:val="3"/>
          </w:tcPr>
          <w:p>
            <w:pPr>
              <w:ind w:left="600"/>
              <w:spacing w:after="0"/>
              <w:rPr>
                <w:sz w:val="20"/>
                <w:szCs w:val="20"/>
                <w:color w:val="auto"/>
              </w:rPr>
            </w:pPr>
            <w:r>
              <w:rPr>
                <w:rFonts w:ascii="Arial" w:cs="Arial" w:eastAsia="Arial" w:hAnsi="Arial"/>
                <w:sz w:val="14"/>
                <w:szCs w:val="14"/>
                <w:b w:val="1"/>
                <w:bCs w:val="1"/>
                <w:color w:val="auto"/>
                <w:w w:val="85"/>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238,290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88,284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326,574</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-27305</wp:posOffset>
            </wp:positionV>
            <wp:extent cx="52705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-27305</wp:posOffset>
            </wp:positionV>
            <wp:extent cx="50990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2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made $46.9 million in investments in marketable equity securities during the third quarter of 2004. There were no sales of marketable equity securities in the first nine months of 2004 or 2003.</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September 26, 2004 and December 28, 2003, the carrying value of the Company’s cost method investments was $4.6 million and $9.6 million, respectively. In June 2004, one of the Company’s cost method investments went public and is now reported as a marketable equity security, recorded at fair value in the consolidated balance sheet, with the change in fair value during the period excluded from earnings and recorded net of tax as a separate component of comprehensive income. The Company recorded charges of $0 and $0.7 million during the third quarter and first nine months of 2004, respectively, to write-down certain of its investments to estimated fair value; for the same periods of 2003, the Company recorded charges of $0 and $1.1 million, respectively.</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September 26,</w:t>
            </w:r>
          </w:p>
        </w:tc>
        <w:tc>
          <w:tcPr>
            <w:tcW w:w="1240" w:type="dxa"/>
            <w:vAlign w:val="bottom"/>
            <w:gridSpan w:val="4"/>
          </w:tcPr>
          <w:p>
            <w:pPr>
              <w:ind w:left="360"/>
              <w:spacing w:after="0"/>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6"/>
              </w:rPr>
              <w:t>4.0 percent notes due 2004-2006 (£8.3 million and £16.7 million at September 26, 2004 and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28, 2003, respectively)</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indebtedness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-27305</wp:posOffset>
            </wp:positionV>
            <wp:extent cx="55308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-27305</wp:posOffset>
            </wp:positionV>
            <wp:extent cx="53594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commercial paper borrowings at September 26, 2004 were at an average interest rate of 1.8% and mature through October 2004;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borrowings at December 28, 2003 were at an average interest rate of 1.1% and matured through February 2004. During 2003, the notes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 million were issued to current FTC employees who were former FTC shareholders in connection with the acquisition. The noteholders, at their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had the option of electing to receive 25% of their outstanding balance in January 2004. In August 2004, 50% of the original outstanding balance (less the amount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paid in January 2004) was due for payment. As a result, payments of $6.2 million and $8.8 million were made in January 2004 and August 2004,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remaining balance outstanding is due for repayment in August 2006. The Company’s other indebtedness at September 26, 2004 and December 28, 2003 is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of 6% to 7% and matures from 2004 to 2009.</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third quarter of 2004 and 2003, the Company had average borrowings outstanding of approximately $490.1 million and $595.5 million, respectively, at average annual interest rates of approximately 5.0 percent and 4.3 percent,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the third quarter of 2004 and 2003, the Company incurred net interest expense on borrowings of $6.5 million and $6.8 million, respectively.</w:t>
      </w:r>
    </w:p>
    <w:p>
      <w:pPr>
        <w:spacing w:after="0" w:line="18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During the first nine months of 2004 and 2003, the Company had average borrowings outstanding of approximately $532.9 million and $610.1 million, respectively, at average annual interest rates of approximately 4.7 percent and 4.2 percent, respectively. During the first nine months of 2004 and 2003, the Company incurred net interest expense on borrowings of $19.4 million and $20.2 million, respectively.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2004 and 2003 asset information is as of September 26, 2004 and December 28, 2003, respectively.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Third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Corporate</w:t>
            </w:r>
          </w:p>
        </w:tc>
        <w:tc>
          <w:tcPr>
            <w:tcW w:w="11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Broadcasting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Education</w:t>
            </w:r>
          </w:p>
        </w:tc>
        <w:tc>
          <w:tcPr>
            <w:tcW w:w="14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Office</w:t>
            </w:r>
          </w:p>
        </w:tc>
        <w:tc>
          <w:tcPr>
            <w:tcW w:w="110" w:type="dxa"/>
            <w:vAlign w:val="bottom"/>
          </w:tcPr>
          <w:p>
            <w:pPr>
              <w:spacing w:after="0"/>
              <w:rPr>
                <w:sz w:val="15"/>
                <w:szCs w:val="15"/>
                <w:color w:val="auto"/>
              </w:rPr>
            </w:pPr>
          </w:p>
        </w:tc>
        <w:tc>
          <w:tcPr>
            <w:tcW w:w="95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293,621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29,979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43,355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24,543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37,975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(6,991)</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140,298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of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gridSpan w:val="2"/>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685,718</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404,681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552,626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1,106,903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950,302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9,709</w:t>
            </w:r>
          </w:p>
        </w:tc>
        <w:tc>
          <w:tcPr>
            <w:tcW w:w="24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3,709,939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60,865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Corporate</w:t>
            </w: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Broadcasting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Education</w:t>
            </w:r>
          </w:p>
        </w:tc>
        <w:tc>
          <w:tcPr>
            <w:tcW w:w="14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Office</w:t>
            </w:r>
          </w:p>
        </w:tc>
        <w:tc>
          <w:tcPr>
            <w:tcW w:w="110" w:type="dxa"/>
            <w:vAlign w:val="bottom"/>
          </w:tcPr>
          <w:p>
            <w:pPr>
              <w:spacing w:after="0"/>
              <w:rPr>
                <w:sz w:val="15"/>
                <w:szCs w:val="15"/>
                <w:color w:val="auto"/>
              </w:rPr>
            </w:pPr>
          </w:p>
        </w:tc>
        <w:tc>
          <w:tcPr>
            <w:tcW w:w="95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180" w:type="dxa"/>
            <w:vAlign w:val="bottom"/>
            <w:gridSpan w:val="2"/>
          </w:tcPr>
          <w:p>
            <w:pPr>
              <w:spacing w:after="0"/>
              <w:rPr>
                <w:sz w:val="8"/>
                <w:szCs w:val="8"/>
                <w:color w:val="auto"/>
              </w:rPr>
            </w:pPr>
          </w:p>
        </w:tc>
        <w:tc>
          <w:tcPr>
            <w:tcW w:w="820" w:type="dxa"/>
            <w:vAlign w:val="bottom"/>
            <w:gridSpan w:val="2"/>
          </w:tcPr>
          <w:p>
            <w:pPr>
              <w:spacing w:after="0"/>
              <w:rPr>
                <w:sz w:val="8"/>
                <w:szCs w:val="8"/>
                <w:color w:val="auto"/>
              </w:rPr>
            </w:pPr>
          </w:p>
        </w:tc>
        <w:tc>
          <w:tcPr>
            <w:tcW w:w="180" w:type="dxa"/>
            <w:vAlign w:val="bottom"/>
            <w:gridSpan w:val="2"/>
          </w:tcPr>
          <w:p>
            <w:pPr>
              <w:spacing w:after="0"/>
              <w:rPr>
                <w:sz w:val="8"/>
                <w:szCs w:val="8"/>
                <w:color w:val="auto"/>
              </w:rPr>
            </w:pPr>
          </w:p>
        </w:tc>
        <w:tc>
          <w:tcPr>
            <w:tcW w:w="86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Borders>
              <w:top w:val="single" w:sz="8" w:color="auto"/>
            </w:tcBorders>
          </w:tcPr>
          <w:p>
            <w:pPr>
              <w:spacing w:after="0"/>
              <w:rPr>
                <w:sz w:val="8"/>
                <w:szCs w:val="8"/>
                <w:color w:val="auto"/>
              </w:rPr>
            </w:pPr>
          </w:p>
        </w:tc>
        <w:tc>
          <w:tcPr>
            <w:tcW w:w="89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224,663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24,281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22,460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(43,084)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(5,809)</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40,098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gridSpan w:val="2"/>
          </w:tcPr>
          <w:p>
            <w:pPr>
              <w:jc w:val="right"/>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860" w:type="dxa"/>
            <w:vAlign w:val="bottom"/>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673,631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410,580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533,305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1,119,826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845,983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8,963</w:t>
            </w:r>
          </w:p>
        </w:tc>
        <w:tc>
          <w:tcPr>
            <w:tcW w:w="24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3,592,288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61,312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-4425315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-4425315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-4425315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-3155950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-3155950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-3155950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-1595120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-1595120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-1595120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Nine Month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3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Publishing</w:t>
            </w:r>
          </w:p>
        </w:tc>
        <w:tc>
          <w:tcPr>
            <w:tcW w:w="2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Television</w:t>
            </w:r>
          </w:p>
        </w:tc>
        <w:tc>
          <w:tcPr>
            <w:tcW w:w="10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$677,734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257,927</w:t>
            </w:r>
          </w:p>
        </w:tc>
        <w:tc>
          <w:tcPr>
            <w:tcW w:w="9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$260,816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$372,327</w:t>
            </w: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$828,588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$2,397,392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99,646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118,336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35,891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72,382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88,055</w:t>
            </w:r>
          </w:p>
        </w:tc>
        <w:tc>
          <w:tcPr>
            <w:tcW w:w="940" w:type="dxa"/>
            <w:vAlign w:val="bottom"/>
            <w:gridSpan w:val="3"/>
          </w:tcPr>
          <w:p>
            <w:pPr>
              <w:spacing w:after="0"/>
              <w:rPr>
                <w:sz w:val="20"/>
                <w:szCs w:val="20"/>
                <w:color w:val="auto"/>
              </w:rPr>
            </w:pPr>
            <w:r>
              <w:rPr>
                <w:rFonts w:ascii="Arial" w:cs="Arial" w:eastAsia="Arial" w:hAnsi="Arial"/>
                <w:sz w:val="18"/>
                <w:szCs w:val="18"/>
                <w:color w:val="auto"/>
              </w:rPr>
              <w:t>$ (23,095)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391,215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74,093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20,727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27,890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Corporate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3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Publishing</w:t>
            </w:r>
          </w:p>
        </w:tc>
        <w:tc>
          <w:tcPr>
            <w:tcW w:w="2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Television</w:t>
            </w:r>
          </w:p>
        </w:tc>
        <w:tc>
          <w:tcPr>
            <w:tcW w:w="100" w:type="dxa"/>
            <w:vAlign w:val="bottom"/>
          </w:tcPr>
          <w:p>
            <w:pPr>
              <w:spacing w:after="0"/>
              <w:rPr>
                <w:sz w:val="15"/>
                <w:szCs w:val="15"/>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$638,616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227,206</w:t>
            </w:r>
          </w:p>
        </w:tc>
        <w:tc>
          <w:tcPr>
            <w:tcW w:w="9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$249,370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$340,266</w:t>
            </w: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$598,001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$2,053,459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82,669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97,249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23,575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64,470</w:t>
            </w:r>
          </w:p>
        </w:tc>
        <w:tc>
          <w:tcPr>
            <w:tcW w:w="180" w:type="dxa"/>
            <w:vAlign w:val="bottom"/>
          </w:tcPr>
          <w:p>
            <w:pPr>
              <w:spacing w:after="0"/>
              <w:rPr>
                <w:sz w:val="18"/>
                <w:szCs w:val="18"/>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w w:val="99"/>
              </w:rPr>
              <w:t>$ (23,630)</w:t>
            </w:r>
          </w:p>
        </w:tc>
        <w:tc>
          <w:tcPr>
            <w:tcW w:w="940" w:type="dxa"/>
            <w:vAlign w:val="bottom"/>
            <w:gridSpan w:val="3"/>
          </w:tcPr>
          <w:p>
            <w:pPr>
              <w:spacing w:after="0"/>
              <w:rPr>
                <w:sz w:val="20"/>
                <w:szCs w:val="20"/>
                <w:color w:val="auto"/>
              </w:rPr>
            </w:pPr>
            <w:r>
              <w:rPr>
                <w:rFonts w:ascii="Arial" w:cs="Arial" w:eastAsia="Arial" w:hAnsi="Arial"/>
                <w:sz w:val="18"/>
                <w:szCs w:val="18"/>
                <w:color w:val="auto"/>
              </w:rPr>
              <w:t>$ (18,245)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68,140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28,244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-2752725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-2752725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-2752725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-737870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-737870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non-compete agreements, with amortization periods up to five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September 26, 2004 and December 28, 2003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$1,315,511</w:t>
            </w:r>
          </w:p>
        </w:tc>
        <w:tc>
          <w:tcPr>
            <w:tcW w:w="20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67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1,017,109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651,812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21,878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10,401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$1,989,201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472,609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1,516,592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$1,264,096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67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650,462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8,034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7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$1,922,592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465,016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1,457,576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-1024255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-1024255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-1024255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-1024255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-1024255</wp:posOffset>
            </wp:positionV>
            <wp:extent cx="108458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8458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78816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816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 months ended September 26, 2004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6"/>
          </w:tcPr>
          <w:p>
            <w:pPr>
              <w:spacing w:after="0"/>
              <w:rPr>
                <w:sz w:val="20"/>
                <w:szCs w:val="20"/>
                <w:color w:val="auto"/>
              </w:rPr>
            </w:pPr>
            <w:r>
              <w:rPr>
                <w:rFonts w:ascii="Arial" w:cs="Arial" w:eastAsia="Arial" w:hAnsi="Arial"/>
                <w:sz w:val="14"/>
                <w:szCs w:val="14"/>
                <w:b w:val="1"/>
                <w:bCs w:val="1"/>
                <w:color w:val="auto"/>
                <w:w w:val="85"/>
              </w:rPr>
              <w:t>Newspaper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1"/>
              </w:rPr>
              <w:t>Television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Cable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6"/>
          </w:tcPr>
          <w:p>
            <w:pPr>
              <w:ind w:left="20"/>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w w:val="82"/>
              </w:rPr>
              <w:t>Broadcasting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5"/>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8"/>
              </w:rPr>
              <w:t>Education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6"/>
          </w:tcPr>
          <w:p>
            <w:pPr>
              <w:spacing w:after="0"/>
              <w:rPr>
                <w:sz w:val="20"/>
                <w:szCs w:val="20"/>
                <w:color w:val="auto"/>
              </w:rPr>
            </w:pPr>
            <w:r>
              <w:rPr>
                <w:rFonts w:ascii="Arial" w:cs="Arial" w:eastAsia="Arial" w:hAnsi="Arial"/>
                <w:sz w:val="18"/>
                <w:szCs w:val="18"/>
                <w:color w:val="auto"/>
                <w:w w:val="91"/>
              </w:rPr>
              <w:t>$ 71,277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6"/>
          </w:tcPr>
          <w:p>
            <w:pPr>
              <w:jc w:val="center"/>
              <w:ind w:left="132"/>
              <w:spacing w:after="0"/>
              <w:rPr>
                <w:sz w:val="20"/>
                <w:szCs w:val="20"/>
                <w:color w:val="auto"/>
              </w:rPr>
            </w:pPr>
            <w:r>
              <w:rPr>
                <w:rFonts w:ascii="Arial" w:cs="Arial" w:eastAsia="Arial" w:hAnsi="Arial"/>
                <w:sz w:val="18"/>
                <w:szCs w:val="18"/>
                <w:color w:val="auto"/>
                <w:w w:val="88"/>
              </w:rPr>
              <w:t>$ 69,556</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$85,666</w:t>
            </w:r>
          </w:p>
        </w:tc>
        <w:tc>
          <w:tcPr>
            <w:tcW w:w="880" w:type="dxa"/>
            <w:vAlign w:val="bottom"/>
            <w:gridSpan w:val="7"/>
          </w:tcPr>
          <w:p>
            <w:pPr>
              <w:jc w:val="right"/>
              <w:spacing w:after="0"/>
              <w:rPr>
                <w:sz w:val="20"/>
                <w:szCs w:val="20"/>
                <w:color w:val="auto"/>
              </w:rPr>
            </w:pPr>
            <w:r>
              <w:rPr>
                <w:rFonts w:ascii="Arial" w:cs="Arial" w:eastAsia="Arial" w:hAnsi="Arial"/>
                <w:sz w:val="18"/>
                <w:szCs w:val="18"/>
                <w:color w:val="auto"/>
              </w:rPr>
              <w:t>$536,030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w w:val="91"/>
              </w:rPr>
              <w:t>$  965,694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w w:val="84"/>
              </w:rPr>
              <w:t>1,390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49,238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$ 72,667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6"/>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8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8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$586,055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6"/>
              </w:rPr>
              <w:t>$1,017,109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auto"/>
            </w:tcBorders>
            <w:gridSpan w:val="3"/>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93"/>
              </w:rPr>
              <w:t>Newspaper</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Television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Magazine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Cable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Publishing</w:t>
            </w:r>
          </w:p>
        </w:tc>
        <w:tc>
          <w:tcPr>
            <w:tcW w:w="240" w:type="dxa"/>
            <w:vAlign w:val="bottom"/>
          </w:tcPr>
          <w:p>
            <w:pPr>
              <w:spacing w:after="0"/>
              <w:rPr>
                <w:sz w:val="15"/>
                <w:szCs w:val="15"/>
                <w:color w:val="auto"/>
              </w:rPr>
            </w:pPr>
          </w:p>
        </w:tc>
        <w:tc>
          <w:tcPr>
            <w:tcW w:w="10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2"/>
              </w:rPr>
              <w:t>Broadcasting</w:t>
            </w:r>
          </w:p>
        </w:tc>
        <w:tc>
          <w:tcPr>
            <w:tcW w:w="40" w:type="dxa"/>
            <w:vAlign w:val="bottom"/>
          </w:tcPr>
          <w:p>
            <w:pPr>
              <w:spacing w:after="0"/>
              <w:rPr>
                <w:sz w:val="15"/>
                <w:szCs w:val="15"/>
                <w:color w:val="auto"/>
              </w:rPr>
            </w:pPr>
          </w:p>
        </w:tc>
        <w:tc>
          <w:tcPr>
            <w:tcW w:w="8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3"/>
              </w:rPr>
              <w:t>Publishing</w:t>
            </w:r>
          </w:p>
        </w:tc>
        <w:tc>
          <w:tcPr>
            <w:tcW w:w="140" w:type="dxa"/>
            <w:vAlign w:val="bottom"/>
          </w:tcPr>
          <w:p>
            <w:pPr>
              <w:spacing w:after="0"/>
              <w:rPr>
                <w:sz w:val="15"/>
                <w:szCs w:val="15"/>
                <w:color w:val="auto"/>
              </w:rPr>
            </w:pPr>
          </w:p>
        </w:tc>
        <w:tc>
          <w:tcPr>
            <w:tcW w:w="6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7"/>
              </w:rPr>
              <w:t>Television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7"/>
          </w:tcPr>
          <w:p>
            <w:pPr>
              <w:jc w:val="right"/>
              <w:spacing w:after="0"/>
              <w:rPr>
                <w:sz w:val="20"/>
                <w:szCs w:val="20"/>
                <w:color w:val="auto"/>
              </w:rPr>
            </w:pPr>
            <w:r>
              <w:rPr>
                <w:rFonts w:ascii="Arial" w:cs="Arial" w:eastAsia="Arial" w:hAnsi="Arial"/>
                <w:sz w:val="18"/>
                <w:szCs w:val="18"/>
                <w:color w:val="auto"/>
              </w:rPr>
              <w:t>$484,556</w:t>
            </w:r>
          </w:p>
        </w:tc>
        <w:tc>
          <w:tcPr>
            <w:tcW w:w="400" w:type="dxa"/>
            <w:vAlign w:val="bottom"/>
            <w:gridSpan w:val="6"/>
          </w:tcPr>
          <w:p>
            <w:pPr>
              <w:ind w:left="320"/>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$486,656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$485,906</w:t>
            </w:r>
          </w:p>
        </w:tc>
        <w:tc>
          <w:tcPr>
            <w:tcW w:w="400" w:type="dxa"/>
            <w:vAlign w:val="bottom"/>
            <w:gridSpan w:val="6"/>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$488,006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Newspaper</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Television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1"/>
              </w:rPr>
              <w:t>Magazine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3"/>
              </w:rPr>
              <w:t>Cable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97"/>
              </w:rPr>
              <w:t>Publishing</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82"/>
              </w:rPr>
              <w:t>Broadcasting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5"/>
                <w:szCs w:val="15"/>
                <w:color w:val="auto"/>
              </w:rPr>
            </w:pPr>
          </w:p>
        </w:tc>
        <w:tc>
          <w:tcPr>
            <w:tcW w:w="660" w:type="dxa"/>
            <w:vAlign w:val="bottom"/>
            <w:gridSpan w:val="6"/>
          </w:tcPr>
          <w:p>
            <w:pPr>
              <w:ind w:left="20"/>
              <w:spacing w:after="0"/>
              <w:rPr>
                <w:sz w:val="20"/>
                <w:szCs w:val="20"/>
                <w:color w:val="auto"/>
              </w:rPr>
            </w:pPr>
            <w:r>
              <w:rPr>
                <w:rFonts w:ascii="Arial" w:cs="Arial" w:eastAsia="Arial" w:hAnsi="Arial"/>
                <w:sz w:val="14"/>
                <w:szCs w:val="14"/>
                <w:b w:val="1"/>
                <w:bCs w:val="1"/>
                <w:color w:val="auto"/>
                <w:w w:val="90"/>
              </w:rPr>
              <w:t>Television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6"/>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1,081</w:t>
            </w:r>
          </w:p>
        </w:tc>
        <w:tc>
          <w:tcPr>
            <w:tcW w:w="60" w:type="dxa"/>
            <w:vAlign w:val="bottom"/>
          </w:tcPr>
          <w:p>
            <w:pPr>
              <w:spacing w:after="0"/>
              <w:rPr>
                <w:sz w:val="18"/>
                <w:szCs w:val="18"/>
                <w:color w:val="auto"/>
              </w:rPr>
            </w:pPr>
          </w:p>
        </w:tc>
        <w:tc>
          <w:tcPr>
            <w:tcW w:w="400" w:type="dxa"/>
            <w:vAlign w:val="bottom"/>
            <w:gridSpan w:val="6"/>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$ 5,226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1,788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1"/>
              </w:rPr>
              <w:t>(7,174)</w:t>
            </w: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26, 2004</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2,464</w:t>
            </w:r>
          </w:p>
        </w:tc>
        <w:tc>
          <w:tcPr>
            <w:tcW w:w="60" w:type="dxa"/>
            <w:vAlign w:val="bottom"/>
            <w:shd w:val="clear" w:color="auto" w:fill="CCEEFF"/>
          </w:tcPr>
          <w:p>
            <w:pPr>
              <w:spacing w:after="0"/>
              <w:rPr>
                <w:sz w:val="18"/>
                <w:szCs w:val="18"/>
                <w:color w:val="auto"/>
              </w:rPr>
            </w:pPr>
          </w:p>
        </w:tc>
        <w:tc>
          <w:tcPr>
            <w:tcW w:w="400" w:type="dxa"/>
            <w:vAlign w:val="bottom"/>
            <w:gridSpan w:val="6"/>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-2876550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-2876550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-2876550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-2876550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-2876550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-2876550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-2876550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-2876550</wp:posOffset>
            </wp:positionV>
            <wp:extent cx="206248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6248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-1590040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-1590040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-1590040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-1590040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-1590040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-1590040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-1590040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-1590040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-1590040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-1590040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-1590040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-1590040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-1590040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-1590040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-1590040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nine-months ended September 28, 2003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Newspaper</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6"/>
              </w:rPr>
              <w:t>Television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Cable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Publishing</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0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1"/>
              </w:rPr>
              <w:t>Education</w:t>
            </w:r>
          </w:p>
        </w:tc>
        <w:tc>
          <w:tcPr>
            <w:tcW w:w="22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$ 72,738</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$ 69,556</w:t>
            </w:r>
          </w:p>
        </w:tc>
        <w:tc>
          <w:tcPr>
            <w:tcW w:w="80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$85,666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$339,736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$770,861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Disposition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$ 71,277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80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89"/>
              </w:rPr>
              <w:t>$85,666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$488,083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02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021"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18"/>
                <w:szCs w:val="18"/>
                <w:color w:val="auto"/>
              </w:rPr>
            </w:pPr>
          </w:p>
        </w:tc>
        <w:tc>
          <w:tcPr>
            <w:tcW w:w="870" w:type="dxa"/>
            <w:vAlign w:val="bottom"/>
            <w:gridSpan w:val="4"/>
          </w:tcPr>
          <w:p>
            <w:pPr>
              <w:ind w:left="23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$482,419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482,419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870" w:type="dxa"/>
            <w:vAlign w:val="bottom"/>
            <w:gridSpan w:val="4"/>
            <w:shd w:val="clear" w:color="auto" w:fill="CCEEFF"/>
          </w:tcPr>
          <w:p>
            <w:pPr>
              <w:ind w:lef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2003</w:t>
            </w:r>
          </w:p>
        </w:tc>
        <w:tc>
          <w:tcPr>
            <w:tcW w:w="150" w:type="dxa"/>
            <w:vAlign w:val="bottom"/>
            <w:shd w:val="clear" w:color="auto" w:fill="CCEEFF"/>
          </w:tcPr>
          <w:p>
            <w:pPr>
              <w:spacing w:after="0"/>
              <w:rPr>
                <w:sz w:val="18"/>
                <w:szCs w:val="18"/>
                <w:color w:val="auto"/>
              </w:rPr>
            </w:pPr>
          </w:p>
        </w:tc>
        <w:tc>
          <w:tcPr>
            <w:tcW w:w="870" w:type="dxa"/>
            <w:vAlign w:val="bottom"/>
            <w:gridSpan w:val="4"/>
            <w:shd w:val="clear" w:color="auto" w:fill="CCEEFF"/>
          </w:tcPr>
          <w:p>
            <w:pPr>
              <w:ind w:lef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$484,556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490" w:type="dxa"/>
            <w:vAlign w:val="bottom"/>
          </w:tcPr>
          <w:p>
            <w:pPr>
              <w:jc w:val="center"/>
              <w:ind w:left="242"/>
              <w:spacing w:after="0"/>
              <w:rPr>
                <w:sz w:val="20"/>
                <w:szCs w:val="20"/>
                <w:color w:val="auto"/>
              </w:rPr>
            </w:pPr>
            <w:r>
              <w:rPr>
                <w:rFonts w:ascii="Arial" w:cs="Arial" w:eastAsia="Arial" w:hAnsi="Arial"/>
                <w:sz w:val="18"/>
                <w:szCs w:val="18"/>
                <w:color w:val="auto"/>
                <w:w w:val="79"/>
              </w:rPr>
              <w:t>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1,232</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5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50" w:type="dxa"/>
            <w:vAlign w:val="bottom"/>
          </w:tcPr>
          <w:p>
            <w:pPr>
              <w:spacing w:after="0"/>
              <w:rPr>
                <w:sz w:val="19"/>
                <w:szCs w:val="19"/>
                <w:color w:val="auto"/>
              </w:rPr>
            </w:pPr>
          </w:p>
        </w:tc>
        <w:tc>
          <w:tcPr>
            <w:tcW w:w="850" w:type="dxa"/>
            <w:vAlign w:val="bottom"/>
            <w:gridSpan w:val="3"/>
          </w:tcPr>
          <w:p>
            <w:pPr>
              <w:jc w:val="center"/>
              <w:ind w:right="30"/>
              <w:spacing w:after="0"/>
              <w:rPr>
                <w:sz w:val="20"/>
                <w:szCs w:val="20"/>
                <w:color w:val="auto"/>
              </w:rPr>
            </w:pPr>
            <w:r>
              <w:rPr>
                <w:rFonts w:ascii="Arial" w:cs="Arial" w:eastAsia="Arial" w:hAnsi="Arial"/>
                <w:sz w:val="18"/>
                <w:szCs w:val="18"/>
                <w:color w:val="auto"/>
                <w:w w:val="87"/>
              </w:rPr>
              <w:t>(11)</w:t>
            </w:r>
          </w:p>
        </w:tc>
        <w:tc>
          <w:tcPr>
            <w:tcW w:w="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2003</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90" w:type="dxa"/>
            <w:vAlign w:val="bottom"/>
            <w:shd w:val="clear" w:color="auto" w:fill="CCEEFF"/>
          </w:tcPr>
          <w:p>
            <w:pPr>
              <w:jc w:val="center"/>
              <w:ind w:left="242"/>
              <w:spacing w:after="0"/>
              <w:rPr>
                <w:sz w:val="20"/>
                <w:szCs w:val="20"/>
                <w:color w:val="auto"/>
              </w:rPr>
            </w:pPr>
            <w:r>
              <w:rPr>
                <w:rFonts w:ascii="Arial" w:cs="Arial" w:eastAsia="Arial" w:hAnsi="Arial"/>
                <w:sz w:val="18"/>
                <w:szCs w:val="18"/>
                <w:color w:val="auto"/>
                <w:w w:val="79"/>
              </w:rPr>
              <w:t>34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-1495425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-1495425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-1495425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-1495425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-1495425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-1495425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-1495425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-1495425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-1495425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-1495425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-1495425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-1495425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-1495425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-1495425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-1495425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-1495425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7278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278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Change in Accounting Method – 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third quarter and first nine-months of 2004 and 2003 (in thousands, except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5"/>
                <w:szCs w:val="15"/>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6"/>
              </w:rPr>
              <w:t>Nine-months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September</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September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26, 2004</w:t>
            </w:r>
          </w:p>
        </w:tc>
        <w:tc>
          <w:tcPr>
            <w:tcW w:w="2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28, 2003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4"/>
              </w:rPr>
              <w:t>26, 2004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28, 2003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82,227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w w:val="98"/>
              </w:rPr>
              <w:t>Add: Company stock option compensation expense included in net income, net of related tax effects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Company stock option compensation expense determined under the fair value based method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shd w:val="clear" w:color="auto" w:fill="CCEEFF"/>
          </w:tcPr>
          <w:p>
            <w:pPr>
              <w:jc w:val="right"/>
              <w:ind w:right="4812"/>
              <w:spacing w:after="0"/>
              <w:rPr>
                <w:sz w:val="20"/>
                <w:szCs w:val="20"/>
                <w:color w:val="auto"/>
              </w:rPr>
            </w:pPr>
            <w:r>
              <w:rPr>
                <w:rFonts w:ascii="Arial" w:cs="Arial" w:eastAsia="Arial" w:hAnsi="Arial"/>
                <w:sz w:val="18"/>
                <w:szCs w:val="18"/>
                <w:color w:val="auto"/>
                <w:w w:val="95"/>
              </w:rPr>
              <w:t>for all awards, net of related tax effects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81,504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223,640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880" w:type="dxa"/>
            <w:vAlign w:val="bottom"/>
            <w:gridSpan w:val="2"/>
          </w:tcPr>
          <w:p>
            <w:pPr>
              <w:jc w:val="right"/>
              <w:ind w:right="19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-875030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-875030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-875030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-875030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-875030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-875030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-875030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-875030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-875030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-875030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-875030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-875030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There were no antidilutive stock options outstanding during the third quarter and first nine months of 2004. The third quarter and first nine months of 2003 diluted earnings per share amounts exclude the effects of 12,000 and 11,500 stock options outstanding, respectively, as their inclusion would be antidilutive.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Kaplan Stock Option Plan.</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maintains a stock option plan at its Kaplan subsidiary that provides for the issuance of Kaplan stock options to certain members of Kaplan’s management. The fair value of Kaplan’s common stock is determined by the Company’s compensation committee of the Board of Directors. In September 2003, the committee set the fair value price of Kaplan common stock at $1,625 per share, which is determined after deducting intercompany debt from Kaplan’s enterprise value. Also in September 2003, the Company announced an offer totaling $138 million for approximately 55% of the stock options outstanding at Kaplan. The Company’s offer included a 10% premium over the current valuation price of Kaplan common stock of $1,625 per share; by the end of October 2003, 100% of the eligible stock options were tendered. The Company paid out $118.7 million in the fourth quarter of 2003 and the remainder of the payouts, related to 14,463 tendered stock options, will be made at the time of their scheduled vesting from 2004 to 2007 if the option holder is still employed at Kaplan. Additionally, stock compensation expense will be recorded on these remaining exercised options over the remaining vesting periods of 2004 to 2007. A small number of key Kaplan executives continue to hold the remaining 68,000 outstanding Kaplan stock options, with roughly half of these options expiring in 2007 and half expiring in 2011. The remaining 68,000 of outstanding Kaplan stock options represent 4.8% of Kaplan’s common stock at September 30, 2004.</w:t>
      </w:r>
    </w:p>
    <w:p>
      <w:pPr>
        <w:spacing w:after="0" w:line="1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recorded expense of $5.1 million and $74.6 million for the third quarter of 2004 and 2003, respectively, and $22.9 million and $104.6 million for the first nine months of 2004 and 2003, respectively, related to this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Pension and Postretirement Plans.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plans for the third quarter and nine months ended September 26, 2004 and September 28, 2003 consists of the following components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41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7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5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23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9,526</w:t>
            </w:r>
          </w:p>
        </w:tc>
        <w:tc>
          <w:tcPr>
            <w:tcW w:w="5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8,644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3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(25,086)</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3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90" w:type="dxa"/>
            <w:vAlign w:val="bottom"/>
            <w:gridSpan w:val="2"/>
          </w:tcPr>
          <w:p>
            <w:pPr>
              <w:jc w:val="right"/>
              <w:ind w:right="500"/>
              <w:spacing w:after="0"/>
              <w:rPr>
                <w:sz w:val="20"/>
                <w:szCs w:val="20"/>
                <w:color w:val="auto"/>
              </w:rPr>
            </w:pPr>
            <w:r>
              <w:rPr>
                <w:rFonts w:ascii="Arial" w:cs="Arial" w:eastAsia="Arial" w:hAnsi="Arial"/>
                <w:sz w:val="18"/>
                <w:szCs w:val="18"/>
                <w:color w:val="auto"/>
              </w:rPr>
              <w:t>(292)</w:t>
            </w:r>
          </w:p>
        </w:tc>
        <w:tc>
          <w:tcPr>
            <w:tcW w:w="90" w:type="dxa"/>
            <w:vAlign w:val="bottom"/>
          </w:tcPr>
          <w:p>
            <w:pPr>
              <w:spacing w:after="0"/>
              <w:rPr>
                <w:sz w:val="18"/>
                <w:szCs w:val="18"/>
                <w:color w:val="auto"/>
              </w:rPr>
            </w:pPr>
          </w:p>
        </w:tc>
        <w:tc>
          <w:tcPr>
            <w:tcW w:w="103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3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5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3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90" w:type="dxa"/>
            <w:vAlign w:val="bottom"/>
            <w:gridSpan w:val="2"/>
          </w:tcPr>
          <w:p>
            <w:pPr>
              <w:jc w:val="right"/>
              <w:ind w:right="500"/>
              <w:spacing w:after="0"/>
              <w:rPr>
                <w:sz w:val="20"/>
                <w:szCs w:val="20"/>
                <w:color w:val="auto"/>
              </w:rPr>
            </w:pPr>
            <w:r>
              <w:rPr>
                <w:rFonts w:ascii="Arial" w:cs="Arial" w:eastAsia="Arial" w:hAnsi="Arial"/>
                <w:sz w:val="18"/>
                <w:szCs w:val="18"/>
                <w:color w:val="auto"/>
              </w:rPr>
              <w:t>(1,963)</w:t>
            </w:r>
          </w:p>
        </w:tc>
        <w:tc>
          <w:tcPr>
            <w:tcW w:w="90" w:type="dxa"/>
            <w:vAlign w:val="bottom"/>
          </w:tcPr>
          <w:p>
            <w:pPr>
              <w:spacing w:after="0"/>
              <w:rPr>
                <w:sz w:val="19"/>
                <w:szCs w:val="19"/>
                <w:color w:val="auto"/>
              </w:rPr>
            </w:pPr>
          </w:p>
        </w:tc>
        <w:tc>
          <w:tcPr>
            <w:tcW w:w="1030" w:type="dxa"/>
            <w:vAlign w:val="bottom"/>
            <w:gridSpan w:val="2"/>
          </w:tcPr>
          <w:p>
            <w:pPr>
              <w:jc w:val="right"/>
              <w:ind w:right="240"/>
              <w:spacing w:after="0"/>
              <w:rPr>
                <w:sz w:val="20"/>
                <w:szCs w:val="20"/>
                <w:color w:val="auto"/>
              </w:rPr>
            </w:pPr>
            <w:r>
              <w:rPr>
                <w:rFonts w:ascii="Arial" w:cs="Arial" w:eastAsia="Arial" w:hAnsi="Arial"/>
                <w:sz w:val="18"/>
                <w:szCs w:val="18"/>
                <w:color w:val="auto"/>
              </w:rPr>
              <w:t>(3,762)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(5,782)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3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(10,934)</w:t>
            </w:r>
          </w:p>
        </w:tc>
        <w:tc>
          <w:tcPr>
            <w:tcW w:w="9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3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9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103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benefit</w:t>
            </w:r>
          </w:p>
        </w:tc>
        <w:tc>
          <w:tcPr>
            <w:tcW w:w="247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(10,934)</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(30,889)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380" w:type="dxa"/>
            <w:vAlign w:val="bottom"/>
            <w:vMerge w:val="restart"/>
          </w:tcPr>
          <w:p>
            <w:pPr>
              <w:jc w:val="right"/>
              <w:ind w:right="512"/>
              <w:spacing w:after="0"/>
              <w:rPr>
                <w:sz w:val="20"/>
                <w:szCs w:val="20"/>
                <w:color w:val="auto"/>
              </w:rPr>
            </w:pPr>
            <w:r>
              <w:rPr>
                <w:rFonts w:ascii="Arial" w:cs="Arial" w:eastAsia="Arial" w:hAnsi="Arial"/>
                <w:sz w:val="18"/>
                <w:szCs w:val="18"/>
                <w:color w:val="auto"/>
              </w:rPr>
              <w:t>15</w:t>
            </w: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42748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total (income) cost arising from the Company’s postretirement plans for the third quarter and nine months ended September 26, 2004 and September 28, 2003, consists of the following components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5"/>
                <w:szCs w:val="15"/>
                <w:color w:val="auto"/>
              </w:rPr>
            </w:pPr>
          </w:p>
        </w:tc>
        <w:tc>
          <w:tcPr>
            <w:tcW w:w="21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September 26,</w:t>
            </w:r>
          </w:p>
        </w:tc>
        <w:tc>
          <w:tcPr>
            <w:tcW w:w="28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(1,240)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-29210</wp:posOffset>
            </wp:positionV>
            <wp:extent cx="330581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0581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expected rate of return on plan assets is 7.5% in 2004.</w:t>
      </w:r>
    </w:p>
    <w:p>
      <w:pPr>
        <w:spacing w:after="0" w:line="15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has concluded that the Act is not significant to the Company’s other postretirement plans; therefore, the effects of the Act shall be incorporated in the December 31, 2004 measurement of plan obligations.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10: Recent Accounting Pronouncements.</w:t>
      </w:r>
    </w:p>
    <w:p>
      <w:pPr>
        <w:spacing w:after="0" w:line="7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January 2003, the Financial Accounting Standards Board (the FASB) released Interpretation No. 46, “Consolidation of Variable Interest Entities” (FIN 46). FIN 46 requires primary beneficiaries of Variable Interest Entities (VIEs) to consolidate those entities. In December 2003, the FASB published a revision of FIN 46 (FIN 46R) to clarify some of the provisions of FIN 46 and to defer the effective date of implementation for certain entities. Under the guidance of FIN 46R, entities that did not have interests in structures that are commonly referred to as SPEs are required to apply the provisions of the interpretation in financial statements for periods ending after March 14, 2004. Based on the provisions of FIN 46 and FIN 46R, the Company does not have any unconsolidated interests that are now required to be consolidated, and therefore, FIN 46 and FIN 46R did not have any impact on the Company in 2003 or 2004.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5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income for the third quarter of 2004 was $82.5 million ($8.57 per share), up from net income of $19.9 million ($2.06 per share) for the third quarter of last year.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2003, there was a partial buyout of the Kaplan stock compensation plan and total Kaplan stock compensation expense was $74.6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year’s quarter three stock compensation expense was $5.1 million.</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for the third quarter of 2004 was $820.0 million, up 16% from $706.1 million in 2003. The increase in revenue is due to strong revenue growth at all of the Company’s divisions, particularly the education and television broadcasting divisions.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Operating income was up for the third quarter of 2004 to $140.3 million, from $40.1 million in 2003. The increase is attributable to improved operating results at each of the Company’s divisions, as well as the decline in the charge for stock compensation expense at the Kaplan education division noted above.</w:t>
      </w:r>
    </w:p>
    <w:p>
      <w:pPr>
        <w:spacing w:after="0" w:line="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first nine months of 2004, net income totaled $226.8 million ($23.54 per share), compared with net income of $153.6 million ($15.97 per share) for the same period of 2003. Results for the first nine months of 2004 included $22.9 million in stock compensation expense at the education division, versus $104.6 million for the first nine months of 2003.</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Results for the first nine months of 2003 included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for the first nine months of 2004 was $2,397.4 million, up 17% over revenue of $2,053.5 million for the first nine months of 2003. The increase in revenue is due mostly to significant revenue growth at the Company’s education and television broadcasting divisions, along with strong revenue growth at the Company’s other divisions. Operating income increased to $391.2 million, from $226.1 million in 2003. Consistent with the Company’s third quarter results, the Company’s year-to-date results benefited from the decline in Kaplan stock compensation expense as discussed above. Also consistent with the Company’s results for the third quarter of 2004, the Company’s year-to-date results benefited from improved operating results at each of its operating divisions, particularly at the education and television broadcasting divisions.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Excluding charges related to early retirement programs, the Company’s operating income for the third quarter and first nine months of 2004 includes $10.9 million and $31.0 million of net pension credits, respectively, compared to $14.1 million and $41.0 million for the same periods of 2003. At December 28, 2003, the Company reduced its assumption on the discount rate from 6.75% to 6.25%. Overall,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pension credit for 2004 is expected to be down by approximately $13 million compared to 2003, excluding charges related to early retirement programs.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$224.9 million for the third quarter of 2004, an increase of 6% from $211.4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third quarter of 2003; division revenue increased 6% to $677.7 million for the first nine months of 2004, from $638.6 million for the first nine months of 2003. Division operating income for the third quarter increased 23% to $30.0 million, from $24.3 million in the third quarter of 2003; operating income increased 21% to $99.6 million for the first nine months of 2004, compared to $82.7 million for the first nine months of 2003. Third quarter operating results in 2004 reflect higher print and online advertising revenue, payroll savings from early retirement programs implemented at The Post in 2003, an 11% increase in newsprint expense at The Post, and a $2.1 million reduction in the net pension credit. The increase in operating income for the first nine months of 2004 is due to increased advertising revenue, cost control initiatives employed throughout the division, and a $2.2 million pre-tax early retirement program charge at The Washington Post newspaper in the second quarter of 2003, offset by an 8% increase in newsprint expense at The Post and an $8.5 million reduction in the net pension credit, excluding charges related to early retirement programs.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revenue at The Washington Post newspaper in the third quarter increased 4% to $140.9 million, from $135.7 million in 2003, and increased 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$433.1 million for the first nine months of 2004, from $416.4 million for the first nine months of 2003. The increase in print advertising revenue for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2004 is primarily due to increases in classified recruitment and several special sections. Classified recruitment advertising revenue was up 23%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 million in the third quarter of 2004, a $3.7 million increase compared to the third quarter of 2003. The increase in print advertising revenue for the first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of 2004 is primarily due to increases in classified recruitment, general and preprints. Classified recruitment advertising revenue was up 21% to $58.7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 $10.2 million increase compared to the first nine months of 2003.</w:t>
      </w:r>
    </w:p>
    <w:p>
      <w:pPr>
        <w:spacing w:after="0" w:line="1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the first nine months of 2004, Post daily and Sunday circulation declined 3.3% and 2.3%, respectively, compared to the same period of the prior year. For the nine months ended September 26, 2004, average daily circulation at The Post totaled 709,500 and average Sunday circulation totaled 1,014,000.</w:t>
      </w:r>
    </w:p>
    <w:p>
      <w:pPr>
        <w:spacing w:after="0" w:line="72"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33% to $15.9 million for the third quarter of 2004, from $12.0 million in the third quarter of 2003; online revenues increased 37% to $44.7 million for the first nine months of 2004, from $32.6 million in the first nine months of 2003. Local and national online advertising revenues grew 55% and 59% for the third quarter and first nine months of 2004, respectively. Online classified advertising revenue on washingtonpost.com increased 27% in the third quarter of 2004 and 36% for the first nine months of 2004.</w:t>
      </w:r>
    </w:p>
    <w:p>
      <w:pPr>
        <w:spacing w:after="0" w:line="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increased 22% in the third quarter of 2004 to $91.4 million, from $74.6</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2003, due primarily to $9.6 million in political advertising and $8.0 million in incremental summer Olympics-related advertising at the Company’s NBC affiliates. Offsetting these increases, the Company’s advertising revenues at its three television stations in Florida were adversely affected as a result of three hurricanes that hit Florida in the third quarter of 2004. For the first nine months of 2004, revenue increased 14% to $257.9 million, from $227.2 million in 2003. 2004 results include $16.8 million in political advertising and $8.0 million in incremental Olympics-advertising, while 2003 results were negatively impacted by several days of commercial-free coverage in connection with the Iraq war in March 2003.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Operating income for the third quarter and first nine months of 2004 increased 36% and 22%, respectively, to $43.4 million and $118.3 million, respectively, from $31.9 million and $97.2 million for the third quarter and first nine months of 2003, respectively. The operating income increases are primarily related to the revenue growth discussed above, offset by approximately $0.9 million in expenses incurred in connection with the Florida hurricanes.</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$85.2 million for the third quarter of 2004, a 7% increase from $80.0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2003; division revenue totaled $260.8 million for the first nine months of 2004, a 5% increase from $249.4 million for the first nine months of 2003. The revenue increase in the third quarter is due primarily to a 13% rise in advertising revenue, largely driven by increased ad pages at both the domestic and international editions of Newsweek, and one additional issue of the international division, offset by a 1% decrease in circulation revenue. The increase in revenues for the first nine months of 2004 is primarily due to an 11% increase in advertising revenue, largely from increased ad pages at the domestic and international editions of Newsweek, as well as lower travel-related advertising revenues at the Pacific edition of Newsweek in 2003 due to the SARS outbreak, offset by a 4% decrease in circulation revenue.</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totaled $11.4 million for the third quarter of 2004, an 11% increase from $10.3 million in the third quarter of 2003. The increase in operating income is primarily due to the increase in Newsweek advertising revenue and a reduction in subscription acquisition, advertising and circulation expenses at the international editions of Newsweek, offset by increases in subscription acquisition, editorial and general operating expenses at the domestic edition of Newsweek. Operating income totaled $35.9 million for the first nine months of 2004, up 52% from $23.6 million for the first nine months of 2003. The year-to-date improvement in operating results is primarily attributable to increased advertising revenue, continued cost controls at Newsweek’s international editions, and improved results at the Company’s trade magazines.</w:t>
      </w:r>
    </w:p>
    <w:p>
      <w:pPr>
        <w:spacing w:after="0" w:line="12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$124.9 million for the third quarter of 2004 represents an 8% increase over 2003 third quarter revenue of</w:t>
      </w:r>
      <w:r>
        <w:rPr>
          <w:rFonts w:ascii="Arial" w:cs="Arial" w:eastAsia="Arial" w:hAnsi="Arial"/>
          <w:sz w:val="18"/>
          <w:szCs w:val="18"/>
          <w:b w:val="1"/>
          <w:bCs w:val="1"/>
          <w:color w:val="auto"/>
        </w:rPr>
        <w:t xml:space="preserve"> </w:t>
      </w:r>
      <w:r>
        <w:rPr>
          <w:rFonts w:ascii="Arial" w:cs="Arial" w:eastAsia="Arial" w:hAnsi="Arial"/>
          <w:sz w:val="18"/>
          <w:szCs w:val="18"/>
          <w:color w:val="auto"/>
        </w:rPr>
        <w:t>$115.3 million; for the first nine months of 2004, revenue increased 9% to $372.3 million, from $340.3 million in 2003. The 2004 revenue increase is due to continued growth in the division’s cable modem and digital service revenues and a $2 monthly rate increase for basic cable service, effective March 1, 2004, at most of the cable division’s systems.</w:t>
      </w:r>
    </w:p>
    <w:p>
      <w:pPr>
        <w:spacing w:after="0" w:line="1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Cable division operating income for the third quarter of 2004 increased 9% to $24.5 million, from $22.5 million for the third quarter of 2003; for the first nine months of 2004, operating income increased 12% to $72.4 million, from $64.5 million for the first nine months of 2003. These increases in operating income are due mostly to the division’s significant revenue growth, offset by higher depreciation and programming expenses, along with increases in internet and employee benefit costs.</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increase in depreciation expense is due to significant capital spending in recent years that has enabled the cable division to offer digital and broadband cable services to its subscribers. At September 30, 2004, the cable division had approximately 220,500 digital cable subscribers, down slightly from 222,900 at December 31, 2003, but up from 212,700 at the end of September 2003. This represents a 31% penetration of the subscriber base. At September 30, 2004, the cable division had 165,600 CableONE.net service subscribers, compared to 121,700 at the end of September 2003. Both digital and cable modem services are now offered in virtually all of the cable division’s markets.</w:t>
      </w:r>
    </w:p>
    <w:p>
      <w:pPr>
        <w:spacing w:after="0" w:line="1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September 30, 2004, the cable division had 712,800 basic subscribers, compared to 716,700 at the end of September 2003. The decrease is due to small losses associated with the basic rate increase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At September 30, 2004, Revenue Generating Units (RGUs), as defined by the NCTA Standard Reporting Categories, totaled 1,098,900, compared to 1,051,100 as of September 30, 2003. The increase is due to an increase in the number of digital cable and high speed data customers. RGUs include about 7,000 subscribers who receive free basic cable service, primarily local governments, schools and other organizations as required by the various franchise agreements.</w:t>
      </w:r>
    </w:p>
    <w:p>
      <w:pPr>
        <w:spacing w:after="0" w:line="9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Below are details of Cable division capital expenditures for the nine months of 2004 and 2003, as defined by the NCTA Standard Reporting Categories (in millions):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Commercial</w:t>
            </w:r>
          </w:p>
        </w:tc>
        <w:tc>
          <w:tcPr>
            <w:tcW w:w="352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Line Extensions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Support Capital</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$293.6 million for the third quarter of 2004, a 31% increase over revenue of $224.7 million for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2003. Excluding revenue from acquired businesses, primarily in the higher education division and the professional training schools that are part of supplemental education, education division revenue increased 24% for the third quarter of 2004. Kaplan reported operating income for the third quarter of 2004 of $38.0 million, compared to an operating loss for the third quarter of 2003 of $43.1 million; a significant portion of the improvement is due to a $69.5 million decrease in Kaplan stock compensation expense as discussed previously.</w:t>
      </w:r>
    </w:p>
    <w:p>
      <w:pPr>
        <w:spacing w:after="0" w:line="10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the first nine months of 2004, education division revenue totaled $828.6 million, a 39% increase over revenue of $598.0 million for the same period of 2003. Excluding revenue from acquired businesses, primarily in the higher education division and the professional training schools that are part of supplemental education, education division revenue increased 25% for the first nine months of 2004. Kaplan reported operating income of $88.1 million for the first nine months of 2004, compared to an operating loss of $23.6 million for the first nine months of 2003; a significant portion of the improvement is due to an $81.7 million decrease in Kaplan stock compensation expense as discussed previously.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results for the third quarter and the first nine months of 2004 compared to 2003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Third Quarter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6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151,093</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128,981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430,103</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342,871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255,130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293,621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224,663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828,588</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598,001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26,434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78,588</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ind w:left="420"/>
              <w:spacing w:after="0"/>
              <w:rPr>
                <w:sz w:val="20"/>
                <w:szCs w:val="20"/>
                <w:color w:val="auto"/>
              </w:rPr>
            </w:pPr>
            <w:r>
              <w:rPr>
                <w:rFonts w:ascii="Arial" w:cs="Arial" w:eastAsia="Arial" w:hAnsi="Arial"/>
                <w:sz w:val="18"/>
                <w:szCs w:val="18"/>
                <w:color w:val="auto"/>
              </w:rPr>
              <w:t>Kaplan corporate overhead</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(8,025)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(24,127)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(22,358)</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(74,941)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(30,083)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(105,370)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(43,084)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88,055</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(23,630)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-1304925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-1304925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-1304925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-1304925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-1304925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-1304925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-1304925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-1304925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-1304925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-1304925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-1304925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-1304925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-1304925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-1304925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-1304925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-1304925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-172720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-172720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-172720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-172720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-172720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-172720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5620" w:right="3380" w:hanging="5612"/>
        <w:spacing w:after="0" w:line="440" w:lineRule="auto"/>
        <w:tabs>
          <w:tab w:leader="none" w:pos="21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 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Part of the increase in supplemental education revenue and operating income for the first nine months of 2004 is from Financial Training Company (FTC), which was acquired in March 2003. Headquartered in London, FTC provides test preparation services for accountants and financial services professionals, with training centers in the United Kingdom and Asia. The improvement in supplemental education results for 2004 is also due to strong enrollment growth at Kaplan’s traditional test preparation business (particularly the SAT/PSAT and MCAT) and the professional real estate courses. Score! also contributed to the improved revenue and operating results due to higher rates and 11 new centers compared to 2003.</w:t>
      </w:r>
    </w:p>
    <w:p>
      <w:pPr>
        <w:spacing w:after="0" w:line="1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third quarter of 2004 and 2003, the Company recorded expense of $5.1 million and $74.6 million, respectively, and $22.9 million and $104.6 million for the first nine months of 2004 and 2003, respectively, related to this plan. The stock compensation expense for the first nine months of 2003 includes the impact of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99"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in the third quarter of 2004 to $7.0 million, from $5.8 million in the third quarter of 2003;</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first nine months of 2004, expenses increased to $23.1 million, from $18.2 million for the first nine months of 2003. The increase in expenses is associated with several company-wide technology projects and compliance costs in connection with Section 404 of the Sarbanes-Oxley Act of 2002.</w:t>
      </w:r>
    </w:p>
    <w:p>
      <w:pPr>
        <w:spacing w:after="0" w:line="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Equity in Losses of Affiliates</w:t>
      </w:r>
      <w:r>
        <w:rPr>
          <w:rFonts w:ascii="Arial" w:cs="Arial" w:eastAsia="Arial" w:hAnsi="Arial"/>
          <w:sz w:val="16"/>
          <w:szCs w:val="16"/>
          <w:color w:val="auto"/>
        </w:rPr>
        <w:t>. The Company’s equity in earnings of affiliates for the third quarter of 2004 was $0.5 million, compared to losses of $1.1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third quarter of 2003. For the first nine months of 2004, the Company’s equity in losses of affiliates totaled $1.5 million, compared to losses of $9.3 million for the same period of 2003. The Company’s affiliate investments consist of a 49 percent interest in BrassRing LLC and a 49 percent interest in Bowater Mersey Paper Company Limited. The reduction in affiliate losses for 2004 is attributable to improved operating results at both BrassRing and Bowater.</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Other Non-Operating Income</w:t>
      </w:r>
      <w:r>
        <w:rPr>
          <w:rFonts w:ascii="Arial" w:cs="Arial" w:eastAsia="Arial" w:hAnsi="Arial"/>
          <w:sz w:val="16"/>
          <w:szCs w:val="16"/>
          <w:color w:val="auto"/>
        </w:rPr>
        <w:t>. The Company recorded other non-operating income, net, of $0.9 million for the third quarter of 2004, compared to $1.6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other non-operating income, net, in the third quarter of 2003. The Company recorded other non-operating income, net, of $1.5 million for the first nine months of 2004, compared to other non-operating income, net, of $52.0 million for the same period of the prior year. The 2003 non-operating income, net, is comprised mostly of a $49.8 million pre-tax gain from the sale of the Company’s 50 percent interest in the International Herald Tribune.</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thirty-nine weeks ended September 26, 2004 and September 28, 2003, follows (in millions):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interest in IHT</w:t>
            </w:r>
          </w:p>
        </w:tc>
        <w:tc>
          <w:tcPr>
            <w:tcW w:w="2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2900" w:type="dxa"/>
            <w:vAlign w:val="bottom"/>
            <w:gridSpan w:val="3"/>
          </w:tcPr>
          <w:p>
            <w:pPr>
              <w:jc w:val="right"/>
              <w:ind w:right="200"/>
              <w:spacing w:after="0"/>
              <w:rPr>
                <w:sz w:val="20"/>
                <w:szCs w:val="20"/>
                <w:color w:val="auto"/>
              </w:rPr>
            </w:pPr>
            <w:r>
              <w:rPr>
                <w:rFonts w:ascii="Arial" w:cs="Arial" w:eastAsia="Arial" w:hAnsi="Arial"/>
                <w:sz w:val="18"/>
                <w:szCs w:val="18"/>
                <w:color w:val="auto"/>
              </w:rPr>
              <w:t>(0.7)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net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Other, net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$6.5 million and $19.4 million for the third quarter and first nine months of 2004,</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$6.8 million and $20.2 million for the same periods of 2003. At September 26, 2004, the Company had $499.2 million in borrowings outstanding at an average interest rate of 5.0%.</w:t>
      </w:r>
    </w:p>
    <w:p>
      <w:pPr>
        <w:spacing w:after="0" w:line="1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third quarter and first nine months of 2004 was 39.0%, compared to 41.0% and 38.2%,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periods of 2003. The 2003 year-to-date effective tax rate benefited from the 35.1% effective tax rate applicable to the one-time gain arising from the sale of the Company’s interest in the International Herald Tribune.</w:t>
      </w:r>
    </w:p>
    <w:p>
      <w:pPr>
        <w:spacing w:after="0" w:line="11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third quarter and first nine months of 2004 was based on 9,598,000 and 9,591,000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9,556,000 and 9,554,000, respectively, for the third quarter and first nine months of 2003. The Company made no significant repurchases of its stock during the first nine months of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third quarter of 2004, Kaplan acquired three businesses in their professional division totaling $3.9 million.</w:t>
      </w:r>
    </w:p>
    <w:p>
      <w:pPr>
        <w:spacing w:after="0" w:line="18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In the second quarter of 2004, Kaplan acquired two businesses in their higher education and professional divisions, totaling $4.5 million, financed through cash and debt, with $0.3 million remaining to be paid. In addition, the cable division completed two small transactions for $1.8 million. In May 2004, the Company acquired El Tiempo Latino, a leading Spanish-language weekly newspaper in the greater Washington area.</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quarter of 2004, Kaplan acquired three businesses in their higher education and test preparation divisions, totaling $49.8 million, financed through cash and debt. Most of the purchase price has been allocated to goodwill on a preliminary basis.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the third quarter of 2003, Kaplan acquired five additional businesses in its higher education and professional divisions for a total of $38.2 million, financed through cash and debt. In addition, the cable division acquired two additional systems for $1.2 million.</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second quarter of 2003, Kaplan acquired two businesses in its higher education and professional divisions for a total of $17.5 million. In addition, the cable division acquired a system in North Dakota for $1.5 million.</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March 2003, Kaplan completed its acquisition of the stock of Financial Training Company (FTC), for £55.3 million ($87.4 million). Headquartered in London, FTC provides test preparation services for accountants and financial services professionals, with training centers in the United Kingdom and Asia.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2"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2004, the Company’s capital expenditures totaled $137.8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$190 million to $215 million in 2004.</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nine months of 2004, the Company’s borrowings, net of repayments, decreased by $131.9 million, with the decrease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cash flows from operations.</w:t>
      </w:r>
    </w:p>
    <w:p>
      <w:pPr>
        <w:spacing w:after="0" w:line="11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September 26, 2004, the Company had $499.2 million in total debt outstanding, which comprised $66.2 million of commercial paper borrowings, $398.8 million of 5.5 percent unsecured notes due February 15, 2009, and $34.2 million in other debt.</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third quarter of 2004 and 2003, the Company had average borrowings outstanding of approximately $490.1 million and $595.5 million, respectively, at average annual interest rates of approximately 5.0 percent and 4.3 percent, respectively. During the third quarter of 2004 and 2003, the Company incurred net interest expense on borrowings of $6.5 million and $6.8 million, respectively.</w:t>
      </w:r>
    </w:p>
    <w:p>
      <w:pPr>
        <w:spacing w:after="0" w:line="127"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During the first nine months of 2004 and 2003, the Company had average borrowings outstanding of approximately $532.9 million and $610.1 million, respectively, at average annual interest rates of approximately 4.7 percent and 4.2 percent, respectively. During the first nine months of 2004 and 2003, the Company incurred net interest expense on borrowings of $19.4 million and $20.2 million, respectively.</w:t>
      </w:r>
    </w:p>
    <w:p>
      <w:pPr>
        <w:spacing w:after="0" w:line="9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At September 26, 2004 and December 28, 2003, the Company has a working capital deficit of $120.0 million and $216.0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September 26, 2004 and December 28, 2003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2004.</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noted above, the Company’s borrowings have declined by $131.9 million, to $499.2 million, as compared to borrowings of $631.1 million at December 28, 2003. In the second quarter of 2004, the Company entered into a building lease and other commitments aggregating about $45.0 million from 2004 through 2014. There were no other significant changes to the Company’s contractual obligations or other commercial commitments from those disclosed in the Company’s Annual Report on Form 10-K for the year ended December 28,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September 26, 2004.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800" w:type="dxa"/>
            <w:vAlign w:val="bottom"/>
            <w:gridSpan w:val="3"/>
          </w:tcPr>
          <w:p>
            <w:pPr>
              <w:ind w:left="440"/>
              <w:spacing w:after="0"/>
              <w:rPr>
                <w:sz w:val="20"/>
                <w:szCs w:val="20"/>
                <w:color w:val="auto"/>
              </w:rPr>
            </w:pPr>
            <w:r>
              <w:rPr>
                <w:rFonts w:ascii="Arial" w:cs="Arial" w:eastAsia="Arial" w:hAnsi="Arial"/>
                <w:sz w:val="18"/>
                <w:szCs w:val="18"/>
                <w:b w:val="1"/>
                <w:bCs w:val="1"/>
                <w:color w:val="auto"/>
              </w:rPr>
              <w:t>Exhibits and Reports on Form 8-K.</w:t>
            </w:r>
          </w:p>
        </w:tc>
      </w:tr>
      <w:tr>
        <w:trPr>
          <w:trHeight w:val="284"/>
        </w:trPr>
        <w:tc>
          <w:tcPr>
            <w:tcW w:w="11400" w:type="dxa"/>
            <w:vAlign w:val="bottom"/>
            <w:gridSpan w:val="4"/>
          </w:tcPr>
          <w:p>
            <w:pPr>
              <w:ind w:left="460"/>
              <w:spacing w:after="0"/>
              <w:rPr>
                <w:sz w:val="20"/>
                <w:szCs w:val="20"/>
                <w:color w:val="auto"/>
              </w:rPr>
            </w:pPr>
            <w:r>
              <w:rPr>
                <w:rFonts w:ascii="Arial" w:cs="Arial" w:eastAsia="Arial" w:hAnsi="Arial"/>
                <w:sz w:val="18"/>
                <w:szCs w:val="18"/>
                <w:color w:val="auto"/>
              </w:rPr>
              <w:t>(a)   The following documents are filed as exhibits to this report:</w:t>
            </w:r>
          </w:p>
        </w:tc>
      </w:tr>
      <w:tr>
        <w:trPr>
          <w:trHeight w:val="286"/>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174"/>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5100" w:type="dxa"/>
            <w:vAlign w:val="bottom"/>
          </w:tcPr>
          <w:p>
            <w:pPr>
              <w:spacing w:after="0"/>
              <w:rPr>
                <w:sz w:val="15"/>
                <w:szCs w:val="15"/>
                <w:color w:val="auto"/>
              </w:rPr>
            </w:pPr>
          </w:p>
        </w:tc>
        <w:tc>
          <w:tcPr>
            <w:tcW w:w="570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r>
      <w:tr>
        <w:trPr>
          <w:trHeight w:val="417"/>
        </w:trPr>
        <w:tc>
          <w:tcPr>
            <w:tcW w:w="600" w:type="dxa"/>
            <w:vAlign w:val="bottom"/>
          </w:tcPr>
          <w:p>
            <w:pPr>
              <w:ind w:left="300"/>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0"/>
              </w:rPr>
              <w:t>Restated Certificate of Incorporation of the Company dated November 13, 2003 (incorporated by reference to Exhibit 3.1 to the Company’s Annual</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Report on Form 10-K for the fiscal year ended December 28, 2003).</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4"/>
              </w:rPr>
              <w:t>Certificate of Designation for the Company’s Series A Preferred Stock dated September 22, 2003 (incorporated by reference to Exhibit 3.2 to</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9"/>
              </w:rPr>
              <w:t>By-Laws of the Company as amended and restated through September 22, 2003 (incorporated by reference to Exhibit 3.4 to the Company’s Current</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Report on Form 8-K dated September 22, 2003).</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9"/>
              </w:rPr>
              <w:t>Form of the Company’s 5.50% Notes due February 15, 2009, issued under the Indenture dated as of February 17, 1999, between the Company and</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9"/>
              </w:rPr>
              <w:t>The First National Bank of Chicago, as Trustee (incorporated by reference to Exhibit 4.2 to the Company’s Annual Report on Form 10-K for the fiscal</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year ended January 3, 1999).</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 to the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Company’s Annual Report on Form 10-K for the fiscal year ended January 3, 1999).</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4.3</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8"/>
              </w:rPr>
              <w:t>First Supplemental Indenture dated as of September 22, 2003, among WP Company LLC, the Company and Bank One, NA, as successor to The First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8"/>
              </w:rPr>
              <w:t>National Bank of Chicago, as trustee, to the Indenture dated as of February 17, 1999, between The Washington Post Company and The First National</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1"/>
              </w:rPr>
              <w:t>Bank of Chicago, as trustee (incorporated by reference to Exhibit 4.1 to the Company’s Current Report on Form 8-K dated September 22, 2003).</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4.4</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4"/>
              </w:rPr>
              <w:t>364-Day Credit Agreement dated as of August 11, 2004, among the Company, Citibank, N.A., JPMorgan Chase Bank, Wachovia Bank, N.A.,</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SunTrust Bank, The Bank of New York and Riggs Bank N.A.</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4.5</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9"/>
              </w:rPr>
              <w:t>5-Year Credit Agreement dated as of August 14, 2002, among the Company, Citibank, N.A., Wachovia Bank, N.A., SunTrust Bank, Bank One, N.A.,</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89"/>
              </w:rPr>
              <w:t>JPMorgan Chase Bank, The Bank of New York and Riggs Bank N.A. (incorporated by reference to Exhibit 4.4 to the Company’s Quarterly Report on</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Form 10-Q for the quarter ended September 29, 2002).</w:t>
            </w:r>
          </w:p>
        </w:tc>
      </w:tr>
      <w:tr>
        <w:trPr>
          <w:trHeight w:val="318"/>
        </w:trPr>
        <w:tc>
          <w:tcPr>
            <w:tcW w:w="600" w:type="dxa"/>
            <w:vAlign w:val="bottom"/>
          </w:tcPr>
          <w:p>
            <w:pPr>
              <w:ind w:left="300"/>
              <w:spacing w:after="0"/>
              <w:rPr>
                <w:sz w:val="20"/>
                <w:szCs w:val="20"/>
                <w:color w:val="auto"/>
              </w:rPr>
            </w:pPr>
            <w:r>
              <w:rPr>
                <w:rFonts w:ascii="Arial" w:cs="Arial" w:eastAsia="Arial" w:hAnsi="Arial"/>
                <w:sz w:val="18"/>
                <w:szCs w:val="18"/>
                <w:color w:val="auto"/>
              </w:rPr>
              <w:t>4.6</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1"/>
              </w:rPr>
              <w:t>Consent and Amendment No. 1 dated as of August 13, 2003, to the 5-Year Credit Agreement dated as of August 14, 2002, among the Company,</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w w:val="91"/>
              </w:rPr>
              <w:t>Citibank, N.A. and the other lenders that are parties to such Credit Agreement (incorporated by reference to Exhibit 4.3 to the Company’s Current</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Report on Form 8-K dated September 22, 2003).</w:t>
            </w:r>
          </w:p>
        </w:tc>
      </w:tr>
      <w:tr>
        <w:trPr>
          <w:trHeight w:val="324"/>
        </w:trPr>
        <w:tc>
          <w:tcPr>
            <w:tcW w:w="11400" w:type="dxa"/>
            <w:vAlign w:val="bottom"/>
            <w:gridSpan w:val="4"/>
          </w:tcPr>
          <w:p>
            <w:pPr>
              <w:ind w:left="300"/>
              <w:spacing w:after="0"/>
              <w:rPr>
                <w:sz w:val="20"/>
                <w:szCs w:val="20"/>
                <w:color w:val="auto"/>
              </w:rPr>
            </w:pPr>
            <w:r>
              <w:rPr>
                <w:rFonts w:ascii="Arial" w:cs="Arial" w:eastAsia="Arial" w:hAnsi="Arial"/>
                <w:sz w:val="18"/>
                <w:szCs w:val="18"/>
                <w:color w:val="auto"/>
              </w:rPr>
              <w:t>10.1   The Washington Post Company Incentive Compensation Plan as amended and restated effective September 9, 2004.</w:t>
            </w:r>
          </w:p>
        </w:tc>
      </w:tr>
      <w:tr>
        <w:trPr>
          <w:trHeight w:val="324"/>
        </w:trPr>
        <w:tc>
          <w:tcPr>
            <w:tcW w:w="600" w:type="dxa"/>
            <w:vAlign w:val="bottom"/>
          </w:tcPr>
          <w:p>
            <w:pPr>
              <w:ind w:left="300"/>
              <w:spacing w:after="0"/>
              <w:rPr>
                <w:sz w:val="20"/>
                <w:szCs w:val="20"/>
                <w:color w:val="auto"/>
              </w:rPr>
            </w:pPr>
            <w:r>
              <w:rPr>
                <w:rFonts w:ascii="Arial" w:cs="Arial" w:eastAsia="Arial" w:hAnsi="Arial"/>
                <w:sz w:val="18"/>
                <w:szCs w:val="18"/>
                <w:color w:val="auto"/>
              </w:rPr>
              <w:t>11</w:t>
            </w:r>
          </w:p>
        </w:tc>
        <w:tc>
          <w:tcPr>
            <w:tcW w:w="10800" w:type="dxa"/>
            <w:vAlign w:val="bottom"/>
            <w:gridSpan w:val="3"/>
          </w:tcPr>
          <w:p>
            <w:pPr>
              <w:ind w:left="220"/>
              <w:spacing w:after="0"/>
              <w:rPr>
                <w:sz w:val="20"/>
                <w:szCs w:val="20"/>
                <w:color w:val="auto"/>
              </w:rPr>
            </w:pPr>
            <w:r>
              <w:rPr>
                <w:rFonts w:ascii="Arial" w:cs="Arial" w:eastAsia="Arial" w:hAnsi="Arial"/>
                <w:sz w:val="18"/>
                <w:szCs w:val="18"/>
                <w:color w:val="auto"/>
              </w:rPr>
              <w:t>Calculation of earnings per share of common stock.</w:t>
            </w:r>
          </w:p>
        </w:tc>
      </w:tr>
      <w:tr>
        <w:trPr>
          <w:trHeight w:val="365"/>
        </w:trPr>
        <w:tc>
          <w:tcPr>
            <w:tcW w:w="600" w:type="dxa"/>
            <w:vAlign w:val="bottom"/>
          </w:tcPr>
          <w:p>
            <w:pPr>
              <w:spacing w:after="0"/>
              <w:rPr>
                <w:sz w:val="24"/>
                <w:szCs w:val="24"/>
                <w:color w:val="auto"/>
              </w:rPr>
            </w:pPr>
          </w:p>
        </w:tc>
        <w:tc>
          <w:tcPr>
            <w:tcW w:w="5940" w:type="dxa"/>
            <w:vAlign w:val="bottom"/>
            <w:gridSpan w:val="2"/>
          </w:tcPr>
          <w:p>
            <w:pPr>
              <w:ind w:left="5020"/>
              <w:spacing w:after="0"/>
              <w:rPr>
                <w:sz w:val="20"/>
                <w:szCs w:val="20"/>
                <w:color w:val="auto"/>
              </w:rPr>
            </w:pPr>
            <w:r>
              <w:rPr>
                <w:rFonts w:ascii="Arial" w:cs="Arial" w:eastAsia="Arial" w:hAnsi="Arial"/>
                <w:sz w:val="18"/>
                <w:szCs w:val="18"/>
                <w:color w:val="auto"/>
              </w:rPr>
              <w:t>25</w:t>
            </w:r>
          </w:p>
        </w:tc>
        <w:tc>
          <w:tcPr>
            <w:tcW w:w="48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the Chief Executive Officer.</w:t>
      </w:r>
    </w:p>
    <w:p>
      <w:pPr>
        <w:spacing w:after="0" w:line="117"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the Chief Financial Officer.</w:t>
      </w:r>
    </w:p>
    <w:p>
      <w:pPr>
        <w:spacing w:after="0" w:line="117"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the Chief Executive Officer.</w:t>
      </w:r>
    </w:p>
    <w:p>
      <w:pPr>
        <w:spacing w:after="0" w:line="117"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the Chief Financial Officer.</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reports on Form 8-K were filed during the quarter for which this report is filed:</w:t>
      </w:r>
    </w:p>
    <w:p>
      <w:pPr>
        <w:spacing w:after="0" w:line="77"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Current Report on Form 8-K dated July 30, 2004, reporting under Item 7 the Company’s second quarter earnings and including as an exhibit the Company’s press release dated July 30, 2004.</w:t>
      </w:r>
    </w:p>
    <w:p>
      <w:pPr>
        <w:spacing w:after="0" w:line="3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Current Report on Form 8-K dated September 9, 2004, reporting under Item 5 the Company’s announcement of the election of Melinda Gates to the Board of Directors.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THE WASHINGTON POST COMPANY</w:t>
            </w:r>
          </w:p>
        </w:tc>
      </w:tr>
      <w:tr>
        <w:trPr>
          <w:trHeight w:val="222"/>
        </w:trPr>
        <w:tc>
          <w:tcPr>
            <w:tcW w:w="5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9"/>
              </w:rPr>
              <w:t>(Registrant)</w:t>
            </w: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00"/>
              <w:spacing w:after="0"/>
              <w:rPr>
                <w:sz w:val="20"/>
                <w:szCs w:val="20"/>
                <w:color w:val="auto"/>
              </w:rPr>
            </w:pPr>
            <w:r>
              <w:rPr>
                <w:rFonts w:ascii="Arial" w:cs="Arial" w:eastAsia="Arial" w:hAnsi="Arial"/>
                <w:sz w:val="18"/>
                <w:szCs w:val="18"/>
                <w:color w:val="auto"/>
              </w:rPr>
              <w:t>October 29, 2004</w:t>
            </w:r>
          </w:p>
        </w:tc>
        <w:tc>
          <w:tcPr>
            <w:tcW w:w="2240" w:type="dxa"/>
            <w:vAlign w:val="bottom"/>
          </w:tcPr>
          <w:p>
            <w:pPr>
              <w:spacing w:after="0"/>
              <w:rPr>
                <w:sz w:val="24"/>
                <w:szCs w:val="24"/>
                <w:color w:val="auto"/>
              </w:rPr>
            </w:pP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7"/>
              </w:rPr>
              <w:t>/s/ Donald E. Graham</w:t>
            </w:r>
          </w:p>
        </w:tc>
      </w:tr>
      <w:tr>
        <w:trPr>
          <w:trHeight w:val="202"/>
        </w:trPr>
        <w:tc>
          <w:tcPr>
            <w:tcW w:w="5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8"/>
              </w:rPr>
              <w:t>Donald E. Graham,</w:t>
            </w:r>
          </w:p>
        </w:tc>
      </w:tr>
      <w:tr>
        <w:trPr>
          <w:trHeight w:val="216"/>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1"/>
              </w:rPr>
              <w:t>Chairman &amp; Chief Executive Officer</w:t>
            </w:r>
          </w:p>
        </w:tc>
      </w:tr>
      <w:tr>
        <w:trPr>
          <w:trHeight w:val="222"/>
        </w:trPr>
        <w:tc>
          <w:tcPr>
            <w:tcW w:w="5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1"/>
              </w:rPr>
              <w:t>(Principal Executive Officer)</w:t>
            </w: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100"/>
              <w:spacing w:after="0"/>
              <w:rPr>
                <w:sz w:val="20"/>
                <w:szCs w:val="20"/>
                <w:color w:val="auto"/>
              </w:rPr>
            </w:pPr>
            <w:r>
              <w:rPr>
                <w:rFonts w:ascii="Arial" w:cs="Arial" w:eastAsia="Arial" w:hAnsi="Arial"/>
                <w:sz w:val="18"/>
                <w:szCs w:val="18"/>
                <w:color w:val="auto"/>
              </w:rPr>
              <w:t>October 29, 2004</w:t>
            </w:r>
          </w:p>
        </w:tc>
        <w:tc>
          <w:tcPr>
            <w:tcW w:w="2240" w:type="dxa"/>
            <w:vAlign w:val="bottom"/>
          </w:tcPr>
          <w:p>
            <w:pPr>
              <w:spacing w:after="0"/>
              <w:rPr>
                <w:sz w:val="24"/>
                <w:szCs w:val="24"/>
                <w:color w:val="auto"/>
              </w:rPr>
            </w:pP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6"/>
              </w:rPr>
              <w:t>/s/ John B. Morse, Jr.</w:t>
            </w:r>
          </w:p>
        </w:tc>
      </w:tr>
      <w:tr>
        <w:trPr>
          <w:trHeight w:val="202"/>
        </w:trPr>
        <w:tc>
          <w:tcPr>
            <w:tcW w:w="5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87"/>
              </w:rPr>
              <w:t>John B. Morse, Jr.,</w:t>
            </w:r>
          </w:p>
        </w:tc>
      </w:tr>
      <w:tr>
        <w:trPr>
          <w:trHeight w:val="216"/>
        </w:trPr>
        <w:tc>
          <w:tcPr>
            <w:tcW w:w="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88"/>
              </w:rPr>
              <w:t>Vice President-Finance</w:t>
            </w:r>
          </w:p>
        </w:tc>
      </w:tr>
      <w:tr>
        <w:trPr>
          <w:trHeight w:val="222"/>
        </w:trPr>
        <w:tc>
          <w:tcPr>
            <w:tcW w:w="5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color w:val="auto"/>
                <w:w w:val="92"/>
              </w:rPr>
              <w:t>(Principal Financial Officer)</w:t>
            </w:r>
          </w:p>
        </w:tc>
      </w:tr>
      <w:tr>
        <w:trPr>
          <w:trHeight w:val="378"/>
        </w:trPr>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4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4.4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6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U.S. $250,000,000</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364-DAY CREDIT AGREEMENT</w:t>
      </w:r>
    </w:p>
    <w:p>
      <w:pPr>
        <w:spacing w:after="0" w:line="16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August 11, 2004</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as Borrower</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INITIAL LENDERS NAMED HEREIN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as Initial Lenders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auto"/>
        </w:rPr>
        <w:t>as Administrative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WACHOVIA BANK, NATIONAL ASSOCIATION</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u w:val="single" w:color="auto"/>
          <w:color w:val="auto"/>
        </w:rPr>
        <w:t>as Syndication Agents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JPMORGAN CHASE BANK</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u w:val="single" w:color="auto"/>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118745</wp:posOffset>
            </wp:positionV>
            <wp:extent cx="12433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Lead Arranger and Book Manager</w:t>
      </w:r>
    </w:p>
    <w:p>
      <w:pPr>
        <w:sectPr>
          <w:pgSz w:w="11900" w:h="16838" w:orient="portrait"/>
          <w:cols w:equalWidth="0" w:num="1">
            <w:col w:w="10220"/>
          </w:cols>
          <w:pgMar w:left="14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11140" w:type="dxa"/>
            <w:vAlign w:val="bottom"/>
          </w:tcPr>
          <w:p>
            <w:pPr>
              <w:jc w:val="center"/>
              <w:ind w:left="192"/>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vMerge w:val="restart"/>
          </w:tcPr>
          <w:p>
            <w:pPr>
              <w:jc w:val="center"/>
              <w:ind w:left="192"/>
              <w:spacing w:after="0"/>
              <w:rPr>
                <w:sz w:val="20"/>
                <w:szCs w:val="20"/>
                <w:color w:val="auto"/>
              </w:rPr>
            </w:pPr>
            <w:r>
              <w:rPr>
                <w:rFonts w:ascii="Arial" w:cs="Arial" w:eastAsia="Arial" w:hAnsi="Arial"/>
                <w:sz w:val="18"/>
                <w:szCs w:val="18"/>
                <w:color w:val="auto"/>
                <w:w w:val="95"/>
              </w:rPr>
              <w:t>ARTICLE I DEFINITIONS AND ACCOUNTING TERMS</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color w:val="auto"/>
              </w:rPr>
              <w:t>SECTION 1.01. 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1.02.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1.03.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1140" w:type="dxa"/>
            <w:vAlign w:val="bottom"/>
          </w:tcPr>
          <w:p>
            <w:pPr>
              <w:jc w:val="center"/>
              <w:ind w:left="212"/>
              <w:spacing w:after="0"/>
              <w:rPr>
                <w:sz w:val="20"/>
                <w:szCs w:val="20"/>
                <w:color w:val="auto"/>
              </w:rPr>
            </w:pPr>
            <w:r>
              <w:rPr>
                <w:rFonts w:ascii="Arial" w:cs="Arial" w:eastAsia="Arial" w:hAnsi="Arial"/>
                <w:sz w:val="18"/>
                <w:szCs w:val="18"/>
                <w:color w:val="auto"/>
                <w:w w:val="94"/>
              </w:rPr>
              <w:t>ARTICLE II AMOUNTS AND TERMS OF THE ADVANCES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color w:val="auto"/>
              </w:rPr>
              <w:t>SECTION 2.01.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2.02. Making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2.03. The Competitive Bid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2.04. Fees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2.05. Termination, Reduction or Increase of the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2.06. Repayment of Revolving Credit Advances; Term Loan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2.07. Interest on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2.08. Interest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2.09. Optional Conversion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2.10. Optional Prepayments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2.11. 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2.12.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2.13. 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2.14. 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2.15. 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2.16. 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2.17. Extension of Termination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11140" w:type="dxa"/>
            <w:vAlign w:val="bottom"/>
          </w:tcPr>
          <w:p>
            <w:pPr>
              <w:jc w:val="center"/>
              <w:ind w:left="192"/>
              <w:spacing w:after="0"/>
              <w:rPr>
                <w:sz w:val="20"/>
                <w:szCs w:val="20"/>
                <w:color w:val="auto"/>
              </w:rPr>
            </w:pPr>
            <w:r>
              <w:rPr>
                <w:rFonts w:ascii="Arial" w:cs="Arial" w:eastAsia="Arial" w:hAnsi="Arial"/>
                <w:sz w:val="18"/>
                <w:szCs w:val="18"/>
                <w:color w:val="auto"/>
                <w:w w:val="94"/>
              </w:rPr>
              <w:t>ARTICLE III CONDITIONS TO EFFECTIVENESS AND LENDING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140" w:type="dxa"/>
            <w:vAlign w:val="bottom"/>
          </w:tcPr>
          <w:p>
            <w:pPr>
              <w:spacing w:after="0"/>
              <w:rPr>
                <w:sz w:val="20"/>
                <w:szCs w:val="20"/>
                <w:color w:val="auto"/>
              </w:rPr>
            </w:pPr>
            <w:r>
              <w:rPr>
                <w:rFonts w:ascii="Arial" w:cs="Arial" w:eastAsia="Arial" w:hAnsi="Arial"/>
                <w:sz w:val="18"/>
                <w:szCs w:val="18"/>
                <w:color w:val="auto"/>
              </w:rPr>
              <w:t>SECTION 3.01. Conditions Precedent to Effectiveness of Sections 2.01 and 2.03</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3.02. Conditions Precedent to Each Revolving Credit Borrowing, Increase Date and Extension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3.03. Conditions Precedent to Each Competitive Bid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3.04. Determinations Under Section 3.01</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1140" w:type="dxa"/>
            <w:vAlign w:val="bottom"/>
          </w:tcPr>
          <w:p>
            <w:pPr>
              <w:jc w:val="center"/>
              <w:ind w:left="212"/>
              <w:spacing w:after="0"/>
              <w:rPr>
                <w:sz w:val="20"/>
                <w:szCs w:val="20"/>
                <w:color w:val="auto"/>
              </w:rPr>
            </w:pPr>
            <w:r>
              <w:rPr>
                <w:rFonts w:ascii="Arial" w:cs="Arial" w:eastAsia="Arial" w:hAnsi="Arial"/>
                <w:sz w:val="18"/>
                <w:szCs w:val="18"/>
                <w:color w:val="auto"/>
                <w:w w:val="93"/>
              </w:rPr>
              <w:t>ARTICLE IV 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140" w:type="dxa"/>
            <w:vAlign w:val="bottom"/>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222"/>
        </w:trPr>
        <w:tc>
          <w:tcPr>
            <w:tcW w:w="9400" w:type="dxa"/>
            <w:vAlign w:val="bottom"/>
          </w:tcPr>
          <w:p>
            <w:pPr>
              <w:jc w:val="center"/>
              <w:ind w:left="1932"/>
              <w:spacing w:after="0"/>
              <w:rPr>
                <w:sz w:val="20"/>
                <w:szCs w:val="20"/>
                <w:color w:val="auto"/>
              </w:rPr>
            </w:pPr>
            <w:r>
              <w:rPr>
                <w:rFonts w:ascii="Arial" w:cs="Arial" w:eastAsia="Arial" w:hAnsi="Arial"/>
                <w:sz w:val="18"/>
                <w:szCs w:val="18"/>
                <w:color w:val="auto"/>
                <w:w w:val="93"/>
              </w:rPr>
              <w:t>ARTICLE V COVENANTS OF THE BORROWER</w:t>
            </w:r>
          </w:p>
        </w:tc>
        <w:tc>
          <w:tcPr>
            <w:tcW w:w="2020" w:type="dxa"/>
            <w:vAlign w:val="bottom"/>
          </w:tcPr>
          <w:p>
            <w:pPr>
              <w:spacing w:after="0"/>
              <w:rPr>
                <w:sz w:val="19"/>
                <w:szCs w:val="19"/>
                <w:color w:val="auto"/>
              </w:rPr>
            </w:pPr>
          </w:p>
        </w:tc>
      </w:tr>
      <w:tr>
        <w:trPr>
          <w:trHeight w:val="426"/>
        </w:trPr>
        <w:tc>
          <w:tcPr>
            <w:tcW w:w="9400" w:type="dxa"/>
            <w:vAlign w:val="bottom"/>
          </w:tcPr>
          <w:p>
            <w:pPr>
              <w:spacing w:after="0"/>
              <w:rPr>
                <w:sz w:val="20"/>
                <w:szCs w:val="20"/>
                <w:color w:val="auto"/>
              </w:rPr>
            </w:pPr>
            <w:r>
              <w:rPr>
                <w:rFonts w:ascii="Arial" w:cs="Arial" w:eastAsia="Arial" w:hAnsi="Arial"/>
                <w:sz w:val="18"/>
                <w:szCs w:val="18"/>
                <w:color w:val="auto"/>
              </w:rPr>
              <w:t>SECTION 5.01 Affirmative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5.02. Negative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SECTION 5.03. Financial Covenant</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400" w:type="dxa"/>
            <w:vAlign w:val="bottom"/>
          </w:tcPr>
          <w:p>
            <w:pPr>
              <w:jc w:val="center"/>
              <w:ind w:left="1952"/>
              <w:spacing w:after="0"/>
              <w:rPr>
                <w:sz w:val="20"/>
                <w:szCs w:val="20"/>
                <w:color w:val="auto"/>
              </w:rPr>
            </w:pPr>
            <w:r>
              <w:rPr>
                <w:rFonts w:ascii="Arial" w:cs="Arial" w:eastAsia="Arial" w:hAnsi="Arial"/>
                <w:sz w:val="18"/>
                <w:szCs w:val="18"/>
                <w:color w:val="auto"/>
                <w:w w:val="94"/>
              </w:rPr>
              <w:t>ARTICLE VI EVENTS OF DEFAULT</w:t>
            </w:r>
          </w:p>
        </w:tc>
        <w:tc>
          <w:tcPr>
            <w:tcW w:w="2020" w:type="dxa"/>
            <w:vAlign w:val="bottom"/>
          </w:tcPr>
          <w:p>
            <w:pPr>
              <w:spacing w:after="0"/>
              <w:rPr>
                <w:sz w:val="24"/>
                <w:szCs w:val="24"/>
                <w:color w:val="auto"/>
              </w:rPr>
            </w:pPr>
          </w:p>
        </w:tc>
      </w:tr>
      <w:tr>
        <w:trPr>
          <w:trHeight w:val="432"/>
        </w:trPr>
        <w:tc>
          <w:tcPr>
            <w:tcW w:w="940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400" w:type="dxa"/>
            <w:vAlign w:val="bottom"/>
          </w:tcPr>
          <w:p>
            <w:pPr>
              <w:jc w:val="center"/>
              <w:ind w:left="1952"/>
              <w:spacing w:after="0"/>
              <w:rPr>
                <w:sz w:val="20"/>
                <w:szCs w:val="20"/>
                <w:color w:val="auto"/>
              </w:rPr>
            </w:pPr>
            <w:r>
              <w:rPr>
                <w:rFonts w:ascii="Arial" w:cs="Arial" w:eastAsia="Arial" w:hAnsi="Arial"/>
                <w:sz w:val="18"/>
                <w:szCs w:val="18"/>
                <w:color w:val="auto"/>
                <w:w w:val="96"/>
              </w:rPr>
              <w:t>ARTICLE VII THE AGENT</w:t>
            </w:r>
          </w:p>
        </w:tc>
        <w:tc>
          <w:tcPr>
            <w:tcW w:w="2020" w:type="dxa"/>
            <w:vAlign w:val="bottom"/>
          </w:tcPr>
          <w:p>
            <w:pPr>
              <w:spacing w:after="0"/>
              <w:rPr>
                <w:sz w:val="24"/>
                <w:szCs w:val="24"/>
                <w:color w:val="auto"/>
              </w:rPr>
            </w:pPr>
          </w:p>
        </w:tc>
      </w:tr>
      <w:tr>
        <w:trPr>
          <w:trHeight w:val="426"/>
        </w:trPr>
        <w:tc>
          <w:tcPr>
            <w:tcW w:w="9400" w:type="dxa"/>
            <w:vAlign w:val="bottom"/>
          </w:tcPr>
          <w:p>
            <w:pPr>
              <w:spacing w:after="0"/>
              <w:rPr>
                <w:sz w:val="20"/>
                <w:szCs w:val="20"/>
                <w:color w:val="auto"/>
              </w:rPr>
            </w:pPr>
            <w:r>
              <w:rPr>
                <w:rFonts w:ascii="Arial" w:cs="Arial" w:eastAsia="Arial" w:hAnsi="Arial"/>
                <w:sz w:val="18"/>
                <w:szCs w:val="18"/>
                <w:color w:val="auto"/>
              </w:rPr>
              <w:t>SECTION 7.01. Authorization and Action</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7.02. Agent’s Reliance, Etc</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7.03. Citibank and Affiliates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7.04. Lender Credit Decision</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7.05.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7.06. Successor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SECTION 7.07. Documentation Agents and Syndication Agents</w:t>
            </w:r>
          </w:p>
        </w:tc>
        <w:tc>
          <w:tcPr>
            <w:tcW w:w="2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400" w:type="dxa"/>
            <w:vAlign w:val="bottom"/>
          </w:tcPr>
          <w:p>
            <w:pPr>
              <w:jc w:val="center"/>
              <w:ind w:left="1932"/>
              <w:spacing w:after="0"/>
              <w:rPr>
                <w:sz w:val="20"/>
                <w:szCs w:val="20"/>
                <w:color w:val="auto"/>
              </w:rPr>
            </w:pPr>
            <w:r>
              <w:rPr>
                <w:rFonts w:ascii="Arial" w:cs="Arial" w:eastAsia="Arial" w:hAnsi="Arial"/>
                <w:sz w:val="18"/>
                <w:szCs w:val="18"/>
                <w:color w:val="auto"/>
                <w:w w:val="96"/>
              </w:rPr>
              <w:t>ARTICLE VIII MISCELLANEOUS</w:t>
            </w:r>
          </w:p>
        </w:tc>
        <w:tc>
          <w:tcPr>
            <w:tcW w:w="2020" w:type="dxa"/>
            <w:vAlign w:val="bottom"/>
          </w:tcPr>
          <w:p>
            <w:pPr>
              <w:spacing w:after="0"/>
              <w:rPr>
                <w:sz w:val="24"/>
                <w:szCs w:val="24"/>
                <w:color w:val="auto"/>
              </w:rPr>
            </w:pPr>
          </w:p>
        </w:tc>
      </w:tr>
      <w:tr>
        <w:trPr>
          <w:trHeight w:val="426"/>
        </w:trPr>
        <w:tc>
          <w:tcPr>
            <w:tcW w:w="9400" w:type="dxa"/>
            <w:vAlign w:val="bottom"/>
          </w:tcPr>
          <w:p>
            <w:pPr>
              <w:spacing w:after="0"/>
              <w:rPr>
                <w:sz w:val="20"/>
                <w:szCs w:val="20"/>
                <w:color w:val="auto"/>
              </w:rPr>
            </w:pPr>
            <w:r>
              <w:rPr>
                <w:rFonts w:ascii="Arial" w:cs="Arial" w:eastAsia="Arial" w:hAnsi="Arial"/>
                <w:sz w:val="18"/>
                <w:szCs w:val="18"/>
                <w:color w:val="auto"/>
              </w:rPr>
              <w:t>SECTION 8.01. Amendments, Etc.</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8.02. Notices,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8.03. No Waiver; Remedies</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8.04. Costs and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8.05. Right of Set-off</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8.06. Binding Effect</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8.07. Assignments and Participations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8.08. Confidentiality</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8.09. Governing Law</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8.10. Execution in Counterparts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8.11. Jurisdiction, Etc.</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SECTION 8.12. Patriot Act Notice</w:t>
            </w:r>
          </w:p>
        </w:tc>
        <w:tc>
          <w:tcPr>
            <w:tcW w:w="2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SECTION 8.13. Waiver of Jury Trial</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9400" w:type="dxa"/>
            <w:vAlign w:val="bottom"/>
          </w:tcPr>
          <w:p>
            <w:pPr>
              <w:jc w:val="center"/>
              <w:ind w:left="1952"/>
              <w:spacing w:after="0"/>
              <w:rPr>
                <w:sz w:val="20"/>
                <w:szCs w:val="20"/>
                <w:color w:val="auto"/>
              </w:rPr>
            </w:pPr>
            <w:r>
              <w:rPr>
                <w:rFonts w:ascii="Arial" w:cs="Arial" w:eastAsia="Arial" w:hAnsi="Arial"/>
                <w:sz w:val="18"/>
                <w:szCs w:val="18"/>
                <w:color w:val="auto"/>
                <w:w w:val="79"/>
              </w:rPr>
              <w:t>2</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96"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3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343"/>
        </w:trPr>
        <w:tc>
          <w:tcPr>
            <w:tcW w:w="98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Revolving Credit Note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A-2</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Competitive Bid Note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Notice of Revolving Credit Borrowing</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Notice of Competitive Bid Borrowing</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Assignment and Acceptance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Assumption Agreement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E-1</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Opinion of Counsel for the Borrower</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E-2</w:t>
            </w:r>
          </w:p>
        </w:tc>
        <w:tc>
          <w:tcPr>
            <w:tcW w:w="4560" w:type="dxa"/>
            <w:vAlign w:val="bottom"/>
          </w:tcPr>
          <w:p>
            <w:pPr>
              <w:ind w:left="140"/>
              <w:spacing w:after="0"/>
              <w:rPr>
                <w:sz w:val="20"/>
                <w:szCs w:val="20"/>
                <w:color w:val="auto"/>
              </w:rPr>
            </w:pPr>
            <w:r>
              <w:rPr>
                <w:rFonts w:ascii="Arial" w:cs="Arial" w:eastAsia="Arial" w:hAnsi="Arial"/>
                <w:sz w:val="18"/>
                <w:szCs w:val="18"/>
                <w:color w:val="auto"/>
                <w:w w:val="91"/>
              </w:rPr>
              <w:t>-   Form of Opinion of Counsel for the Newspaper Subsidiary</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4560" w:type="dxa"/>
            <w:vAlign w:val="bottom"/>
          </w:tcPr>
          <w:p>
            <w:pPr>
              <w:ind w:left="140"/>
              <w:spacing w:after="0"/>
              <w:rPr>
                <w:sz w:val="20"/>
                <w:szCs w:val="20"/>
                <w:color w:val="auto"/>
              </w:rPr>
            </w:pPr>
            <w:r>
              <w:rPr>
                <w:rFonts w:ascii="Arial" w:cs="Arial" w:eastAsia="Arial" w:hAnsi="Arial"/>
                <w:sz w:val="18"/>
                <w:szCs w:val="18"/>
                <w:color w:val="auto"/>
              </w:rPr>
              <w:t>-   Form of Subsidiary Guaranty</w:t>
            </w:r>
          </w:p>
        </w:tc>
      </w:tr>
    </w:tbl>
    <w:p>
      <w:pPr>
        <w:spacing w:after="0" w:line="14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32" w:name="page33"/>
    <w:bookmarkEnd w:id="32"/>
    <w:p>
      <w:pPr>
        <w:ind w:left="4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364-DAY CREDIT AGREEMENT</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Dated as of August 11, 2004</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agree as follows: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Competitive Bid Advance.</w:t>
      </w:r>
    </w:p>
    <w:p>
      <w:pPr>
        <w:spacing w:after="0" w:line="77"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48"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Citibank with its office at 388 Greenwich Street, New York, New York 10013, Account No. 36852248, Attention: Bank Loans Syndications.</w:t>
      </w:r>
    </w:p>
    <w:p>
      <w:pPr>
        <w:spacing w:after="0" w:line="37" w:lineRule="exact"/>
        <w:rPr>
          <w:sz w:val="20"/>
          <w:szCs w:val="20"/>
          <w:color w:val="auto"/>
        </w:rPr>
      </w:pPr>
    </w:p>
    <w:p>
      <w:pPr>
        <w:ind w:left="460" w:right="2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ectPr>
          <w:pgSz w:w="11900" w:h="16838" w:orient="portrait"/>
          <w:cols w:equalWidth="0" w:num="1">
            <w:col w:w="11380"/>
          </w:cols>
          <w:pgMar w:left="240" w:top="280" w:right="279" w:bottom="1440" w:gutter="0" w:footer="0" w:header="0"/>
        </w:sectPr>
      </w:pPr>
    </w:p>
    <w:bookmarkStart w:id="33" w:name="page34"/>
    <w:bookmarkEnd w:id="33"/>
    <w:p>
      <w:pPr>
        <w:ind w:right="3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for Base Rate Advances, 0% per annum and (b) for Eurodollar Rate Advances, a percentage per annum determined by reference to the Performance Level in effect on such date as set forth below:</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Applicable Margin for Eurodollar Rate</w:t>
            </w:r>
          </w:p>
        </w:tc>
        <w:tc>
          <w:tcPr>
            <w:tcW w:w="2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Margin for Eurodollar Rate</w:t>
            </w:r>
          </w:p>
        </w:tc>
      </w:tr>
      <w:tr>
        <w:trPr>
          <w:trHeight w:val="149"/>
        </w:trPr>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Advances Prior to Term Loan Conversion</w:t>
            </w:r>
          </w:p>
        </w:tc>
        <w:tc>
          <w:tcPr>
            <w:tcW w:w="200" w:type="dxa"/>
            <w:vAlign w:val="bottom"/>
          </w:tcPr>
          <w:p>
            <w:pPr>
              <w:spacing w:after="0"/>
              <w:rPr>
                <w:sz w:val="12"/>
                <w:szCs w:val="12"/>
                <w:color w:val="auto"/>
              </w:rPr>
            </w:pPr>
          </w:p>
        </w:tc>
        <w:tc>
          <w:tcPr>
            <w:tcW w:w="3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Advances On and After Term Loan</w:t>
            </w:r>
          </w:p>
        </w:tc>
      </w:t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134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86"/>
              </w:rPr>
              <w:t>Conversion Date</w:t>
            </w:r>
          </w:p>
        </w:tc>
      </w:tr>
      <w:tr>
        <w:trPr>
          <w:trHeight w:val="95"/>
        </w:trPr>
        <w:tc>
          <w:tcPr>
            <w:tcW w:w="134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452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0.200%</w:t>
            </w:r>
          </w:p>
        </w:tc>
        <w:tc>
          <w:tcPr>
            <w:tcW w:w="32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0.425%</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452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0.240%</w:t>
            </w:r>
          </w:p>
        </w:tc>
        <w:tc>
          <w:tcPr>
            <w:tcW w:w="32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0.475%</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452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0.280%</w:t>
            </w:r>
          </w:p>
        </w:tc>
        <w:tc>
          <w:tcPr>
            <w:tcW w:w="32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0.525%</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452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0.320%</w:t>
            </w:r>
          </w:p>
        </w:tc>
        <w:tc>
          <w:tcPr>
            <w:tcW w:w="32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0.575%</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4520" w:type="dxa"/>
            <w:vAlign w:val="bottom"/>
            <w:gridSpan w:val="2"/>
          </w:tcPr>
          <w:p>
            <w:pPr>
              <w:jc w:val="center"/>
              <w:ind w:left="1212"/>
              <w:spacing w:after="0"/>
              <w:rPr>
                <w:sz w:val="20"/>
                <w:szCs w:val="20"/>
                <w:color w:val="auto"/>
              </w:rPr>
            </w:pPr>
            <w:r>
              <w:rPr>
                <w:rFonts w:ascii="Arial" w:cs="Arial" w:eastAsia="Arial" w:hAnsi="Arial"/>
                <w:sz w:val="18"/>
                <w:szCs w:val="18"/>
                <w:color w:val="auto"/>
                <w:w w:val="88"/>
              </w:rPr>
              <w:t>0.500%</w:t>
            </w:r>
          </w:p>
        </w:tc>
        <w:tc>
          <w:tcPr>
            <w:tcW w:w="32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0.875%</w:t>
            </w:r>
          </w:p>
        </w:tc>
      </w:tr>
    </w:tbl>
    <w:p>
      <w:pPr>
        <w:spacing w:after="0" w:line="6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114" w:lineRule="exact"/>
        <w:rPr>
          <w:sz w:val="20"/>
          <w:szCs w:val="20"/>
          <w:color w:val="auto"/>
        </w:rPr>
      </w:pPr>
    </w:p>
    <w:tbl>
      <w:tblPr>
        <w:tblLayout w:type="fixed"/>
        <w:tblInd w:w="2360" w:type="dxa"/>
        <w:tblCellMar>
          <w:top w:w="0" w:type="dxa"/>
          <w:left w:w="0" w:type="dxa"/>
          <w:bottom w:w="0" w:type="dxa"/>
          <w:right w:w="0" w:type="dxa"/>
        </w:tblCellMar>
      </w:tblP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194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6"/>
              </w:rPr>
              <w:t>Applicable Percentage</w:t>
            </w:r>
          </w:p>
        </w:tc>
      </w:tr>
      <w:tr>
        <w:trPr>
          <w:trHeight w:val="95"/>
        </w:trPr>
        <w:tc>
          <w:tcPr>
            <w:tcW w:w="13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0.060%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0.070%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0.080%</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0.125%</w:t>
            </w:r>
          </w:p>
        </w:tc>
      </w:tr>
    </w:tbl>
    <w:p>
      <w:pPr>
        <w:spacing w:after="0" w:line="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means, as of any date prior to the Term Loan Conversion Date on which the aggregate Advances exceed 50%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Commitments, a percentage per annum determined by reference to the Performance Level in effect on such date as set forth below:</w:t>
      </w:r>
    </w:p>
    <w:p>
      <w:pPr>
        <w:spacing w:after="0" w:line="147" w:lineRule="exact"/>
        <w:rPr>
          <w:sz w:val="20"/>
          <w:szCs w:val="20"/>
          <w:color w:val="auto"/>
        </w:rPr>
      </w:pPr>
    </w:p>
    <w:tbl>
      <w:tblPr>
        <w:tblLayout w:type="fixed"/>
        <w:tblInd w:w="2360" w:type="dxa"/>
        <w:tblCellMar>
          <w:top w:w="0" w:type="dxa"/>
          <w:left w:w="0" w:type="dxa"/>
          <w:bottom w:w="0" w:type="dxa"/>
          <w:right w:w="0" w:type="dxa"/>
        </w:tblCellMar>
      </w:tblPr>
      <w:tr>
        <w:trPr>
          <w:trHeight w:val="174"/>
        </w:trPr>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194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Applicable Utilization Fee</w:t>
            </w:r>
          </w:p>
        </w:tc>
      </w:tr>
      <w:tr>
        <w:trPr>
          <w:trHeight w:val="95"/>
        </w:trPr>
        <w:tc>
          <w:tcPr>
            <w:tcW w:w="13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r>
      <w:tr>
        <w:trPr>
          <w:trHeight w:val="309"/>
        </w:trPr>
        <w:tc>
          <w:tcPr>
            <w:tcW w:w="1340" w:type="dxa"/>
            <w:vAlign w:val="bottom"/>
          </w:tcPr>
          <w:p>
            <w:pPr>
              <w:jc w:val="center"/>
              <w:spacing w:after="0"/>
              <w:rPr>
                <w:sz w:val="20"/>
                <w:szCs w:val="20"/>
                <w:color w:val="auto"/>
              </w:rPr>
            </w:pPr>
            <w:r>
              <w:rPr>
                <w:rFonts w:ascii="Arial" w:cs="Arial" w:eastAsia="Arial" w:hAnsi="Arial"/>
                <w:sz w:val="18"/>
                <w:szCs w:val="18"/>
                <w:color w:val="auto"/>
              </w:rPr>
              <w:t>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III</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0.050%</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IV</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0.050%</w:t>
            </w:r>
          </w:p>
        </w:tc>
      </w:tr>
      <w:tr>
        <w:trPr>
          <w:trHeight w:val="222"/>
        </w:trPr>
        <w:tc>
          <w:tcPr>
            <w:tcW w:w="134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6120" w:type="dxa"/>
            <w:vAlign w:val="bottom"/>
            <w:gridSpan w:val="2"/>
          </w:tcPr>
          <w:p>
            <w:pPr>
              <w:jc w:val="center"/>
              <w:ind w:left="1852"/>
              <w:spacing w:after="0"/>
              <w:rPr>
                <w:sz w:val="20"/>
                <w:szCs w:val="20"/>
                <w:color w:val="auto"/>
              </w:rPr>
            </w:pPr>
            <w:r>
              <w:rPr>
                <w:rFonts w:ascii="Arial" w:cs="Arial" w:eastAsia="Arial" w:hAnsi="Arial"/>
                <w:sz w:val="18"/>
                <w:szCs w:val="18"/>
                <w:color w:val="auto"/>
                <w:w w:val="88"/>
              </w:rPr>
              <w:t>0.125%</w:t>
            </w:r>
          </w:p>
        </w:tc>
      </w:tr>
      <w:tr>
        <w:trPr>
          <w:trHeight w:val="365"/>
        </w:trPr>
        <w:tc>
          <w:tcPr>
            <w:tcW w:w="1340" w:type="dxa"/>
            <w:vAlign w:val="bottom"/>
          </w:tcPr>
          <w:p>
            <w:pPr>
              <w:spacing w:after="0"/>
              <w:rPr>
                <w:sz w:val="24"/>
                <w:szCs w:val="24"/>
                <w:color w:val="auto"/>
              </w:rPr>
            </w:pPr>
          </w:p>
        </w:tc>
        <w:tc>
          <w:tcPr>
            <w:tcW w:w="19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4180" w:type="dxa"/>
            <w:vAlign w:val="bottom"/>
          </w:tcPr>
          <w:p>
            <w:pPr>
              <w:spacing w:after="0"/>
              <w:rPr>
                <w:sz w:val="24"/>
                <w:szCs w:val="24"/>
                <w:color w:val="auto"/>
              </w:rPr>
            </w:pPr>
          </w:p>
        </w:tc>
      </w:tr>
    </w:tbl>
    <w:p>
      <w:pPr>
        <w:sectPr>
          <w:pgSz w:w="11900" w:h="16838" w:orient="portrait"/>
          <w:cols w:equalWidth="0" w:num="1">
            <w:col w:w="10800"/>
          </w:cols>
          <w:pgMar w:left="700" w:top="280" w:right="399" w:bottom="1440" w:gutter="0" w:footer="0" w:header="0"/>
        </w:sectPr>
      </w:pPr>
    </w:p>
    <w:bookmarkStart w:id="34" w:name="page35"/>
    <w:bookmarkEnd w:id="34"/>
    <w:p>
      <w:pPr>
        <w:ind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accepted and approved by the Agent and approved by the Borrower, in substantially the form of Exhibit C hereto.</w:t>
      </w:r>
    </w:p>
    <w:p>
      <w:pPr>
        <w:spacing w:after="0" w:line="37"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either Section 2.05(b) or Section 2.17.</w:t>
      </w:r>
    </w:p>
    <w:p>
      <w:pPr>
        <w:spacing w:after="0" w:line="37" w:lineRule="exact"/>
        <w:rPr>
          <w:sz w:val="20"/>
          <w:szCs w:val="20"/>
          <w:color w:val="auto"/>
        </w:rPr>
      </w:pPr>
    </w:p>
    <w:p>
      <w:pPr>
        <w:ind w:right="40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Assumption Agreement</w:t>
      </w:r>
      <w:r>
        <w:rPr>
          <w:rFonts w:ascii="Arial" w:cs="Arial" w:eastAsia="Arial" w:hAnsi="Arial"/>
          <w:sz w:val="16"/>
          <w:szCs w:val="16"/>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w:t>
      </w:r>
      <w:r>
        <w:rPr>
          <w:rFonts w:ascii="Arial" w:cs="Arial" w:eastAsia="Arial" w:hAnsi="Arial"/>
          <w:sz w:val="15"/>
          <w:szCs w:val="15"/>
          <w:color w:val="auto"/>
        </w:rPr>
        <w:t>” means a fluctuating interest rate per annum in effect from time to time, which rate per annum shall at all times be equal to the higher of:</w:t>
      </w:r>
    </w:p>
    <w:p>
      <w:pPr>
        <w:spacing w:after="0" w:line="111" w:lineRule="exact"/>
        <w:rPr>
          <w:sz w:val="20"/>
          <w:szCs w:val="20"/>
          <w:color w:val="auto"/>
        </w:rPr>
      </w:pPr>
    </w:p>
    <w:p>
      <w:pPr>
        <w:ind w:left="1120" w:hanging="23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 and</w:t>
      </w:r>
    </w:p>
    <w:p>
      <w:pPr>
        <w:spacing w:after="0" w:line="76" w:lineRule="exact"/>
        <w:rPr>
          <w:rFonts w:ascii="Arial" w:cs="Arial" w:eastAsia="Arial" w:hAnsi="Arial"/>
          <w:sz w:val="18"/>
          <w:szCs w:val="18"/>
          <w:color w:val="auto"/>
        </w:rPr>
      </w:pPr>
    </w:p>
    <w:p>
      <w:pPr>
        <w:ind w:left="1120" w:hanging="239"/>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2.07(a)(i).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77" w:lineRule="exact"/>
        <w:rPr>
          <w:sz w:val="20"/>
          <w:szCs w:val="20"/>
          <w:color w:val="auto"/>
        </w:rPr>
      </w:pPr>
    </w:p>
    <w:p>
      <w:pPr>
        <w:ind w:right="44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with respect to any Lender at any time (i) the amount set forth opposite such Lender’s name on the signature pages hereof,</w:t>
      </w:r>
    </w:p>
    <w:p>
      <w:pPr>
        <w:spacing w:after="0" w:line="38" w:lineRule="exact"/>
        <w:rPr>
          <w:sz w:val="20"/>
          <w:szCs w:val="20"/>
          <w:color w:val="auto"/>
        </w:rPr>
      </w:pPr>
    </w:p>
    <w:p>
      <w:pPr>
        <w:ind w:right="40" w:firstLine="4"/>
        <w:spacing w:after="0" w:line="254"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Advance</w:t>
      </w:r>
      <w:r>
        <w:rPr>
          <w:rFonts w:ascii="Arial" w:cs="Arial" w:eastAsia="Arial" w:hAnsi="Arial"/>
          <w:sz w:val="18"/>
          <w:szCs w:val="18"/>
          <w:color w:val="auto"/>
        </w:rPr>
        <w:t>” means an advance by a Lender to the Borrower as part of a Competitive Bid Borrowing resulting from the competitive bidding procedure described in Section 2.03 and refers to a Fixed Rate Advance or a LIBO Rate Advance.</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700" w:top="280" w:right="319" w:bottom="1440" w:gutter="0" w:footer="0" w:header="0"/>
        </w:sectPr>
      </w:pPr>
    </w:p>
    <w:bookmarkStart w:id="35" w:name="page36"/>
    <w:bookmarkEnd w:id="35"/>
    <w:p>
      <w:pPr>
        <w:jc w:val="both"/>
        <w:ind w:right="20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46"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46"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77"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46"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2.08 or 2.09.</w:t>
      </w:r>
    </w:p>
    <w:p>
      <w:pPr>
        <w:spacing w:after="0" w:line="37"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36" w:name="page37"/>
    <w:bookmarkEnd w:id="3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5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37"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49"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7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 Affiliate of the Borrower shall qualify as an Eligible Assignee.</w:t>
      </w:r>
    </w:p>
    <w:p>
      <w:pPr>
        <w:spacing w:after="0" w:line="25"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or potential liability, consent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37" w:name="page38"/>
    <w:bookmarkEnd w:id="3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49"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0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37" w:lineRule="exact"/>
        <w:rPr>
          <w:sz w:val="20"/>
          <w:szCs w:val="20"/>
          <w:color w:val="auto"/>
        </w:rPr>
      </w:pPr>
    </w:p>
    <w:p>
      <w:pPr>
        <w:ind w:right="100" w:firstLine="438"/>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2"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w:t>
      </w:r>
    </w:p>
    <w:p>
      <w:pPr>
        <w:spacing w:after="0" w:line="5" w:lineRule="exact"/>
        <w:rPr>
          <w:sz w:val="20"/>
          <w:szCs w:val="20"/>
          <w:color w:val="auto"/>
        </w:rPr>
      </w:pPr>
    </w:p>
    <w:p>
      <w:pPr>
        <w:ind w:left="5220" w:right="3540" w:hanging="5216"/>
        <w:spacing w:after="0" w:line="433"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institution by the PBGC of proceedings to terminate a Plan pursuant to Section 4042 of ERISA, or 6</w:t>
      </w:r>
    </w:p>
    <w:p>
      <w:pPr>
        <w:sectPr>
          <w:pgSz w:w="11900" w:h="16838" w:orient="portrait"/>
          <w:cols w:equalWidth="0" w:num="1">
            <w:col w:w="10960"/>
          </w:cols>
          <w:pgMar w:left="700" w:top="280" w:right="239" w:bottom="1440" w:gutter="0" w:footer="0" w:header="0"/>
        </w:sectPr>
      </w:pPr>
    </w:p>
    <w:bookmarkStart w:id="38" w:name="page39"/>
    <w:bookmarkEnd w:id="3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any event or condition described in Section 4042 of ERISA that constitutes grounds for the termination of, or the appointment of a trustee to administer, a Plan.</w:t>
      </w:r>
    </w:p>
    <w:p>
      <w:pPr>
        <w:spacing w:after="0" w:line="37" w:lineRule="exact"/>
        <w:rPr>
          <w:sz w:val="20"/>
          <w:szCs w:val="20"/>
          <w:color w:val="auto"/>
        </w:rPr>
      </w:pPr>
    </w:p>
    <w:p>
      <w:pPr>
        <w:jc w:val="both"/>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37" w:lineRule="exact"/>
        <w:rPr>
          <w:sz w:val="20"/>
          <w:szCs w:val="20"/>
          <w:color w:val="auto"/>
        </w:rPr>
      </w:pPr>
    </w:p>
    <w:p>
      <w:pPr>
        <w:jc w:val="both"/>
        <w:ind w:right="280" w:firstLine="438"/>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Reserve Requirements</w:t>
      </w:r>
      <w:r>
        <w:rPr>
          <w:rFonts w:ascii="Arial" w:cs="Arial" w:eastAsia="Arial" w:hAnsi="Arial"/>
          <w:sz w:val="15"/>
          <w:szCs w:val="15"/>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3"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8"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2.07(a)(ii).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arranged by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39" w:name="page40"/>
    <w:bookmarkEnd w:id="3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Advances</w:t>
      </w:r>
      <w:r>
        <w:rPr>
          <w:rFonts w:ascii="Arial" w:cs="Arial" w:eastAsia="Arial" w:hAnsi="Arial"/>
          <w:sz w:val="18"/>
          <w:szCs w:val="18"/>
          <w:color w:val="auto"/>
        </w:rPr>
        <w:t>” has the meaning specified in Section 2.03(a)(i).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7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shall mean Donald E. Graham and his siblings, their descendants and any relative by marriage of the foregoing, and any trust for the benefit of any of the foregoing whether as an income or residual beneficiary.</w:t>
      </w:r>
    </w:p>
    <w:p>
      <w:pPr>
        <w:spacing w:after="0" w:line="37"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77"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4" w:lineRule="exact"/>
        <w:rPr>
          <w:sz w:val="20"/>
          <w:szCs w:val="20"/>
          <w:color w:val="auto"/>
        </w:rPr>
      </w:pPr>
    </w:p>
    <w:p>
      <w:pPr>
        <w:ind w:left="460" w:right="240" w:firstLine="421"/>
        <w:spacing w:after="0" w:line="347" w:lineRule="auto"/>
        <w:tabs>
          <w:tab w:leader="none" w:pos="108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ind w:left="1140" w:hanging="259"/>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Periods commencing on the same date for Eurodollar Rate Advances comprising part of the same Revolving Credit Borrowing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for LIBO</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Advances comprising part of the same Competitive Bid Borrowing shall be of the same duration;</w:t>
      </w:r>
    </w:p>
    <w:p>
      <w:pPr>
        <w:spacing w:after="0" w:line="77" w:lineRule="exact"/>
        <w:rPr>
          <w:sz w:val="20"/>
          <w:szCs w:val="20"/>
          <w:color w:val="auto"/>
        </w:rPr>
      </w:pPr>
    </w:p>
    <w:p>
      <w:pPr>
        <w:ind w:left="460" w:right="20" w:firstLine="421"/>
        <w:spacing w:after="0" w:line="331" w:lineRule="auto"/>
        <w:tabs>
          <w:tab w:leader="none" w:pos="1187"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the last day of such Interest Period to occur in the next following calendar month, the last day of such Interest Period shall occur on the next preceding Business Day; and</w:t>
      </w:r>
    </w:p>
    <w:p>
      <w:pPr>
        <w:spacing w:after="0" w:line="2" w:lineRule="exact"/>
        <w:rPr>
          <w:rFonts w:ascii="Arial" w:cs="Arial" w:eastAsia="Arial" w:hAnsi="Arial"/>
          <w:sz w:val="15"/>
          <w:szCs w:val="15"/>
          <w:color w:val="auto"/>
        </w:rPr>
      </w:pPr>
    </w:p>
    <w:p>
      <w:pPr>
        <w:jc w:val="both"/>
        <w:ind w:left="460" w:right="80" w:firstLine="421"/>
        <w:spacing w:after="0" w:line="259" w:lineRule="auto"/>
        <w:tabs>
          <w:tab w:leader="none" w:pos="11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46"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3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either Section 2.05(b) or Section 2.17 and each Person that shall become a party hereto pursuant to Section 8.07.</w:t>
      </w:r>
    </w:p>
    <w:p>
      <w:pPr>
        <w:spacing w:after="0" w:line="37"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has the meaning specified in Section 2.03(a)(i).</w:t>
      </w:r>
    </w:p>
    <w:p>
      <w:pPr>
        <w:spacing w:after="0" w:line="77" w:lineRule="exact"/>
        <w:rPr>
          <w:sz w:val="20"/>
          <w:szCs w:val="20"/>
          <w:color w:val="auto"/>
        </w:rPr>
      </w:pPr>
    </w:p>
    <w:p>
      <w:pPr>
        <w:ind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w:t>
      </w:r>
      <w:r>
        <w:rPr>
          <w:rFonts w:ascii="Arial" w:cs="Arial" w:eastAsia="Arial" w:hAnsi="Arial"/>
          <w:sz w:val="18"/>
          <w:szCs w:val="18"/>
          <w:color w:val="auto"/>
        </w:rPr>
        <w:t>” means this Agreement, the Notes and the Subsidiary Guaranty.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 and, so long as the Subsidiary Guaranty is in effect, the Newspaper Subsidiary.</w:t>
      </w:r>
    </w:p>
    <w:p>
      <w:pPr>
        <w:spacing w:after="0" w:line="77"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37"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results of operations of the Borrower and its Subsidiaries taken as a whole.</w:t>
      </w:r>
    </w:p>
    <w:p>
      <w:pPr>
        <w:spacing w:after="0" w:line="3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46"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the first anniversary of the Termination Date and (b) the date of termination in whole of the aggregate Commitments pursuant to Section 2.05 or 6.01.</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77" w:lineRule="exact"/>
        <w:rPr>
          <w:sz w:val="20"/>
          <w:szCs w:val="20"/>
          <w:color w:val="auto"/>
        </w:rPr>
      </w:pPr>
    </w:p>
    <w:p>
      <w:pPr>
        <w:ind w:right="3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46" w:lineRule="exact"/>
        <w:rPr>
          <w:sz w:val="20"/>
          <w:szCs w:val="20"/>
          <w:color w:val="auto"/>
        </w:rPr>
      </w:pPr>
    </w:p>
    <w:p>
      <w:pPr>
        <w:ind w:right="2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means WP Company LLC, a Delaware limited liability company.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2.17(b).</w:t>
      </w:r>
    </w:p>
    <w:p>
      <w:pPr>
        <w:spacing w:after="0" w:line="77"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Debt</w:t>
      </w:r>
      <w:r>
        <w:rPr>
          <w:rFonts w:ascii="Arial" w:cs="Arial" w:eastAsia="Arial" w:hAnsi="Arial"/>
          <w:sz w:val="18"/>
          <w:szCs w:val="18"/>
          <w:color w:val="auto"/>
        </w:rPr>
        <w: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42" w:name="page43"/>
    <w:bookmarkEnd w:id="4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77"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118"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Public Debt Rating of not lower than AA- by S&amp;P or not lower than Aa3 by Moody’s.</w:t>
      </w:r>
    </w:p>
    <w:p>
      <w:pPr>
        <w:spacing w:after="0" w:line="11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Public Debt Rating of lower than Level I but not lower than A+ by S&amp;P or A1 by Moody’s.</w:t>
      </w:r>
    </w:p>
    <w:p>
      <w:pPr>
        <w:spacing w:after="0" w:line="11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Public Debt Rating of lower than Level II but not lower than A by S&amp;P or A2 by Moody’s.</w:t>
      </w:r>
    </w:p>
    <w:p>
      <w:pPr>
        <w:spacing w:after="0" w:line="11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Level IV:</w:t>
      </w:r>
      <w:r>
        <w:rPr>
          <w:sz w:val="20"/>
          <w:szCs w:val="20"/>
          <w:color w:val="auto"/>
        </w:rPr>
        <w:tab/>
      </w:r>
      <w:r>
        <w:rPr>
          <w:rFonts w:ascii="Arial" w:cs="Arial" w:eastAsia="Arial" w:hAnsi="Arial"/>
          <w:sz w:val="16"/>
          <w:szCs w:val="16"/>
          <w:color w:val="auto"/>
        </w:rPr>
        <w:t>Public Debt Rating of lower than Level III but not lower than A- by S&amp;P and A3 by Moody’s.</w:t>
      </w:r>
    </w:p>
    <w:p>
      <w:pPr>
        <w:spacing w:after="0" w:line="11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Level V:</w:t>
      </w:r>
      <w:r>
        <w:rPr>
          <w:sz w:val="20"/>
          <w:szCs w:val="20"/>
          <w:color w:val="auto"/>
        </w:rPr>
        <w:tab/>
      </w:r>
      <w:r>
        <w:rPr>
          <w:rFonts w:ascii="Arial" w:cs="Arial" w:eastAsia="Arial" w:hAnsi="Arial"/>
          <w:sz w:val="16"/>
          <w:szCs w:val="16"/>
          <w:color w:val="auto"/>
        </w:rPr>
        <w:t>Public Debt Rating of lower than Level IV.</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Performance Level shall be based on the level immediately above such lower rating.</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77" w:lineRule="exact"/>
        <w:rPr>
          <w:sz w:val="20"/>
          <w:szCs w:val="20"/>
          <w:color w:val="auto"/>
        </w:rPr>
      </w:pPr>
    </w:p>
    <w:p>
      <w:pPr>
        <w:ind w:left="680" w:hanging="237"/>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for taxes, assessments and governmental charges or levies to the extent not required to be paid under Section 5.01(b) hereof;</w:t>
      </w:r>
    </w:p>
    <w:p>
      <w:pPr>
        <w:spacing w:after="0" w:line="99" w:lineRule="exact"/>
        <w:rPr>
          <w:rFonts w:ascii="Arial" w:cs="Arial" w:eastAsia="Arial" w:hAnsi="Arial"/>
          <w:sz w:val="16"/>
          <w:szCs w:val="16"/>
          <w:color w:val="auto"/>
        </w:rPr>
      </w:pPr>
    </w:p>
    <w:p>
      <w:pPr>
        <w:ind w:right="400" w:firstLine="443"/>
        <w:spacing w:after="0" w:line="268"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imposed by law, such as materialmen’s, mechanics’, carriers’, workmen’s and repairmen’s Liens and other similar Liens arising in the ordinary course of business securing obligations (other than Debt) that (i) are not overdue for a period of</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43" w:name="page44"/>
    <w:bookmarkEnd w:id="43"/>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than 120 days or (ii) are being contested in good faith and by proper proceedings and as to which appropriate reserves are being maintained in accordance with GAAP;</w:t>
      </w:r>
    </w:p>
    <w:p>
      <w:pPr>
        <w:spacing w:after="0" w:line="37" w:lineRule="exact"/>
        <w:rPr>
          <w:sz w:val="20"/>
          <w:szCs w:val="20"/>
          <w:color w:val="auto"/>
        </w:rPr>
      </w:pPr>
    </w:p>
    <w:p>
      <w:pPr>
        <w:ind w:left="680" w:hanging="237"/>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Pledges or deposits to secure obligations under workers’ compensation laws or similar legislation or to secure public or statutory obligations;</w:t>
      </w:r>
    </w:p>
    <w:p>
      <w:pPr>
        <w:spacing w:after="0" w:line="99" w:lineRule="exact"/>
        <w:rPr>
          <w:rFonts w:ascii="Arial" w:cs="Arial" w:eastAsia="Arial" w:hAnsi="Arial"/>
          <w:sz w:val="16"/>
          <w:szCs w:val="16"/>
          <w:color w:val="auto"/>
        </w:rPr>
      </w:pPr>
    </w:p>
    <w:p>
      <w:pPr>
        <w:ind w:right="260" w:firstLine="443"/>
        <w:spacing w:after="0" w:line="268"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37" w:lineRule="exact"/>
        <w:rPr>
          <w:rFonts w:ascii="Arial" w:cs="Arial" w:eastAsia="Arial" w:hAnsi="Arial"/>
          <w:sz w:val="18"/>
          <w:szCs w:val="18"/>
          <w:color w:val="auto"/>
        </w:rPr>
      </w:pPr>
    </w:p>
    <w:p>
      <w:pPr>
        <w:ind w:right="180" w:firstLine="443"/>
        <w:spacing w:after="0" w:line="268"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37"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37"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37" w:lineRule="exact"/>
        <w:rPr>
          <w:sz w:val="20"/>
          <w:szCs w:val="20"/>
          <w:color w:val="auto"/>
        </w:rPr>
      </w:pPr>
    </w:p>
    <w:p>
      <w:pPr>
        <w:jc w:val="both"/>
        <w:ind w:right="120" w:firstLine="438"/>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Rata Share</w:t>
      </w:r>
      <w:r>
        <w:rPr>
          <w:rFonts w:ascii="Arial" w:cs="Arial" w:eastAsia="Arial" w:hAnsi="Arial"/>
          <w:sz w:val="15"/>
          <w:szCs w:val="15"/>
          <w:color w:val="auto"/>
        </w:rPr>
        <w:t>”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SunTrust Bank and JPMorgan Chase Bank.</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8.07(d).</w:t>
      </w:r>
    </w:p>
    <w:p>
      <w:pPr>
        <w:spacing w:after="0" w:line="77" w:lineRule="exact"/>
        <w:rPr>
          <w:sz w:val="20"/>
          <w:szCs w:val="20"/>
          <w:color w:val="auto"/>
        </w:rPr>
      </w:pPr>
    </w:p>
    <w:p>
      <w:pPr>
        <w:jc w:val="both"/>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44" w:name="page45"/>
    <w:bookmarkEnd w:id="44"/>
    <w:p>
      <w:pPr>
        <w:ind w:right="3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37"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3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77"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“shareholders’ equity” as such term is construed in accordance with GAAP and as reported in the Borrower’s reports and registration statements filed with the Securities and Exchange Commission or any national securities exchange.</w:t>
      </w:r>
    </w:p>
    <w:p>
      <w:pPr>
        <w:spacing w:after="0" w:line="37" w:lineRule="exact"/>
        <w:rPr>
          <w:sz w:val="20"/>
          <w:szCs w:val="20"/>
          <w:color w:val="auto"/>
        </w:rPr>
      </w:pPr>
    </w:p>
    <w:p>
      <w:pPr>
        <w:ind w:right="7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shall mean any Subsidiary that would be a “significant subsidiary” within the meaning of Rule 1-02 of the SEC’s Regulation S-X and shall include, so long as the Subsidiary Guaranty is in effect, the Newspaper Subsidiary.</w:t>
      </w:r>
    </w:p>
    <w:p>
      <w:pPr>
        <w:spacing w:after="0" w:line="37" w:lineRule="exact"/>
        <w:rPr>
          <w:sz w:val="20"/>
          <w:szCs w:val="20"/>
          <w:color w:val="auto"/>
        </w:rPr>
      </w:pPr>
    </w:p>
    <w:p>
      <w:pPr>
        <w:ind w:right="2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has the meaning specified in Section 3.01(c)(iv).</w:t>
      </w:r>
    </w:p>
    <w:p>
      <w:pPr>
        <w:spacing w:after="0" w:line="77"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Conversion Date</w:t>
      </w:r>
      <w:r>
        <w:rPr>
          <w:rFonts w:ascii="Arial" w:cs="Arial" w:eastAsia="Arial" w:hAnsi="Arial"/>
          <w:sz w:val="18"/>
          <w:szCs w:val="18"/>
          <w:color w:val="auto"/>
        </w:rPr>
        <w:t>” means the Termination Date on which all Revolving Credit Advances outstanding on such date are converted into a term loan pursuant to Section 2.06.</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45" w:name="page46"/>
    <w:bookmarkEnd w:id="4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Term Loan Election</w:t>
      </w:r>
      <w:r>
        <w:rPr>
          <w:rFonts w:ascii="Arial" w:cs="Arial" w:eastAsia="Arial" w:hAnsi="Arial"/>
          <w:sz w:val="18"/>
          <w:szCs w:val="18"/>
          <w:color w:val="auto"/>
        </w:rPr>
        <w:t>” has the meaning specified in Section 2.06.</w:t>
      </w:r>
    </w:p>
    <w:p>
      <w:pPr>
        <w:spacing w:after="0" w:line="77"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earlier of (a) August 10, 2005, subject to the extension thereof pursuant to Section 2.17 and (b) the date of termination in whole of the Commitments pursuant to Section 2.05 or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49"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46" w:lineRule="exact"/>
        <w:rPr>
          <w:sz w:val="20"/>
          <w:szCs w:val="20"/>
          <w:color w:val="auto"/>
        </w:rPr>
      </w:pPr>
    </w:p>
    <w:p>
      <w:pPr>
        <w:ind w:left="460" w:right="2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terms of an accounting or financial nature shall be construed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AND TERMS OF THE ADVANCES</w:t>
      </w:r>
    </w:p>
    <w:p>
      <w:pPr>
        <w:spacing w:after="0" w:line="15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Revolving Credit Advances</w:t>
      </w:r>
      <w:r>
        <w:rPr>
          <w:rFonts w:ascii="Arial" w:cs="Arial" w:eastAsia="Arial" w:hAnsi="Arial"/>
          <w:sz w:val="16"/>
          <w:szCs w:val="16"/>
          <w:color w:val="auto"/>
        </w:rPr>
        <w:t>.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46" w:name="page47"/>
    <w:bookmarkEnd w:id="46"/>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Revolving Credit Advances</w:t>
      </w:r>
      <w:r>
        <w:rPr>
          <w:rFonts w:ascii="Arial" w:cs="Arial" w:eastAsia="Arial" w:hAnsi="Arial"/>
          <w:sz w:val="16"/>
          <w:szCs w:val="16"/>
          <w:color w:val="auto"/>
        </w:rPr>
        <w:t>.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14" w:lineRule="exact"/>
        <w:rPr>
          <w:sz w:val="20"/>
          <w:szCs w:val="20"/>
          <w:color w:val="auto"/>
        </w:rPr>
      </w:pPr>
    </w:p>
    <w:p>
      <w:pPr>
        <w:ind w:right="140" w:firstLine="464"/>
        <w:spacing w:after="0" w:line="256"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29" w:lineRule="exact"/>
        <w:rPr>
          <w:rFonts w:ascii="Arial" w:cs="Arial" w:eastAsia="Arial" w:hAnsi="Arial"/>
          <w:sz w:val="18"/>
          <w:szCs w:val="18"/>
          <w:color w:val="auto"/>
        </w:rPr>
      </w:pPr>
    </w:p>
    <w:p>
      <w:pPr>
        <w:ind w:right="120" w:firstLine="464"/>
        <w:spacing w:after="0" w:line="253"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7" w:name="page48"/>
    <w:bookmarkEnd w:id="47"/>
    <w:p>
      <w:pPr>
        <w:ind w:firstLine="464"/>
        <w:spacing w:after="0" w:line="288"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06" w:lineRule="exact"/>
        <w:rPr>
          <w:rFonts w:ascii="Arial" w:cs="Arial" w:eastAsia="Arial" w:hAnsi="Arial"/>
          <w:sz w:val="16"/>
          <w:szCs w:val="16"/>
          <w:color w:val="auto"/>
        </w:rPr>
      </w:pPr>
    </w:p>
    <w:p>
      <w:pPr>
        <w:jc w:val="both"/>
        <w:ind w:right="280" w:firstLine="464"/>
        <w:spacing w:after="0" w:line="306" w:lineRule="auto"/>
        <w:tabs>
          <w:tab w:leader="none" w:pos="6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each Competitive Bid Borrowing shall not exceed the aggregate amount of the Unused Commitments of the Lenders on such Business Day.</w:t>
      </w:r>
    </w:p>
    <w:p>
      <w:pPr>
        <w:spacing w:after="0" w:line="49" w:lineRule="exact"/>
        <w:rPr>
          <w:sz w:val="20"/>
          <w:szCs w:val="20"/>
          <w:color w:val="auto"/>
        </w:rPr>
      </w:pPr>
    </w:p>
    <w:p>
      <w:pPr>
        <w:jc w:val="both"/>
        <w:ind w:left="460" w:right="180" w:firstLine="443"/>
        <w:spacing w:after="0" w:line="286" w:lineRule="auto"/>
        <w:tabs>
          <w:tab w:leader="none" w:pos="11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or telex, a notice of a 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ind w:left="460" w:right="20" w:firstLine="4"/>
        <w:spacing w:after="0" w:line="281" w:lineRule="auto"/>
        <w:tabs>
          <w:tab w:leader="none" w:pos="7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date of such proposed Competitive Bid Borrowing, (v) aggregate amount of such proposed Competitive Bid 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 (y) interest payment date or dates relating thereto, and (z) other terms (if any) to be applicable to such Competitive Bid Borrowing, not later than 10:00 A.M. (New York City time)</w:t>
      </w:r>
    </w:p>
    <w:p>
      <w:pPr>
        <w:spacing w:after="0" w:line="3" w:lineRule="exact"/>
        <w:rPr>
          <w:rFonts w:ascii="Arial" w:cs="Arial" w:eastAsia="Arial" w:hAnsi="Arial"/>
          <w:sz w:val="16"/>
          <w:szCs w:val="16"/>
          <w:color w:val="auto"/>
        </w:rPr>
      </w:pPr>
    </w:p>
    <w:p>
      <w:pPr>
        <w:ind w:left="460" w:right="100"/>
        <w:spacing w:after="0" w:line="255" w:lineRule="auto"/>
        <w:rPr>
          <w:rFonts w:ascii="Arial" w:cs="Arial" w:eastAsia="Arial" w:hAnsi="Arial"/>
          <w:sz w:val="16"/>
          <w:szCs w:val="16"/>
          <w:color w:val="auto"/>
        </w:rPr>
      </w:pPr>
      <w:r>
        <w:rPr>
          <w:rFonts w:ascii="Arial" w:cs="Arial" w:eastAsia="Arial" w:hAnsi="Arial"/>
          <w:sz w:val="18"/>
          <w:szCs w:val="18"/>
          <w:color w:val="auto"/>
        </w:rPr>
        <w:t>(A)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8"/>
          <w:szCs w:val="18"/>
          <w:u w:val="single" w:color="auto"/>
          <w:color w:val="auto"/>
        </w:rPr>
        <w:t>Fixed Rate Advances</w:t>
      </w:r>
      <w:r>
        <w:rPr>
          <w:rFonts w:ascii="Arial" w:cs="Arial" w:eastAsia="Arial" w:hAnsi="Arial"/>
          <w:sz w:val="18"/>
          <w:szCs w:val="18"/>
          <w:color w:val="auto"/>
        </w:rPr>
        <w:t>”) and (B) at least four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48" w:name="page49"/>
    <w:bookmarkEnd w:id="4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w:t>
      </w:r>
      <w:r>
        <w:rPr>
          <w:rFonts w:ascii="Arial" w:cs="Arial" w:eastAsia="Arial" w:hAnsi="Arial"/>
          <w:sz w:val="16"/>
          <w:szCs w:val="16"/>
          <w:u w:val="single" w:color="auto"/>
          <w:color w:val="auto"/>
        </w:rPr>
        <w:t>LIBO Rate Advances</w:t>
      </w:r>
      <w:r>
        <w:rPr>
          <w:rFonts w:ascii="Arial" w:cs="Arial" w:eastAsia="Arial" w:hAnsi="Arial"/>
          <w:sz w:val="16"/>
          <w:szCs w:val="16"/>
          <w:color w:val="auto"/>
        </w:rPr>
        <w:t>”).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21" w:lineRule="exact"/>
        <w:rPr>
          <w:sz w:val="20"/>
          <w:szCs w:val="20"/>
          <w:color w:val="auto"/>
        </w:rPr>
      </w:pPr>
    </w:p>
    <w:p>
      <w:pPr>
        <w:ind w:right="20" w:firstLine="443"/>
        <w:spacing w:after="0" w:line="285" w:lineRule="auto"/>
        <w:tabs>
          <w:tab w:leader="none" w:pos="6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33" w:lineRule="exact"/>
        <w:rPr>
          <w:rFonts w:ascii="Arial" w:cs="Arial" w:eastAsia="Arial" w:hAnsi="Arial"/>
          <w:sz w:val="16"/>
          <w:szCs w:val="16"/>
          <w:color w:val="auto"/>
        </w:rPr>
      </w:pPr>
    </w:p>
    <w:p>
      <w:pPr>
        <w:jc w:val="both"/>
        <w:ind w:right="100" w:firstLine="443"/>
        <w:spacing w:after="0" w:line="306" w:lineRule="auto"/>
        <w:tabs>
          <w:tab w:leader="none" w:pos="7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2" w:lineRule="exact"/>
        <w:rPr>
          <w:rFonts w:ascii="Arial" w:cs="Arial" w:eastAsia="Arial" w:hAnsi="Arial"/>
          <w:sz w:val="16"/>
          <w:szCs w:val="16"/>
          <w:color w:val="auto"/>
        </w:rPr>
      </w:pPr>
    </w:p>
    <w:p>
      <w:pPr>
        <w:ind w:left="1120" w:hanging="239"/>
        <w:spacing w:after="0"/>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76" w:lineRule="exact"/>
        <w:rPr>
          <w:rFonts w:ascii="Arial" w:cs="Arial" w:eastAsia="Arial" w:hAnsi="Arial"/>
          <w:sz w:val="18"/>
          <w:szCs w:val="18"/>
          <w:color w:val="auto"/>
        </w:rPr>
      </w:pPr>
    </w:p>
    <w:p>
      <w:pPr>
        <w:ind w:left="460" w:firstLine="421"/>
        <w:spacing w:after="0" w:line="259" w:lineRule="auto"/>
        <w:tabs>
          <w:tab w:leader="none" w:pos="11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49" w:name="page50"/>
    <w:bookmarkEnd w:id="49"/>
    <w:p>
      <w:pPr>
        <w:ind w:left="460"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50" w:lineRule="exact"/>
        <w:rPr>
          <w:sz w:val="20"/>
          <w:szCs w:val="20"/>
          <w:color w:val="auto"/>
        </w:rPr>
      </w:pPr>
    </w:p>
    <w:p>
      <w:pPr>
        <w:ind w:right="220" w:firstLine="443"/>
        <w:spacing w:after="0" w:line="268" w:lineRule="auto"/>
        <w:tabs>
          <w:tab w:leader="none" w:pos="7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37" w:lineRule="exact"/>
        <w:rPr>
          <w:rFonts w:ascii="Arial" w:cs="Arial" w:eastAsia="Arial" w:hAnsi="Arial"/>
          <w:sz w:val="18"/>
          <w:szCs w:val="18"/>
          <w:color w:val="auto"/>
        </w:rPr>
      </w:pPr>
    </w:p>
    <w:p>
      <w:pPr>
        <w:ind w:firstLine="443"/>
        <w:spacing w:after="0" w:line="286"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26" w:lineRule="exact"/>
        <w:rPr>
          <w:rFonts w:ascii="Arial" w:cs="Arial" w:eastAsia="Arial" w:hAnsi="Arial"/>
          <w:sz w:val="16"/>
          <w:szCs w:val="16"/>
          <w:color w:val="auto"/>
        </w:rPr>
      </w:pPr>
    </w:p>
    <w:p>
      <w:pPr>
        <w:ind w:right="140" w:firstLine="443"/>
        <w:spacing w:after="0" w:line="294" w:lineRule="auto"/>
        <w:tabs>
          <w:tab w:leader="none" w:pos="7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50" w:name="page51"/>
    <w:bookmarkEnd w:id="50"/>
    <w:p>
      <w:pPr>
        <w:ind w:left="452"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Bid Advance to be made by such Lender as part of such Competitive Bid Borrowing when such Competitive Bid Advance, as a result of such failure, is not made on such date.</w:t>
      </w:r>
    </w:p>
    <w:p>
      <w:pPr>
        <w:spacing w:after="0" w:line="118" w:lineRule="exact"/>
        <w:rPr>
          <w:sz w:val="20"/>
          <w:szCs w:val="20"/>
          <w:color w:val="auto"/>
        </w:rPr>
      </w:pPr>
    </w:p>
    <w:p>
      <w:pPr>
        <w:jc w:val="both"/>
        <w:ind w:left="-8" w:right="20" w:firstLine="464"/>
        <w:spacing w:after="0" w:line="286" w:lineRule="auto"/>
        <w:tabs>
          <w:tab w:leader="none" w:pos="69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w:t>
      </w:r>
    </w:p>
    <w:p>
      <w:pPr>
        <w:ind w:left="232" w:hanging="232"/>
        <w:spacing w:after="0"/>
        <w:tabs>
          <w:tab w:leader="none" w:pos="2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above.</w:t>
      </w:r>
    </w:p>
    <w:p>
      <w:pPr>
        <w:spacing w:after="0" w:line="151" w:lineRule="exact"/>
        <w:rPr>
          <w:rFonts w:ascii="Arial" w:cs="Arial" w:eastAsia="Arial" w:hAnsi="Arial"/>
          <w:sz w:val="18"/>
          <w:szCs w:val="18"/>
          <w:color w:val="auto"/>
        </w:rPr>
      </w:pPr>
    </w:p>
    <w:p>
      <w:pPr>
        <w:ind w:left="-8" w:firstLine="464"/>
        <w:spacing w:after="0" w:line="259" w:lineRule="auto"/>
        <w:tabs>
          <w:tab w:leader="none" w:pos="6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Within the limits and on the conditions set forth in this Section 2.03, the Borrower may from time to time borrow under this Section 2.03, repay or prepay pursuant to 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one Business Day of the date of any other Competitive Bid Borrowing.</w:t>
      </w:r>
    </w:p>
    <w:p>
      <w:pPr>
        <w:spacing w:after="0" w:line="126" w:lineRule="exact"/>
        <w:rPr>
          <w:rFonts w:ascii="Arial" w:cs="Arial" w:eastAsia="Arial" w:hAnsi="Arial"/>
          <w:sz w:val="18"/>
          <w:szCs w:val="18"/>
          <w:color w:val="auto"/>
        </w:rPr>
      </w:pPr>
    </w:p>
    <w:p>
      <w:pPr>
        <w:ind w:left="-8" w:right="80" w:firstLine="464"/>
        <w:spacing w:after="0" w:line="291" w:lineRule="auto"/>
        <w:tabs>
          <w:tab w:leader="none" w:pos="69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06" w:lineRule="exact"/>
        <w:rPr>
          <w:rFonts w:ascii="Arial" w:cs="Arial" w:eastAsia="Arial" w:hAnsi="Arial"/>
          <w:sz w:val="16"/>
          <w:szCs w:val="16"/>
          <w:color w:val="auto"/>
        </w:rPr>
      </w:pPr>
    </w:p>
    <w:p>
      <w:pPr>
        <w:ind w:left="-8" w:right="80" w:firstLine="464"/>
        <w:spacing w:after="0" w:line="289" w:lineRule="auto"/>
        <w:tabs>
          <w:tab w:leader="none" w:pos="68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04" w:lineRule="exact"/>
        <w:rPr>
          <w:rFonts w:ascii="Arial" w:cs="Arial" w:eastAsia="Arial" w:hAnsi="Arial"/>
          <w:sz w:val="16"/>
          <w:szCs w:val="16"/>
          <w:color w:val="auto"/>
        </w:rPr>
      </w:pPr>
    </w:p>
    <w:p>
      <w:pPr>
        <w:ind w:left="-8" w:right="40" w:firstLine="464"/>
        <w:spacing w:after="0" w:line="332" w:lineRule="auto"/>
        <w:tabs>
          <w:tab w:leader="none" w:pos="6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7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51" w:name="page52"/>
    <w:bookmarkEnd w:id="51"/>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2004, and on the Termination Date.</w:t>
      </w:r>
    </w:p>
    <w:p>
      <w:pPr>
        <w:spacing w:after="0" w:line="102" w:lineRule="exact"/>
        <w:rPr>
          <w:sz w:val="20"/>
          <w:szCs w:val="20"/>
          <w:color w:val="auto"/>
        </w:rPr>
      </w:pPr>
    </w:p>
    <w:p>
      <w:pPr>
        <w:ind w:left="720" w:hanging="256"/>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 Borrower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1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Termination or Reduction</w:t>
      </w:r>
      <w:r>
        <w:rPr>
          <w:rFonts w:ascii="Arial" w:cs="Arial" w:eastAsia="Arial" w:hAnsi="Arial"/>
          <w:sz w:val="16"/>
          <w:szCs w:val="16"/>
          <w:color w:val="auto"/>
        </w:rPr>
        <w:t xml:space="preserve">. (i)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shall have the right, upon at least three Business Days’ notice to the Agent, to terminate in whole or reduce ratably in part the respective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8" w:lineRule="exact"/>
        <w:rPr>
          <w:sz w:val="20"/>
          <w:szCs w:val="20"/>
          <w:color w:val="auto"/>
        </w:rPr>
      </w:pPr>
    </w:p>
    <w:p>
      <w:pPr>
        <w:ind w:left="460" w:right="120" w:firstLine="443"/>
        <w:spacing w:after="0" w:line="298" w:lineRule="auto"/>
        <w:tabs>
          <w:tab w:leader="none" w:pos="115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w:t>
      </w:r>
      <w:r>
        <w:rPr>
          <w:rFonts w:ascii="Arial" w:cs="Arial" w:eastAsia="Arial" w:hAnsi="Arial"/>
          <w:sz w:val="16"/>
          <w:szCs w:val="16"/>
          <w:u w:val="single" w:color="auto"/>
          <w:color w:val="auto"/>
        </w:rPr>
        <w:t>exceed</w:t>
      </w:r>
      <w:r>
        <w:rPr>
          <w:rFonts w:ascii="Arial" w:cs="Arial" w:eastAsia="Arial" w:hAnsi="Arial"/>
          <w:sz w:val="16"/>
          <w:szCs w:val="16"/>
          <w:color w:val="auto"/>
        </w:rPr>
        <w:t xml:space="preserve"> (B) the aggregate unpaid principal amount of all Revolving Credit Advances outstanding at such time.</w:t>
      </w:r>
    </w:p>
    <w:p>
      <w:pPr>
        <w:spacing w:after="0" w:line="99" w:lineRule="exact"/>
        <w:rPr>
          <w:rFonts w:ascii="Arial" w:cs="Arial" w:eastAsia="Arial" w:hAnsi="Arial"/>
          <w:sz w:val="16"/>
          <w:szCs w:val="16"/>
          <w:color w:val="auto"/>
        </w:rPr>
      </w:pPr>
    </w:p>
    <w:p>
      <w:pPr>
        <w:ind w:firstLine="464"/>
        <w:spacing w:after="0" w:line="28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Increase in Aggregate of the Commitments</w:t>
      </w:r>
      <w:r>
        <w:rPr>
          <w:rFonts w:ascii="Arial" w:cs="Arial" w:eastAsia="Arial" w:hAnsi="Arial"/>
          <w:sz w:val="16"/>
          <w:szCs w:val="16"/>
          <w:color w:val="auto"/>
        </w:rPr>
        <w:t>. (i) The Borrower may at any time, by notice to the Agent, propose that the aggregate amount of the Commitments be increased (such aggregate amount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effective as at a date prior to the Termination Date (an “</w:t>
      </w:r>
      <w:r>
        <w:rPr>
          <w:rFonts w:ascii="Arial" w:cs="Arial" w:eastAsia="Arial" w:hAnsi="Arial"/>
          <w:sz w:val="16"/>
          <w:szCs w:val="16"/>
          <w:u w:val="single" w:color="auto"/>
          <w:color w:val="auto"/>
        </w:rPr>
        <w:t>Increase Date</w:t>
      </w:r>
      <w:r>
        <w:rPr>
          <w:rFonts w:ascii="Arial" w:cs="Arial" w:eastAsia="Arial" w:hAnsi="Arial"/>
          <w:sz w:val="16"/>
          <w:szCs w:val="16"/>
          <w:color w:val="auto"/>
        </w:rPr>
        <w:t>”) as to which agreement is to be reached by an earlier date specified in such notice (a “</w:t>
      </w:r>
      <w:r>
        <w:rPr>
          <w:rFonts w:ascii="Arial" w:cs="Arial" w:eastAsia="Arial" w:hAnsi="Arial"/>
          <w:sz w:val="16"/>
          <w:szCs w:val="16"/>
          <w:u w:val="single" w:color="auto"/>
          <w:color w:val="auto"/>
        </w:rPr>
        <w:t>Commitment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Borrower may not propose more than two Commitment Increases in any calendar year, (B) the minimum proposed Commitment Increase per notice shall be $25,000,000, (C) in no event shall the aggregate amount of the Commitments at any time exceed $350,000,000,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52" w:name="page53"/>
    <w:bookmarkEnd w:id="52"/>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4" w:lineRule="exact"/>
        <w:rPr>
          <w:sz w:val="20"/>
          <w:szCs w:val="20"/>
          <w:color w:val="auto"/>
        </w:rPr>
      </w:pPr>
    </w:p>
    <w:p>
      <w:pPr>
        <w:jc w:val="both"/>
        <w:ind w:left="460" w:right="60" w:firstLine="443"/>
        <w:spacing w:after="0" w:line="286" w:lineRule="auto"/>
        <w:tabs>
          <w:tab w:leader="none" w:pos="1147"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w:t>
      </w: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opinion of counsel for the Borrower (which may be in-house counsel), in substantially the form of Exhibit E-1 hereto;</w:t>
      </w:r>
    </w:p>
    <w:p>
      <w:pPr>
        <w:spacing w:after="0" w:line="70"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 w:lineRule="exact"/>
        <w:rPr>
          <w:rFonts w:ascii="Arial" w:cs="Arial" w:eastAsia="Arial" w:hAnsi="Arial"/>
          <w:sz w:val="16"/>
          <w:szCs w:val="16"/>
          <w:color w:val="auto"/>
        </w:rPr>
      </w:pPr>
    </w:p>
    <w:p>
      <w:pPr>
        <w:ind w:left="460" w:right="160" w:firstLine="443"/>
        <w:spacing w:after="0" w:line="325" w:lineRule="auto"/>
        <w:tabs>
          <w:tab w:leader="none" w:pos="11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1" w:lineRule="exact"/>
        <w:rPr>
          <w:sz w:val="20"/>
          <w:szCs w:val="20"/>
          <w:color w:val="auto"/>
        </w:rPr>
      </w:pPr>
    </w:p>
    <w:p>
      <w:pPr>
        <w:ind w:left="460" w:firstLine="443"/>
        <w:spacing w:after="0" w:line="287" w:lineRule="auto"/>
        <w:tabs>
          <w:tab w:leader="none" w:pos="11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53" w:name="page54"/>
    <w:bookmarkEnd w:id="53"/>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26" w:lineRule="exact"/>
        <w:rPr>
          <w:sz w:val="20"/>
          <w:szCs w:val="20"/>
          <w:color w:val="auto"/>
        </w:rPr>
      </w:pPr>
    </w:p>
    <w:p>
      <w:pPr>
        <w:jc w:val="both"/>
        <w:ind w:left="460" w:right="300" w:firstLine="443"/>
        <w:spacing w:after="0" w:line="294" w:lineRule="auto"/>
        <w:tabs>
          <w:tab w:leader="none" w:pos="12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0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 of Revolving Credit Advances; Term Loan Election</w:t>
      </w:r>
      <w:r>
        <w:rPr>
          <w:rFonts w:ascii="Arial" w:cs="Arial" w:eastAsia="Arial" w:hAnsi="Arial"/>
          <w:sz w:val="16"/>
          <w:szCs w:val="16"/>
          <w:color w:val="auto"/>
        </w:rPr>
        <w:t>. The Borrower shall, subject to the next succeeding sentence, repay to the Agent for the ratable account of the Lenders on the Termination Date the aggregate principal amount of the Revolving Credit Advances then outstanding. The Borrower may, upon not less than 15 days’ notice to the Agent, elect (the “</w:t>
      </w:r>
      <w:r>
        <w:rPr>
          <w:rFonts w:ascii="Arial" w:cs="Arial" w:eastAsia="Arial" w:hAnsi="Arial"/>
          <w:sz w:val="16"/>
          <w:szCs w:val="16"/>
          <w:u w:val="single" w:color="auto"/>
          <w:color w:val="auto"/>
        </w:rPr>
        <w:t>Term Loan Election</w:t>
      </w:r>
      <w:r>
        <w:rPr>
          <w:rFonts w:ascii="Arial" w:cs="Arial" w:eastAsia="Arial" w:hAnsi="Arial"/>
          <w:sz w:val="16"/>
          <w:szCs w:val="16"/>
          <w:color w:val="auto"/>
        </w:rPr>
        <w:t xml:space="preserve">”) to convert a portion or all of the Revolving Credit Advances outstanding on the Termination Date in effect at such time into a term loan which the Borrower shall repay in full ratably to the Lenders on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 Loan Election may not be exercised if a Default has occurred and is continuing on the date of notice of the Term Loan Election or on the date on which the Term Loan Election is to be effected and (ii) the aggregate principal amount of any portion of the outstanding Revolving Credit Advances not converted pursuant to the Term Loan Election shall be repaid on the Termination Date. All Revolving Credit Advances converted into a term loan pursuant to this Section 2.06 shall continue to constitute Revolving Credit Advances except that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not reborrow pursuant to Section 2.01 after all or any portion of such Revolving Credit Advances have been prepaid pursuant to Section 2.10.</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46" w:lineRule="exact"/>
        <w:rPr>
          <w:sz w:val="20"/>
          <w:szCs w:val="20"/>
          <w:color w:val="auto"/>
        </w:rPr>
      </w:pPr>
    </w:p>
    <w:p>
      <w:pPr>
        <w:jc w:val="both"/>
        <w:ind w:left="460" w:right="20" w:firstLine="443"/>
        <w:spacing w:after="0" w:line="256" w:lineRule="auto"/>
        <w:tabs>
          <w:tab w:leader="none" w:pos="110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48" w:lineRule="exact"/>
        <w:rPr>
          <w:rFonts w:ascii="Arial" w:cs="Arial" w:eastAsia="Arial" w:hAnsi="Arial"/>
          <w:sz w:val="18"/>
          <w:szCs w:val="18"/>
          <w:color w:val="auto"/>
        </w:rPr>
      </w:pPr>
    </w:p>
    <w:p>
      <w:pPr>
        <w:ind w:left="460" w:firstLine="443"/>
        <w:spacing w:after="0" w:line="254" w:lineRule="auto"/>
        <w:tabs>
          <w:tab w:leader="none" w:pos="115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During such periods as such Revolving Credit Advance is a Eurodollar Rate Advance, a rate per annum equal at all times during each Interest Period for such Revolving Credit Advance to the sum of (x) the Eurodollar Rate for such Interest Period for such Revolving Credit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30"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31"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u w:val="single" w:color="auto"/>
          <w:color w:val="auto"/>
        </w:rPr>
        <w:t>Interest Rate Determination</w:t>
      </w:r>
      <w:r>
        <w:rPr>
          <w:rFonts w:ascii="Arial" w:cs="Arial" w:eastAsia="Arial" w:hAnsi="Arial"/>
          <w:sz w:val="15"/>
          <w:szCs w:val="15"/>
          <w:color w:val="auto"/>
        </w:rPr>
        <w:t>.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79" w:lineRule="exact"/>
        <w:rPr>
          <w:sz w:val="20"/>
          <w:szCs w:val="20"/>
          <w:color w:val="auto"/>
        </w:rPr>
      </w:pPr>
    </w:p>
    <w:p>
      <w:pPr>
        <w:ind w:right="42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with respect to any Eurodollar Rate Advances, the Required Lenders notify the Agent that the Eurodollar Rate for any Interest Period for such Advances will not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280" w:right="33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29" w:lineRule="exact"/>
        <w:rPr>
          <w:sz w:val="20"/>
          <w:szCs w:val="20"/>
          <w:color w:val="auto"/>
        </w:rPr>
      </w:pPr>
    </w:p>
    <w:p>
      <w:pPr>
        <w:ind w:right="120" w:firstLine="464"/>
        <w:spacing w:after="0" w:line="259"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26"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26" w:lineRule="exact"/>
        <w:rPr>
          <w:rFonts w:ascii="Arial" w:cs="Arial" w:eastAsia="Arial" w:hAnsi="Arial"/>
          <w:sz w:val="18"/>
          <w:szCs w:val="18"/>
          <w:color w:val="auto"/>
        </w:rPr>
      </w:pPr>
    </w:p>
    <w:p>
      <w:pPr>
        <w:ind w:right="140" w:firstLine="464"/>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Moneyline Telerate Page 3750 (or any successor page) as of 11:00 A.M. (London time), or in the event such offered rate is not available from the Moneyline Telerate Page 3750,</w:t>
      </w:r>
    </w:p>
    <w:p>
      <w:pPr>
        <w:spacing w:after="0" w:line="48" w:lineRule="exact"/>
        <w:rPr>
          <w:rFonts w:ascii="Arial" w:cs="Arial" w:eastAsia="Arial" w:hAnsi="Arial"/>
          <w:sz w:val="18"/>
          <w:szCs w:val="18"/>
          <w:color w:val="auto"/>
        </w:rPr>
      </w:pPr>
    </w:p>
    <w:p>
      <w:pPr>
        <w:ind w:left="460" w:right="240" w:firstLine="443"/>
        <w:spacing w:after="0" w:line="268"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Eurodollar Rate Advances or LIBO Rate Advances, as the case may be,</w:t>
      </w:r>
    </w:p>
    <w:p>
      <w:pPr>
        <w:spacing w:after="0" w:line="37" w:lineRule="exact"/>
        <w:rPr>
          <w:rFonts w:ascii="Arial" w:cs="Arial" w:eastAsia="Arial" w:hAnsi="Arial"/>
          <w:sz w:val="18"/>
          <w:szCs w:val="18"/>
          <w:color w:val="auto"/>
        </w:rPr>
      </w:pPr>
    </w:p>
    <w:p>
      <w:pPr>
        <w:ind w:left="460" w:right="360" w:firstLine="443"/>
        <w:spacing w:after="0" w:line="325" w:lineRule="auto"/>
        <w:tabs>
          <w:tab w:leader="none" w:pos="11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 w:lineRule="exact"/>
        <w:rPr>
          <w:rFonts w:ascii="Arial" w:cs="Arial" w:eastAsia="Arial" w:hAnsi="Arial"/>
          <w:sz w:val="16"/>
          <w:szCs w:val="16"/>
          <w:color w:val="auto"/>
        </w:rPr>
      </w:pPr>
    </w:p>
    <w:p>
      <w:pPr>
        <w:ind w:left="460" w:right="60" w:firstLine="443"/>
        <w:spacing w:after="0" w:line="259"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6" w:name="page57"/>
    <w:bookmarkEnd w:id="56"/>
    <w:p>
      <w:pPr>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Prepayments of Revolving Credit Advances</w:t>
      </w:r>
      <w:r>
        <w:rPr>
          <w:rFonts w:ascii="Arial" w:cs="Arial" w:eastAsia="Arial" w:hAnsi="Arial"/>
          <w:sz w:val="16"/>
          <w:szCs w:val="16"/>
          <w:color w:val="auto"/>
        </w:rPr>
        <w:t xml:space="preserve">.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Increased Costs</w:t>
      </w:r>
      <w:r>
        <w:rPr>
          <w:rFonts w:ascii="Arial" w:cs="Arial" w:eastAsia="Arial" w:hAnsi="Arial"/>
          <w:sz w:val="16"/>
          <w:szCs w:val="16"/>
          <w:color w:val="auto"/>
        </w:rPr>
        <w:t>.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14" w:lineRule="exact"/>
        <w:rPr>
          <w:sz w:val="20"/>
          <w:szCs w:val="20"/>
          <w:color w:val="auto"/>
        </w:rPr>
      </w:pPr>
    </w:p>
    <w:p>
      <w:pPr>
        <w:ind w:right="80" w:firstLine="464"/>
        <w:spacing w:after="0" w:line="259"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57" w:name="page58"/>
    <w:bookmarkEnd w:id="57"/>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06" w:lineRule="exact"/>
        <w:rPr>
          <w:sz w:val="20"/>
          <w:szCs w:val="20"/>
          <w:color w:val="auto"/>
        </w:rPr>
      </w:pPr>
    </w:p>
    <w:p>
      <w:pPr>
        <w:ind w:firstLine="464"/>
        <w:spacing w:after="0" w:line="287"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09"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Illegality</w:t>
      </w:r>
      <w:r>
        <w:rPr>
          <w:rFonts w:ascii="Arial" w:cs="Arial" w:eastAsia="Arial" w:hAnsi="Arial"/>
          <w:sz w:val="18"/>
          <w:szCs w:val="18"/>
          <w:color w:val="auto"/>
        </w:rPr>
        <w:t>.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58" w:name="page59"/>
    <w:bookmarkEnd w:id="58"/>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05" w:lineRule="exact"/>
        <w:rPr>
          <w:sz w:val="20"/>
          <w:szCs w:val="20"/>
          <w:color w:val="auto"/>
        </w:rPr>
      </w:pPr>
    </w:p>
    <w:p>
      <w:pPr>
        <w:ind w:firstLine="464"/>
        <w:spacing w:after="0" w:line="259"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27"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Payments and Computations</w:t>
      </w:r>
      <w:r>
        <w:rPr>
          <w:rFonts w:ascii="Arial" w:cs="Arial" w:eastAsia="Arial" w:hAnsi="Arial"/>
          <w:sz w:val="15"/>
          <w:szCs w:val="15"/>
          <w:color w:val="auto"/>
        </w:rPr>
        <w:t>.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11" w:lineRule="exact"/>
        <w:rPr>
          <w:sz w:val="20"/>
          <w:szCs w:val="20"/>
          <w:color w:val="auto"/>
        </w:rPr>
      </w:pPr>
    </w:p>
    <w:p>
      <w:pPr>
        <w:ind w:right="60" w:firstLine="464"/>
        <w:spacing w:after="0" w:line="306"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facility fees are payable. Each determination by the Agent of an interest rate hereunder shall be conclusive and binding for all purposes, absent manifest error.</w:t>
      </w:r>
    </w:p>
    <w:p>
      <w:pPr>
        <w:spacing w:after="0" w:line="181" w:lineRule="exact"/>
        <w:rPr>
          <w:sz w:val="20"/>
          <w:szCs w:val="20"/>
          <w:color w:val="auto"/>
        </w:rPr>
      </w:pPr>
    </w:p>
    <w:p>
      <w:pPr>
        <w:ind w:right="80" w:firstLine="464"/>
        <w:spacing w:after="0" w:line="298"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Eurodollar Rate Advances or LIBO Rate Advances to be made in the next following calendar month, such payment shall be made on the next preceding Business Day.</w:t>
      </w:r>
    </w:p>
    <w:p>
      <w:pPr>
        <w:spacing w:after="0" w:line="99" w:lineRule="exact"/>
        <w:rPr>
          <w:rFonts w:ascii="Arial" w:cs="Arial" w:eastAsia="Arial" w:hAnsi="Arial"/>
          <w:sz w:val="16"/>
          <w:szCs w:val="16"/>
          <w:color w:val="auto"/>
        </w:rPr>
      </w:pPr>
    </w:p>
    <w:p>
      <w:pPr>
        <w:ind w:right="20" w:firstLine="464"/>
        <w:spacing w:after="0" w:line="254"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0" w:name="page61"/>
    <w:bookmarkEnd w:id="60"/>
    <w:p>
      <w:pPr>
        <w:jc w:val="both"/>
        <w:ind w:left="-40" w:firstLine="464"/>
        <w:spacing w:after="0" w:line="259" w:lineRule="auto"/>
        <w:tabs>
          <w:tab w:leader="none" w:pos="665"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jc w:val="both"/>
        <w:ind w:left="-40" w:right="40" w:firstLine="464"/>
        <w:spacing w:after="0" w:line="256"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29" w:lineRule="exact"/>
        <w:rPr>
          <w:rFonts w:ascii="Arial" w:cs="Arial" w:eastAsia="Arial" w:hAnsi="Arial"/>
          <w:sz w:val="18"/>
          <w:szCs w:val="18"/>
          <w:color w:val="auto"/>
        </w:rPr>
      </w:pPr>
    </w:p>
    <w:p>
      <w:pPr>
        <w:ind w:left="-40" w:right="80" w:firstLine="464"/>
        <w:spacing w:after="0" w:line="291"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06" w:lineRule="exact"/>
        <w:rPr>
          <w:rFonts w:ascii="Arial" w:cs="Arial" w:eastAsia="Arial" w:hAnsi="Arial"/>
          <w:sz w:val="16"/>
          <w:szCs w:val="16"/>
          <w:color w:val="auto"/>
        </w:rPr>
      </w:pPr>
    </w:p>
    <w:p>
      <w:pPr>
        <w:ind w:left="-40" w:right="40" w:firstLine="464"/>
        <w:spacing w:after="0" w:line="285"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280" w:right="259" w:bottom="1440" w:gutter="0" w:footer="0" w:header="0"/>
        </w:sectPr>
      </w:pPr>
    </w:p>
    <w:bookmarkStart w:id="61" w:name="page62"/>
    <w:bookmarkEnd w:id="6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18" w:lineRule="exact"/>
        <w:rPr>
          <w:sz w:val="20"/>
          <w:szCs w:val="20"/>
          <w:color w:val="auto"/>
        </w:rPr>
      </w:pPr>
    </w:p>
    <w:p>
      <w:pPr>
        <w:jc w:val="both"/>
        <w:ind w:right="140" w:firstLine="464"/>
        <w:spacing w:after="0" w:line="294" w:lineRule="auto"/>
        <w:tabs>
          <w:tab w:leader="none" w:pos="67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the Borrower with the appropriate form described in Section 2.14(e)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should a Lender become subject to Taxes because of its failure to deliver a form required hereunder, the Borrower shall take such steps as the Lender shall reasonably request to assist the Lender to recover such Taxes.</w:t>
      </w:r>
    </w:p>
    <w:p>
      <w:pPr>
        <w:spacing w:after="0" w:line="102" w:lineRule="exact"/>
        <w:rPr>
          <w:rFonts w:ascii="Arial" w:cs="Arial" w:eastAsia="Arial" w:hAnsi="Arial"/>
          <w:sz w:val="16"/>
          <w:szCs w:val="16"/>
          <w:color w:val="auto"/>
        </w:rPr>
      </w:pPr>
    </w:p>
    <w:p>
      <w:pPr>
        <w:ind w:firstLine="464"/>
        <w:spacing w:after="0" w:line="256"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1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7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Extension of Termination Date</w:t>
      </w:r>
      <w:r>
        <w:rPr>
          <w:rFonts w:ascii="Arial" w:cs="Arial" w:eastAsia="Arial" w:hAnsi="Arial"/>
          <w:sz w:val="18"/>
          <w:szCs w:val="18"/>
          <w:color w:val="auto"/>
        </w:rPr>
        <w:t>. (a) At least 30 days but not more than 45 days prior to the Termination Date, the Borrower, by written notice to the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62" w:name="page63"/>
    <w:bookmarkEnd w:id="62"/>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07" w:lineRule="exact"/>
        <w:rPr>
          <w:sz w:val="20"/>
          <w:szCs w:val="20"/>
          <w:color w:val="auto"/>
        </w:rPr>
      </w:pPr>
    </w:p>
    <w:p>
      <w:pPr>
        <w:ind w:right="80" w:firstLine="464"/>
        <w:spacing w:after="0" w:line="303" w:lineRule="auto"/>
        <w:tabs>
          <w:tab w:leader="none" w:pos="705"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all the Lenders consent in writing to any such request in accordance with subsection (a) of this Section 2.17, the Termination Date in effect at such time shall, effective as at the Termination Date (the “</w:t>
      </w:r>
      <w:r>
        <w:rPr>
          <w:rFonts w:ascii="Arial" w:cs="Arial" w:eastAsia="Arial" w:hAnsi="Arial"/>
          <w:sz w:val="15"/>
          <w:szCs w:val="15"/>
          <w:u w:val="single" w:color="auto"/>
          <w:color w:val="auto"/>
        </w:rPr>
        <w:t>Extension Date</w:t>
      </w:r>
      <w:r>
        <w:rPr>
          <w:rFonts w:ascii="Arial" w:cs="Arial" w:eastAsia="Arial" w:hAnsi="Arial"/>
          <w:sz w:val="15"/>
          <w:szCs w:val="15"/>
          <w:color w:val="auto"/>
        </w:rPr>
        <w:t xml:space="preserve">”), be extended for 364 days;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on each Extension Date the applicable conditions set forth in Article III shall be satisfied. If less than all of the Lenders consent in writing to any such request in accordance with subsection (a) of this Section</w:t>
      </w:r>
    </w:p>
    <w:p>
      <w:pPr>
        <w:spacing w:after="0" w:line="1" w:lineRule="exact"/>
        <w:rPr>
          <w:rFonts w:ascii="Arial" w:cs="Arial" w:eastAsia="Arial" w:hAnsi="Arial"/>
          <w:sz w:val="15"/>
          <w:szCs w:val="15"/>
          <w:color w:val="auto"/>
        </w:rPr>
      </w:pPr>
    </w:p>
    <w:p>
      <w:pPr>
        <w:spacing w:after="0" w:line="287" w:lineRule="auto"/>
        <w:rPr>
          <w:rFonts w:ascii="Arial" w:cs="Arial" w:eastAsia="Arial" w:hAnsi="Arial"/>
          <w:sz w:val="15"/>
          <w:szCs w:val="15"/>
          <w:color w:val="auto"/>
        </w:rPr>
      </w:pPr>
      <w:r>
        <w:rPr>
          <w:rFonts w:ascii="Arial" w:cs="Arial" w:eastAsia="Arial" w:hAnsi="Arial"/>
          <w:sz w:val="16"/>
          <w:szCs w:val="16"/>
          <w:color w:val="auto"/>
        </w:rPr>
        <w:t>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but shall not be extended as to any other Lender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10" w:lineRule="exact"/>
        <w:rPr>
          <w:rFonts w:ascii="Arial" w:cs="Arial" w:eastAsia="Arial" w:hAnsi="Arial"/>
          <w:sz w:val="15"/>
          <w:szCs w:val="15"/>
          <w:color w:val="auto"/>
        </w:rPr>
      </w:pPr>
    </w:p>
    <w:p>
      <w:pPr>
        <w:ind w:firstLine="464"/>
        <w:spacing w:after="0" w:line="287"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 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the Commitment of any such Assuming Lender as a result of such substitution shall in no event be less than $10,000,000 unless the amount of the Commitment of such Non-Consenting Lender is less than $10,000,000,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which case such Assuming Lender shall assume all of such lesser amount;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w:t>
      </w:r>
    </w:p>
    <w:p>
      <w:pPr>
        <w:spacing w:after="0" w:line="77" w:lineRule="exact"/>
        <w:rPr>
          <w:sz w:val="20"/>
          <w:szCs w:val="20"/>
          <w:color w:val="auto"/>
        </w:rPr>
      </w:pPr>
    </w:p>
    <w:p>
      <w:pPr>
        <w:ind w:left="460" w:right="40" w:firstLine="443"/>
        <w:spacing w:after="0" w:line="306" w:lineRule="auto"/>
        <w:tabs>
          <w:tab w:leader="none" w:pos="110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12" w:lineRule="exact"/>
        <w:rPr>
          <w:rFonts w:ascii="Arial" w:cs="Arial" w:eastAsia="Arial" w:hAnsi="Arial"/>
          <w:sz w:val="16"/>
          <w:szCs w:val="16"/>
          <w:color w:val="auto"/>
        </w:rPr>
      </w:pPr>
    </w:p>
    <w:p>
      <w:pPr>
        <w:jc w:val="both"/>
        <w:ind w:left="460" w:firstLine="443"/>
        <w:spacing w:after="0" w:line="259" w:lineRule="auto"/>
        <w:tabs>
          <w:tab w:leader="none" w:pos="11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45"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any such Assuming Lender, the applicable processing and recordation fee required under Section 8.07(a) for such assignment shall have been paid;</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 (C) 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06" w:lineRule="exact"/>
        <w:rPr>
          <w:sz w:val="20"/>
          <w:szCs w:val="20"/>
          <w:color w:val="auto"/>
        </w:rPr>
      </w:pPr>
    </w:p>
    <w:p>
      <w:pPr>
        <w:ind w:right="20" w:firstLine="464"/>
        <w:spacing w:after="0" w:line="289"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EFFECTIVENESS AND LENDING</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37" w:lineRule="exact"/>
        <w:rPr>
          <w:sz w:val="20"/>
          <w:szCs w:val="20"/>
          <w:color w:val="auto"/>
        </w:rPr>
      </w:pPr>
    </w:p>
    <w:p>
      <w:pPr>
        <w:ind w:left="460" w:right="80" w:firstLine="443"/>
        <w:spacing w:after="0" w:line="268"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in all material respects on and as of the Effective Date, and</w:t>
      </w:r>
    </w:p>
    <w:p>
      <w:pPr>
        <w:spacing w:after="0" w:line="99" w:lineRule="exact"/>
        <w:rPr>
          <w:rFonts w:ascii="Arial" w:cs="Arial" w:eastAsia="Arial" w:hAnsi="Arial"/>
          <w:sz w:val="16"/>
          <w:szCs w:val="16"/>
          <w:color w:val="auto"/>
        </w:rPr>
      </w:pPr>
    </w:p>
    <w:p>
      <w:pPr>
        <w:ind w:left="1600" w:hanging="259"/>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37" w:lineRule="exact"/>
        <w:rPr>
          <w:rFonts w:ascii="Arial" w:cs="Arial" w:eastAsia="Arial" w:hAnsi="Arial"/>
          <w:sz w:val="18"/>
          <w:szCs w:val="18"/>
          <w:color w:val="auto"/>
        </w:rPr>
      </w:pPr>
    </w:p>
    <w:p>
      <w:pPr>
        <w:ind w:left="1560" w:hanging="219"/>
        <w:spacing w:after="0"/>
        <w:tabs>
          <w:tab w:leader="none" w:pos="1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respectively.</w:t>
      </w:r>
    </w:p>
    <w:p>
      <w:pPr>
        <w:spacing w:after="0" w:line="76"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(x) the Borrower approving this Agreement and the Notes, and of all documents evidencing other necessary corporate action and governmental approvals, if any, with respect to this Agreement and the Notes and (y) the Newspaper Subsidiary approving the Subsidiary Guaranty.</w:t>
      </w:r>
    </w:p>
    <w:p>
      <w:pPr>
        <w:spacing w:after="0" w:line="45" w:lineRule="exact"/>
        <w:rPr>
          <w:rFonts w:ascii="Arial" w:cs="Arial" w:eastAsia="Arial" w:hAnsi="Arial"/>
          <w:sz w:val="18"/>
          <w:szCs w:val="18"/>
          <w:color w:val="auto"/>
        </w:rPr>
      </w:pPr>
    </w:p>
    <w:p>
      <w:pPr>
        <w:ind w:left="920" w:right="240" w:firstLine="421"/>
        <w:spacing w:after="0" w:line="259" w:lineRule="auto"/>
        <w:tabs>
          <w:tab w:leader="none" w:pos="16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each of the Borrower and the Newspaper Subsidiary certifying the names and true signatures of the officers of such Loan Party authorized to sign each Loan Document to which it is a party and the other documents to be delivered by it hereunder.</w:t>
      </w:r>
    </w:p>
    <w:p>
      <w:pPr>
        <w:spacing w:after="0" w:line="45" w:lineRule="exact"/>
        <w:rPr>
          <w:rFonts w:ascii="Arial" w:cs="Arial" w:eastAsia="Arial" w:hAnsi="Arial"/>
          <w:sz w:val="18"/>
          <w:szCs w:val="18"/>
          <w:color w:val="auto"/>
        </w:rPr>
      </w:pPr>
    </w:p>
    <w:p>
      <w:pPr>
        <w:ind w:left="1640" w:hanging="299"/>
        <w:spacing w:after="0"/>
        <w:tabs>
          <w:tab w:leader="none" w:pos="1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guaranty in substantially the form of Exhibit F hereto (as amended, supplemented or otherwise modified from time to time,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duly executed by the Newspaper Subsidiary.</w:t>
      </w:r>
    </w:p>
    <w:p>
      <w:pPr>
        <w:spacing w:after="0" w:line="70" w:lineRule="exact"/>
        <w:rPr>
          <w:sz w:val="20"/>
          <w:szCs w:val="20"/>
          <w:color w:val="auto"/>
        </w:rPr>
      </w:pPr>
    </w:p>
    <w:p>
      <w:pPr>
        <w:ind w:left="920" w:right="140" w:firstLine="421"/>
        <w:spacing w:after="0" w:line="268" w:lineRule="auto"/>
        <w:tabs>
          <w:tab w:leader="none" w:pos="15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favorable opinion of Diana M. Daniels, general counsel for the Borrower, substantially in the form of Exhibit E-1 hereto and as to such other matters as any Lender through the Agent may reasonably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65" w:name="page66"/>
    <w:bookmarkEnd w:id="65"/>
    <w:p>
      <w:pPr>
        <w:ind w:left="920" w:right="120" w:firstLine="421"/>
        <w:spacing w:after="0" w:line="268" w:lineRule="auto"/>
        <w:tabs>
          <w:tab w:leader="none" w:pos="1637" w:val="left"/>
        </w:tabs>
        <w:numPr>
          <w:ilvl w:val="1"/>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favorable opinion of Diana M. Daniels, general counsel for the Borrower, substantially in the form of Exhibit </w:t>
      </w:r>
      <w:r>
        <w:rPr>
          <w:rFonts w:ascii="Arial" w:cs="Arial" w:eastAsia="Arial" w:hAnsi="Arial"/>
          <w:sz w:val="18"/>
          <w:szCs w:val="18"/>
          <w:u w:val="single" w:color="auto"/>
          <w:color w:val="auto"/>
        </w:rPr>
        <w:t>E-2</w:t>
      </w:r>
      <w:r>
        <w:rPr>
          <w:rFonts w:ascii="Arial" w:cs="Arial" w:eastAsia="Arial" w:hAnsi="Arial"/>
          <w:sz w:val="18"/>
          <w:szCs w:val="18"/>
          <w:color w:val="auto"/>
        </w:rPr>
        <w:t xml:space="preserve"> hereto and as to such other matters as any Lender through the Agent may reasonably request.</w:t>
      </w:r>
    </w:p>
    <w:p>
      <w:pPr>
        <w:spacing w:after="0" w:line="37" w:lineRule="exact"/>
        <w:rPr>
          <w:rFonts w:ascii="Arial" w:cs="Arial" w:eastAsia="Arial" w:hAnsi="Arial"/>
          <w:sz w:val="18"/>
          <w:szCs w:val="18"/>
          <w:color w:val="auto"/>
        </w:rPr>
      </w:pPr>
    </w:p>
    <w:p>
      <w:pPr>
        <w:ind w:left="1680" w:hanging="339"/>
        <w:spacing w:after="0"/>
        <w:tabs>
          <w:tab w:leader="none" w:pos="16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in form and substance satisfactory to the Agent.</w:t>
      </w:r>
    </w:p>
    <w:p>
      <w:pPr>
        <w:spacing w:after="0" w:line="76"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Borrower shall have terminated the commitments, and paid in full all Debt, interest, fees and other amounts outstanding, under the 364-Day Credit Agreement dated as of August 13, 2003 among the Borrower, the lenders parties thereto, SunTrust Bank and Wachovia Bank, National Association, as syndication agents, JPMorgan Chase Bank, as documentation agent, and Citibank, as administrative agent for the lenders, and each of the Lenders that is a party to such credit agreement hereby waives, upon execution of this Agreement, the requirement of prior notice under such credit agreement relating to the termination of commitments thereunder.</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Conditions Precedent to Each Revolving Credit Borrowing, Increase Date and Extension Date</w:t>
      </w:r>
      <w:r>
        <w:rPr>
          <w:rFonts w:ascii="Arial" w:cs="Arial" w:eastAsia="Arial" w:hAnsi="Arial"/>
          <w:sz w:val="16"/>
          <w:szCs w:val="16"/>
          <w:color w:val="auto"/>
        </w:rPr>
        <w:t>.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24" w:lineRule="exact"/>
        <w:rPr>
          <w:sz w:val="20"/>
          <w:szCs w:val="20"/>
          <w:color w:val="auto"/>
        </w:rPr>
      </w:pPr>
    </w:p>
    <w:p>
      <w:pPr>
        <w:ind w:left="460" w:right="100" w:firstLine="443"/>
        <w:spacing w:after="0" w:line="298"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8"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such Increase Date or such Extension Date or from the application of the proceeds therefrom, that constitutes a Default.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Conditions Precedent to Each Competitive Bid Borrowing</w:t>
      </w:r>
      <w:r>
        <w:rPr>
          <w:rFonts w:ascii="Arial" w:cs="Arial" w:eastAsia="Arial" w:hAnsi="Arial"/>
          <w:sz w:val="18"/>
          <w:szCs w:val="18"/>
          <w:color w:val="auto"/>
        </w:rPr>
        <w:t>.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66" w:name="page67"/>
    <w:bookmarkEnd w:id="6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21" w:lineRule="exact"/>
        <w:rPr>
          <w:sz w:val="20"/>
          <w:szCs w:val="20"/>
          <w:color w:val="auto"/>
        </w:rPr>
      </w:pPr>
    </w:p>
    <w:p>
      <w:pPr>
        <w:jc w:val="both"/>
        <w:ind w:left="460" w:right="240" w:firstLine="443"/>
        <w:spacing w:after="0" w:line="306" w:lineRule="auto"/>
        <w:tabs>
          <w:tab w:leader="none" w:pos="11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Competitive Bid Borrowing or from the application of the proceeds therefrom, that constitutes a Default.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1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77" w:lineRule="exact"/>
        <w:rPr>
          <w:sz w:val="20"/>
          <w:szCs w:val="20"/>
          <w:color w:val="auto"/>
        </w:rPr>
      </w:pPr>
    </w:p>
    <w:p>
      <w:pPr>
        <w:ind w:left="1140" w:hanging="237"/>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Delaware.</w:t>
      </w:r>
    </w:p>
    <w:p>
      <w:pPr>
        <w:spacing w:after="0" w:line="76"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2" w:lineRule="exact"/>
        <w:rPr>
          <w:rFonts w:ascii="Arial" w:cs="Arial" w:eastAsia="Arial" w:hAnsi="Arial"/>
          <w:sz w:val="16"/>
          <w:szCs w:val="16"/>
          <w:color w:val="auto"/>
        </w:rPr>
      </w:pPr>
    </w:p>
    <w:p>
      <w:pPr>
        <w:ind w:left="460" w:right="140" w:firstLine="443"/>
        <w:spacing w:after="0" w:line="268"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due execution, delivery and performance by the Borrower of this Agreement or the Notes.</w:t>
      </w:r>
    </w:p>
    <w:p>
      <w:pPr>
        <w:spacing w:after="0" w:line="77" w:lineRule="exact"/>
        <w:rPr>
          <w:sz w:val="20"/>
          <w:szCs w:val="20"/>
          <w:color w:val="auto"/>
        </w:rPr>
      </w:pPr>
    </w:p>
    <w:p>
      <w:pPr>
        <w:ind w:right="260" w:firstLine="443"/>
        <w:spacing w:after="0" w:line="259"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45" w:lineRule="exact"/>
        <w:rPr>
          <w:rFonts w:ascii="Arial" w:cs="Arial" w:eastAsia="Arial" w:hAnsi="Arial"/>
          <w:sz w:val="18"/>
          <w:szCs w:val="18"/>
          <w:color w:val="auto"/>
        </w:rPr>
      </w:pPr>
    </w:p>
    <w:p>
      <w:pPr>
        <w:ind w:firstLine="443"/>
        <w:spacing w:after="0" w:line="288" w:lineRule="auto"/>
        <w:tabs>
          <w:tab w:leader="none" w:pos="67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28, 2003,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March 31, 2004,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March 31, 2004,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Between December 28, 2003 and the date hereof, there has been no Material Adverse Change.</w:t>
      </w:r>
    </w:p>
    <w:p>
      <w:pPr>
        <w:spacing w:after="0" w:line="25" w:lineRule="exact"/>
        <w:rPr>
          <w:rFonts w:ascii="Arial" w:cs="Arial" w:eastAsia="Arial" w:hAnsi="Arial"/>
          <w:sz w:val="16"/>
          <w:szCs w:val="16"/>
          <w:color w:val="auto"/>
        </w:rPr>
      </w:pPr>
    </w:p>
    <w:p>
      <w:pPr>
        <w:ind w:right="20" w:firstLine="443"/>
        <w:spacing w:after="0" w:line="256" w:lineRule="auto"/>
        <w:tabs>
          <w:tab w:leader="none" w:pos="6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48" w:lineRule="exact"/>
        <w:rPr>
          <w:rFonts w:ascii="Arial" w:cs="Arial" w:eastAsia="Arial" w:hAnsi="Arial"/>
          <w:sz w:val="18"/>
          <w:szCs w:val="18"/>
          <w:color w:val="auto"/>
        </w:rPr>
      </w:pPr>
    </w:p>
    <w:p>
      <w:pPr>
        <w:ind w:right="680" w:firstLine="443"/>
        <w:spacing w:after="0" w:line="268"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37" w:lineRule="exact"/>
        <w:rPr>
          <w:rFonts w:ascii="Arial" w:cs="Arial" w:eastAsia="Arial" w:hAnsi="Arial"/>
          <w:sz w:val="18"/>
          <w:szCs w:val="18"/>
          <w:color w:val="auto"/>
        </w:rPr>
      </w:pPr>
    </w:p>
    <w:p>
      <w:pPr>
        <w:ind w:right="60" w:firstLine="443"/>
        <w:spacing w:after="0" w:line="256"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BORROWER</w:t>
      </w:r>
    </w:p>
    <w:p>
      <w:pPr>
        <w:spacing w:after="0" w:line="15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w:t>
      </w:r>
    </w:p>
    <w:p>
      <w:pPr>
        <w:spacing w:after="0" w:line="70" w:lineRule="exact"/>
        <w:rPr>
          <w:sz w:val="20"/>
          <w:szCs w:val="20"/>
          <w:color w:val="auto"/>
        </w:rPr>
      </w:pPr>
    </w:p>
    <w:p>
      <w:pPr>
        <w:ind w:left="460" w:right="180" w:firstLine="443"/>
        <w:spacing w:after="0" w:line="294"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xml:space="preserve">.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21"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48" w:lineRule="exact"/>
        <w:rPr>
          <w:rFonts w:ascii="Arial" w:cs="Arial" w:eastAsia="Arial" w:hAnsi="Arial"/>
          <w:sz w:val="18"/>
          <w:szCs w:val="18"/>
          <w:color w:val="auto"/>
        </w:rPr>
      </w:pPr>
    </w:p>
    <w:p>
      <w:pPr>
        <w:ind w:left="460" w:right="80" w:firstLine="443"/>
        <w:spacing w:after="0" w:line="306"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2" w:lineRule="exact"/>
        <w:rPr>
          <w:rFonts w:ascii="Arial" w:cs="Arial" w:eastAsia="Arial" w:hAnsi="Arial"/>
          <w:sz w:val="16"/>
          <w:szCs w:val="16"/>
          <w:color w:val="auto"/>
        </w:rPr>
      </w:pPr>
    </w:p>
    <w:p>
      <w:pPr>
        <w:ind w:left="460" w:right="140" w:firstLine="443"/>
        <w:spacing w:after="0" w:line="298"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and so long as the Subsidiary Guaranty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and the Newspaper Subsidiary may consummate any merger, consolidation or other transaction permitted under Section 5.02(b).</w:t>
      </w:r>
    </w:p>
    <w:p>
      <w:pPr>
        <w:spacing w:after="0" w:line="18" w:lineRule="exact"/>
        <w:rPr>
          <w:rFonts w:ascii="Arial" w:cs="Arial" w:eastAsia="Arial" w:hAnsi="Arial"/>
          <w:sz w:val="16"/>
          <w:szCs w:val="16"/>
          <w:color w:val="auto"/>
        </w:rPr>
      </w:pPr>
    </w:p>
    <w:p>
      <w:pPr>
        <w:jc w:val="both"/>
        <w:ind w:left="460" w:firstLine="443"/>
        <w:spacing w:after="0" w:line="298"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accounts of the Borrower and any of its Subsidiaries with their independent certified public accountants.</w:t>
      </w:r>
    </w:p>
    <w:p>
      <w:pPr>
        <w:spacing w:after="0" w:line="77" w:lineRule="exact"/>
        <w:rPr>
          <w:sz w:val="20"/>
          <w:szCs w:val="20"/>
          <w:color w:val="auto"/>
        </w:rPr>
      </w:pPr>
    </w:p>
    <w:p>
      <w:pPr>
        <w:ind w:right="40" w:firstLine="443"/>
        <w:spacing w:after="0" w:line="259" w:lineRule="auto"/>
        <w:tabs>
          <w:tab w:leader="none" w:pos="65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45" w:lineRule="exact"/>
        <w:rPr>
          <w:rFonts w:ascii="Arial" w:cs="Arial" w:eastAsia="Arial" w:hAnsi="Arial"/>
          <w:sz w:val="18"/>
          <w:szCs w:val="18"/>
          <w:color w:val="auto"/>
        </w:rPr>
      </w:pPr>
    </w:p>
    <w:p>
      <w:pPr>
        <w:ind w:right="140" w:firstLine="443"/>
        <w:spacing w:after="0" w:line="306" w:lineRule="auto"/>
        <w:tabs>
          <w:tab w:leader="none" w:pos="68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2" w:lineRule="exact"/>
        <w:rPr>
          <w:rFonts w:ascii="Arial" w:cs="Arial" w:eastAsia="Arial" w:hAnsi="Arial"/>
          <w:sz w:val="16"/>
          <w:szCs w:val="16"/>
          <w:color w:val="auto"/>
        </w:rPr>
      </w:pPr>
    </w:p>
    <w:p>
      <w:pPr>
        <w:ind w:right="220" w:firstLine="443"/>
        <w:spacing w:after="0" w:line="268"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The Borrower shall continue to be engaged primarily in lines of business as carried on at the date hereof or lines of business related thereto.</w:t>
      </w:r>
    </w:p>
    <w:p>
      <w:pPr>
        <w:spacing w:after="0" w:line="37" w:lineRule="exact"/>
        <w:rPr>
          <w:rFonts w:ascii="Arial" w:cs="Arial" w:eastAsia="Arial" w:hAnsi="Arial"/>
          <w:sz w:val="18"/>
          <w:szCs w:val="18"/>
          <w:color w:val="auto"/>
        </w:rPr>
      </w:pPr>
    </w:p>
    <w:p>
      <w:pPr>
        <w:ind w:left="660" w:hanging="21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Lenders:</w:t>
      </w:r>
    </w:p>
    <w:p>
      <w:pPr>
        <w:spacing w:after="0" w:line="76" w:lineRule="exact"/>
        <w:rPr>
          <w:rFonts w:ascii="Arial" w:cs="Arial" w:eastAsia="Arial" w:hAnsi="Arial"/>
          <w:sz w:val="18"/>
          <w:szCs w:val="18"/>
          <w:color w:val="auto"/>
        </w:rPr>
      </w:pPr>
    </w:p>
    <w:p>
      <w:pPr>
        <w:ind w:left="460" w:right="60" w:firstLine="421"/>
        <w:spacing w:after="0" w:line="290" w:lineRule="auto"/>
        <w:tabs>
          <w:tab w:leader="none" w:pos="1089"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23"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70" w:name="page71"/>
    <w:bookmarkEnd w:id="70"/>
    <w:p>
      <w:pPr>
        <w:ind w:left="920" w:right="120" w:firstLine="421"/>
        <w:spacing w:after="0" w:line="259" w:lineRule="auto"/>
        <w:tabs>
          <w:tab w:leader="none" w:pos="1647"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45" w:lineRule="exact"/>
        <w:rPr>
          <w:rFonts w:ascii="Arial" w:cs="Arial" w:eastAsia="Arial" w:hAnsi="Arial"/>
          <w:sz w:val="18"/>
          <w:szCs w:val="18"/>
          <w:color w:val="auto"/>
        </w:rPr>
      </w:pPr>
    </w:p>
    <w:p>
      <w:pPr>
        <w:ind w:left="920" w:right="40" w:firstLine="421"/>
        <w:spacing w:after="0" w:line="306" w:lineRule="auto"/>
        <w:tabs>
          <w:tab w:leader="none" w:pos="1637"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2" w:lineRule="exact"/>
        <w:rPr>
          <w:rFonts w:ascii="Arial" w:cs="Arial" w:eastAsia="Arial" w:hAnsi="Arial"/>
          <w:sz w:val="16"/>
          <w:szCs w:val="16"/>
          <w:color w:val="auto"/>
        </w:rPr>
      </w:pPr>
    </w:p>
    <w:p>
      <w:pPr>
        <w:ind w:left="920" w:right="520" w:firstLine="421"/>
        <w:spacing w:after="0" w:line="268" w:lineRule="auto"/>
        <w:tabs>
          <w:tab w:leader="none" w:pos="15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37" w:lineRule="exact"/>
        <w:rPr>
          <w:rFonts w:ascii="Arial" w:cs="Arial" w:eastAsia="Arial" w:hAnsi="Arial"/>
          <w:sz w:val="18"/>
          <w:szCs w:val="18"/>
          <w:color w:val="auto"/>
        </w:rPr>
      </w:pPr>
    </w:p>
    <w:p>
      <w:pPr>
        <w:ind w:left="920" w:right="660" w:firstLine="421"/>
        <w:spacing w:after="0" w:line="268" w:lineRule="auto"/>
        <w:tabs>
          <w:tab w:leader="none" w:pos="16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Agent may from time to time reasonably request.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the Borrower 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w:t>
      </w:r>
    </w:p>
    <w:p>
      <w:pPr>
        <w:spacing w:after="0" w:line="70" w:lineRule="exact"/>
        <w:rPr>
          <w:sz w:val="20"/>
          <w:szCs w:val="20"/>
          <w:color w:val="auto"/>
        </w:rPr>
      </w:pPr>
    </w:p>
    <w:p>
      <w:pPr>
        <w:jc w:val="both"/>
        <w:ind w:left="460" w:firstLine="443"/>
        <w:spacing w:after="0" w:line="259"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45" w:lineRule="exact"/>
        <w:rPr>
          <w:rFonts w:ascii="Arial" w:cs="Arial" w:eastAsia="Arial" w:hAnsi="Arial"/>
          <w:sz w:val="18"/>
          <w:szCs w:val="18"/>
          <w:color w:val="auto"/>
        </w:rPr>
      </w:pPr>
    </w:p>
    <w:p>
      <w:pPr>
        <w:ind w:left="1560" w:hanging="219"/>
        <w:spacing w:after="0"/>
        <w:tabs>
          <w:tab w:leader="none" w:pos="1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76" w:lineRule="exact"/>
        <w:rPr>
          <w:rFonts w:ascii="Arial" w:cs="Arial" w:eastAsia="Arial" w:hAnsi="Arial"/>
          <w:sz w:val="18"/>
          <w:szCs w:val="18"/>
          <w:color w:val="auto"/>
        </w:rPr>
      </w:pPr>
    </w:p>
    <w:p>
      <w:pPr>
        <w:ind w:left="920" w:firstLine="421"/>
        <w:spacing w:after="0" w:line="312" w:lineRule="auto"/>
        <w:tabs>
          <w:tab w:leader="none" w:pos="1598" w:val="left"/>
        </w:tabs>
        <w:numPr>
          <w:ilvl w:val="1"/>
          <w:numId w:val="55"/>
        </w:numPr>
        <w:rPr>
          <w:rFonts w:ascii="Arial" w:cs="Arial" w:eastAsia="Arial" w:hAnsi="Arial"/>
          <w:sz w:val="15"/>
          <w:szCs w:val="15"/>
          <w:color w:val="auto"/>
        </w:rPr>
      </w:pPr>
      <w:r>
        <w:rPr>
          <w:rFonts w:ascii="Arial" w:cs="Arial" w:eastAsia="Arial" w:hAnsi="Arial"/>
          <w:sz w:val="15"/>
          <w:szCs w:val="15"/>
          <w:color w:val="auto"/>
        </w:rPr>
        <w:t xml:space="preserve">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1" w:name="page72"/>
    <w:bookmarkEnd w:id="71"/>
    <w:p>
      <w:pPr>
        <w:ind w:left="1640" w:hanging="299"/>
        <w:spacing w:after="0"/>
        <w:tabs>
          <w:tab w:leader="none" w:pos="1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Liens existing on the Effective Date and described on Schedule 5.02(a) hereto,</w:t>
      </w:r>
    </w:p>
    <w:p>
      <w:pPr>
        <w:spacing w:after="0" w:line="76" w:lineRule="exact"/>
        <w:rPr>
          <w:rFonts w:ascii="Arial" w:cs="Arial" w:eastAsia="Arial" w:hAnsi="Arial"/>
          <w:sz w:val="18"/>
          <w:szCs w:val="18"/>
          <w:color w:val="auto"/>
        </w:rPr>
      </w:pPr>
    </w:p>
    <w:p>
      <w:pPr>
        <w:ind w:left="1640" w:hanging="299"/>
        <w:spacing w:after="0"/>
        <w:tabs>
          <w:tab w:leader="none" w:pos="1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securing Debt payable to the Borrower,</w:t>
      </w:r>
    </w:p>
    <w:p>
      <w:pPr>
        <w:spacing w:after="0" w:line="76"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other Liens securing Debt in an aggregate principal amount not to exceed at any time outstanding an amount equal to 20% of Consolidated Shareholders’ Equity, and</w:t>
      </w:r>
    </w:p>
    <w:p>
      <w:pPr>
        <w:spacing w:after="0" w:line="37" w:lineRule="exact"/>
        <w:rPr>
          <w:rFonts w:ascii="Arial" w:cs="Arial" w:eastAsia="Arial" w:hAnsi="Arial"/>
          <w:sz w:val="18"/>
          <w:szCs w:val="18"/>
          <w:color w:val="auto"/>
        </w:rPr>
      </w:pPr>
    </w:p>
    <w:p>
      <w:pPr>
        <w:ind w:left="920" w:right="80" w:firstLine="421"/>
        <w:spacing w:after="0" w:line="268" w:lineRule="auto"/>
        <w:tabs>
          <w:tab w:leader="none" w:pos="16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37"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xml:space="preserve">.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the Newspaper Subsidiary may merge or consolidate with any other Person so long as the Borrower or the Newspaper Subsidiary, as the case may be, is the surviving entity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Default shall have occurred and be continuing at the time of such proposed transaction or would result therefrom.</w:t>
      </w:r>
    </w:p>
    <w:p>
      <w:pPr>
        <w:spacing w:after="0" w:line="21" w:lineRule="exact"/>
        <w:rPr>
          <w:rFonts w:ascii="Arial" w:cs="Arial" w:eastAsia="Arial" w:hAnsi="Arial"/>
          <w:sz w:val="16"/>
          <w:szCs w:val="16"/>
          <w:color w:val="auto"/>
        </w:rPr>
      </w:pPr>
    </w:p>
    <w:p>
      <w:pPr>
        <w:ind w:left="460" w:right="320" w:firstLine="443"/>
        <w:spacing w:after="0" w:line="259"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So long as any Advance shall remain unpaid or any Lender shall have any Commitment hereunder, the Borrower will maintain Consolidated Shareholders’ Equity of not less than $1,000,000,000.</w:t>
      </w:r>
    </w:p>
    <w:p>
      <w:pPr>
        <w:spacing w:after="0" w:line="1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77" w:lineRule="exact"/>
        <w:rPr>
          <w:sz w:val="20"/>
          <w:szCs w:val="20"/>
          <w:color w:val="auto"/>
        </w:rPr>
      </w:pPr>
    </w:p>
    <w:p>
      <w:pPr>
        <w:ind w:left="460" w:right="60" w:firstLine="443"/>
        <w:spacing w:after="0" w:line="256" w:lineRule="auto"/>
        <w:tabs>
          <w:tab w:leader="none" w:pos="11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72" w:name="page73"/>
    <w:bookmarkEnd w:id="72"/>
    <w:p>
      <w:pPr>
        <w:ind w:right="140" w:firstLine="443"/>
        <w:spacing w:after="0" w:line="268" w:lineRule="auto"/>
        <w:tabs>
          <w:tab w:leader="none" w:pos="687"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representation or warranty made by any Loan Party in any Loan Document or by any Loan Party (or any of its officers) in connection with any Loan Document shall prove to have been incorrect in any material respect when made; or</w:t>
      </w:r>
    </w:p>
    <w:p>
      <w:pPr>
        <w:spacing w:after="0" w:line="37" w:lineRule="exact"/>
        <w:rPr>
          <w:rFonts w:ascii="Arial" w:cs="Arial" w:eastAsia="Arial" w:hAnsi="Arial"/>
          <w:sz w:val="18"/>
          <w:szCs w:val="18"/>
          <w:color w:val="auto"/>
        </w:rPr>
      </w:pPr>
    </w:p>
    <w:p>
      <w:pPr>
        <w:ind w:right="60" w:firstLine="443"/>
        <w:spacing w:after="0" w:line="306" w:lineRule="auto"/>
        <w:tabs>
          <w:tab w:leader="none" w:pos="6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2" w:lineRule="exact"/>
        <w:rPr>
          <w:rFonts w:ascii="Arial" w:cs="Arial" w:eastAsia="Arial" w:hAnsi="Arial"/>
          <w:sz w:val="16"/>
          <w:szCs w:val="16"/>
          <w:color w:val="auto"/>
        </w:rPr>
      </w:pPr>
    </w:p>
    <w:p>
      <w:pPr>
        <w:ind w:firstLine="443"/>
        <w:spacing w:after="0" w:line="290" w:lineRule="auto"/>
        <w:tabs>
          <w:tab w:leader="none" w:pos="68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23" w:lineRule="exact"/>
        <w:rPr>
          <w:rFonts w:ascii="Arial" w:cs="Arial" w:eastAsia="Arial" w:hAnsi="Arial"/>
          <w:sz w:val="16"/>
          <w:szCs w:val="16"/>
          <w:color w:val="auto"/>
        </w:rPr>
      </w:pPr>
    </w:p>
    <w:p>
      <w:pPr>
        <w:ind w:firstLine="443"/>
        <w:spacing w:after="0" w:line="288" w:lineRule="auto"/>
        <w:tabs>
          <w:tab w:leader="none" w:pos="6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25" w:lineRule="exact"/>
        <w:rPr>
          <w:rFonts w:ascii="Arial" w:cs="Arial" w:eastAsia="Arial" w:hAnsi="Arial"/>
          <w:sz w:val="16"/>
          <w:szCs w:val="16"/>
          <w:color w:val="auto"/>
        </w:rPr>
      </w:pPr>
    </w:p>
    <w:p>
      <w:pPr>
        <w:ind w:right="120" w:firstLine="443"/>
        <w:spacing w:after="0" w:line="294" w:lineRule="auto"/>
        <w:tabs>
          <w:tab w:leader="none" w:pos="6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6.01(f) if and for so long as (x) the amount of such judgment or order is covered</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700" w:top="280" w:right="299" w:bottom="1440" w:gutter="0" w:footer="0" w:header="0"/>
        </w:sectPr>
      </w:pPr>
    </w:p>
    <w:bookmarkStart w:id="73" w:name="page74"/>
    <w:bookmarkEnd w:id="73"/>
    <w:p>
      <w:pPr>
        <w:ind w:left="460" w:right="28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 w:lineRule="exact"/>
        <w:rPr>
          <w:sz w:val="20"/>
          <w:szCs w:val="20"/>
          <w:color w:val="auto"/>
        </w:rPr>
      </w:pPr>
    </w:p>
    <w:p>
      <w:pPr>
        <w:ind w:left="460" w:right="60" w:firstLine="443"/>
        <w:spacing w:after="0" w:line="254"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49" w:lineRule="exact"/>
        <w:rPr>
          <w:rFonts w:ascii="Arial" w:cs="Arial" w:eastAsia="Arial" w:hAnsi="Arial"/>
          <w:sz w:val="18"/>
          <w:szCs w:val="18"/>
          <w:color w:val="auto"/>
        </w:rPr>
      </w:pPr>
    </w:p>
    <w:p>
      <w:pPr>
        <w:ind w:left="460" w:right="240" w:firstLine="443"/>
        <w:spacing w:after="0" w:line="255" w:lineRule="auto"/>
        <w:tabs>
          <w:tab w:leader="none" w:pos="114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Borrower or any of its ERISA Affiliates shall incur liability as a result of one or more of the following: (i) the occurrence of any ERISA Event; (ii) the partial or complete withdrawal of the Borrower or any of its ERISA Affiliates from a Multiemployer Plan; or (iii) the reorganization or termination of a Multiemployer Plan; and, in the reasonable opinion of the Required Lenders, such incurrence would be likely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liability in an amount not to exceed $20,000,000 shall be deemed not to be likely to result in a Material Adverse Effect;</w:t>
      </w:r>
    </w:p>
    <w:p>
      <w:pPr>
        <w:spacing w:after="0" w:line="1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AGENT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 Each Lender hereby appoints and authorizes the Agent to take such action as agent on its behalf and to exercise such powers and discretion under this Agreement as are delegated to the Agent by the terms hereof, together with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74" w:name="page75"/>
    <w:bookmarkEnd w:id="7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Citibank and Affiliates</w:t>
      </w:r>
      <w:r>
        <w:rPr>
          <w:rFonts w:ascii="Arial" w:cs="Arial" w:eastAsia="Arial" w:hAnsi="Arial"/>
          <w:sz w:val="18"/>
          <w:szCs w:val="18"/>
          <w:color w:val="auto"/>
        </w:rPr>
        <w:t>.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3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75" w:name="page76"/>
    <w:bookmarkEnd w:id="75"/>
    <w:p>
      <w:pPr>
        <w:ind w:right="8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0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Documentation Agents and Syndication Agents</w:t>
      </w:r>
      <w:r>
        <w:rPr>
          <w:rFonts w:ascii="Arial" w:cs="Arial" w:eastAsia="Arial" w:hAnsi="Arial"/>
          <w:sz w:val="18"/>
          <w:szCs w:val="18"/>
          <w:color w:val="auto"/>
        </w:rPr>
        <w:t>. Wachovia Bank, National Association and SunTrust Bank have been designated as syndication agents and JPMorgan Chase Bank has been designated as documentation agent in recognition of their respective Commitments, and the use of such title does not impose on such Lender any duties or obligations greater than those of any other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Amendments, Etc</w:t>
      </w:r>
      <w:r>
        <w:rPr>
          <w:rFonts w:ascii="Arial" w:cs="Arial" w:eastAsia="Arial" w:hAnsi="Arial"/>
          <w:sz w:val="15"/>
          <w:szCs w:val="15"/>
          <w:color w:val="auto"/>
        </w:rPr>
        <w:t xml:space="preserve">.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w:t>
      </w:r>
    </w:p>
    <w:p>
      <w:pPr>
        <w:spacing w:after="0" w:line="1" w:lineRule="exact"/>
        <w:rPr>
          <w:sz w:val="20"/>
          <w:szCs w:val="20"/>
          <w:color w:val="auto"/>
        </w:rPr>
      </w:pPr>
    </w:p>
    <w:p>
      <w:pPr>
        <w:jc w:val="both"/>
        <w:ind w:firstLine="8"/>
        <w:spacing w:after="0" w:line="292" w:lineRule="auto"/>
        <w:tabs>
          <w:tab w:leader="none" w:pos="2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change the percentage of the Commitments or of the aggregate unpaid principal amount of the Revolving Credit Notes that shall be required for the Lenders or any of them to take any action hereunder, (f) amend or waive the provisions of Section 1 of the Subsidiary Guaranty to reduce or limit the scope of the obligations under or in respect of this Agreement which are being guaranteed by the Newspaper Subsidiary under the Subsidiary Guaranty or (g) amend this Section 8.01;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0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Notices, Etc</w:t>
      </w:r>
      <w:r>
        <w:rPr>
          <w:rFonts w:ascii="Arial" w:cs="Arial" w:eastAsia="Arial" w:hAnsi="Arial"/>
          <w:sz w:val="16"/>
          <w:szCs w:val="16"/>
          <w:color w:val="auto"/>
        </w:rPr>
        <w:t>.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Bank Loan Syndications;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0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77" w:name="page78"/>
    <w:bookmarkEnd w:id="7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05" w:lineRule="exact"/>
        <w:rPr>
          <w:sz w:val="20"/>
          <w:szCs w:val="20"/>
          <w:color w:val="auto"/>
        </w:rPr>
      </w:pPr>
    </w:p>
    <w:p>
      <w:pPr>
        <w:ind w:firstLine="464"/>
        <w:spacing w:after="0" w:line="288"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06" w:lineRule="exact"/>
        <w:rPr>
          <w:rFonts w:ascii="Arial" w:cs="Arial" w:eastAsia="Arial" w:hAnsi="Arial"/>
          <w:sz w:val="16"/>
          <w:szCs w:val="16"/>
          <w:color w:val="auto"/>
        </w:rPr>
      </w:pPr>
    </w:p>
    <w:p>
      <w:pPr>
        <w:ind w:firstLine="464"/>
        <w:spacing w:after="0" w:line="289"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78" w:name="page79"/>
    <w:bookmarkEnd w:id="78"/>
    <w:p>
      <w:pPr>
        <w:ind w:right="480" w:firstLine="464"/>
        <w:spacing w:after="0" w:line="332"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 (a) Each Lender may with the consent of the Agent and the Borrower (which consent shall not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unreasonably withheld or delayed) and, if demanded by the Borrower (following a demand by such Lender pursuant to Section 2.11 or 2.14 or following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Lender’s Downgrade) at a time when no Default has occurred and is continuing upon at least five Business Days’ notice to such Lender and the Agent, will assign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one or more Persons all or a portion of its rights and obligations under this Agreement (including, without limitation, all or a portion of its Commitment,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Credit Advances owing to it and the Revolving Credit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constant, and not a varying, percentage of all rights and obligations under this Agreement (other than any right to make Competitive Bid Advances, Competitive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Bid Advances owing to it and Competitive Bid Notes), (ii) except in the case of an assignment to a Person that, immediately prior to such assignment, was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or an assignment of all of a Lender’s rights and obligations under this Agreement, the amount of the Commitment of the assigning Lender being assigned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each such assignment (determined as of the date of the Assignment and Acceptance with respect to such assignment) shall in no event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 or an integral multiple of $1,000,000 in excess thereof and the amount of the Commitment of such Lender remaining after such assignment shall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79" w:name="page80"/>
    <w:bookmarkEnd w:id="7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 than $10,000,000 or shall be zero,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 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13" w:lineRule="exact"/>
        <w:rPr>
          <w:sz w:val="20"/>
          <w:szCs w:val="20"/>
          <w:color w:val="auto"/>
        </w:rPr>
      </w:pPr>
    </w:p>
    <w:p>
      <w:pPr>
        <w:ind w:right="60" w:firstLine="464"/>
        <w:spacing w:after="0" w:line="302" w:lineRule="auto"/>
        <w:tabs>
          <w:tab w:leader="none" w:pos="705" w:val="left"/>
        </w:tabs>
        <w:numPr>
          <w:ilvl w:val="1"/>
          <w:numId w:val="64"/>
        </w:numPr>
        <w:rPr>
          <w:rFonts w:ascii="Arial" w:cs="Arial" w:eastAsia="Arial" w:hAnsi="Arial"/>
          <w:sz w:val="15"/>
          <w:szCs w:val="15"/>
          <w:color w:val="auto"/>
        </w:rPr>
      </w:pPr>
      <w:r>
        <w:rPr>
          <w:rFonts w:ascii="Arial" w:cs="Arial" w:eastAsia="Arial" w:hAnsi="Arial"/>
          <w:sz w:val="15"/>
          <w:szCs w:val="15"/>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2" w:lineRule="exact"/>
        <w:rPr>
          <w:rFonts w:ascii="Arial" w:cs="Arial" w:eastAsia="Arial" w:hAnsi="Arial"/>
          <w:sz w:val="15"/>
          <w:szCs w:val="15"/>
          <w:color w:val="auto"/>
        </w:rPr>
      </w:pPr>
    </w:p>
    <w:p>
      <w:pPr>
        <w:ind w:right="40" w:firstLine="8"/>
        <w:spacing w:after="0" w:line="287" w:lineRule="auto"/>
        <w:tabs>
          <w:tab w:leader="none" w:pos="258"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accordance with their terms all of the obligations that by the terms of this Agreement are required to be performed by it as a Lender.</w:t>
      </w:r>
    </w:p>
    <w:p>
      <w:pPr>
        <w:spacing w:after="0" w:line="158" w:lineRule="exact"/>
        <w:rPr>
          <w:sz w:val="20"/>
          <w:szCs w:val="20"/>
          <w:color w:val="auto"/>
        </w:rPr>
      </w:pPr>
    </w:p>
    <w:p>
      <w:pPr>
        <w:ind w:firstLine="464"/>
        <w:spacing w:after="0" w:line="288"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06" w:lineRule="exact"/>
        <w:rPr>
          <w:rFonts w:ascii="Arial" w:cs="Arial" w:eastAsia="Arial" w:hAnsi="Arial"/>
          <w:sz w:val="16"/>
          <w:szCs w:val="16"/>
          <w:color w:val="auto"/>
        </w:rPr>
      </w:pPr>
    </w:p>
    <w:p>
      <w:pPr>
        <w:ind w:right="140" w:firstLine="464"/>
        <w:spacing w:after="0" w:line="254"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30" w:lineRule="exact"/>
        <w:rPr>
          <w:rFonts w:ascii="Arial" w:cs="Arial" w:eastAsia="Arial" w:hAnsi="Arial"/>
          <w:sz w:val="18"/>
          <w:szCs w:val="18"/>
          <w:color w:val="auto"/>
        </w:rPr>
      </w:pPr>
    </w:p>
    <w:p>
      <w:pPr>
        <w:ind w:firstLine="464"/>
        <w:spacing w:after="0" w:line="286"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81" w:name="page82"/>
    <w:bookmarkEnd w:id="81"/>
    <w:p>
      <w:pPr>
        <w:ind w:firstLine="464"/>
        <w:spacing w:after="0" w:line="256" w:lineRule="auto"/>
        <w:tabs>
          <w:tab w:leader="none" w:pos="676"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the Borrower received by it from such Lender.</w:t>
      </w:r>
    </w:p>
    <w:p>
      <w:pPr>
        <w:spacing w:after="0" w:line="129"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the Notes shall be governed by, and construed in accordance with, the laws of the State of New York.</w:t>
      </w:r>
    </w:p>
    <w:p>
      <w:pPr>
        <w:spacing w:after="0" w:line="19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Jurisdiction, Etc</w:t>
      </w:r>
      <w:r>
        <w:rPr>
          <w:rFonts w:ascii="Arial" w:cs="Arial" w:eastAsia="Arial" w:hAnsi="Arial"/>
          <w:sz w:val="16"/>
          <w:szCs w:val="16"/>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to bring any action or proceeding relating to this Agreement or the Notes in the courts of any jurisdiction.</w:t>
      </w:r>
    </w:p>
    <w:p>
      <w:pPr>
        <w:spacing w:after="0" w:line="158" w:lineRule="exact"/>
        <w:rPr>
          <w:sz w:val="20"/>
          <w:szCs w:val="20"/>
          <w:color w:val="auto"/>
        </w:rPr>
      </w:pPr>
    </w:p>
    <w:p>
      <w:pPr>
        <w:ind w:firstLine="464"/>
        <w:spacing w:after="0" w:line="256"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that is subject to the Act (as hereinafter defined) and the Agent (for itself and not on behalf of any Lender) hereby notifies each Loan Party that, pursuant to the requirements of the USA Patriot Act (Title III of Pub. L. 107-56 (signed into law October 26, 2001)) (the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83" w:name="page84"/>
    <w:bookmarkEnd w:id="83"/>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00" w:type="dxa"/>
            <w:vAlign w:val="bottom"/>
          </w:tcPr>
          <w:p>
            <w:pPr>
              <w:spacing w:after="0"/>
              <w:rPr>
                <w:sz w:val="20"/>
                <w:szCs w:val="20"/>
                <w:color w:val="auto"/>
              </w:rPr>
            </w:pPr>
            <w:r>
              <w:rPr>
                <w:rFonts w:ascii="Arial" w:cs="Arial" w:eastAsia="Arial" w:hAnsi="Arial"/>
                <w:sz w:val="18"/>
                <w:szCs w:val="18"/>
                <w:color w:val="auto"/>
                <w:w w:val="85"/>
              </w:rPr>
              <w:t>By</w:t>
            </w:r>
          </w:p>
        </w:tc>
        <w:tc>
          <w:tcPr>
            <w:tcW w:w="180" w:type="dxa"/>
            <w:vAlign w:val="bottom"/>
          </w:tcPr>
          <w:p>
            <w:pPr>
              <w:spacing w:after="0"/>
              <w:rPr>
                <w:sz w:val="19"/>
                <w:szCs w:val="19"/>
                <w:color w:val="auto"/>
              </w:rPr>
            </w:pPr>
          </w:p>
        </w:tc>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B. Morse, Jr.</w:t>
            </w:r>
          </w:p>
        </w:tc>
      </w:tr>
      <w:tr>
        <w:trPr>
          <w:trHeight w:val="217"/>
        </w:trPr>
        <w:tc>
          <w:tcPr>
            <w:tcW w:w="380" w:type="dxa"/>
            <w:vAlign w:val="bottom"/>
            <w:gridSpan w:val="2"/>
          </w:tcPr>
          <w:p>
            <w:pPr>
              <w:spacing w:after="0"/>
              <w:rPr>
                <w:sz w:val="20"/>
                <w:szCs w:val="20"/>
                <w:color w:val="auto"/>
              </w:rPr>
            </w:pPr>
            <w:r>
              <w:rPr>
                <w:rFonts w:ascii="Arial" w:cs="Arial" w:eastAsia="Arial" w:hAnsi="Arial"/>
                <w:sz w:val="18"/>
                <w:szCs w:val="18"/>
                <w:color w:val="auto"/>
                <w:w w:val="92"/>
              </w:rPr>
              <w:t>Title:</w:t>
            </w:r>
          </w:p>
        </w:tc>
        <w:tc>
          <w:tcPr>
            <w:tcW w:w="4180" w:type="dxa"/>
            <w:vAlign w:val="bottom"/>
          </w:tcPr>
          <w:p>
            <w:pPr>
              <w:ind w:left="40"/>
              <w:spacing w:after="0"/>
              <w:rPr>
                <w:sz w:val="20"/>
                <w:szCs w:val="20"/>
                <w:color w:val="auto"/>
              </w:rPr>
            </w:pPr>
            <w:r>
              <w:rPr>
                <w:rFonts w:ascii="Arial" w:cs="Arial" w:eastAsia="Arial" w:hAnsi="Arial"/>
                <w:sz w:val="18"/>
                <w:szCs w:val="18"/>
                <w:color w:val="auto"/>
              </w:rPr>
              <w:t>Vice President, Finance</w:t>
            </w:r>
          </w:p>
        </w:tc>
      </w:tr>
      <w:tr>
        <w:trPr>
          <w:trHeight w:val="350"/>
        </w:trPr>
        <w:tc>
          <w:tcPr>
            <w:tcW w:w="4560" w:type="dxa"/>
            <w:vAlign w:val="bottom"/>
            <w:gridSpan w:val="3"/>
          </w:tcPr>
          <w:p>
            <w:pPr>
              <w:spacing w:after="0"/>
              <w:rPr>
                <w:sz w:val="20"/>
                <w:szCs w:val="20"/>
                <w:color w:val="auto"/>
              </w:rPr>
            </w:pPr>
            <w:r>
              <w:rPr>
                <w:rFonts w:ascii="Arial" w:cs="Arial" w:eastAsia="Arial" w:hAnsi="Arial"/>
                <w:sz w:val="18"/>
                <w:szCs w:val="18"/>
                <w:color w:val="auto"/>
              </w:rPr>
              <w:t>CITIBANK, N.A.</w:t>
            </w:r>
          </w:p>
        </w:tc>
      </w:tr>
      <w:tr>
        <w:trPr>
          <w:trHeight w:val="222"/>
        </w:trPr>
        <w:tc>
          <w:tcPr>
            <w:tcW w:w="20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as Agent</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w w:val="85"/>
              </w:rPr>
              <w:t>By</w:t>
            </w:r>
          </w:p>
        </w:tc>
        <w:tc>
          <w:tcPr>
            <w:tcW w:w="180" w:type="dxa"/>
            <w:vAlign w:val="bottom"/>
          </w:tcPr>
          <w:p>
            <w:pPr>
              <w:spacing w:after="0"/>
              <w:rPr>
                <w:sz w:val="24"/>
                <w:szCs w:val="24"/>
                <w:color w:val="auto"/>
              </w:rPr>
            </w:pPr>
          </w:p>
        </w:tc>
        <w:tc>
          <w:tcPr>
            <w:tcW w:w="4180" w:type="dxa"/>
            <w:vAlign w:val="bottom"/>
          </w:tcPr>
          <w:p>
            <w:pPr>
              <w:ind w:left="40"/>
              <w:spacing w:after="0"/>
              <w:rPr>
                <w:sz w:val="20"/>
                <w:szCs w:val="20"/>
                <w:color w:val="auto"/>
              </w:rPr>
            </w:pPr>
            <w:r>
              <w:rPr>
                <w:rFonts w:ascii="Arial" w:cs="Arial" w:eastAsia="Arial" w:hAnsi="Arial"/>
                <w:sz w:val="18"/>
                <w:szCs w:val="18"/>
                <w:color w:val="auto"/>
              </w:rPr>
              <w:t>/s/ Andrew Kreeger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1270</wp:posOffset>
            </wp:positionV>
            <wp:extent cx="26587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 Vice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5960" w:type="dxa"/>
            <w:vAlign w:val="bottom"/>
            <w:vMerge w:val="restart"/>
          </w:tcPr>
          <w:p>
            <w:pPr>
              <w:spacing w:after="0"/>
              <w:rPr>
                <w:sz w:val="20"/>
                <w:szCs w:val="20"/>
                <w:color w:val="auto"/>
              </w:rPr>
            </w:pPr>
            <w:r>
              <w:rPr>
                <w:rFonts w:ascii="Arial" w:cs="Arial" w:eastAsia="Arial" w:hAnsi="Arial"/>
                <w:sz w:val="18"/>
                <w:szCs w:val="18"/>
                <w:color w:val="auto"/>
              </w:rPr>
              <w:t>Commitment</w:t>
            </w:r>
          </w:p>
        </w:tc>
        <w:tc>
          <w:tcPr>
            <w:tcW w:w="5460" w:type="dxa"/>
            <w:vAlign w:val="bottom"/>
            <w:gridSpan w:val="3"/>
          </w:tcPr>
          <w:p>
            <w:pPr>
              <w:spacing w:after="0"/>
              <w:rPr>
                <w:sz w:val="20"/>
                <w:szCs w:val="20"/>
                <w:color w:val="auto"/>
              </w:rPr>
            </w:pPr>
            <w:r>
              <w:rPr>
                <w:rFonts w:ascii="Arial" w:cs="Arial" w:eastAsia="Arial" w:hAnsi="Arial"/>
                <w:sz w:val="18"/>
                <w:szCs w:val="18"/>
                <w:color w:val="auto"/>
              </w:rPr>
              <w:t>Initial Lenders</w:t>
            </w:r>
          </w:p>
        </w:tc>
        <w:tc>
          <w:tcPr>
            <w:tcW w:w="0" w:type="dxa"/>
            <w:vAlign w:val="bottom"/>
          </w:tcPr>
          <w:p>
            <w:pPr>
              <w:spacing w:after="0"/>
              <w:rPr>
                <w:sz w:val="1"/>
                <w:szCs w:val="1"/>
                <w:color w:val="auto"/>
              </w:rPr>
            </w:pPr>
          </w:p>
        </w:tc>
      </w:tr>
      <w:tr>
        <w:trPr>
          <w:trHeight w:val="235"/>
        </w:trPr>
        <w:tc>
          <w:tcPr>
            <w:tcW w:w="5960" w:type="dxa"/>
            <w:vAlign w:val="bottom"/>
            <w:vMerge w:val="continue"/>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$60,000,000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Andrew Kreeger</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color w:val="auto"/>
              </w:rPr>
              <w:t>$60,000,000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JPMORGAN CHASE BANK</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Charles Swarns, Jr.</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17"/>
        </w:trPr>
        <w:tc>
          <w:tcPr>
            <w:tcW w:w="5960" w:type="dxa"/>
            <w:vAlign w:val="bottom"/>
          </w:tcPr>
          <w:p>
            <w:pPr>
              <w:spacing w:after="0"/>
              <w:rPr>
                <w:sz w:val="20"/>
                <w:szCs w:val="20"/>
                <w:color w:val="auto"/>
              </w:rPr>
            </w:pPr>
            <w:r>
              <w:rPr>
                <w:rFonts w:ascii="Arial" w:cs="Arial" w:eastAsia="Arial" w:hAnsi="Arial"/>
                <w:sz w:val="18"/>
                <w:szCs w:val="18"/>
                <w:color w:val="auto"/>
              </w:rPr>
              <w:t>$55,000,000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WACHOVIA BANK, NATIONAL</w:t>
            </w:r>
          </w:p>
        </w:tc>
        <w:tc>
          <w:tcPr>
            <w:tcW w:w="0" w:type="dxa"/>
            <w:vAlign w:val="bottom"/>
          </w:tcPr>
          <w:p>
            <w:pPr>
              <w:spacing w:after="0"/>
              <w:rPr>
                <w:sz w:val="1"/>
                <w:szCs w:val="1"/>
                <w:color w:val="auto"/>
              </w:rPr>
            </w:pPr>
          </w:p>
        </w:tc>
      </w:tr>
      <w:tr>
        <w:trPr>
          <w:trHeight w:val="222"/>
        </w:trPr>
        <w:tc>
          <w:tcPr>
            <w:tcW w:w="596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446"/>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Barbara K. Angel</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color w:val="auto"/>
              </w:rPr>
              <w:t>$45,000,000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SUNTRUST BANK</w:t>
            </w:r>
          </w:p>
        </w:tc>
        <w:tc>
          <w:tcPr>
            <w:tcW w:w="0" w:type="dxa"/>
            <w:vAlign w:val="bottom"/>
          </w:tcPr>
          <w:p>
            <w:pPr>
              <w:spacing w:after="0"/>
              <w:rPr>
                <w:sz w:val="1"/>
                <w:szCs w:val="1"/>
                <w:color w:val="auto"/>
              </w:rPr>
            </w:pPr>
          </w:p>
        </w:tc>
      </w:tr>
      <w:tr>
        <w:trPr>
          <w:trHeight w:val="433"/>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Thomas C. Palmer</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color w:val="auto"/>
              </w:rPr>
              <w:t>$20,000,000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THE BANK OF NEW YORK</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Michael E. Masters</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color w:val="auto"/>
              </w:rPr>
              <w:t>$10,000,000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RIGGS BANK N.A.</w:t>
            </w:r>
          </w:p>
        </w:tc>
        <w:tc>
          <w:tcPr>
            <w:tcW w:w="0" w:type="dxa"/>
            <w:vAlign w:val="bottom"/>
          </w:tcPr>
          <w:p>
            <w:pPr>
              <w:spacing w:after="0"/>
              <w:rPr>
                <w:sz w:val="1"/>
                <w:szCs w:val="1"/>
                <w:color w:val="auto"/>
              </w:rPr>
            </w:pPr>
          </w:p>
        </w:tc>
      </w:tr>
      <w:tr>
        <w:trPr>
          <w:trHeight w:val="432"/>
        </w:trPr>
        <w:tc>
          <w:tcPr>
            <w:tcW w:w="59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Douglas H. Klamfoth</w:t>
            </w: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7"/>
              </w:rPr>
              <w:t>Title:</w:t>
            </w:r>
          </w:p>
        </w:tc>
        <w:tc>
          <w:tcPr>
            <w:tcW w:w="5100" w:type="dxa"/>
            <w:vAlign w:val="bottom"/>
            <w:gridSpan w:val="2"/>
          </w:tcPr>
          <w:p>
            <w:pPr>
              <w:ind w:left="1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color w:val="auto"/>
              </w:rPr>
              <w:t>$250,000,000</w:t>
            </w:r>
          </w:p>
        </w:tc>
        <w:tc>
          <w:tcPr>
            <w:tcW w:w="5460" w:type="dxa"/>
            <w:vAlign w:val="bottom"/>
            <w:gridSpan w:val="3"/>
          </w:tcPr>
          <w:p>
            <w:pPr>
              <w:spacing w:after="0"/>
              <w:rPr>
                <w:sz w:val="20"/>
                <w:szCs w:val="20"/>
                <w:color w:val="auto"/>
              </w:rPr>
            </w:pPr>
            <w:r>
              <w:rPr>
                <w:rFonts w:ascii="Arial" w:cs="Arial" w:eastAsia="Arial" w:hAnsi="Arial"/>
                <w:sz w:val="18"/>
                <w:szCs w:val="18"/>
                <w:color w:val="auto"/>
              </w:rPr>
              <w:t>Total of the Commitments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5" w:name="page86"/>
    <w:bookmarkEnd w:id="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364-Day Credit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LENDING OFFICES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660" w:type="dxa"/>
            <w:vAlign w:val="bottom"/>
          </w:tcPr>
          <w:p>
            <w:pPr>
              <w:ind w:left="180"/>
              <w:spacing w:after="0"/>
              <w:rPr>
                <w:sz w:val="20"/>
                <w:szCs w:val="20"/>
                <w:color w:val="auto"/>
              </w:rPr>
            </w:pPr>
            <w:r>
              <w:rPr>
                <w:rFonts w:ascii="Arial" w:cs="Arial" w:eastAsia="Arial" w:hAnsi="Arial"/>
                <w:sz w:val="14"/>
                <w:szCs w:val="14"/>
                <w:b w:val="1"/>
                <w:bCs w:val="1"/>
                <w:color w:val="auto"/>
                <w:w w:val="99"/>
              </w:rPr>
              <w:t>Name of Initial Lender</w:t>
            </w:r>
          </w:p>
        </w:tc>
        <w:tc>
          <w:tcPr>
            <w:tcW w:w="5000" w:type="dxa"/>
            <w:vAlign w:val="bottom"/>
            <w:gridSpan w:val="3"/>
          </w:tcPr>
          <w:p>
            <w:pPr>
              <w:ind w:left="1240"/>
              <w:spacing w:after="0"/>
              <w:rPr>
                <w:sz w:val="20"/>
                <w:szCs w:val="20"/>
                <w:color w:val="auto"/>
              </w:rPr>
            </w:pPr>
            <w:r>
              <w:rPr>
                <w:rFonts w:ascii="Arial" w:cs="Arial" w:eastAsia="Arial" w:hAnsi="Arial"/>
                <w:sz w:val="14"/>
                <w:szCs w:val="14"/>
                <w:b w:val="1"/>
                <w:bCs w:val="1"/>
                <w:color w:val="auto"/>
              </w:rPr>
              <w:t>Domestic Lending Office</w:t>
            </w: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Eurodollar Lending Office</w:t>
            </w:r>
          </w:p>
        </w:tc>
      </w:tr>
      <w:tr>
        <w:trPr>
          <w:trHeight w:val="95"/>
        </w:trPr>
        <w:tc>
          <w:tcPr>
            <w:tcW w:w="11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309"/>
        </w:trPr>
        <w:tc>
          <w:tcPr>
            <w:tcW w:w="2780" w:type="dxa"/>
            <w:vAlign w:val="bottom"/>
            <w:gridSpan w:val="2"/>
          </w:tcPr>
          <w:p>
            <w:pPr>
              <w:spacing w:after="0"/>
              <w:rPr>
                <w:sz w:val="20"/>
                <w:szCs w:val="20"/>
                <w:color w:val="auto"/>
              </w:rPr>
            </w:pPr>
            <w:r>
              <w:rPr>
                <w:rFonts w:ascii="Arial" w:cs="Arial" w:eastAsia="Arial" w:hAnsi="Arial"/>
                <w:sz w:val="18"/>
                <w:szCs w:val="18"/>
                <w:color w:val="auto"/>
              </w:rPr>
              <w:t>The Bank of New York</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One Wall Street</w:t>
            </w:r>
          </w:p>
        </w:tc>
        <w:tc>
          <w:tcPr>
            <w:tcW w:w="2160" w:type="dxa"/>
            <w:vAlign w:val="bottom"/>
            <w:gridSpan w:val="2"/>
          </w:tcPr>
          <w:p>
            <w:pPr>
              <w:spacing w:after="0"/>
              <w:rPr>
                <w:sz w:val="20"/>
                <w:szCs w:val="20"/>
                <w:color w:val="auto"/>
              </w:rPr>
            </w:pPr>
            <w:r>
              <w:rPr>
                <w:rFonts w:ascii="Arial" w:cs="Arial" w:eastAsia="Arial" w:hAnsi="Arial"/>
                <w:sz w:val="18"/>
                <w:szCs w:val="18"/>
                <w:color w:val="auto"/>
              </w:rPr>
              <w:t>One Wall Street</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New York, NY 10286</w:t>
            </w:r>
          </w:p>
        </w:tc>
        <w:tc>
          <w:tcPr>
            <w:tcW w:w="2160" w:type="dxa"/>
            <w:vAlign w:val="bottom"/>
            <w:gridSpan w:val="2"/>
          </w:tcPr>
          <w:p>
            <w:pPr>
              <w:spacing w:after="0"/>
              <w:rPr>
                <w:sz w:val="20"/>
                <w:szCs w:val="20"/>
                <w:color w:val="auto"/>
              </w:rPr>
            </w:pPr>
            <w:r>
              <w:rPr>
                <w:rFonts w:ascii="Arial" w:cs="Arial" w:eastAsia="Arial" w:hAnsi="Arial"/>
                <w:sz w:val="18"/>
                <w:szCs w:val="18"/>
                <w:color w:val="auto"/>
              </w:rPr>
              <w:t>New York, NY 10286</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Two Penns Way</w:t>
            </w:r>
          </w:p>
        </w:tc>
        <w:tc>
          <w:tcPr>
            <w:tcW w:w="2160" w:type="dxa"/>
            <w:vAlign w:val="bottom"/>
            <w:gridSpan w:val="2"/>
          </w:tcPr>
          <w:p>
            <w:pPr>
              <w:spacing w:after="0"/>
              <w:rPr>
                <w:sz w:val="20"/>
                <w:szCs w:val="20"/>
                <w:color w:val="auto"/>
              </w:rPr>
            </w:pPr>
            <w:r>
              <w:rPr>
                <w:rFonts w:ascii="Arial" w:cs="Arial" w:eastAsia="Arial" w:hAnsi="Arial"/>
                <w:sz w:val="18"/>
                <w:szCs w:val="18"/>
                <w:color w:val="auto"/>
              </w:rPr>
              <w:t>Two Penns Way</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New Castle, DE 19720</w:t>
            </w:r>
          </w:p>
        </w:tc>
        <w:tc>
          <w:tcPr>
            <w:tcW w:w="2160" w:type="dxa"/>
            <w:vAlign w:val="bottom"/>
            <w:gridSpan w:val="2"/>
          </w:tcPr>
          <w:p>
            <w:pPr>
              <w:spacing w:after="0"/>
              <w:rPr>
                <w:sz w:val="20"/>
                <w:szCs w:val="20"/>
                <w:color w:val="auto"/>
              </w:rPr>
            </w:pPr>
            <w:r>
              <w:rPr>
                <w:rFonts w:ascii="Arial" w:cs="Arial" w:eastAsia="Arial" w:hAnsi="Arial"/>
                <w:sz w:val="18"/>
                <w:szCs w:val="18"/>
                <w:color w:val="auto"/>
              </w:rPr>
              <w:t>New Castle, DE 19720</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Attn: Bank Loan Syndications</w:t>
            </w:r>
          </w:p>
        </w:tc>
        <w:tc>
          <w:tcPr>
            <w:tcW w:w="2160" w:type="dxa"/>
            <w:vAlign w:val="bottom"/>
            <w:gridSpan w:val="2"/>
          </w:tcPr>
          <w:p>
            <w:pPr>
              <w:spacing w:after="0"/>
              <w:rPr>
                <w:sz w:val="20"/>
                <w:szCs w:val="20"/>
                <w:color w:val="auto"/>
              </w:rPr>
            </w:pPr>
            <w:r>
              <w:rPr>
                <w:rFonts w:ascii="Arial" w:cs="Arial" w:eastAsia="Arial" w:hAnsi="Arial"/>
                <w:sz w:val="18"/>
                <w:szCs w:val="18"/>
                <w:color w:val="auto"/>
                <w:w w:val="90"/>
              </w:rPr>
              <w:t>Attn: Bank Loan Syndications</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Tel: (302) 894-6054</w:t>
            </w:r>
          </w:p>
        </w:tc>
        <w:tc>
          <w:tcPr>
            <w:tcW w:w="2160" w:type="dxa"/>
            <w:vAlign w:val="bottom"/>
            <w:gridSpan w:val="2"/>
          </w:tcPr>
          <w:p>
            <w:pPr>
              <w:spacing w:after="0"/>
              <w:rPr>
                <w:sz w:val="20"/>
                <w:szCs w:val="20"/>
                <w:color w:val="auto"/>
              </w:rPr>
            </w:pPr>
            <w:r>
              <w:rPr>
                <w:rFonts w:ascii="Arial" w:cs="Arial" w:eastAsia="Arial" w:hAnsi="Arial"/>
                <w:sz w:val="18"/>
                <w:szCs w:val="18"/>
                <w:color w:val="auto"/>
              </w:rPr>
              <w:t>Tel: (302) 894-6054</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Fax: (212) 994-0847</w:t>
            </w:r>
          </w:p>
        </w:tc>
        <w:tc>
          <w:tcPr>
            <w:tcW w:w="2160" w:type="dxa"/>
            <w:vAlign w:val="bottom"/>
            <w:gridSpan w:val="2"/>
          </w:tcPr>
          <w:p>
            <w:pPr>
              <w:spacing w:after="0"/>
              <w:rPr>
                <w:sz w:val="20"/>
                <w:szCs w:val="20"/>
                <w:color w:val="auto"/>
              </w:rPr>
            </w:pPr>
            <w:r>
              <w:rPr>
                <w:rFonts w:ascii="Arial" w:cs="Arial" w:eastAsia="Arial" w:hAnsi="Arial"/>
                <w:sz w:val="18"/>
                <w:szCs w:val="18"/>
                <w:color w:val="auto"/>
              </w:rPr>
              <w:t>Fax: (212) 994-0847</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color w:val="auto"/>
              </w:rPr>
              <w:t>JPMorgan Chase Bank</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c>
          <w:tcPr>
            <w:tcW w:w="2160" w:type="dxa"/>
            <w:vAlign w:val="bottom"/>
            <w:gridSpan w:val="2"/>
          </w:tcPr>
          <w:p>
            <w:pPr>
              <w:spacing w:after="0"/>
              <w:rPr>
                <w:sz w:val="20"/>
                <w:szCs w:val="20"/>
                <w:color w:val="auto"/>
              </w:rPr>
            </w:pPr>
            <w:r>
              <w:rPr>
                <w:rFonts w:ascii="Arial" w:cs="Arial" w:eastAsia="Arial" w:hAnsi="Arial"/>
                <w:sz w:val="18"/>
                <w:szCs w:val="18"/>
                <w:color w:val="auto"/>
                <w:w w:val="86"/>
              </w:rPr>
              <w:t>4 Metrotech Center, 22</w:t>
            </w:r>
            <w:r>
              <w:rPr>
                <w:rFonts w:ascii="Arial" w:cs="Arial" w:eastAsia="Arial" w:hAnsi="Arial"/>
                <w:sz w:val="22"/>
                <w:szCs w:val="22"/>
                <w:color w:val="auto"/>
                <w:w w:val="86"/>
                <w:vertAlign w:val="superscript"/>
              </w:rPr>
              <w:t>nd</w:t>
            </w:r>
            <w:r>
              <w:rPr>
                <w:rFonts w:ascii="Arial" w:cs="Arial" w:eastAsia="Arial" w:hAnsi="Arial"/>
                <w:sz w:val="18"/>
                <w:szCs w:val="18"/>
                <w:color w:val="auto"/>
                <w:w w:val="86"/>
              </w:rPr>
              <w:t xml:space="preserve"> Floor</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Brooklyn, NY 11245</w:t>
            </w:r>
          </w:p>
        </w:tc>
        <w:tc>
          <w:tcPr>
            <w:tcW w:w="2160" w:type="dxa"/>
            <w:vAlign w:val="bottom"/>
            <w:gridSpan w:val="2"/>
          </w:tcPr>
          <w:p>
            <w:pPr>
              <w:spacing w:after="0"/>
              <w:rPr>
                <w:sz w:val="20"/>
                <w:szCs w:val="20"/>
                <w:color w:val="auto"/>
              </w:rPr>
            </w:pPr>
            <w:r>
              <w:rPr>
                <w:rFonts w:ascii="Arial" w:cs="Arial" w:eastAsia="Arial" w:hAnsi="Arial"/>
                <w:sz w:val="18"/>
                <w:szCs w:val="18"/>
                <w:color w:val="auto"/>
              </w:rPr>
              <w:t>Brooklyn, NY 11245</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Attn: Charles L. Swarns, Jr.</w:t>
            </w:r>
          </w:p>
        </w:tc>
        <w:tc>
          <w:tcPr>
            <w:tcW w:w="2160" w:type="dxa"/>
            <w:vAlign w:val="bottom"/>
            <w:gridSpan w:val="2"/>
          </w:tcPr>
          <w:p>
            <w:pPr>
              <w:spacing w:after="0"/>
              <w:rPr>
                <w:sz w:val="20"/>
                <w:szCs w:val="20"/>
                <w:color w:val="auto"/>
              </w:rPr>
            </w:pPr>
            <w:r>
              <w:rPr>
                <w:rFonts w:ascii="Arial" w:cs="Arial" w:eastAsia="Arial" w:hAnsi="Arial"/>
                <w:sz w:val="18"/>
                <w:szCs w:val="18"/>
                <w:color w:val="auto"/>
                <w:w w:val="97"/>
              </w:rPr>
              <w:t>Attn: Charles L. Swarns, Jr.</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Tel: (718) 242-3792</w:t>
            </w:r>
          </w:p>
        </w:tc>
        <w:tc>
          <w:tcPr>
            <w:tcW w:w="2160" w:type="dxa"/>
            <w:vAlign w:val="bottom"/>
            <w:gridSpan w:val="2"/>
          </w:tcPr>
          <w:p>
            <w:pPr>
              <w:spacing w:after="0"/>
              <w:rPr>
                <w:sz w:val="20"/>
                <w:szCs w:val="20"/>
                <w:color w:val="auto"/>
              </w:rPr>
            </w:pPr>
            <w:r>
              <w:rPr>
                <w:rFonts w:ascii="Arial" w:cs="Arial" w:eastAsia="Arial" w:hAnsi="Arial"/>
                <w:sz w:val="18"/>
                <w:szCs w:val="18"/>
                <w:color w:val="auto"/>
              </w:rPr>
              <w:t>Tel: (718) 242-3792</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Fax: (718) 242-3846</w:t>
            </w:r>
          </w:p>
        </w:tc>
        <w:tc>
          <w:tcPr>
            <w:tcW w:w="2160" w:type="dxa"/>
            <w:vAlign w:val="bottom"/>
            <w:gridSpan w:val="2"/>
          </w:tcPr>
          <w:p>
            <w:pPr>
              <w:spacing w:after="0"/>
              <w:rPr>
                <w:sz w:val="20"/>
                <w:szCs w:val="20"/>
                <w:color w:val="auto"/>
              </w:rPr>
            </w:pPr>
            <w:r>
              <w:rPr>
                <w:rFonts w:ascii="Arial" w:cs="Arial" w:eastAsia="Arial" w:hAnsi="Arial"/>
                <w:sz w:val="18"/>
                <w:szCs w:val="18"/>
                <w:color w:val="auto"/>
              </w:rPr>
              <w:t>Fax: (718) 242-3846</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color w:val="auto"/>
              </w:rPr>
              <w:t>Riggs Bank N.A.</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5700 Rivertech Center</w:t>
            </w:r>
          </w:p>
        </w:tc>
        <w:tc>
          <w:tcPr>
            <w:tcW w:w="2160" w:type="dxa"/>
            <w:vAlign w:val="bottom"/>
            <w:gridSpan w:val="2"/>
          </w:tcPr>
          <w:p>
            <w:pPr>
              <w:spacing w:after="0"/>
              <w:rPr>
                <w:sz w:val="20"/>
                <w:szCs w:val="20"/>
                <w:color w:val="auto"/>
              </w:rPr>
            </w:pPr>
            <w:r>
              <w:rPr>
                <w:rFonts w:ascii="Arial" w:cs="Arial" w:eastAsia="Arial" w:hAnsi="Arial"/>
                <w:sz w:val="18"/>
                <w:szCs w:val="18"/>
                <w:color w:val="auto"/>
              </w:rPr>
              <w:t>5700 Rivertech Center</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Riverdale, MD 20727</w:t>
            </w:r>
          </w:p>
        </w:tc>
        <w:tc>
          <w:tcPr>
            <w:tcW w:w="2160" w:type="dxa"/>
            <w:vAlign w:val="bottom"/>
            <w:gridSpan w:val="2"/>
          </w:tcPr>
          <w:p>
            <w:pPr>
              <w:spacing w:after="0"/>
              <w:rPr>
                <w:sz w:val="20"/>
                <w:szCs w:val="20"/>
                <w:color w:val="auto"/>
              </w:rPr>
            </w:pPr>
            <w:r>
              <w:rPr>
                <w:rFonts w:ascii="Arial" w:cs="Arial" w:eastAsia="Arial" w:hAnsi="Arial"/>
                <w:sz w:val="18"/>
                <w:szCs w:val="18"/>
                <w:color w:val="auto"/>
              </w:rPr>
              <w:t>Riverdale, MD 20727</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Attn: Katie Alston</w:t>
            </w:r>
          </w:p>
        </w:tc>
        <w:tc>
          <w:tcPr>
            <w:tcW w:w="2160" w:type="dxa"/>
            <w:vAlign w:val="bottom"/>
            <w:gridSpan w:val="2"/>
          </w:tcPr>
          <w:p>
            <w:pPr>
              <w:spacing w:after="0"/>
              <w:rPr>
                <w:sz w:val="20"/>
                <w:szCs w:val="20"/>
                <w:color w:val="auto"/>
              </w:rPr>
            </w:pPr>
            <w:r>
              <w:rPr>
                <w:rFonts w:ascii="Arial" w:cs="Arial" w:eastAsia="Arial" w:hAnsi="Arial"/>
                <w:sz w:val="18"/>
                <w:szCs w:val="18"/>
                <w:color w:val="auto"/>
              </w:rPr>
              <w:t>Attn: Katie Alston</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 301 887-8966</w:t>
            </w:r>
          </w:p>
        </w:tc>
        <w:tc>
          <w:tcPr>
            <w:tcW w:w="2160" w:type="dxa"/>
            <w:vAlign w:val="bottom"/>
            <w:gridSpan w:val="2"/>
          </w:tcPr>
          <w:p>
            <w:pPr>
              <w:spacing w:after="0"/>
              <w:rPr>
                <w:sz w:val="20"/>
                <w:szCs w:val="20"/>
                <w:color w:val="auto"/>
              </w:rPr>
            </w:pPr>
            <w:r>
              <w:rPr>
                <w:rFonts w:ascii="Arial" w:cs="Arial" w:eastAsia="Arial" w:hAnsi="Arial"/>
                <w:sz w:val="18"/>
                <w:szCs w:val="18"/>
                <w:color w:val="auto"/>
              </w:rPr>
              <w:t>T: 301 887-8966</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 301 887-8010</w:t>
            </w:r>
          </w:p>
        </w:tc>
        <w:tc>
          <w:tcPr>
            <w:tcW w:w="2160" w:type="dxa"/>
            <w:vAlign w:val="bottom"/>
            <w:gridSpan w:val="2"/>
          </w:tcPr>
          <w:p>
            <w:pPr>
              <w:spacing w:after="0"/>
              <w:rPr>
                <w:sz w:val="20"/>
                <w:szCs w:val="20"/>
                <w:color w:val="auto"/>
              </w:rPr>
            </w:pPr>
            <w:r>
              <w:rPr>
                <w:rFonts w:ascii="Arial" w:cs="Arial" w:eastAsia="Arial" w:hAnsi="Arial"/>
                <w:sz w:val="18"/>
                <w:szCs w:val="18"/>
                <w:color w:val="auto"/>
              </w:rPr>
              <w:t>F: 301 887-8010</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1445 New York Avenue, NW</w:t>
            </w:r>
          </w:p>
        </w:tc>
        <w:tc>
          <w:tcPr>
            <w:tcW w:w="2160" w:type="dxa"/>
            <w:vAlign w:val="bottom"/>
            <w:gridSpan w:val="2"/>
          </w:tcPr>
          <w:p>
            <w:pPr>
              <w:spacing w:after="0"/>
              <w:rPr>
                <w:sz w:val="20"/>
                <w:szCs w:val="20"/>
                <w:color w:val="auto"/>
              </w:rPr>
            </w:pPr>
            <w:r>
              <w:rPr>
                <w:rFonts w:ascii="Arial" w:cs="Arial" w:eastAsia="Arial" w:hAnsi="Arial"/>
                <w:sz w:val="18"/>
                <w:szCs w:val="18"/>
                <w:color w:val="auto"/>
                <w:w w:val="93"/>
              </w:rPr>
              <w:t>1445 New York Avenue, NW</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Washington, DC 20005</w:t>
            </w:r>
          </w:p>
        </w:tc>
        <w:tc>
          <w:tcPr>
            <w:tcW w:w="2160" w:type="dxa"/>
            <w:vAlign w:val="bottom"/>
            <w:gridSpan w:val="2"/>
          </w:tcPr>
          <w:p>
            <w:pPr>
              <w:spacing w:after="0"/>
              <w:rPr>
                <w:sz w:val="20"/>
                <w:szCs w:val="20"/>
                <w:color w:val="auto"/>
              </w:rPr>
            </w:pPr>
            <w:r>
              <w:rPr>
                <w:rFonts w:ascii="Arial" w:cs="Arial" w:eastAsia="Arial" w:hAnsi="Arial"/>
                <w:sz w:val="18"/>
                <w:szCs w:val="18"/>
                <w:color w:val="auto"/>
              </w:rPr>
              <w:t>Washington, DC 20005</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Attn: Tom Palmer</w:t>
            </w:r>
          </w:p>
        </w:tc>
        <w:tc>
          <w:tcPr>
            <w:tcW w:w="2160" w:type="dxa"/>
            <w:vAlign w:val="bottom"/>
            <w:gridSpan w:val="2"/>
          </w:tcPr>
          <w:p>
            <w:pPr>
              <w:spacing w:after="0"/>
              <w:rPr>
                <w:sz w:val="20"/>
                <w:szCs w:val="20"/>
                <w:color w:val="auto"/>
              </w:rPr>
            </w:pPr>
            <w:r>
              <w:rPr>
                <w:rFonts w:ascii="Arial" w:cs="Arial" w:eastAsia="Arial" w:hAnsi="Arial"/>
                <w:sz w:val="18"/>
                <w:szCs w:val="18"/>
                <w:color w:val="auto"/>
              </w:rPr>
              <w:t>Attn: Tom Palmer</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 804 782-5833</w:t>
            </w:r>
          </w:p>
        </w:tc>
        <w:tc>
          <w:tcPr>
            <w:tcW w:w="2160" w:type="dxa"/>
            <w:vAlign w:val="bottom"/>
            <w:gridSpan w:val="2"/>
          </w:tcPr>
          <w:p>
            <w:pPr>
              <w:spacing w:after="0"/>
              <w:rPr>
                <w:sz w:val="20"/>
                <w:szCs w:val="20"/>
                <w:color w:val="auto"/>
              </w:rPr>
            </w:pPr>
            <w:r>
              <w:rPr>
                <w:rFonts w:ascii="Arial" w:cs="Arial" w:eastAsia="Arial" w:hAnsi="Arial"/>
                <w:sz w:val="18"/>
                <w:szCs w:val="18"/>
                <w:color w:val="auto"/>
              </w:rPr>
              <w:t>T: 804 782-5833</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 202 879-6137</w:t>
            </w:r>
          </w:p>
        </w:tc>
        <w:tc>
          <w:tcPr>
            <w:tcW w:w="2160" w:type="dxa"/>
            <w:vAlign w:val="bottom"/>
            <w:gridSpan w:val="2"/>
          </w:tcPr>
          <w:p>
            <w:pPr>
              <w:spacing w:after="0"/>
              <w:rPr>
                <w:sz w:val="20"/>
                <w:szCs w:val="20"/>
                <w:color w:val="auto"/>
              </w:rPr>
            </w:pPr>
            <w:r>
              <w:rPr>
                <w:rFonts w:ascii="Arial" w:cs="Arial" w:eastAsia="Arial" w:hAnsi="Arial"/>
                <w:sz w:val="18"/>
                <w:szCs w:val="18"/>
                <w:color w:val="auto"/>
              </w:rPr>
              <w:t>F: 202 879-6137</w:t>
            </w:r>
          </w:p>
        </w:tc>
      </w:tr>
      <w:tr>
        <w:trPr>
          <w:trHeight w:val="318"/>
        </w:trPr>
        <w:tc>
          <w:tcPr>
            <w:tcW w:w="2780" w:type="dxa"/>
            <w:vAlign w:val="bottom"/>
            <w:gridSpan w:val="2"/>
          </w:tcPr>
          <w:p>
            <w:pPr>
              <w:spacing w:after="0"/>
              <w:rPr>
                <w:sz w:val="20"/>
                <w:szCs w:val="20"/>
                <w:color w:val="auto"/>
              </w:rPr>
            </w:pPr>
            <w:r>
              <w:rPr>
                <w:rFonts w:ascii="Arial" w:cs="Arial" w:eastAsia="Arial" w:hAnsi="Arial"/>
                <w:sz w:val="18"/>
                <w:szCs w:val="18"/>
                <w:color w:val="auto"/>
              </w:rPr>
              <w:t>Wachovia Bank, National</w:t>
            </w: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1753 Pinnacle Drive</w:t>
            </w:r>
          </w:p>
        </w:tc>
        <w:tc>
          <w:tcPr>
            <w:tcW w:w="2160" w:type="dxa"/>
            <w:vAlign w:val="bottom"/>
            <w:gridSpan w:val="2"/>
          </w:tcPr>
          <w:p>
            <w:pPr>
              <w:spacing w:after="0"/>
              <w:rPr>
                <w:sz w:val="20"/>
                <w:szCs w:val="20"/>
                <w:color w:val="auto"/>
              </w:rPr>
            </w:pPr>
            <w:r>
              <w:rPr>
                <w:rFonts w:ascii="Arial" w:cs="Arial" w:eastAsia="Arial" w:hAnsi="Arial"/>
                <w:sz w:val="18"/>
                <w:szCs w:val="18"/>
                <w:color w:val="auto"/>
              </w:rPr>
              <w:t>1753 Pinnacle Drive</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Association</w:t>
            </w:r>
          </w:p>
        </w:tc>
        <w:tc>
          <w:tcPr>
            <w:tcW w:w="5000" w:type="dxa"/>
            <w:vAlign w:val="bottom"/>
            <w:gridSpan w:val="3"/>
          </w:tcPr>
          <w:p>
            <w:pPr>
              <w:ind w:left="1240"/>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VA 1993</w:t>
            </w:r>
          </w:p>
        </w:tc>
        <w:tc>
          <w:tcPr>
            <w:tcW w:w="2160" w:type="dxa"/>
            <w:vAlign w:val="bottom"/>
            <w:gridSpan w:val="2"/>
          </w:tcPr>
          <w:p>
            <w:pPr>
              <w:spacing w:after="0" w:line="217" w:lineRule="exact"/>
              <w:rPr>
                <w:sz w:val="20"/>
                <w:szCs w:val="20"/>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Floor VA 1993</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McLean, VA 22102</w:t>
            </w:r>
          </w:p>
        </w:tc>
        <w:tc>
          <w:tcPr>
            <w:tcW w:w="2160" w:type="dxa"/>
            <w:vAlign w:val="bottom"/>
            <w:gridSpan w:val="2"/>
          </w:tcPr>
          <w:p>
            <w:pPr>
              <w:spacing w:after="0"/>
              <w:rPr>
                <w:sz w:val="20"/>
                <w:szCs w:val="20"/>
                <w:color w:val="auto"/>
              </w:rPr>
            </w:pPr>
            <w:r>
              <w:rPr>
                <w:rFonts w:ascii="Arial" w:cs="Arial" w:eastAsia="Arial" w:hAnsi="Arial"/>
                <w:sz w:val="18"/>
                <w:szCs w:val="18"/>
                <w:color w:val="auto"/>
              </w:rPr>
              <w:t>McLean, VA 22102</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Attn: Barbara Angel</w:t>
            </w:r>
          </w:p>
        </w:tc>
        <w:tc>
          <w:tcPr>
            <w:tcW w:w="2160" w:type="dxa"/>
            <w:vAlign w:val="bottom"/>
            <w:gridSpan w:val="2"/>
          </w:tcPr>
          <w:p>
            <w:pPr>
              <w:spacing w:after="0"/>
              <w:rPr>
                <w:sz w:val="20"/>
                <w:szCs w:val="20"/>
                <w:color w:val="auto"/>
              </w:rPr>
            </w:pPr>
            <w:r>
              <w:rPr>
                <w:rFonts w:ascii="Arial" w:cs="Arial" w:eastAsia="Arial" w:hAnsi="Arial"/>
                <w:sz w:val="18"/>
                <w:szCs w:val="18"/>
                <w:color w:val="auto"/>
              </w:rPr>
              <w:t>Attn: Barbara Angel</w:t>
            </w: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Tel: (703) 760-6369</w:t>
            </w:r>
          </w:p>
        </w:tc>
        <w:tc>
          <w:tcPr>
            <w:tcW w:w="2160" w:type="dxa"/>
            <w:vAlign w:val="bottom"/>
            <w:gridSpan w:val="2"/>
          </w:tcPr>
          <w:p>
            <w:pPr>
              <w:spacing w:after="0"/>
              <w:rPr>
                <w:sz w:val="20"/>
                <w:szCs w:val="20"/>
                <w:color w:val="auto"/>
              </w:rPr>
            </w:pPr>
            <w:r>
              <w:rPr>
                <w:rFonts w:ascii="Arial" w:cs="Arial" w:eastAsia="Arial" w:hAnsi="Arial"/>
                <w:sz w:val="18"/>
                <w:szCs w:val="18"/>
                <w:color w:val="auto"/>
              </w:rPr>
              <w:t>Tel: (703) 760-6369</w:t>
            </w:r>
          </w:p>
        </w:tc>
      </w:tr>
      <w:tr>
        <w:trPr>
          <w:trHeight w:val="222"/>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Fax: (703) 760-6172</w:t>
            </w:r>
          </w:p>
        </w:tc>
        <w:tc>
          <w:tcPr>
            <w:tcW w:w="2160" w:type="dxa"/>
            <w:vAlign w:val="bottom"/>
            <w:gridSpan w:val="2"/>
          </w:tcPr>
          <w:p>
            <w:pPr>
              <w:spacing w:after="0"/>
              <w:rPr>
                <w:sz w:val="20"/>
                <w:szCs w:val="20"/>
                <w:color w:val="auto"/>
              </w:rPr>
            </w:pPr>
            <w:r>
              <w:rPr>
                <w:rFonts w:ascii="Arial" w:cs="Arial" w:eastAsia="Arial" w:hAnsi="Arial"/>
                <w:sz w:val="18"/>
                <w:szCs w:val="18"/>
                <w:color w:val="auto"/>
              </w:rPr>
              <w:t>Fax: (703) 760-6172</w:t>
            </w:r>
          </w:p>
        </w:tc>
      </w:tr>
    </w:tbl>
    <w:p>
      <w:pPr>
        <w:sectPr>
          <w:pgSz w:w="11900" w:h="16838" w:orient="portrait"/>
          <w:cols w:equalWidth="0" w:num="1">
            <w:col w:w="11420"/>
          </w:cols>
          <w:pgMar w:left="240" w:top="28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5.02(a)</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EXISTING LIENS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80" w:right="1440"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51" w:lineRule="exact"/>
        <w:rPr>
          <w:sz w:val="20"/>
          <w:szCs w:val="20"/>
          <w:color w:val="auto"/>
        </w:rPr>
      </w:pPr>
    </w:p>
    <w:p>
      <w:pPr>
        <w:spacing w:after="0"/>
        <w:tabs>
          <w:tab w:leader="none" w:pos="9220" w:val="left"/>
          <w:tab w:leader="none" w:pos="1096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-13970</wp:posOffset>
            </wp:positionV>
            <wp:extent cx="5575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6192520</wp:posOffset>
            </wp:positionH>
            <wp:positionV relativeFrom="paragraph">
              <wp:posOffset>-13970</wp:posOffset>
            </wp:positionV>
            <wp:extent cx="7804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w:t>
      </w:r>
    </w:p>
    <w:p>
      <w:pPr>
        <w:spacing w:after="0" w:line="3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TO PAY to the order of (the “</w:t>
      </w:r>
      <w:r>
        <w:rPr>
          <w:rFonts w:ascii="Arial" w:cs="Arial" w:eastAsia="Arial" w:hAnsi="Arial"/>
          <w:sz w:val="18"/>
          <w:szCs w:val="18"/>
          <w:u w:val="single" w:color="auto"/>
          <w:color w:val="auto"/>
        </w:rPr>
        <w:t>Lender</w:t>
      </w:r>
      <w:r>
        <w:rPr>
          <w:rFonts w:ascii="Arial" w:cs="Arial" w:eastAsia="Arial" w:hAnsi="Arial"/>
          <w:sz w:val="18"/>
          <w:szCs w:val="18"/>
          <w:color w:val="auto"/>
        </w:rPr>
        <w:t>”) for the account of its Applicable Lending Office on the later of the Termination Date and the date designated 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 364-Day Credit Agreement dated as of August 11, 2004 among the Borrower, the Lender and certain other lenders parties thereto, Citibank, N.A., as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-714375</wp:posOffset>
            </wp:positionV>
            <wp:extent cx="169989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1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7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1420"/>
          </w:cols>
          <w:pgMar w:left="240" w:top="280" w:right="239" w:bottom="1440" w:gutter="0" w:footer="0" w:header="0"/>
        </w:sectPr>
      </w:pPr>
    </w:p>
    <w:bookmarkStart w:id="88" w:name="page89"/>
    <w:bookmarkEnd w:id="88"/>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9" w:name="page90"/>
    <w:bookmarkEnd w:id="89"/>
    <w:p>
      <w:pPr>
        <w:ind w:left="3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AND PAYMENTS OF PRINCIPAL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1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Principal Paid</w:t>
            </w:r>
          </w:p>
        </w:tc>
        <w:tc>
          <w:tcPr>
            <w:tcW w:w="1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74"/>
        </w:trPr>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92"/>
              </w:rPr>
              <w:t>Date</w:t>
            </w:r>
          </w:p>
        </w:tc>
        <w:tc>
          <w:tcPr>
            <w:tcW w:w="22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Advance</w:t>
            </w:r>
          </w:p>
        </w:tc>
        <w:tc>
          <w:tcPr>
            <w:tcW w:w="19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or Prepaid</w:t>
            </w:r>
          </w:p>
        </w:tc>
        <w:tc>
          <w:tcPr>
            <w:tcW w:w="13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900" w:type="dxa"/>
            <w:vAlign w:val="bottom"/>
          </w:tcPr>
          <w:p>
            <w:pPr>
              <w:spacing w:after="0"/>
              <w:rPr>
                <w:sz w:val="15"/>
                <w:szCs w:val="15"/>
                <w:color w:val="auto"/>
              </w:rPr>
            </w:pPr>
          </w:p>
        </w:tc>
        <w:tc>
          <w:tcPr>
            <w:tcW w:w="1380" w:type="dxa"/>
            <w:vAlign w:val="bottom"/>
          </w:tcPr>
          <w:p>
            <w:pPr>
              <w:ind w:left="160"/>
              <w:spacing w:after="0"/>
              <w:rPr>
                <w:sz w:val="20"/>
                <w:szCs w:val="20"/>
                <w:color w:val="auto"/>
              </w:rPr>
            </w:pPr>
            <w:r>
              <w:rPr>
                <w:rFonts w:ascii="Arial" w:cs="Arial" w:eastAsia="Arial" w:hAnsi="Arial"/>
                <w:sz w:val="14"/>
                <w:szCs w:val="14"/>
                <w:b w:val="1"/>
                <w:bCs w:val="1"/>
                <w:color w:val="auto"/>
              </w:rPr>
              <w:t>Notation Made By</w:t>
            </w:r>
          </w:p>
        </w:tc>
      </w:tr>
      <w:tr>
        <w:trPr>
          <w:trHeight w:val="95"/>
        </w:trPr>
        <w:tc>
          <w:tcPr>
            <w:tcW w:w="32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1080" w:top="27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w w:val="87"/>
              </w:rPr>
              <w:t>U.S. $</w:t>
            </w:r>
          </w:p>
        </w:tc>
        <w:tc>
          <w:tcPr>
            <w:tcW w:w="8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w w:val="94"/>
              </w:rPr>
              <w:t>Dated:</w:t>
            </w:r>
          </w:p>
        </w:tc>
        <w:tc>
          <w:tcPr>
            <w:tcW w:w="1220" w:type="dxa"/>
            <w:vAlign w:val="bottom"/>
            <w:tcBorders>
              <w:bottom w:val="single" w:sz="8" w:color="auto"/>
            </w:tcBorders>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200_</w:t>
            </w:r>
          </w:p>
        </w:tc>
      </w:tr>
      <w:tr>
        <w:trPr>
          <w:trHeight w:val="345"/>
        </w:trPr>
        <w:tc>
          <w:tcPr>
            <w:tcW w:w="460" w:type="dxa"/>
            <w:vAlign w:val="bottom"/>
          </w:tcPr>
          <w:p>
            <w:pPr>
              <w:spacing w:after="0"/>
              <w:rPr>
                <w:sz w:val="24"/>
                <w:szCs w:val="24"/>
                <w:color w:val="auto"/>
              </w:rPr>
            </w:pPr>
          </w:p>
        </w:tc>
        <w:tc>
          <w:tcPr>
            <w:tcW w:w="10960" w:type="dxa"/>
            <w:vAlign w:val="bottom"/>
            <w:gridSpan w:val="10"/>
          </w:tcPr>
          <w:p>
            <w:pPr>
              <w:jc w:val="right"/>
              <w:ind w:right="112"/>
              <w:spacing w:after="0"/>
              <w:rPr>
                <w:sz w:val="20"/>
                <w:szCs w:val="20"/>
                <w:color w:val="auto"/>
              </w:rPr>
            </w:pPr>
            <w:r>
              <w:rPr>
                <w:rFonts w:ascii="Arial" w:cs="Arial" w:eastAsia="Arial" w:hAnsi="Arial"/>
                <w:sz w:val="18"/>
                <w:szCs w:val="18"/>
                <w:color w:val="auto"/>
                <w:w w:val="91"/>
              </w:rPr>
              <w:t>FOR VALUE RECEIVED, the undersigned, THE WASHINGTON POST COMPANY, a Delaware corporation (the “Borrower”), HEREBY PROMISES</w:t>
            </w:r>
          </w:p>
        </w:tc>
      </w:tr>
      <w:tr>
        <w:trPr>
          <w:trHeight w:val="20"/>
        </w:trPr>
        <w:tc>
          <w:tcPr>
            <w:tcW w:w="168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r>
      <w:tr>
        <w:trPr>
          <w:trHeight w:val="196"/>
        </w:trPr>
        <w:tc>
          <w:tcPr>
            <w:tcW w:w="1680" w:type="dxa"/>
            <w:vAlign w:val="bottom"/>
            <w:gridSpan w:val="3"/>
          </w:tcPr>
          <w:p>
            <w:pPr>
              <w:spacing w:after="0" w:line="196" w:lineRule="exact"/>
              <w:rPr>
                <w:sz w:val="20"/>
                <w:szCs w:val="20"/>
                <w:color w:val="auto"/>
              </w:rPr>
            </w:pPr>
            <w:r>
              <w:rPr>
                <w:rFonts w:ascii="Arial" w:cs="Arial" w:eastAsia="Arial" w:hAnsi="Arial"/>
                <w:sz w:val="18"/>
                <w:szCs w:val="18"/>
                <w:color w:val="auto"/>
                <w:w w:val="90"/>
              </w:rPr>
              <w:t>TO PAY to the order of</w:t>
            </w:r>
          </w:p>
        </w:tc>
        <w:tc>
          <w:tcPr>
            <w:tcW w:w="2680" w:type="dxa"/>
            <w:vAlign w:val="bottom"/>
          </w:tcPr>
          <w:p>
            <w:pPr>
              <w:spacing w:after="0"/>
              <w:rPr>
                <w:sz w:val="17"/>
                <w:szCs w:val="17"/>
                <w:color w:val="auto"/>
              </w:rPr>
            </w:pPr>
          </w:p>
        </w:tc>
        <w:tc>
          <w:tcPr>
            <w:tcW w:w="7060" w:type="dxa"/>
            <w:vAlign w:val="bottom"/>
            <w:gridSpan w:val="7"/>
          </w:tcPr>
          <w:p>
            <w:pPr>
              <w:jc w:val="right"/>
              <w:ind w:right="72"/>
              <w:spacing w:after="0" w:line="196" w:lineRule="exact"/>
              <w:rPr>
                <w:sz w:val="20"/>
                <w:szCs w:val="20"/>
                <w:color w:val="auto"/>
              </w:rPr>
            </w:pPr>
            <w:r>
              <w:rPr>
                <w:rFonts w:ascii="Arial" w:cs="Arial" w:eastAsia="Arial" w:hAnsi="Arial"/>
                <w:sz w:val="18"/>
                <w:szCs w:val="18"/>
                <w:color w:val="auto"/>
                <w:w w:val="91"/>
              </w:rPr>
              <w:t>(the “Lender”) for the account of its Applicable Lending Office (as defined in the 364-Day Credit</w:t>
            </w: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9" w:lineRule="exact"/>
        <w:rPr>
          <w:sz w:val="20"/>
          <w:szCs w:val="20"/>
          <w:color w:val="auto"/>
        </w:rPr>
      </w:pPr>
    </w:p>
    <w:p>
      <w:pPr>
        <w:ind w:right="300"/>
        <w:spacing w:after="0" w:line="305" w:lineRule="auto"/>
        <w:rPr>
          <w:sz w:val="20"/>
          <w:szCs w:val="20"/>
          <w:color w:val="auto"/>
        </w:rPr>
      </w:pPr>
      <w:r>
        <w:rPr>
          <w:rFonts w:ascii="Arial" w:cs="Arial" w:eastAsia="Arial" w:hAnsi="Arial"/>
          <w:sz w:val="15"/>
          <w:szCs w:val="15"/>
          <w:color w:val="auto"/>
        </w:rPr>
        <w:t>Agreement dated as of August 11, 2004 among the Borrower, the Lender and certain other lenders parties thereto, Citibank, N.A., as Agent for the Lender and such other lenders (as amended or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the terms defined therein being used herein as therein defined)), on</w:t>
      </w:r>
    </w:p>
    <w:p>
      <w:pPr>
        <w:ind w:left="1580"/>
        <w:spacing w:after="0"/>
        <w:tabs>
          <w:tab w:leader="none" w:pos="5060" w:val="left"/>
        </w:tabs>
        <w:rPr>
          <w:sz w:val="20"/>
          <w:szCs w:val="20"/>
          <w:color w:val="auto"/>
        </w:rPr>
      </w:pPr>
      <w:r>
        <w:rPr>
          <w:rFonts w:ascii="Arial" w:cs="Arial" w:eastAsia="Arial" w:hAnsi="Arial"/>
          <w:sz w:val="18"/>
          <w:szCs w:val="18"/>
          <w:color w:val="auto"/>
        </w:rPr>
        <w:t>, 200_, the principal amount of U.S.$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033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-17780</wp:posOffset>
            </wp:positionV>
            <wp:extent cx="5575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18" w:lineRule="exact"/>
        <w:rPr>
          <w:sz w:val="20"/>
          <w:szCs w:val="20"/>
          <w:color w:val="auto"/>
        </w:rPr>
      </w:pPr>
    </w:p>
    <w:p>
      <w:pPr>
        <w:ind w:left="460"/>
        <w:spacing w:after="0"/>
        <w:tabs>
          <w:tab w:leader="none" w:pos="2020" w:val="left"/>
          <w:tab w:leader="none" w:pos="61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8"/>
          <w:szCs w:val="18"/>
          <w:color w:val="auto"/>
        </w:rPr>
        <w:t>% per annum (calculated on the basis of a year of</w:t>
      </w:r>
      <w:r>
        <w:rPr>
          <w:sz w:val="20"/>
          <w:szCs w:val="20"/>
          <w:color w:val="auto"/>
        </w:rPr>
        <w:tab/>
      </w:r>
      <w:r>
        <w:rPr>
          <w:rFonts w:ascii="Arial" w:cs="Arial" w:eastAsia="Arial" w:hAnsi="Arial"/>
          <w:sz w:val="15"/>
          <w:szCs w:val="15"/>
          <w:color w:val="auto"/>
        </w:rPr>
        <w:t>days for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-13970</wp:posOffset>
            </wp:positionV>
            <wp:extent cx="3346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-13970</wp:posOffset>
            </wp:positionV>
            <wp:extent cx="33464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7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shall be governed by, and construed in accordance with, the laws of the State of New York.</w:t>
      </w:r>
    </w:p>
    <w:p>
      <w:pPr>
        <w:spacing w:after="0" w:line="158"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2540</wp:posOffset>
            </wp:positionV>
            <wp:extent cx="26930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8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REVOLVING CREDIT BORROWING</w:t>
      </w:r>
    </w:p>
    <w:p>
      <w:pPr>
        <w:sectPr>
          <w:pgSz w:w="11900" w:h="16838" w:orient="portrait"/>
          <w:cols w:equalWidth="0" w:num="1">
            <w:col w:w="11420"/>
          </w:cols>
          <w:pgMar w:left="240" w:top="280" w:right="2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 the Credit Agreement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80"/>
        <w:spacing w:after="0"/>
        <w:rPr>
          <w:sz w:val="20"/>
          <w:szCs w:val="20"/>
          <w:color w:val="auto"/>
        </w:rPr>
      </w:pPr>
      <w:r>
        <w:rPr>
          <w:rFonts w:ascii="Arial" w:cs="Arial" w:eastAsia="Arial" w:hAnsi="Arial"/>
          <w:sz w:val="16"/>
          <w:szCs w:val="16"/>
          <w:color w:val="auto"/>
        </w:rPr>
        <w:t>[Date]</w:t>
      </w:r>
    </w:p>
    <w:p>
      <w:pPr>
        <w:spacing w:after="0" w:line="181" w:lineRule="exact"/>
        <w:rPr>
          <w:sz w:val="20"/>
          <w:szCs w:val="20"/>
          <w:color w:val="auto"/>
        </w:rPr>
      </w:pPr>
    </w:p>
    <w:p>
      <w:pPr>
        <w:sectPr>
          <w:pgSz w:w="11900" w:h="16838" w:orient="portrait"/>
          <w:cols w:equalWidth="0" w:num="2">
            <w:col w:w="5660" w:space="720"/>
            <w:col w:w="504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Attention: Cristian Garcia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280" w:right="239" w:bottom="1440" w:gutter="0" w:footer="0" w:header="0"/>
          <w:type w:val="continuous"/>
        </w:sectPr>
      </w:pP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The Washington Post Company, refers to the 364-Day Credit Agreement, dated as of August 11, 2004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tbl>
      <w:tblPr>
        <w:tblLayout w:type="fixed"/>
        <w:tblInd w:w="900" w:type="dxa"/>
        <w:tblCellMar>
          <w:top w:w="0" w:type="dxa"/>
          <w:left w:w="0" w:type="dxa"/>
          <w:bottom w:w="0" w:type="dxa"/>
          <w:right w:w="0" w:type="dxa"/>
        </w:tblCellMar>
      </w:tblPr>
      <w:tr>
        <w:trPr>
          <w:trHeight w:val="205"/>
        </w:trPr>
        <w:tc>
          <w:tcPr>
            <w:tcW w:w="4900" w:type="dxa"/>
            <w:vAlign w:val="bottom"/>
          </w:tcPr>
          <w:p>
            <w:pPr>
              <w:spacing w:after="0" w:line="205" w:lineRule="exact"/>
              <w:rPr>
                <w:sz w:val="20"/>
                <w:szCs w:val="20"/>
                <w:color w:val="auto"/>
              </w:rPr>
            </w:pPr>
            <w:r>
              <w:rPr>
                <w:rFonts w:ascii="Arial" w:cs="Arial" w:eastAsia="Arial" w:hAnsi="Arial"/>
                <w:sz w:val="18"/>
                <w:szCs w:val="18"/>
                <w:color w:val="auto"/>
                <w:w w:val="90"/>
              </w:rPr>
              <w:t>(i) The Business Day of the Proposed Revolving Credit Borrowing is</w:t>
            </w:r>
          </w:p>
        </w:tc>
        <w:tc>
          <w:tcPr>
            <w:tcW w:w="88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1"/>
              </w:rPr>
              <w:t>, 200 .</w:t>
            </w:r>
          </w:p>
        </w:tc>
      </w:tr>
      <w:tr>
        <w:trPr>
          <w:trHeight w:val="20"/>
        </w:trPr>
        <w:tc>
          <w:tcPr>
            <w:tcW w:w="4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 The Type of Advances comprising the Proposed Revolving Credit Borrowing is [Base Rate Advances] [Eurodollar Rate Advances].</w:t>
      </w:r>
    </w:p>
    <w:p>
      <w:pPr>
        <w:spacing w:after="0" w:line="54"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8"/>
                <w:szCs w:val="18"/>
                <w:color w:val="auto"/>
                <w:w w:val="89"/>
              </w:rPr>
              <w:t>(iii) The aggregate amount of the Proposed Revolving Credit Borrowing is $</w:t>
            </w:r>
          </w:p>
        </w:tc>
        <w:tc>
          <w:tcPr>
            <w:tcW w:w="3560" w:type="dxa"/>
            <w:vAlign w:val="bottom"/>
            <w:gridSpan w:val="2"/>
          </w:tcPr>
          <w:p>
            <w:pPr>
              <w:jc w:val="right"/>
              <w:ind w:right="2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8940" w:type="dxa"/>
            <w:vAlign w:val="bottom"/>
            <w:gridSpan w:val="3"/>
          </w:tcPr>
          <w:p>
            <w:pPr>
              <w:spacing w:after="0"/>
              <w:rPr>
                <w:sz w:val="20"/>
                <w:szCs w:val="20"/>
                <w:color w:val="auto"/>
              </w:rPr>
            </w:pPr>
            <w:r>
              <w:rPr>
                <w:rFonts w:ascii="Arial" w:cs="Arial" w:eastAsia="Arial" w:hAnsi="Arial"/>
                <w:sz w:val="18"/>
                <w:szCs w:val="18"/>
                <w:color w:val="auto"/>
                <w:w w:val="89"/>
              </w:rPr>
              <w:t>(iv) [The initial Interest Period for each Eurodollar Rate Advance made as part of the Proposed Revolving Credit Borrowing is</w:t>
            </w:r>
          </w:p>
        </w:tc>
        <w:tc>
          <w:tcPr>
            <w:tcW w:w="520" w:type="dxa"/>
            <w:vAlign w:val="bottom"/>
            <w:tcBorders>
              <w:bottom w:val="single" w:sz="8" w:color="auto"/>
            </w:tcBorders>
          </w:tcPr>
          <w:p>
            <w:pPr>
              <w:spacing w:after="0"/>
              <w:rPr>
                <w:sz w:val="22"/>
                <w:szCs w:val="22"/>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91"/>
              </w:rPr>
              <w:t>month[s].]</w:t>
            </w:r>
          </w:p>
        </w:tc>
      </w:tr>
    </w:tbl>
    <w:p>
      <w:pPr>
        <w:spacing w:after="0" w:line="16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37" w:lineRule="exact"/>
        <w:rPr>
          <w:sz w:val="20"/>
          <w:szCs w:val="20"/>
          <w:color w:val="auto"/>
        </w:rPr>
      </w:pPr>
    </w:p>
    <w:p>
      <w:pPr>
        <w:jc w:val="both"/>
        <w:ind w:left="460" w:right="140" w:firstLine="443"/>
        <w:spacing w:after="0" w:line="259" w:lineRule="auto"/>
        <w:tabs>
          <w:tab w:leader="none" w:pos="118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1420"/>
          </w:cols>
          <w:pgMar w:left="240" w:top="280" w:right="239" w:bottom="1440" w:gutter="0" w:footer="0" w:header="0"/>
          <w:type w:val="continuous"/>
        </w:sectPr>
      </w:pPr>
    </w:p>
    <w:bookmarkStart w:id="93" w:name="page94"/>
    <w:bookmarkEnd w:id="93"/>
    <w:p>
      <w:pPr>
        <w:ind w:firstLine="443"/>
        <w:spacing w:after="0" w:line="268" w:lineRule="auto"/>
        <w:tabs>
          <w:tab w:leader="none" w:pos="716"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event has occurred and is continuing, or would result from such Proposed Revolving Credit Borrowing or from the application of the proceeds therefrom, that constitutes a Default.</w:t>
      </w:r>
    </w:p>
    <w:p>
      <w:pPr>
        <w:spacing w:after="0" w:line="1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2540</wp:posOffset>
            </wp:positionV>
            <wp:extent cx="26930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ectPr>
          <w:pgSz w:w="11900" w:h="16838" w:orient="portrait"/>
          <w:cols w:equalWidth="0" w:num="1">
            <w:col w:w="11420"/>
          </w:cols>
          <w:pgMar w:left="240" w:top="280" w:right="2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 the Credit Agreement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80"/>
        <w:spacing w:after="0"/>
        <w:rPr>
          <w:sz w:val="20"/>
          <w:szCs w:val="20"/>
          <w:color w:val="auto"/>
        </w:rPr>
      </w:pPr>
      <w:r>
        <w:rPr>
          <w:rFonts w:ascii="Arial" w:cs="Arial" w:eastAsia="Arial" w:hAnsi="Arial"/>
          <w:sz w:val="16"/>
          <w:szCs w:val="16"/>
          <w:color w:val="auto"/>
        </w:rPr>
        <w:t>[Date]</w:t>
      </w:r>
    </w:p>
    <w:p>
      <w:pPr>
        <w:spacing w:after="0" w:line="181" w:lineRule="exact"/>
        <w:rPr>
          <w:sz w:val="20"/>
          <w:szCs w:val="20"/>
          <w:color w:val="auto"/>
        </w:rPr>
      </w:pPr>
    </w:p>
    <w:p>
      <w:pPr>
        <w:sectPr>
          <w:pgSz w:w="11900" w:h="16838" w:orient="portrait"/>
          <w:cols w:equalWidth="0" w:num="2">
            <w:col w:w="5660" w:space="720"/>
            <w:col w:w="50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Attention: Cristian Garcia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280" w:right="239" w:bottom="1440" w:gutter="0" w:footer="0" w:header="0"/>
          <w:type w:val="continuous"/>
        </w:sectPr>
      </w:pP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The Washington Post Company, refers to the 364-Day Credit Agreement, dated as of August 11, 2004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undersigned, certain Lenders parties thereto,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is requested to be made: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1"/>
              </w:rPr>
              <w:t>(A)</w:t>
            </w:r>
          </w:p>
        </w:tc>
        <w:tc>
          <w:tcPr>
            <w:tcW w:w="5380" w:type="dxa"/>
            <w:vAlign w:val="bottom"/>
          </w:tcPr>
          <w:p>
            <w:pPr>
              <w:ind w:left="60"/>
              <w:spacing w:after="0"/>
              <w:rPr>
                <w:sz w:val="20"/>
                <w:szCs w:val="20"/>
                <w:color w:val="auto"/>
              </w:rPr>
            </w:pPr>
            <w:r>
              <w:rPr>
                <w:rFonts w:ascii="Arial" w:cs="Arial" w:eastAsia="Arial" w:hAnsi="Arial"/>
                <w:sz w:val="18"/>
                <w:szCs w:val="18"/>
                <w:color w:val="auto"/>
              </w:rPr>
              <w:t>Date of Competitive Bid Borrowing</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1"/>
              </w:rPr>
              <w:t>(B)</w:t>
            </w:r>
          </w:p>
        </w:tc>
        <w:tc>
          <w:tcPr>
            <w:tcW w:w="5380" w:type="dxa"/>
            <w:vAlign w:val="bottom"/>
          </w:tcPr>
          <w:p>
            <w:pPr>
              <w:ind w:left="60"/>
              <w:spacing w:after="0"/>
              <w:rPr>
                <w:sz w:val="20"/>
                <w:szCs w:val="20"/>
                <w:color w:val="auto"/>
              </w:rPr>
            </w:pPr>
            <w:r>
              <w:rPr>
                <w:rFonts w:ascii="Arial" w:cs="Arial" w:eastAsia="Arial" w:hAnsi="Arial"/>
                <w:sz w:val="18"/>
                <w:szCs w:val="18"/>
                <w:color w:val="auto"/>
              </w:rPr>
              <w:t>Amount of Competitive Bid Borrowing</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(C)</w:t>
            </w:r>
          </w:p>
        </w:tc>
        <w:tc>
          <w:tcPr>
            <w:tcW w:w="5380" w:type="dxa"/>
            <w:vAlign w:val="bottom"/>
          </w:tcPr>
          <w:p>
            <w:pPr>
              <w:ind w:left="60"/>
              <w:spacing w:after="0"/>
              <w:rPr>
                <w:sz w:val="20"/>
                <w:szCs w:val="20"/>
                <w:color w:val="auto"/>
              </w:rPr>
            </w:pPr>
            <w:r>
              <w:rPr>
                <w:rFonts w:ascii="Arial" w:cs="Arial" w:eastAsia="Arial" w:hAnsi="Arial"/>
                <w:sz w:val="18"/>
                <w:szCs w:val="18"/>
                <w:color w:val="auto"/>
              </w:rPr>
              <w:t>[Maturity Date] [Interest Period]</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7"/>
              </w:rPr>
              <w:t>(D)</w:t>
            </w:r>
          </w:p>
        </w:tc>
        <w:tc>
          <w:tcPr>
            <w:tcW w:w="5380" w:type="dxa"/>
            <w:vAlign w:val="bottom"/>
          </w:tcPr>
          <w:p>
            <w:pPr>
              <w:ind w:left="60"/>
              <w:spacing w:after="0"/>
              <w:rPr>
                <w:sz w:val="20"/>
                <w:szCs w:val="20"/>
                <w:color w:val="auto"/>
              </w:rPr>
            </w:pPr>
            <w:r>
              <w:rPr>
                <w:rFonts w:ascii="Arial" w:cs="Arial" w:eastAsia="Arial" w:hAnsi="Arial"/>
                <w:sz w:val="18"/>
                <w:szCs w:val="18"/>
                <w:color w:val="auto"/>
              </w:rPr>
              <w:t>Interest Rate Basis</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1"/>
              </w:rPr>
              <w:t>(E)</w:t>
            </w:r>
          </w:p>
        </w:tc>
        <w:tc>
          <w:tcPr>
            <w:tcW w:w="5380" w:type="dxa"/>
            <w:vAlign w:val="bottom"/>
          </w:tcPr>
          <w:p>
            <w:pPr>
              <w:ind w:left="60"/>
              <w:spacing w:after="0"/>
              <w:rPr>
                <w:sz w:val="20"/>
                <w:szCs w:val="20"/>
                <w:color w:val="auto"/>
              </w:rPr>
            </w:pPr>
            <w:r>
              <w:rPr>
                <w:rFonts w:ascii="Arial" w:cs="Arial" w:eastAsia="Arial" w:hAnsi="Arial"/>
                <w:sz w:val="18"/>
                <w:szCs w:val="18"/>
                <w:color w:val="auto"/>
              </w:rPr>
              <w:t>Interest Payment Date(s)</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95"/>
              </w:rPr>
              <w:t>(F)</w:t>
            </w:r>
          </w:p>
        </w:tc>
        <w:tc>
          <w:tcPr>
            <w:tcW w:w="5380" w:type="dxa"/>
            <w:vAlign w:val="bottom"/>
          </w:tcPr>
          <w:p>
            <w:pPr>
              <w:ind w:left="60"/>
              <w:spacing w:after="0"/>
              <w:rPr>
                <w:sz w:val="20"/>
                <w:szCs w:val="20"/>
                <w:color w:val="auto"/>
              </w:rPr>
            </w:pPr>
            <w:r>
              <w:rPr>
                <w:rFonts w:ascii="Arial" w:cs="Arial" w:eastAsia="Arial" w:hAnsi="Arial"/>
                <w:sz w:val="18"/>
                <w:szCs w:val="18"/>
                <w:color w:val="auto"/>
              </w:rPr>
              <w:t>______________________________</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16"/>
        </w:trPr>
        <w:tc>
          <w:tcPr>
            <w:tcW w:w="300" w:type="dxa"/>
            <w:vAlign w:val="bottom"/>
          </w:tcPr>
          <w:p>
            <w:pPr>
              <w:jc w:val="right"/>
              <w:spacing w:after="0"/>
              <w:rPr>
                <w:sz w:val="20"/>
                <w:szCs w:val="20"/>
                <w:color w:val="auto"/>
              </w:rPr>
            </w:pPr>
            <w:r>
              <w:rPr>
                <w:rFonts w:ascii="Arial" w:cs="Arial" w:eastAsia="Arial" w:hAnsi="Arial"/>
                <w:sz w:val="18"/>
                <w:szCs w:val="18"/>
                <w:color w:val="auto"/>
                <w:w w:val="84"/>
              </w:rPr>
              <w:t>(G)</w:t>
            </w:r>
          </w:p>
        </w:tc>
        <w:tc>
          <w:tcPr>
            <w:tcW w:w="5380" w:type="dxa"/>
            <w:vAlign w:val="bottom"/>
          </w:tcPr>
          <w:p>
            <w:pPr>
              <w:ind w:left="60"/>
              <w:spacing w:after="0"/>
              <w:rPr>
                <w:sz w:val="20"/>
                <w:szCs w:val="20"/>
                <w:color w:val="auto"/>
              </w:rPr>
            </w:pPr>
            <w:r>
              <w:rPr>
                <w:rFonts w:ascii="Arial" w:cs="Arial" w:eastAsia="Arial" w:hAnsi="Arial"/>
                <w:sz w:val="18"/>
                <w:szCs w:val="18"/>
                <w:color w:val="auto"/>
              </w:rPr>
              <w:t>______________________________</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r>
        <w:trPr>
          <w:trHeight w:val="222"/>
        </w:trPr>
        <w:tc>
          <w:tcPr>
            <w:tcW w:w="300" w:type="dxa"/>
            <w:vAlign w:val="bottom"/>
          </w:tcPr>
          <w:p>
            <w:pPr>
              <w:jc w:val="right"/>
              <w:spacing w:after="0"/>
              <w:rPr>
                <w:sz w:val="20"/>
                <w:szCs w:val="20"/>
                <w:color w:val="auto"/>
              </w:rPr>
            </w:pPr>
            <w:r>
              <w:rPr>
                <w:rFonts w:ascii="Arial" w:cs="Arial" w:eastAsia="Arial" w:hAnsi="Arial"/>
                <w:sz w:val="18"/>
                <w:szCs w:val="18"/>
                <w:color w:val="auto"/>
                <w:w w:val="87"/>
              </w:rPr>
              <w:t>(H)</w:t>
            </w:r>
          </w:p>
        </w:tc>
        <w:tc>
          <w:tcPr>
            <w:tcW w:w="5380" w:type="dxa"/>
            <w:vAlign w:val="bottom"/>
          </w:tcPr>
          <w:p>
            <w:pPr>
              <w:ind w:left="60"/>
              <w:spacing w:after="0"/>
              <w:rPr>
                <w:sz w:val="20"/>
                <w:szCs w:val="20"/>
                <w:color w:val="auto"/>
              </w:rPr>
            </w:pPr>
            <w:r>
              <w:rPr>
                <w:rFonts w:ascii="Arial" w:cs="Arial" w:eastAsia="Arial" w:hAnsi="Arial"/>
                <w:sz w:val="18"/>
                <w:szCs w:val="18"/>
                <w:color w:val="auto"/>
              </w:rPr>
              <w:t>______________________________</w:t>
            </w:r>
          </w:p>
        </w:tc>
        <w:tc>
          <w:tcPr>
            <w:tcW w:w="5160" w:type="dxa"/>
            <w:vAlign w:val="bottom"/>
          </w:tcPr>
          <w:p>
            <w:pPr>
              <w:jc w:val="right"/>
              <w:spacing w:after="0"/>
              <w:rPr>
                <w:sz w:val="20"/>
                <w:szCs w:val="20"/>
                <w:color w:val="auto"/>
              </w:rPr>
            </w:pPr>
            <w:r>
              <w:rPr>
                <w:rFonts w:ascii="Arial" w:cs="Arial" w:eastAsia="Arial" w:hAnsi="Arial"/>
                <w:sz w:val="18"/>
                <w:szCs w:val="18"/>
                <w:color w:val="auto"/>
              </w:rPr>
              <w:t>______________________________</w:t>
            </w:r>
          </w:p>
        </w:tc>
      </w:tr>
    </w:tbl>
    <w:p>
      <w:pPr>
        <w:spacing w:after="0" w:line="14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37" w:lineRule="exact"/>
        <w:rPr>
          <w:sz w:val="20"/>
          <w:szCs w:val="20"/>
          <w:color w:val="auto"/>
        </w:rPr>
      </w:pPr>
    </w:p>
    <w:p>
      <w:pPr>
        <w:jc w:val="both"/>
        <w:ind w:left="460" w:right="200" w:firstLine="443"/>
        <w:spacing w:after="0" w:line="259"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45"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 and</w:t>
      </w:r>
    </w:p>
    <w:p>
      <w:pPr>
        <w:sectPr>
          <w:pgSz w:w="11900" w:h="16838" w:orient="portrait"/>
          <w:cols w:equalWidth="0" w:num="1">
            <w:col w:w="11420"/>
          </w:cols>
          <w:pgMar w:left="240" w:top="280" w:right="239" w:bottom="1440" w:gutter="0" w:footer="0" w:header="0"/>
          <w:type w:val="continuous"/>
        </w:sectPr>
      </w:pPr>
    </w:p>
    <w:bookmarkStart w:id="95" w:name="page96"/>
    <w:bookmarkEnd w:id="95"/>
    <w:p>
      <w:pPr>
        <w:ind w:left="460" w:right="44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of the Proposed Competitive Bid Borrowing and all other Borrowings to be made on the same day under the Credit Agreement is within the aggregate amount of the Unused Commitments of the Lenders.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80"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Reference is made to the 364-Day Credit Agreement dated as of August 11, 2004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158" w:lineRule="exact"/>
        <w:rPr>
          <w:sz w:val="20"/>
          <w:szCs w:val="20"/>
          <w:color w:val="auto"/>
        </w:rPr>
      </w:pPr>
    </w:p>
    <w:p>
      <w:pPr>
        <w:ind w:right="140" w:firstLine="464"/>
        <w:spacing w:after="0" w:line="294"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02" w:lineRule="exact"/>
        <w:rPr>
          <w:rFonts w:ascii="Arial" w:cs="Arial" w:eastAsia="Arial" w:hAnsi="Arial"/>
          <w:sz w:val="16"/>
          <w:szCs w:val="16"/>
          <w:color w:val="auto"/>
        </w:rPr>
      </w:pPr>
    </w:p>
    <w:p>
      <w:pPr>
        <w:ind w:right="120" w:firstLine="464"/>
        <w:spacing w:after="0" w:line="287"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09" w:lineRule="exact"/>
        <w:rPr>
          <w:rFonts w:ascii="Arial" w:cs="Arial" w:eastAsia="Arial" w:hAnsi="Arial"/>
          <w:sz w:val="16"/>
          <w:szCs w:val="16"/>
          <w:color w:val="auto"/>
        </w:rPr>
      </w:pPr>
    </w:p>
    <w:p>
      <w:pPr>
        <w:ind w:right="20" w:firstLine="464"/>
        <w:spacing w:after="0" w:line="294"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ectPr>
          <w:pgSz w:w="11900" w:h="16838" w:orient="portrait"/>
          <w:cols w:equalWidth="0" w:num="1">
            <w:col w:w="11420"/>
          </w:cols>
          <w:pgMar w:left="240" w:top="280" w:right="239" w:bottom="1440" w:gutter="0" w:footer="0" w:header="0"/>
        </w:sectPr>
      </w:pPr>
    </w:p>
    <w:bookmarkStart w:id="97" w:name="page98"/>
    <w:bookmarkEnd w:id="9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30" w:lineRule="exact"/>
        <w:rPr>
          <w:sz w:val="20"/>
          <w:szCs w:val="20"/>
          <w:color w:val="auto"/>
        </w:rPr>
      </w:pPr>
    </w:p>
    <w:p>
      <w:pPr>
        <w:ind w:right="160" w:firstLine="464"/>
        <w:spacing w:after="0" w:line="259"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26" w:lineRule="exact"/>
        <w:rPr>
          <w:rFonts w:ascii="Arial" w:cs="Arial" w:eastAsia="Arial" w:hAnsi="Arial"/>
          <w:sz w:val="18"/>
          <w:szCs w:val="18"/>
          <w:color w:val="auto"/>
        </w:rPr>
      </w:pPr>
    </w:p>
    <w:p>
      <w:pPr>
        <w:ind w:right="180" w:firstLine="464"/>
        <w:spacing w:after="0" w:line="306" w:lineRule="auto"/>
        <w:tabs>
          <w:tab w:leader="none" w:pos="632"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93" w:lineRule="exact"/>
        <w:rPr>
          <w:rFonts w:ascii="Arial" w:cs="Arial" w:eastAsia="Arial" w:hAnsi="Arial"/>
          <w:sz w:val="16"/>
          <w:szCs w:val="16"/>
          <w:color w:val="auto"/>
        </w:rPr>
      </w:pPr>
    </w:p>
    <w:p>
      <w:pPr>
        <w:ind w:firstLine="464"/>
        <w:spacing w:after="0" w:line="256"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57" w:lineRule="exact"/>
        <w:rPr>
          <w:rFonts w:ascii="Arial" w:cs="Arial" w:eastAsia="Arial" w:hAnsi="Arial"/>
          <w:sz w:val="18"/>
          <w:szCs w:val="18"/>
          <w:color w:val="auto"/>
        </w:rPr>
      </w:pPr>
    </w:p>
    <w:p>
      <w:pPr>
        <w:ind w:right="80" w:firstLine="464"/>
        <w:spacing w:after="0" w:line="256"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8" w:name="page99"/>
    <w:bookmarkEnd w:id="98"/>
    <w:tbl>
      <w:tblPr>
        <w:tblLayout w:type="fixed"/>
        <w:tblInd w:w="1132"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jc w:val="center"/>
              <w:ind w:left="352"/>
              <w:spacing w:after="0"/>
              <w:rPr>
                <w:sz w:val="20"/>
                <w:szCs w:val="20"/>
                <w:color w:val="auto"/>
              </w:rPr>
            </w:pPr>
            <w:r>
              <w:rPr>
                <w:rFonts w:ascii="Arial" w:cs="Arial" w:eastAsia="Arial" w:hAnsi="Arial"/>
                <w:sz w:val="18"/>
                <w:szCs w:val="18"/>
                <w:color w:val="auto"/>
                <w:w w:val="86"/>
              </w:rPr>
              <w:t>Schedule 1</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jc w:val="center"/>
              <w:ind w:left="352"/>
              <w:spacing w:after="0"/>
              <w:rPr>
                <w:sz w:val="20"/>
                <w:szCs w:val="20"/>
                <w:color w:val="auto"/>
              </w:rPr>
            </w:pPr>
            <w:r>
              <w:rPr>
                <w:rFonts w:ascii="Arial" w:cs="Arial" w:eastAsia="Arial" w:hAnsi="Arial"/>
                <w:sz w:val="18"/>
                <w:szCs w:val="18"/>
                <w:color w:val="auto"/>
                <w:w w:val="92"/>
              </w:rPr>
              <w:t>to</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60" w:type="dxa"/>
            <w:vAlign w:val="bottom"/>
          </w:tcPr>
          <w:p>
            <w:pPr>
              <w:jc w:val="center"/>
              <w:ind w:left="372"/>
              <w:spacing w:after="0"/>
              <w:rPr>
                <w:sz w:val="20"/>
                <w:szCs w:val="20"/>
                <w:color w:val="auto"/>
              </w:rPr>
            </w:pPr>
            <w:r>
              <w:rPr>
                <w:rFonts w:ascii="Arial" w:cs="Arial" w:eastAsia="Arial" w:hAnsi="Arial"/>
                <w:sz w:val="18"/>
                <w:szCs w:val="18"/>
                <w:color w:val="auto"/>
                <w:w w:val="87"/>
              </w:rPr>
              <w:t>Assignment and Acceptance</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6"/>
        </w:trPr>
        <w:tc>
          <w:tcPr>
            <w:tcW w:w="2080" w:type="dxa"/>
            <w:vAlign w:val="bottom"/>
            <w:gridSpan w:val="2"/>
          </w:tcPr>
          <w:p>
            <w:pPr>
              <w:spacing w:after="0"/>
              <w:rPr>
                <w:sz w:val="20"/>
                <w:szCs w:val="20"/>
                <w:color w:val="auto"/>
              </w:rPr>
            </w:pPr>
            <w:r>
              <w:rPr>
                <w:rFonts w:ascii="Arial" w:cs="Arial" w:eastAsia="Arial" w:hAnsi="Arial"/>
                <w:sz w:val="18"/>
                <w:szCs w:val="18"/>
                <w:color w:val="auto"/>
                <w:w w:val="86"/>
              </w:rPr>
              <w:t>Percentage interest assigned: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00" w:type="dxa"/>
            <w:vAlign w:val="bottom"/>
            <w:gridSpan w:val="9"/>
          </w:tcPr>
          <w:p>
            <w:pPr>
              <w:jc w:val="right"/>
              <w:ind w:right="1140"/>
              <w:spacing w:after="0"/>
              <w:rPr>
                <w:sz w:val="20"/>
                <w:szCs w:val="20"/>
                <w:color w:val="auto"/>
              </w:rPr>
            </w:pPr>
            <w:r>
              <w:rPr>
                <w:rFonts w:ascii="Arial" w:cs="Arial" w:eastAsia="Arial" w:hAnsi="Arial"/>
                <w:sz w:val="18"/>
                <w:szCs w:val="18"/>
                <w:color w:val="auto"/>
              </w:rPr>
              <w:t>%</w:t>
            </w:r>
          </w:p>
        </w:tc>
      </w:tr>
      <w:tr>
        <w:trPr>
          <w:trHeight w:val="304"/>
        </w:trPr>
        <w:tc>
          <w:tcPr>
            <w:tcW w:w="2080" w:type="dxa"/>
            <w:vAlign w:val="bottom"/>
            <w:gridSpan w:val="2"/>
          </w:tcPr>
          <w:p>
            <w:pPr>
              <w:spacing w:after="0"/>
              <w:rPr>
                <w:sz w:val="20"/>
                <w:szCs w:val="20"/>
                <w:color w:val="auto"/>
              </w:rPr>
            </w:pPr>
            <w:r>
              <w:rPr>
                <w:rFonts w:ascii="Arial" w:cs="Arial" w:eastAsia="Arial" w:hAnsi="Arial"/>
                <w:sz w:val="18"/>
                <w:szCs w:val="18"/>
                <w:color w:val="auto"/>
              </w:rPr>
              <w:t>Assignee’s Commitment: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6180" w:type="dxa"/>
            <w:vAlign w:val="bottom"/>
            <w:gridSpan w:val="5"/>
          </w:tcPr>
          <w:p>
            <w:pPr>
              <w:spacing w:after="0"/>
              <w:rPr>
                <w:sz w:val="20"/>
                <w:szCs w:val="20"/>
                <w:color w:val="auto"/>
              </w:rPr>
            </w:pPr>
            <w:r>
              <w:rPr>
                <w:rFonts w:ascii="Arial" w:cs="Arial" w:eastAsia="Arial" w:hAnsi="Arial"/>
                <w:sz w:val="18"/>
                <w:szCs w:val="18"/>
                <w:color w:val="auto"/>
                <w:w w:val="96"/>
              </w:rPr>
              <w:t>Aggregate outstanding principal amount of Revolving Credit Advances assigned:</w:t>
            </w: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6180" w:type="dxa"/>
            <w:vAlign w:val="bottom"/>
            <w:gridSpan w:val="5"/>
          </w:tcPr>
          <w:p>
            <w:pPr>
              <w:spacing w:after="0"/>
              <w:rPr>
                <w:sz w:val="20"/>
                <w:szCs w:val="20"/>
                <w:color w:val="auto"/>
              </w:rPr>
            </w:pPr>
            <w:r>
              <w:rPr>
                <w:rFonts w:ascii="Arial" w:cs="Arial" w:eastAsia="Arial" w:hAnsi="Arial"/>
                <w:sz w:val="18"/>
                <w:szCs w:val="18"/>
                <w:color w:val="auto"/>
              </w:rPr>
              <w:t>Principal amount of Revolving Credit Note payable to Assignee:</w:t>
            </w: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6180" w:type="dxa"/>
            <w:vAlign w:val="bottom"/>
            <w:gridSpan w:val="5"/>
          </w:tcPr>
          <w:p>
            <w:pPr>
              <w:spacing w:after="0"/>
              <w:rPr>
                <w:sz w:val="20"/>
                <w:szCs w:val="20"/>
                <w:color w:val="auto"/>
              </w:rPr>
            </w:pPr>
            <w:r>
              <w:rPr>
                <w:rFonts w:ascii="Arial" w:cs="Arial" w:eastAsia="Arial" w:hAnsi="Arial"/>
                <w:sz w:val="18"/>
                <w:szCs w:val="18"/>
                <w:color w:val="auto"/>
              </w:rPr>
              <w:t>Principal amount of Revolving Credit Note payable to Assignor:</w:t>
            </w:r>
          </w:p>
        </w:tc>
        <w:tc>
          <w:tcPr>
            <w:tcW w:w="20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208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760" w:type="dxa"/>
            <w:vAlign w:val="bottom"/>
            <w:gridSpan w:val="10"/>
          </w:tcPr>
          <w:p>
            <w:pPr>
              <w:ind w:left="3200"/>
              <w:spacing w:after="0"/>
              <w:rPr>
                <w:sz w:val="20"/>
                <w:szCs w:val="20"/>
                <w:color w:val="auto"/>
              </w:rPr>
            </w:pPr>
            <w:r>
              <w:rPr>
                <w:rFonts w:ascii="Arial" w:cs="Arial" w:eastAsia="Arial" w:hAnsi="Arial"/>
                <w:sz w:val="18"/>
                <w:szCs w:val="18"/>
                <w:color w:val="auto"/>
              </w:rPr>
              <w:t>[NAME OF ASSIGNOR], as Assignor</w:t>
            </w:r>
          </w:p>
        </w:tc>
      </w:tr>
      <w:tr>
        <w:trPr>
          <w:trHeight w:val="421"/>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ind w:left="32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8"/>
                <w:szCs w:val="18"/>
                <w:color w:val="auto"/>
              </w:rPr>
              <w:t>Title:</w:t>
            </w:r>
          </w:p>
        </w:tc>
      </w:tr>
      <w:tr>
        <w:trPr>
          <w:trHeight w:val="385"/>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ind w:left="3200"/>
              <w:spacing w:after="0"/>
              <w:rPr>
                <w:sz w:val="20"/>
                <w:szCs w:val="20"/>
                <w:color w:val="auto"/>
              </w:rPr>
            </w:pPr>
            <w:r>
              <w:rPr>
                <w:rFonts w:ascii="Arial" w:cs="Arial" w:eastAsia="Arial" w:hAnsi="Arial"/>
                <w:sz w:val="18"/>
                <w:szCs w:val="18"/>
                <w:color w:val="auto"/>
                <w:w w:val="82"/>
              </w:rPr>
              <w:t>Dated:</w:t>
            </w: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gridSpan w:val="10"/>
          </w:tcPr>
          <w:p>
            <w:pPr>
              <w:ind w:left="3200"/>
              <w:spacing w:after="0"/>
              <w:rPr>
                <w:sz w:val="20"/>
                <w:szCs w:val="20"/>
                <w:color w:val="auto"/>
              </w:rPr>
            </w:pPr>
            <w:r>
              <w:rPr>
                <w:rFonts w:ascii="Arial" w:cs="Arial" w:eastAsia="Arial" w:hAnsi="Arial"/>
                <w:sz w:val="18"/>
                <w:szCs w:val="18"/>
                <w:color w:val="auto"/>
              </w:rPr>
              <w:t>[NAME OF ASSIGNEE], as Assignee</w:t>
            </w:r>
          </w:p>
        </w:tc>
      </w:tr>
      <w:tr>
        <w:trPr>
          <w:trHeight w:val="421"/>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ind w:left="32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60" w:type="dxa"/>
            <w:vAlign w:val="bottom"/>
            <w:gridSpan w:val="8"/>
          </w:tcPr>
          <w:p>
            <w:pPr>
              <w:spacing w:after="0"/>
              <w:rPr>
                <w:sz w:val="20"/>
                <w:szCs w:val="20"/>
                <w:color w:val="auto"/>
              </w:rPr>
            </w:pPr>
            <w:r>
              <w:rPr>
                <w:rFonts w:ascii="Arial" w:cs="Arial" w:eastAsia="Arial" w:hAnsi="Arial"/>
                <w:sz w:val="18"/>
                <w:szCs w:val="18"/>
                <w:color w:val="auto"/>
              </w:rPr>
              <w:t>Title:</w:t>
            </w:r>
          </w:p>
        </w:tc>
      </w:tr>
      <w:tr>
        <w:trPr>
          <w:trHeight w:val="385"/>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ind w:left="3200"/>
              <w:spacing w:after="0"/>
              <w:rPr>
                <w:sz w:val="20"/>
                <w:szCs w:val="20"/>
                <w:color w:val="auto"/>
              </w:rPr>
            </w:pPr>
            <w:r>
              <w:rPr>
                <w:rFonts w:ascii="Arial" w:cs="Arial" w:eastAsia="Arial" w:hAnsi="Arial"/>
                <w:sz w:val="18"/>
                <w:szCs w:val="18"/>
                <w:color w:val="auto"/>
                <w:w w:val="82"/>
              </w:rPr>
              <w:t>Dated:</w:t>
            </w: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6000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28" w:lineRule="exact"/>
        <w:rPr>
          <w:sz w:val="20"/>
          <w:szCs w:val="20"/>
          <w:color w:val="auto"/>
        </w:rPr>
      </w:pPr>
    </w:p>
    <w:p>
      <w:pPr>
        <w:ind w:left="5672" w:right="2640" w:hanging="5672"/>
        <w:spacing w:after="0" w:line="440" w:lineRule="auto"/>
        <w:tabs>
          <w:tab w:leader="none" w:pos="2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ectPr>
          <w:pgSz w:w="11900" w:h="16838" w:orient="portrait"/>
          <w:cols w:equalWidth="0" w:num="1">
            <w:col w:w="11412"/>
          </w:cols>
          <w:pgMar w:left="248" w:top="280" w:right="239" w:bottom="1440" w:gutter="0" w:footer="0" w:header="0"/>
        </w:sectPr>
      </w:pPr>
    </w:p>
    <w:bookmarkStart w:id="99" w:name="page100"/>
    <w:bookmarkEnd w:id="99"/>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Domestic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7"/>
              </w:rPr>
              <w:t>day of</w:t>
            </w:r>
          </w:p>
        </w:tc>
        <w:tc>
          <w:tcPr>
            <w:tcW w:w="500" w:type="dxa"/>
            <w:vAlign w:val="bottom"/>
            <w:gridSpan w:val="2"/>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200</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83"/>
        </w:trPr>
        <w:tc>
          <w:tcPr>
            <w:tcW w:w="4580" w:type="dxa"/>
            <w:vAlign w:val="bottom"/>
            <w:gridSpan w:val="11"/>
          </w:tcPr>
          <w:p>
            <w:pPr>
              <w:spacing w:after="0"/>
              <w:rPr>
                <w:sz w:val="20"/>
                <w:szCs w:val="20"/>
                <w:color w:val="auto"/>
              </w:rPr>
            </w:pPr>
            <w:r>
              <w:rPr>
                <w:rFonts w:ascii="Arial" w:cs="Arial" w:eastAsia="Arial" w:hAnsi="Arial"/>
                <w:sz w:val="18"/>
                <w:szCs w:val="18"/>
                <w:color w:val="auto"/>
              </w:rPr>
              <w:t>CITIBANK, N.A., as Agent</w:t>
            </w:r>
          </w:p>
        </w:tc>
      </w:tr>
      <w:tr>
        <w:trPr>
          <w:trHeight w:val="421"/>
        </w:trPr>
        <w:tc>
          <w:tcPr>
            <w:tcW w:w="340" w:type="dxa"/>
            <w:vAlign w:val="bottom"/>
            <w:gridSpan w:val="2"/>
          </w:tcPr>
          <w:p>
            <w:pPr>
              <w:spacing w:after="0"/>
              <w:rPr>
                <w:sz w:val="20"/>
                <w:szCs w:val="20"/>
                <w:color w:val="auto"/>
              </w:rPr>
            </w:pPr>
            <w:r>
              <w:rPr>
                <w:rFonts w:ascii="Arial" w:cs="Arial" w:eastAsia="Arial" w:hAnsi="Arial"/>
                <w:sz w:val="18"/>
                <w:szCs w:val="18"/>
                <w:color w:val="auto"/>
              </w:rPr>
              <w:t>By</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5"/>
          </w:tcPr>
          <w:p>
            <w:pPr>
              <w:ind w:left="40"/>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18"/>
        </w:trPr>
        <w:tc>
          <w:tcPr>
            <w:tcW w:w="1080" w:type="dxa"/>
            <w:vAlign w:val="bottom"/>
            <w:gridSpan w:val="4"/>
          </w:tcPr>
          <w:p>
            <w:pPr>
              <w:spacing w:after="0"/>
              <w:rPr>
                <w:sz w:val="20"/>
                <w:szCs w:val="20"/>
                <w:color w:val="auto"/>
              </w:rPr>
            </w:pPr>
            <w:r>
              <w:rPr>
                <w:rFonts w:ascii="Arial" w:cs="Arial" w:eastAsia="Arial" w:hAnsi="Arial"/>
                <w:sz w:val="18"/>
                <w:szCs w:val="18"/>
                <w:color w:val="auto"/>
                <w:w w:val="94"/>
              </w:rPr>
              <w:t>Approved this</w:t>
            </w:r>
          </w:p>
        </w:tc>
        <w:tc>
          <w:tcPr>
            <w:tcW w:w="840" w:type="dxa"/>
            <w:vAlign w:val="bottom"/>
            <w:tcBorders>
              <w:bottom w:val="single" w:sz="8" w:color="auto"/>
            </w:tcBorders>
            <w:gridSpan w:val="3"/>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8"/>
                <w:szCs w:val="18"/>
                <w:color w:val="auto"/>
              </w:rPr>
              <w:t>day</w:t>
            </w:r>
          </w:p>
        </w:tc>
      </w:tr>
      <w:tr>
        <w:trPr>
          <w:trHeight w:val="196"/>
        </w:trPr>
        <w:tc>
          <w:tcPr>
            <w:tcW w:w="200" w:type="dxa"/>
            <w:vAlign w:val="bottom"/>
          </w:tcPr>
          <w:p>
            <w:pPr>
              <w:spacing w:after="0" w:line="196" w:lineRule="exact"/>
              <w:rPr>
                <w:sz w:val="20"/>
                <w:szCs w:val="20"/>
                <w:color w:val="auto"/>
              </w:rPr>
            </w:pPr>
            <w:r>
              <w:rPr>
                <w:rFonts w:ascii="Arial" w:cs="Arial" w:eastAsia="Arial" w:hAnsi="Arial"/>
                <w:sz w:val="18"/>
                <w:szCs w:val="18"/>
                <w:color w:val="auto"/>
              </w:rPr>
              <w:t>of</w:t>
            </w:r>
          </w:p>
        </w:tc>
        <w:tc>
          <w:tcPr>
            <w:tcW w:w="140" w:type="dxa"/>
            <w:vAlign w:val="bottom"/>
          </w:tcPr>
          <w:p>
            <w:pPr>
              <w:spacing w:after="0"/>
              <w:rPr>
                <w:sz w:val="17"/>
                <w:szCs w:val="17"/>
                <w:color w:val="auto"/>
              </w:rPr>
            </w:pPr>
          </w:p>
        </w:tc>
        <w:tc>
          <w:tcPr>
            <w:tcW w:w="118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rPr>
              <w:t>, 200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15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-13970</wp:posOffset>
            </wp:positionV>
            <wp:extent cx="55753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Cristian Garcia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Reference is made to the 364-Day Credit Agreement dated as of August 11, 2004 among The Washington Post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parties thereto, Citibank, N.A., as Agent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therein being used herein as therein defined), for such Lenders.</w:t>
      </w:r>
    </w:p>
    <w:p>
      <w:pPr>
        <w:spacing w:after="0" w:line="7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w:t>
      </w:r>
    </w:p>
    <w:p>
      <w:pPr>
        <w:spacing w:after="0"/>
        <w:tabs>
          <w:tab w:leader="none" w:pos="3600" w:val="left"/>
        </w:tabs>
        <w:rPr>
          <w:sz w:val="20"/>
          <w:szCs w:val="20"/>
          <w:color w:val="auto"/>
        </w:rPr>
      </w:pPr>
      <w:r>
        <w:rPr>
          <w:rFonts w:ascii="Arial" w:cs="Arial" w:eastAsia="Arial" w:hAnsi="Arial"/>
          <w:sz w:val="18"/>
          <w:szCs w:val="18"/>
          <w:color w:val="auto"/>
        </w:rPr>
        <w:t>Commitment shall as of such date be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5575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 Section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4.01(e) thereof, the most recent financial statements referred to in Section 5.01(i) thereof and such other documents and information as it has deemed appropriate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make its own credit analysis and decision to enter into this Assumption Agreement; (ii) agrees that it will, independently and without reliance upon the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Lender and based on such documents and information as it shall deem appropriate at the time, continue to make its own credit decisions in taking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 taking action under the Credit Agreement; (iii) appoints and authorizes the Agent to take such action as agent on its behalf and to exercise such powers under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as are delegated to the Agent by the terms thereof, together with such powers as are reasonably incidental thereto; (iv) agrees that it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 in accordance with their terms all of the obligations which by the terms of the Credit Agreement are required to be performed by it as a Lender;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confirms that it is an Eligible Assignee; (vi) specifies as its Lending Office (and address for notices) the offices set forth beneath its name on the signature pages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hereof; and (vii) attaches the forms prescribed by the Internal Revenue Service of the United States required under Section 2.14 of the Credit Agreement.</w:t>
      </w:r>
    </w:p>
    <w:p>
      <w:pPr>
        <w:spacing w:after="0" w:line="17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ectPr>
          <w:pgSz w:w="11900" w:h="16838" w:orient="portrait"/>
          <w:cols w:equalWidth="0" w:num="1">
            <w:col w:w="11420"/>
          </w:cols>
          <w:pgMar w:left="240" w:top="280" w:right="239" w:bottom="1440" w:gutter="0" w:footer="0" w:header="0"/>
        </w:sectPr>
      </w:pPr>
    </w:p>
    <w:bookmarkStart w:id="101" w:name="page102"/>
    <w:bookmarkEnd w:id="101"/>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ASSUMING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address for notices):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Eurodollar 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 each of the Lenders parties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 the Credit Agreement dated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August 11, 2004 among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Washington Post Company,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said Lenders, Citibank, N.A., as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Agent for said Lenders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E-1 -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-219710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Washington Post Company</w:t>
      </w:r>
    </w:p>
    <w:p>
      <w:pPr>
        <w:spacing w:after="0" w:line="522" w:lineRule="exact"/>
        <w:rPr>
          <w:sz w:val="20"/>
          <w:szCs w:val="20"/>
          <w:color w:val="auto"/>
        </w:rPr>
      </w:pPr>
    </w:p>
    <w:p>
      <w:pPr>
        <w:sectPr>
          <w:pgSz w:w="11900" w:h="16838" w:orient="portrait"/>
          <w:cols w:equalWidth="0" w:num="2">
            <w:col w:w="3880" w:space="720"/>
            <w:col w:w="6820"/>
          </w:cols>
          <w:pgMar w:left="240" w:top="280" w:right="239" w:bottom="1440" w:gutter="0" w:footer="0" w:header="0"/>
        </w:sectPr>
      </w:pPr>
    </w:p>
    <w:p>
      <w:pPr>
        <w:ind w:right="220" w:firstLine="456"/>
        <w:spacing w:after="0" w:line="259" w:lineRule="auto"/>
        <w:rPr>
          <w:sz w:val="20"/>
          <w:szCs w:val="20"/>
          <w:color w:val="auto"/>
        </w:rPr>
      </w:pPr>
      <w:r>
        <w:rPr>
          <w:rFonts w:ascii="Arial" w:cs="Arial" w:eastAsia="Arial" w:hAnsi="Arial"/>
          <w:sz w:val="18"/>
          <w:szCs w:val="18"/>
          <w:color w:val="auto"/>
        </w:rPr>
        <w:t>This opinion is furnished to you pursuant to Section 3.01(c)(v) of the 364-Day Credit Agreement, dated as of August 11, 2004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Citibank, N.A., as Agent for said Lenders. Terms defined in the Credit Agreement are used herein as therein defined.</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 am the General Counsel of the Borrower and as such I am familiar with the Credit Agreement and the corporate proceedings taken by the Borrower to authorize the execution and delivery of the Credit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opinion, I have examined:</w:t>
      </w:r>
    </w:p>
    <w:p>
      <w:pPr>
        <w:spacing w:after="0" w:line="77" w:lineRule="exact"/>
        <w:rPr>
          <w:sz w:val="20"/>
          <w:szCs w:val="20"/>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Section 3.01(c) of the Credit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Certificate of Incorporation of the Borrower and all amendments thereto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by-laws of the Borrower and all amendments thereto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tcPr>
          <w:p>
            <w:pPr>
              <w:ind w:left="440"/>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6100" w:type="dxa"/>
            <w:vAlign w:val="bottom"/>
            <w:gridSpan w:val="2"/>
          </w:tcPr>
          <w:p>
            <w:pPr>
              <w:ind w:left="880"/>
              <w:spacing w:after="0"/>
              <w:rPr>
                <w:sz w:val="20"/>
                <w:szCs w:val="20"/>
                <w:color w:val="auto"/>
              </w:rPr>
            </w:pPr>
            <w:r>
              <w:rPr>
                <w:rFonts w:ascii="Arial" w:cs="Arial" w:eastAsia="Arial" w:hAnsi="Arial"/>
                <w:sz w:val="18"/>
                <w:szCs w:val="18"/>
                <w:color w:val="auto"/>
                <w:w w:val="87"/>
              </w:rPr>
              <w:t>, 2004, attesting to the continued corporate existence and good standing of</w:t>
            </w: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the Borrower in that State.</w:t>
            </w:r>
          </w:p>
        </w:tc>
        <w:tc>
          <w:tcPr>
            <w:tcW w:w="880" w:type="dxa"/>
            <w:vAlign w:val="bottom"/>
            <w:tcBorders>
              <w:top w:val="single" w:sz="8" w:color="auto"/>
            </w:tcBorders>
          </w:tcPr>
          <w:p>
            <w:pPr>
              <w:spacing w:after="0"/>
              <w:rPr>
                <w:sz w:val="20"/>
                <w:szCs w:val="20"/>
                <w:color w:val="auto"/>
              </w:rPr>
            </w:pPr>
          </w:p>
        </w:tc>
        <w:tc>
          <w:tcPr>
            <w:tcW w:w="5220" w:type="dxa"/>
            <w:vAlign w:val="bottom"/>
          </w:tcPr>
          <w:p>
            <w:pPr>
              <w:spacing w:after="0"/>
              <w:rPr>
                <w:sz w:val="20"/>
                <w:szCs w:val="20"/>
                <w:color w:val="auto"/>
              </w:rPr>
            </w:pPr>
          </w:p>
        </w:tc>
      </w:tr>
    </w:tbl>
    <w:p>
      <w:pPr>
        <w:spacing w:after="0" w:line="142"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ectPr>
          <w:pgSz w:w="11900" w:h="16838" w:orient="portrait"/>
          <w:cols w:equalWidth="0" w:num="1">
            <w:col w:w="11420"/>
          </w:cols>
          <w:pgMar w:left="240" w:top="280" w:right="239" w:bottom="1440" w:gutter="0" w:footer="0" w:header="0"/>
          <w:type w:val="continuous"/>
        </w:sectPr>
      </w:pPr>
    </w:p>
    <w:bookmarkStart w:id="103" w:name="page104"/>
    <w:bookmarkEnd w:id="10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or its officers or of public officials. I have assumed the due execution and delivery, pursuant to due authorization, of the Credit Agreement by the Initial Lenders and the Agent.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General Corporation Law of the State of Delaware and the Federal law of the United States of America.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77" w:lineRule="exact"/>
        <w:rPr>
          <w:sz w:val="20"/>
          <w:szCs w:val="20"/>
          <w:color w:val="auto"/>
        </w:rPr>
      </w:pPr>
    </w:p>
    <w:p>
      <w:pPr>
        <w:ind w:left="1080" w:hanging="177"/>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Borrower is a corporation validly existing and in good standing under the laws of the State of Delaware.</w:t>
      </w:r>
    </w:p>
    <w:p>
      <w:pPr>
        <w:spacing w:after="0" w:line="76" w:lineRule="exact"/>
        <w:rPr>
          <w:rFonts w:ascii="Arial" w:cs="Arial" w:eastAsia="Arial" w:hAnsi="Arial"/>
          <w:sz w:val="18"/>
          <w:szCs w:val="18"/>
          <w:color w:val="auto"/>
        </w:rPr>
      </w:pPr>
    </w:p>
    <w:p>
      <w:pPr>
        <w:ind w:left="460" w:right="80" w:firstLine="443"/>
        <w:spacing w:after="0" w:line="305" w:lineRule="auto"/>
        <w:tabs>
          <w:tab w:leader="none" w:pos="1074"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w:t>
      </w:r>
    </w:p>
    <w:p>
      <w:pPr>
        <w:ind w:left="460" w:right="40" w:firstLine="4"/>
        <w:spacing w:after="0" w:line="292" w:lineRule="auto"/>
        <w:tabs>
          <w:tab w:leader="none" w:pos="67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22" w:lineRule="exact"/>
        <w:rPr>
          <w:rFonts w:ascii="Arial" w:cs="Arial" w:eastAsia="Arial" w:hAnsi="Arial"/>
          <w:sz w:val="16"/>
          <w:szCs w:val="16"/>
          <w:color w:val="auto"/>
        </w:rPr>
      </w:pPr>
    </w:p>
    <w:p>
      <w:pPr>
        <w:jc w:val="both"/>
        <w:ind w:left="460" w:right="60" w:firstLine="443"/>
        <w:spacing w:after="0" w:line="259" w:lineRule="auto"/>
        <w:tabs>
          <w:tab w:leader="none" w:pos="10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07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Credit Agreement is, and upon the consummation of any Borrowings, the Notes will be, legal, valid and binding obligations of the Borrower enforceable against the Borrower in accordance with their respective terms.</w:t>
      </w:r>
    </w:p>
    <w:p>
      <w:pPr>
        <w:spacing w:after="0" w:line="37" w:lineRule="exact"/>
        <w:rPr>
          <w:rFonts w:ascii="Arial" w:cs="Arial" w:eastAsia="Arial" w:hAnsi="Arial"/>
          <w:sz w:val="18"/>
          <w:szCs w:val="18"/>
          <w:color w:val="auto"/>
        </w:rPr>
      </w:pPr>
    </w:p>
    <w:p>
      <w:pPr>
        <w:ind w:left="460" w:right="80" w:firstLine="443"/>
        <w:spacing w:after="0" w:line="298" w:lineRule="auto"/>
        <w:tabs>
          <w:tab w:leader="none" w:pos="107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opinions set forth above are subject to the following qualifications:</w:t>
      </w:r>
    </w:p>
    <w:p>
      <w:pPr>
        <w:spacing w:after="0" w:line="77" w:lineRule="exact"/>
        <w:rPr>
          <w:sz w:val="20"/>
          <w:szCs w:val="20"/>
          <w:color w:val="auto"/>
        </w:rPr>
      </w:pPr>
    </w:p>
    <w:p>
      <w:pPr>
        <w:ind w:left="460" w:right="640" w:firstLine="443"/>
        <w:spacing w:after="0" w:line="325"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 w:lineRule="exact"/>
        <w:rPr>
          <w:rFonts w:ascii="Arial" w:cs="Arial" w:eastAsia="Arial" w:hAnsi="Arial"/>
          <w:sz w:val="16"/>
          <w:szCs w:val="16"/>
          <w:color w:val="auto"/>
        </w:rPr>
      </w:pPr>
    </w:p>
    <w:p>
      <w:pPr>
        <w:ind w:left="460" w:firstLine="443"/>
        <w:spacing w:after="0" w:line="325"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the enforceability thereof may be limited by public policy considerations.</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NEWSPAPER SUBSIDIARY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Credit Agreement dated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August 11, 2004 among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said Lenders, Citibank, N.A.,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Agent for said Lenders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WP Company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opinion is furnished to you pursuant to Section 3.01(c)(vi) of the 364-Day Credit Agreement, dated as of August 11, 2004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Citibank, N.A., as Agent for said Lenders. Terms defined in the Credit Agreement are used herein as therein defined.</w:t>
      </w:r>
    </w:p>
    <w:p>
      <w:pPr>
        <w:spacing w:after="0" w:line="127"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I am the General Counsel of The Washington Post Company, the sole member of WP Company LLC, a Delaware limited liability company (the “</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and as such I am familiar with the Credit Agreement and the proceedings taken by the Newspaper Subsidiary to authorize the execution and delivery of the Subsidiary Guaranty.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opinion, I have examined:</w:t>
      </w:r>
    </w:p>
    <w:p>
      <w:pPr>
        <w:spacing w:after="0" w:line="77"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documents furnished by the Newspaper Subsidiary pursuant to Section 3.01(c) of the Credit Agreement, including the Subsidiary Guaranty.</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Certificate of Formation and Certificate of Conversion of the Newspaper Subsidiary and all amendments thereto (the “</w:t>
      </w:r>
      <w:r>
        <w:rPr>
          <w:rFonts w:ascii="Arial" w:cs="Arial" w:eastAsia="Arial" w:hAnsi="Arial"/>
          <w:sz w:val="16"/>
          <w:szCs w:val="16"/>
          <w:u w:val="single" w:color="auto"/>
          <w:color w:val="auto"/>
        </w:rPr>
        <w:t>Certificates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limited liability company agreement of the Newspaper Subsidiary and all amendments thereto (the “</w:t>
      </w:r>
      <w:r>
        <w:rPr>
          <w:rFonts w:ascii="Arial" w:cs="Arial" w:eastAsia="Arial" w:hAnsi="Arial"/>
          <w:sz w:val="18"/>
          <w:szCs w:val="18"/>
          <w:u w:val="single" w:color="auto"/>
          <w:color w:val="auto"/>
        </w:rPr>
        <w:t>LLC Agreement</w:t>
      </w:r>
      <w:r>
        <w:rPr>
          <w:rFonts w:ascii="Arial" w:cs="Arial" w:eastAsia="Arial" w:hAnsi="Arial"/>
          <w:sz w:val="18"/>
          <w:szCs w:val="18"/>
          <w:color w:val="auto"/>
        </w:rPr>
        <w:t>”).</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80" w:type="dxa"/>
            <w:vAlign w:val="bottom"/>
          </w:tcPr>
          <w:p>
            <w:pPr>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w w:val="87"/>
              </w:rPr>
              <w:t>, 2004, attesting to the continued existence and good standing of the</w:t>
            </w:r>
          </w:p>
        </w:tc>
      </w:tr>
      <w:tr>
        <w:trPr>
          <w:trHeight w:val="235"/>
        </w:trPr>
        <w:tc>
          <w:tcPr>
            <w:tcW w:w="4280" w:type="dxa"/>
            <w:vAlign w:val="bottom"/>
          </w:tcPr>
          <w:p>
            <w:pPr>
              <w:spacing w:after="0"/>
              <w:rPr>
                <w:sz w:val="20"/>
                <w:szCs w:val="20"/>
                <w:color w:val="auto"/>
              </w:rPr>
            </w:pPr>
            <w:r>
              <w:rPr>
                <w:rFonts w:ascii="Arial" w:cs="Arial" w:eastAsia="Arial" w:hAnsi="Arial"/>
                <w:sz w:val="18"/>
                <w:szCs w:val="18"/>
                <w:color w:val="auto"/>
              </w:rPr>
              <w:t>Newspaper Subsidiary in that State.</w:t>
            </w: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780" w:type="dxa"/>
            <w:vAlign w:val="bottom"/>
          </w:tcPr>
          <w:p>
            <w:pPr>
              <w:spacing w:after="0"/>
              <w:rPr>
                <w:sz w:val="20"/>
                <w:szCs w:val="20"/>
                <w:color w:val="auto"/>
              </w:rPr>
            </w:pPr>
          </w:p>
        </w:tc>
      </w:tr>
    </w:tbl>
    <w:p>
      <w:pPr>
        <w:spacing w:after="0" w:line="14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I have examined the originals, or copies certified to my satisfaction, of such other records of the Newspaper Subsidiary, certificates of public officials and of officers of the Newspaper Subsidiary, and agreements, instruments and other documents, as I have</w:t>
      </w:r>
    </w:p>
    <w:p>
      <w:pPr>
        <w:sectPr>
          <w:pgSz w:w="11900" w:h="16838" w:orient="portrait"/>
          <w:cols w:equalWidth="0" w:num="1">
            <w:col w:w="11420"/>
          </w:cols>
          <w:pgMar w:left="240" w:top="280" w:right="239" w:bottom="1440" w:gutter="0" w:footer="0" w:header="0"/>
        </w:sectPr>
      </w:pPr>
    </w:p>
    <w:bookmarkStart w:id="106" w:name="page107"/>
    <w:bookmarkEnd w:id="10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Limited Liability Company Act of the State of Delaware and the Federal law of the United States of America.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77" w:lineRule="exact"/>
        <w:rPr>
          <w:sz w:val="20"/>
          <w:szCs w:val="20"/>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Newspaper Subsidiary is a limited liability company validly existing and in good standing under the laws of the State of Delaware.</w:t>
      </w:r>
    </w:p>
    <w:p>
      <w:pPr>
        <w:spacing w:after="0" w:line="76"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execution, delivery and performance by the Newspaper Subsidiary of the Subsidiary Guaranty are within the Newspaper Subsidiary’s powers, and</w:t>
      </w:r>
    </w:p>
    <w:p>
      <w:pPr>
        <w:spacing w:after="0" w:line="38"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53" w:lineRule="exact"/>
        <w:rPr>
          <w:rFonts w:ascii="Arial" w:cs="Arial" w:eastAsia="Arial" w:hAnsi="Arial"/>
          <w:sz w:val="16"/>
          <w:szCs w:val="16"/>
          <w:color w:val="auto"/>
        </w:rPr>
      </w:pPr>
    </w:p>
    <w:p>
      <w:pPr>
        <w:ind w:left="460" w:right="180" w:firstLine="4"/>
        <w:spacing w:after="0" w:line="259" w:lineRule="auto"/>
        <w:tabs>
          <w:tab w:leader="none" w:pos="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Borrower of the Subsidiary Guaranty.</w:t>
      </w:r>
    </w:p>
    <w:p>
      <w:pPr>
        <w:spacing w:after="0" w:line="45" w:lineRule="exact"/>
        <w:rPr>
          <w:rFonts w:ascii="Arial" w:cs="Arial" w:eastAsia="Arial" w:hAnsi="Arial"/>
          <w:sz w:val="18"/>
          <w:szCs w:val="18"/>
          <w:color w:val="auto"/>
        </w:rPr>
      </w:pPr>
    </w:p>
    <w:p>
      <w:pPr>
        <w:ind w:left="460" w:right="700" w:firstLine="4"/>
        <w:spacing w:after="0" w:line="268" w:lineRule="auto"/>
        <w:tabs>
          <w:tab w:leader="none" w:pos="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Subsidiary Guaranty is a legal, valid and binding obligation of the Newspaper Subsidiary enforceable against the Newspaper Subsidiary in accordance with its terms.</w:t>
      </w:r>
    </w:p>
    <w:p>
      <w:pPr>
        <w:spacing w:after="0" w:line="37" w:lineRule="exact"/>
        <w:rPr>
          <w:rFonts w:ascii="Arial" w:cs="Arial" w:eastAsia="Arial" w:hAnsi="Arial"/>
          <w:sz w:val="18"/>
          <w:szCs w:val="18"/>
          <w:color w:val="auto"/>
        </w:rPr>
      </w:pPr>
    </w:p>
    <w:p>
      <w:pPr>
        <w:ind w:left="460" w:right="80" w:firstLine="4"/>
        <w:spacing w:after="0" w:line="259" w:lineRule="auto"/>
        <w:tabs>
          <w:tab w:leader="none" w:pos="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77" w:lineRule="exact"/>
        <w:rPr>
          <w:sz w:val="20"/>
          <w:szCs w:val="20"/>
          <w:color w:val="auto"/>
        </w:rPr>
      </w:pPr>
    </w:p>
    <w:p>
      <w:pPr>
        <w:ind w:left="460" w:right="620" w:firstLine="443"/>
        <w:spacing w:after="0" w:line="332" w:lineRule="auto"/>
        <w:tabs>
          <w:tab w:leader="none" w:pos="1137" w:val="left"/>
        </w:tabs>
        <w:numPr>
          <w:ilvl w:val="0"/>
          <w:numId w:val="82"/>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7" w:name="page108"/>
    <w:bookmarkEnd w:id="107"/>
    <w:p>
      <w:pPr>
        <w:ind w:firstLine="443"/>
        <w:spacing w:after="0" w:line="325" w:lineRule="auto"/>
        <w:tabs>
          <w:tab w:leader="none" w:pos="687"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 w:lineRule="exact"/>
        <w:rPr>
          <w:rFonts w:ascii="Arial" w:cs="Arial" w:eastAsia="Arial" w:hAnsi="Arial"/>
          <w:sz w:val="16"/>
          <w:szCs w:val="16"/>
          <w:color w:val="auto"/>
        </w:rPr>
      </w:pPr>
    </w:p>
    <w:p>
      <w:pPr>
        <w:ind w:right="20" w:firstLine="443"/>
        <w:spacing w:after="0" w:line="268" w:lineRule="auto"/>
        <w:tabs>
          <w:tab w:leader="none" w:pos="6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Insofar as provisions contained in the Subsidiary Guaranty provide for indemnification, the enforceability thereof may be limited by public policy considerations.</w:t>
      </w:r>
    </w:p>
    <w:p>
      <w:pPr>
        <w:spacing w:after="0" w:line="37" w:lineRule="exact"/>
        <w:rPr>
          <w:rFonts w:ascii="Arial" w:cs="Arial" w:eastAsia="Arial" w:hAnsi="Arial"/>
          <w:sz w:val="18"/>
          <w:szCs w:val="18"/>
          <w:color w:val="auto"/>
        </w:rPr>
      </w:pPr>
    </w:p>
    <w:p>
      <w:pPr>
        <w:ind w:right="600" w:firstLine="443"/>
        <w:spacing w:after="0" w:line="332" w:lineRule="auto"/>
        <w:tabs>
          <w:tab w:leader="none" w:pos="687"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SUBSIDIARY GUARANTY</w:t>
      </w:r>
    </w:p>
    <w:p>
      <w:pPr>
        <w:spacing w:after="0" w:line="135"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89"/>
              </w:rPr>
              <w:t>Dated as of</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2004</w:t>
            </w:r>
          </w:p>
        </w:tc>
      </w:tr>
      <w:tr>
        <w:trPr>
          <w:trHeight w:val="20"/>
        </w:trPr>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WP Company LLC</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Guarantor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Lenders Referred To Herein</w:t>
      </w:r>
    </w:p>
    <w:p>
      <w:pPr>
        <w:sectPr>
          <w:pgSz w:w="11900" w:h="16838" w:orient="portrait"/>
          <w:cols w:equalWidth="0" w:num="1">
            <w:col w:w="10220"/>
          </w:cols>
          <w:pgMar w:left="1440" w:top="28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1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80" w:type="dxa"/>
            <w:vAlign w:val="bottom"/>
            <w:tcBorders>
              <w:bottom w:val="single" w:sz="8" w:color="auto"/>
            </w:tcBorders>
          </w:tcPr>
          <w:p>
            <w:pPr>
              <w:spacing w:after="0"/>
              <w:rPr>
                <w:sz w:val="8"/>
                <w:szCs w:val="8"/>
                <w:color w:val="auto"/>
              </w:rPr>
            </w:pPr>
          </w:p>
        </w:tc>
        <w:tc>
          <w:tcPr>
            <w:tcW w:w="105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 GUARANTY; LIMITATION OF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 CHARACTER OF GUARANTY; WAIVER OF CERTAIN DEFENSES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 WAIVERS AND ACKNOWLEDGMENTS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4. 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5. CERTAIN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6.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7.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8. TERMINATION OF GUARANTY</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9. 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10. NO WAIVER;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11. 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12. CONTINUING GUARANTY; ASSIGNMENTS UNDER THE CREDIT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13. GOVERNING LAW; JURISDICTION; WAIVER OF JURY TRIAL, ETC.</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80"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GUARANTY</w:t>
      </w:r>
    </w:p>
    <w:p>
      <w:pPr>
        <w:spacing w:after="0" w:line="158" w:lineRule="exact"/>
        <w:rPr>
          <w:sz w:val="20"/>
          <w:szCs w:val="20"/>
          <w:color w:val="auto"/>
        </w:rPr>
      </w:pPr>
    </w:p>
    <w:p>
      <w:pPr>
        <w:ind w:left="460"/>
        <w:spacing w:after="0"/>
        <w:tabs>
          <w:tab w:leader="none" w:pos="5520" w:val="left"/>
        </w:tabs>
        <w:rPr>
          <w:sz w:val="20"/>
          <w:szCs w:val="20"/>
          <w:color w:val="auto"/>
        </w:rPr>
      </w:pPr>
      <w:r>
        <w:rPr>
          <w:rFonts w:ascii="Arial" w:cs="Arial" w:eastAsia="Arial" w:hAnsi="Arial"/>
          <w:sz w:val="18"/>
          <w:szCs w:val="18"/>
          <w:color w:val="auto"/>
        </w:rPr>
        <w:t>SUBSIDIARY GUARANTY (this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2004 is made by WP Company LLC, a Delaware limited liability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-13970</wp:posOffset>
            </wp:positionV>
            <wp:extent cx="55753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Lenders (as defined below; each of the Lenders being a “</w:t>
      </w:r>
      <w:r>
        <w:rPr>
          <w:rFonts w:ascii="Arial" w:cs="Arial" w:eastAsia="Arial" w:hAnsi="Arial"/>
          <w:sz w:val="18"/>
          <w:szCs w:val="18"/>
          <w:u w:val="single" w:color="auto"/>
          <w:color w:val="auto"/>
        </w:rPr>
        <w:t>Guaranteed Party</w:t>
      </w:r>
      <w:r>
        <w:rPr>
          <w:rFonts w:ascii="Arial" w:cs="Arial" w:eastAsia="Arial" w:hAnsi="Arial"/>
          <w:sz w:val="18"/>
          <w:szCs w:val="18"/>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PRELIMINARY STATEMENTS.</w:t>
      </w:r>
    </w:p>
    <w:p>
      <w:pPr>
        <w:spacing w:after="0" w:line="158" w:lineRule="exact"/>
        <w:rPr>
          <w:sz w:val="20"/>
          <w:szCs w:val="20"/>
          <w:color w:val="auto"/>
        </w:rPr>
      </w:pPr>
    </w:p>
    <w:p>
      <w:pPr>
        <w:ind w:right="260" w:firstLine="464"/>
        <w:spacing w:after="0" w:line="256"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is party to a 364-Day Credit Agreement dated as of August 11, 2004 (as amended,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capitalized terms defined therein and not otherwise defined herein being used herein as therein defined) with certain lenders party thereto and Citibank, N.A., as Agent for such lenders (the Agent and such lenders are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right="580" w:firstLine="464"/>
        <w:spacing w:after="0" w:line="268" w:lineRule="auto"/>
        <w:tabs>
          <w:tab w:leader="none" w:pos="6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is a condition precedent to the making of Advances by the Lenders under the Credit Agreement from time to time that the Guarantor shall have executed and delivered this Guaranty.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Guarantor hereby agrees for the benefit of each Guaranteed Party as follows:</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Guaranty; Limitation of Liability</w:t>
      </w:r>
      <w:r>
        <w:rPr>
          <w:rFonts w:ascii="Arial" w:cs="Arial" w:eastAsia="Arial" w:hAnsi="Arial"/>
          <w:sz w:val="16"/>
          <w:szCs w:val="16"/>
          <w:color w:val="auto"/>
        </w:rPr>
        <w:t>. (a) The Guarantor hereby absolutely, unconditionally and irrevocably guarantees the punctual payment when due, whether at scheduled maturity or on any date of a required prepayment or by acceleration, demand or otherwise, of the following: all obligations of the Borrower now or hereafter existing under or in respect of the Credit Agreement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(all such obligations being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Guarantor’s liability shall extend to all amounts that constitute part of the Guaranteed Obligations and would be owed by the Borrower to any Guaranteed Party but for the fact that they are unenforceable or not allowable due to the existence of a bankruptcy, reorganization or similar proceeding involving the Borrower.</w:t>
      </w:r>
    </w:p>
    <w:p>
      <w:pPr>
        <w:spacing w:after="0" w:line="105" w:lineRule="exact"/>
        <w:rPr>
          <w:sz w:val="20"/>
          <w:szCs w:val="20"/>
          <w:color w:val="auto"/>
        </w:rPr>
      </w:pPr>
    </w:p>
    <w:p>
      <w:pPr>
        <w:ind w:firstLine="464"/>
        <w:spacing w:after="0" w:line="290"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Guarantor and, by its acceptance of this Guaranty, each Guaranteed Party, hereby confirms that it is the intention of all such Persons that this Guaranty and the obligations of the Guarantor hereunder not constitute a fraudulent transfer or conveyance for purposes of Bankruptcy Law (as hereinafter defined), the Uniform Fraudulent Conveyance Act, the Uniform Fraudulent Transfer Act or any similar foreign, federal or state law to the extent applicable to this Guaranty and the obligations of the Guarantor hereunder. To effectuate the foregoing intention, the Guaranteed Parties and the Guarantor hereby irrevocably agree that the obligations of the Guarantor under this Guaranty at any time shall be limited to the maximum amount as will result in the obligations of the Guarantor under this Guaranty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any proceeding of the type referred to in Section 6.01(f) of the Credit Agreement or Title 11, U.S. Code, or any similar foreign, federal or state law for the relief of debtors.</w:t>
      </w:r>
    </w:p>
    <w:p>
      <w:pPr>
        <w:sectPr>
          <w:pgSz w:w="11900" w:h="16838" w:orient="portrait"/>
          <w:cols w:equalWidth="0" w:num="1">
            <w:col w:w="11420"/>
          </w:cols>
          <w:pgMar w:left="240" w:top="280" w:right="239" w:bottom="1440" w:gutter="0" w:footer="0" w:header="0"/>
        </w:sectPr>
      </w:pPr>
    </w:p>
    <w:bookmarkStart w:id="111" w:name="page112"/>
    <w:bookmarkEnd w:id="111"/>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6"/>
          <w:szCs w:val="16"/>
          <w:u w:val="single" w:color="auto"/>
          <w:color w:val="auto"/>
        </w:rPr>
        <w:t>Character of Guaranty; Waiver of Certain Defenses</w:t>
      </w:r>
      <w:r>
        <w:rPr>
          <w:rFonts w:ascii="Arial" w:cs="Arial" w:eastAsia="Arial" w:hAnsi="Arial"/>
          <w:sz w:val="16"/>
          <w:szCs w:val="16"/>
          <w:color w:val="auto"/>
        </w:rPr>
        <w:t>. The Guarantor guarantees that the Guaranteed Obligations will be paid strictly in accordance with their terms, regardless of any law, regulation or order now or hereafter in effect in any jurisdiction affecting any of such terms or the rights of any Guaranteed Party with respect thereto. The obligations of the Guarantor under or in respect of this Guaranty may be enforced independently of the Guaranteed Obligations or any other obligations of the Borrower under or in respect of the Credit Agreement, and a separate action or actions may be brought and prosecuted against the Guarantor to enforce this Guaranty, irrespective of whether any action is brought against the Borrower or whether the Borrower is joined in any such action or actions. The liability of the Guarantor under this Guaranty shall be irrevocable, absolute and unconditional irrespective of, and the Guarantor hereby irrevocably waives any defenses it may now have or hereafter acquire in any way relating to, any or all of the following:</w:t>
      </w:r>
    </w:p>
    <w:p>
      <w:pPr>
        <w:spacing w:after="0" w:line="105" w:lineRule="exact"/>
        <w:rPr>
          <w:sz w:val="20"/>
          <w:szCs w:val="20"/>
          <w:color w:val="auto"/>
        </w:rPr>
      </w:pPr>
    </w:p>
    <w:p>
      <w:pPr>
        <w:ind w:right="100" w:firstLine="464"/>
        <w:spacing w:after="0" w:line="256"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obligations of the Borrower under or in respect of the Credit Agreement, or any other amendment or waiver of or any consent to departure from the Credit Agreement, including, without limitation, any increase in the Guaranteed Obligations resulting from the extension of additional credit to the Borrower or any of its Subsidiaries or otherwise;</w:t>
      </w:r>
    </w:p>
    <w:p>
      <w:pPr>
        <w:spacing w:after="0" w:line="129"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the Borrower or any of its Subsidiaries;</w:t>
      </w:r>
    </w:p>
    <w:p>
      <w:pPr>
        <w:spacing w:after="0" w:line="157"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failure of any Guaranteed Party to disclose to the Guarantor any information relating to the business, condition (financial or otherwise), operations, performance, properties or prospects of the Borrower now or hereafter known to the Borrower (the Guarantor waiving any duty on the part of the Guaranteed Parties to disclose such information); or</w:t>
      </w:r>
    </w:p>
    <w:p>
      <w:pPr>
        <w:spacing w:after="0" w:line="126"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failure of any other Person to execute or deliver any other guaranty or agreement or the release or reduction of liability of the Guarantor or other guarantor or surety with respect to the Guaranteed Obligations.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by the Borrower is rescinded or must otherwise be returned by any Guaranteed Party or any other Person that has acquired such payment from any such Guaranteed Party upon the insolvency, bankruptcy or reorganization of the Borrower, all as though such payment had not been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2" w:name="page113"/>
    <w:bookmarkEnd w:id="112"/>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6"/>
          <w:szCs w:val="16"/>
          <w:u w:val="single" w:color="auto"/>
          <w:color w:val="auto"/>
        </w:rPr>
        <w:t>Waivers and Acknowledgments</w:t>
      </w:r>
      <w:r>
        <w:rPr>
          <w:rFonts w:ascii="Arial" w:cs="Arial" w:eastAsia="Arial" w:hAnsi="Arial"/>
          <w:sz w:val="16"/>
          <w:szCs w:val="16"/>
          <w:color w:val="auto"/>
        </w:rPr>
        <w:t>. (a) The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any Guaranteed Party protect, secure, perfect or insure any lien or security interest or any property subject thereto or exhaust any right or take any action against the Borrower or any other Person or any collateral.</w:t>
      </w:r>
    </w:p>
    <w:p>
      <w:pPr>
        <w:spacing w:after="0" w:line="99" w:lineRule="exact"/>
        <w:rPr>
          <w:sz w:val="20"/>
          <w:szCs w:val="20"/>
          <w:color w:val="auto"/>
        </w:rPr>
      </w:pPr>
    </w:p>
    <w:p>
      <w:pPr>
        <w:ind w:right="100" w:firstLine="464"/>
        <w:spacing w:after="0" w:line="268"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Guarantor hereby unconditionally and irrevocably waives any right to revoke this Guaranty and acknowledges that, except as provided herein, this Guaranty is continuing in nature and applies to all Guaranteed Obligations, whether existing now or in the future.</w:t>
      </w:r>
    </w:p>
    <w:p>
      <w:pPr>
        <w:spacing w:after="0" w:line="118" w:lineRule="exact"/>
        <w:rPr>
          <w:rFonts w:ascii="Arial" w:cs="Arial" w:eastAsia="Arial" w:hAnsi="Arial"/>
          <w:sz w:val="18"/>
          <w:szCs w:val="18"/>
          <w:color w:val="auto"/>
        </w:rPr>
      </w:pPr>
    </w:p>
    <w:p>
      <w:pPr>
        <w:ind w:right="160" w:firstLine="464"/>
        <w:spacing w:after="0" w:line="298"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waives (i) any defense arising by reason of any claim or defense based upon an election of remedies by any Guaranteed Party that in any manner impairs, reduces, releases or otherwise adversely affects the subrogation, reimbursement, exoneration, contribution or indemnification rights of the Guarantor or other rights of the Guarantor to proceed against the Borrower, any other guarantor or any other Person or any collateral and (ii) any defense based on any right of set-off or counterclaim against or in respect of the obligations of the Guarantor hereunder.</w:t>
      </w:r>
    </w:p>
    <w:p>
      <w:pPr>
        <w:spacing w:after="0" w:line="99"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Guarantor hereby unconditionally and irrevocably waives any duty on the part of any Guaranteed Party to disclose to the Guarantor any matter, fact or thing relating to the business, condition (financial or otherwise), operations, performance, properties or prospects of the Borrower or any of its Subsidiaries now or hereafter known by such Guaranteed Party.</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Subrogation</w:t>
      </w:r>
      <w:r>
        <w:rPr>
          <w:rFonts w:ascii="Arial" w:cs="Arial" w:eastAsia="Arial" w:hAnsi="Arial"/>
          <w:sz w:val="16"/>
          <w:szCs w:val="16"/>
          <w:color w:val="auto"/>
        </w:rPr>
        <w:t>. The Guarantor hereby unconditionally and irrevocably agrees not to exercise any rights that it may now have or hereafter acquire against the Borrower, or any other insider guarantor that arise from the existence, payment, performance or enforcement of the Guarantor’s obligations under or in respect of this Guaranty, including, without limitation, any right of subrogation, reimbursement, exoneration, contribution or indemnification and any right to participate in any claim or remedy of any Guaranteed Party against the Borrower or any other insider guarantor or any collateral, whether or not such claim, remedy or right arises in equity or under contract, statute or common law, including, without limitation, the right to take or receive from the Borrower or any other insider guarantor, directly or indirectly, in cash or other property or by set-off or in any other manner, payment or security on account of such claim, remedy or right, unless and until (i) all of the Guaranteed Obligations and all other amounts payable under this Guaranty shall have been paid in full in cash or (ii) this Guaranty is terminated.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3" w:name="page114"/>
    <w:bookmarkEnd w:id="113"/>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Certain Tax Matters</w:t>
      </w:r>
      <w:r>
        <w:rPr>
          <w:rFonts w:ascii="Arial" w:cs="Arial" w:eastAsia="Arial" w:hAnsi="Arial"/>
          <w:sz w:val="18"/>
          <w:szCs w:val="18"/>
          <w:color w:val="auto"/>
        </w:rPr>
        <w:t xml:space="preserve">. The Guarantor shall satisfy the obligations of Section 2.14 of the Credit Agreement as if such Section was set forth herein in its entirety, </w:t>
      </w:r>
      <w:r>
        <w:rPr>
          <w:rFonts w:ascii="Arial" w:cs="Arial" w:eastAsia="Arial" w:hAnsi="Arial"/>
          <w:sz w:val="18"/>
          <w:szCs w:val="18"/>
          <w:u w:val="single" w:color="auto"/>
          <w:color w:val="auto"/>
        </w:rPr>
        <w:t>mutatis mutandis</w:t>
      </w:r>
      <w:r>
        <w:rPr>
          <w:rFonts w:ascii="Arial" w:cs="Arial" w:eastAsia="Arial" w:hAnsi="Arial"/>
          <w:sz w:val="18"/>
          <w:szCs w:val="18"/>
          <w:color w:val="auto"/>
        </w:rPr>
        <w:t>, solely with respect to the Guaranty of the Credit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Guarantor represents and warrants as follows:</w:t>
      </w:r>
    </w:p>
    <w:p>
      <w:pPr>
        <w:spacing w:after="0" w:line="158" w:lineRule="exact"/>
        <w:rPr>
          <w:sz w:val="20"/>
          <w:szCs w:val="20"/>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Guarantor is a limited liability company duly formed, validly existing and in good standing under the laws of the State of Delaware.</w:t>
      </w:r>
    </w:p>
    <w:p>
      <w:pPr>
        <w:spacing w:after="0" w:line="157"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execution, delivery and performance by the Guarantor of this Guaranty, and the consummation of the transactions contemplated hereby, are within the Guarantor’s powers as a Delaware limited liability company, have been duly authorized by all necessary action on the part of the Guarantor’s Board of Directors, and do not contravene (i) the Guarantor’s limited liability company agreement or (ii) law or any contractual restriction binding on or affecting the Guarantor.</w:t>
      </w:r>
    </w:p>
    <w:p>
      <w:pPr>
        <w:spacing w:after="0" w:line="129" w:lineRule="exact"/>
        <w:rPr>
          <w:rFonts w:ascii="Arial" w:cs="Arial" w:eastAsia="Arial" w:hAnsi="Arial"/>
          <w:sz w:val="18"/>
          <w:szCs w:val="18"/>
          <w:color w:val="auto"/>
        </w:rPr>
      </w:pPr>
    </w:p>
    <w:p>
      <w:pPr>
        <w:ind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Guarantor of this Guaranty.</w:t>
      </w:r>
    </w:p>
    <w:p>
      <w:pPr>
        <w:spacing w:after="0" w:line="118"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Guaranty has been duly executed and delivered by the Guarantor. This Guaranty is the legal, valid and binding obligation of the Guarantor enforceable against the Guarantor in accordance with its terms.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Guarantor is not an “investment company” within the meaning of the Investment Company Act of 1940, as amended.</w:t>
      </w:r>
    </w:p>
    <w:p>
      <w:pPr>
        <w:spacing w:after="0" w:line="157" w:lineRule="exact"/>
        <w:rPr>
          <w:rFonts w:ascii="Arial" w:cs="Arial" w:eastAsia="Arial" w:hAnsi="Arial"/>
          <w:sz w:val="18"/>
          <w:szCs w:val="18"/>
          <w:color w:val="auto"/>
        </w:rPr>
      </w:pPr>
    </w:p>
    <w:p>
      <w:pPr>
        <w:ind w:right="760" w:firstLine="464"/>
        <w:spacing w:after="0" w:line="268" w:lineRule="auto"/>
        <w:tabs>
          <w:tab w:leader="none" w:pos="67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are no conditions precedent to the effectiveness of this Guaranty that have not been satisfied or waived, including the completion of the Restructuring.</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Amendments</w:t>
      </w:r>
      <w:r>
        <w:rPr>
          <w:rFonts w:ascii="Arial" w:cs="Arial" w:eastAsia="Arial" w:hAnsi="Arial"/>
          <w:sz w:val="18"/>
          <w:szCs w:val="18"/>
          <w:color w:val="auto"/>
        </w:rPr>
        <w:t>. No amendment or waiver of any provision of this Guaranty and no consent to any departure by the Guarantor therefrom shall in any event be effective unless the same shall be in writing and signed by the Guarantor and Citibank, N.A., as Agent for the Lenders, and then such waiver or consent shall be effective only in the specific instance and for the specific purpose for which given.</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Termination of Guaranty</w:t>
      </w:r>
      <w:r>
        <w:rPr>
          <w:rFonts w:ascii="Arial" w:cs="Arial" w:eastAsia="Arial" w:hAnsi="Arial"/>
          <w:sz w:val="16"/>
          <w:szCs w:val="16"/>
          <w:color w:val="auto"/>
        </w:rPr>
        <w:t>. Notwithstanding anything to the contrary herein, at such time as (i) the 5.50% Notes due February 15, 2009 issued by the Borrower pursuant to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February 17, 1999, with the JPMorgan Chase Bank (successor to The First National Bank of Chicago), as trustee, cease to be outstanding or are no longer entitled to the benefits of this Guaranty or of any similar guaranty and (ii) no other debt securities issued under the Indenture are outstanding which are entitled to the benefits of any guaranty similar to this Guaranty, this Guaranty shall be terminated without any further action on the part of the Guarantor or any Guaranteed Party.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4" w:name="page115"/>
    <w:bookmarkEnd w:id="114"/>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All notices and other communications provided for hereunder shall be in writing (including telegraphic, telecopy or telex communication) and mailed, telegraphed, telecopied, telexed or delivered to it,</w:t>
      </w:r>
    </w:p>
    <w:p>
      <w:pPr>
        <w:spacing w:after="0" w:line="118" w:lineRule="exact"/>
        <w:rPr>
          <w:sz w:val="20"/>
          <w:szCs w:val="20"/>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to the Guarantor, addressed to it at 1150 15th Street, N.W., Washington, D.C. 20071, Attention: Treasurer,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to the Agent or any Lender, at the address of the Agent at Two Penns Way, New Castle, Delaware 19720, Attention: Bank Loan Syndications,</w:t>
      </w:r>
    </w:p>
    <w:p>
      <w:pPr>
        <w:spacing w:after="0" w:line="18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or, as to any party, at such other address as shall be designated by such party in a written notice to each other party. All such notices and other communications shall, when mailed, telegraphed, telecopied or telexed, be effective when deposited in the mails, delivered to the telegraph company, transmitted by telecopier or confirmed by telex answerback, respectively. Delivery by telecopier of an executed counterpart of a signature page to any amendment or waiver of any provision of this Guaranty to be executed and delivered hereunder shall be effective as delivery of an original executed counterpart thereof.</w:t>
      </w:r>
    </w:p>
    <w:p>
      <w:pPr>
        <w:spacing w:after="0" w:line="8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Guaranteed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(a) The Guarantor agrees to pay on demand all reasonable out-of-pocket costs and expenses of any Guaranteed Party, if any (including, without limitation, reasonable counsel fees and expenses) in connection with the enforcement (whether through negotiations, legal proceedings or otherwise) of this Guaranty, including, without limitation, reasonable fees and expenses of counsel for any such Guaranteed Party in connection with the enforcement of rights under this Section 11.</w:t>
      </w:r>
    </w:p>
    <w:p>
      <w:pPr>
        <w:spacing w:after="0" w:line="130" w:lineRule="exact"/>
        <w:rPr>
          <w:sz w:val="20"/>
          <w:szCs w:val="20"/>
          <w:color w:val="auto"/>
        </w:rPr>
      </w:pPr>
    </w:p>
    <w:p>
      <w:pPr>
        <w:ind w:right="40" w:firstLine="464"/>
        <w:spacing w:after="0" w:line="259"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Without prejudice to the survival of any of the other agreements of the Guarantor under this Guaranty, the agreements and obligations of the Guarantor contained in the last sentence of Section 2, Section 5 and this Section 11 shall survive the payment in full of the Guaranteed Obligations and all of the other amounts payable under this Guaranty.</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Continuing Guaranty; Assignments under the Credit Agreement</w:t>
      </w:r>
      <w:r>
        <w:rPr>
          <w:rFonts w:ascii="Arial" w:cs="Arial" w:eastAsia="Arial" w:hAnsi="Arial"/>
          <w:sz w:val="16"/>
          <w:szCs w:val="16"/>
          <w:color w:val="auto"/>
        </w:rPr>
        <w:t>. This Guaranty is a continuing guaranty and shall (a) except as provided in Section 8 above, remain in full force and effect until the later of (i) the payment in full in cash of the Guaranteed Obligations and all other amounts payable under this Guaranty arising under or in respect of the Credit Agreement and (ii) the termination or expiration of the Credit Agreement, (b) be binding upon the Guarantor, its successors and assigns and (c) inure to the benefit of and be enforceable by the Guaranteed Parties and their successors, transferees and assigns. Without limiting the generality of clause (c) of the immediately preceding sentence, any Lender may assign or otherwise transfer all or any portion of its rights and obligations under the Credit Agreement (including, without limitation, all or any portion of its commitment, the advances owing to it and the note or notes held by it) to any other Person, and such other Person shall thereupon become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15" w:name="page116"/>
    <w:bookmarkEnd w:id="11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vested with all the benefits in respect thereof granted to such Guaranteed Party herein. The Guarantor shall not have the right to assign its rights hereunder or any interest herein without the prior written consent of the Guaranteed Parties.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Governing Law; Jurisdiction; Waiver of Jury Trial, Etc</w:t>
      </w:r>
      <w:r>
        <w:rPr>
          <w:rFonts w:ascii="Arial" w:cs="Arial" w:eastAsia="Arial" w:hAnsi="Arial"/>
          <w:sz w:val="18"/>
          <w:szCs w:val="18"/>
          <w:color w:val="auto"/>
        </w:rPr>
        <w:t>. (a) This Guaranty shall be governed by, and construed in accordance with, the laws of the State of New York.</w:t>
      </w:r>
    </w:p>
    <w:p>
      <w:pPr>
        <w:spacing w:after="0" w:line="118" w:lineRule="exact"/>
        <w:rPr>
          <w:sz w:val="20"/>
          <w:szCs w:val="20"/>
          <w:color w:val="auto"/>
        </w:rPr>
      </w:pPr>
    </w:p>
    <w:p>
      <w:pPr>
        <w:ind w:right="60" w:firstLine="464"/>
        <w:spacing w:after="0" w:line="290"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Guarantor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Guaranty, or for recognition or enforcement of any judgment, and the Guarantor hereby irrevocably and unconditionally agrees that all claims in respect of any such action or proceeding may be heard and determined in any such New York State court or, to the extent permitted by law, in such federal court. The Guarantor agrees that a final judgment in any such action or proceeding shall be conclusive and may be enforced in other jurisdictions by suit on the judgment or in any other manner provided by law. Nothing in this Guaranty shall affect any right that any party may otherwise have to bring any action or proceeding relating to this Guaranty in the courts of any jurisdiction.</w:t>
      </w:r>
    </w:p>
    <w:p>
      <w:pPr>
        <w:spacing w:after="0" w:line="104" w:lineRule="exact"/>
        <w:rPr>
          <w:rFonts w:ascii="Arial" w:cs="Arial" w:eastAsia="Arial" w:hAnsi="Arial"/>
          <w:sz w:val="16"/>
          <w:szCs w:val="16"/>
          <w:color w:val="auto"/>
        </w:rPr>
      </w:pPr>
    </w:p>
    <w:p>
      <w:pPr>
        <w:ind w:right="420" w:firstLine="464"/>
        <w:spacing w:after="0" w:line="256"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Guarantor irrevocably and unconditionally waives, to the fullest extent it may legally and effectively do so, any objection that it may now or hereafter have to the laying of venue of any suit, action or proceeding arising out of or relating to this Guaranty in any New York State or federal court. The Guarantor hereby irrevocably waives, to the fullest extent permitted by law, the defense of an inconvenient forum to the maintenance of such suit, action or proceeding in any such court.</w:t>
      </w:r>
    </w:p>
    <w:p>
      <w:pPr>
        <w:spacing w:after="0" w:line="129" w:lineRule="exact"/>
        <w:rPr>
          <w:rFonts w:ascii="Arial" w:cs="Arial" w:eastAsia="Arial" w:hAnsi="Arial"/>
          <w:sz w:val="18"/>
          <w:szCs w:val="18"/>
          <w:color w:val="auto"/>
        </w:rPr>
      </w:pPr>
    </w:p>
    <w:p>
      <w:pPr>
        <w:ind w:right="140" w:firstLine="464"/>
        <w:spacing w:after="0" w:line="306" w:lineRule="auto"/>
        <w:tabs>
          <w:tab w:leader="none" w:pos="70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GUARANTOR HEREBY IRREVOCABLY WAIVES ALL RIGHT TO TRIAL BY JURY IN ANY ACTION, PROCEEDING OR COUNTERCLAIM (WHETHER BASED ON CONTRACT, TORT OR OTHERWISE) ARISING OUT OF OR RELATING TO THIS GUARANTY OR THE ACTIONS OF ANY GUARANTEED PARTY IN THE NEGOTIATION, ADMINISTRATION, PERFORMANCE OR ENFORCEMENT HEREOF.</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Guarantor has caused this Guaranty to be duly executed and delivered by its officer thereunto duly authorized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WP COMPANY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INCENTIVE COMPENSATION PLAN</w:t>
      </w:r>
    </w:p>
    <w:p>
      <w:pPr>
        <w:spacing w:after="0" w:line="14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Amended and restated effective September 9, 2004</w:t>
      </w:r>
    </w:p>
    <w:p>
      <w:pPr>
        <w:sectPr>
          <w:pgSz w:w="11900" w:h="16838" w:orient="portrait"/>
          <w:cols w:equalWidth="0" w:num="1">
            <w:col w:w="10220"/>
          </w:cols>
          <w:pgMar w:left="1440" w:top="125"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68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460" w:type="dxa"/>
            <w:vAlign w:val="bottom"/>
          </w:tcPr>
          <w:p>
            <w:pPr>
              <w:ind w:left="60"/>
              <w:spacing w:after="0"/>
              <w:rPr>
                <w:sz w:val="20"/>
                <w:szCs w:val="20"/>
                <w:color w:val="auto"/>
              </w:rPr>
            </w:pPr>
            <w:r>
              <w:rPr>
                <w:rFonts w:ascii="Arial" w:cs="Arial" w:eastAsia="Arial" w:hAnsi="Arial"/>
                <w:sz w:val="18"/>
                <w:szCs w:val="18"/>
                <w:color w:val="auto"/>
              </w:rPr>
              <w:t>Purposes</w:t>
            </w:r>
          </w:p>
        </w:tc>
        <w:tc>
          <w:tcPr>
            <w:tcW w:w="6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460" w:type="dxa"/>
            <w:vAlign w:val="bottom"/>
          </w:tcPr>
          <w:p>
            <w:pPr>
              <w:ind w:left="60"/>
              <w:spacing w:after="0"/>
              <w:rPr>
                <w:sz w:val="20"/>
                <w:szCs w:val="20"/>
                <w:color w:val="auto"/>
              </w:rPr>
            </w:pPr>
            <w:r>
              <w:rPr>
                <w:rFonts w:ascii="Arial" w:cs="Arial" w:eastAsia="Arial" w:hAnsi="Arial"/>
                <w:sz w:val="18"/>
                <w:szCs w:val="18"/>
                <w:color w:val="auto"/>
              </w:rPr>
              <w:t>Administration of the Plan</w:t>
            </w:r>
          </w:p>
        </w:tc>
        <w:tc>
          <w:tcPr>
            <w:tcW w:w="6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460" w:type="dxa"/>
            <w:vAlign w:val="bottom"/>
          </w:tcPr>
          <w:p>
            <w:pPr>
              <w:ind w:left="60"/>
              <w:spacing w:after="0"/>
              <w:rPr>
                <w:sz w:val="20"/>
                <w:szCs w:val="20"/>
                <w:color w:val="auto"/>
              </w:rPr>
            </w:pPr>
            <w:r>
              <w:rPr>
                <w:rFonts w:ascii="Arial" w:cs="Arial" w:eastAsia="Arial" w:hAnsi="Arial"/>
                <w:sz w:val="18"/>
                <w:szCs w:val="18"/>
                <w:color w:val="auto"/>
              </w:rPr>
              <w:t>Participation</w:t>
            </w:r>
          </w:p>
        </w:tc>
        <w:tc>
          <w:tcPr>
            <w:tcW w:w="6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460" w:type="dxa"/>
            <w:vAlign w:val="bottom"/>
          </w:tcPr>
          <w:p>
            <w:pPr>
              <w:ind w:left="60"/>
              <w:spacing w:after="0"/>
              <w:rPr>
                <w:sz w:val="20"/>
                <w:szCs w:val="20"/>
                <w:color w:val="auto"/>
              </w:rPr>
            </w:pPr>
            <w:r>
              <w:rPr>
                <w:rFonts w:ascii="Arial" w:cs="Arial" w:eastAsia="Arial" w:hAnsi="Arial"/>
                <w:sz w:val="18"/>
                <w:szCs w:val="18"/>
                <w:color w:val="auto"/>
              </w:rPr>
              <w:t>Duration of Plan</w:t>
            </w:r>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460" w:type="dxa"/>
            <w:vAlign w:val="bottom"/>
          </w:tcPr>
          <w:p>
            <w:pPr>
              <w:ind w:left="60"/>
              <w:spacing w:after="0"/>
              <w:rPr>
                <w:sz w:val="20"/>
                <w:szCs w:val="20"/>
                <w:color w:val="auto"/>
              </w:rPr>
            </w:pPr>
            <w:r>
              <w:rPr>
                <w:rFonts w:ascii="Arial" w:cs="Arial" w:eastAsia="Arial" w:hAnsi="Arial"/>
                <w:sz w:val="18"/>
                <w:szCs w:val="18"/>
                <w:color w:val="auto"/>
              </w:rPr>
              <w:t>Annual Incentive Provision</w:t>
            </w:r>
          </w:p>
        </w:tc>
        <w:tc>
          <w:tcPr>
            <w:tcW w:w="6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460" w:type="dxa"/>
            <w:vAlign w:val="bottom"/>
          </w:tcPr>
          <w:p>
            <w:pPr>
              <w:ind w:left="60"/>
              <w:spacing w:after="0"/>
              <w:rPr>
                <w:sz w:val="20"/>
                <w:szCs w:val="20"/>
                <w:color w:val="auto"/>
              </w:rPr>
            </w:pPr>
            <w:r>
              <w:rPr>
                <w:rFonts w:ascii="Arial" w:cs="Arial" w:eastAsia="Arial" w:hAnsi="Arial"/>
                <w:sz w:val="18"/>
                <w:szCs w:val="18"/>
                <w:color w:val="auto"/>
              </w:rPr>
              <w:t>Determination of Annual Awards</w:t>
            </w:r>
          </w:p>
        </w:tc>
        <w:tc>
          <w:tcPr>
            <w:tcW w:w="6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460" w:type="dxa"/>
            <w:vAlign w:val="bottom"/>
          </w:tcPr>
          <w:p>
            <w:pPr>
              <w:ind w:left="60"/>
              <w:spacing w:after="0"/>
              <w:rPr>
                <w:sz w:val="20"/>
                <w:szCs w:val="20"/>
                <w:color w:val="auto"/>
              </w:rPr>
            </w:pPr>
            <w:r>
              <w:rPr>
                <w:rFonts w:ascii="Arial" w:cs="Arial" w:eastAsia="Arial" w:hAnsi="Arial"/>
                <w:sz w:val="18"/>
                <w:szCs w:val="18"/>
                <w:color w:val="auto"/>
                <w:w w:val="95"/>
              </w:rPr>
              <w:t>Method Payment of Annual Awards and Time of Payment</w:t>
            </w:r>
          </w:p>
        </w:tc>
        <w:tc>
          <w:tcPr>
            <w:tcW w:w="6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460" w:type="dxa"/>
            <w:vAlign w:val="bottom"/>
          </w:tcPr>
          <w:p>
            <w:pPr>
              <w:ind w:left="60"/>
              <w:spacing w:after="0"/>
              <w:rPr>
                <w:sz w:val="20"/>
                <w:szCs w:val="20"/>
                <w:color w:val="auto"/>
              </w:rPr>
            </w:pPr>
            <w:r>
              <w:rPr>
                <w:rFonts w:ascii="Arial" w:cs="Arial" w:eastAsia="Arial" w:hAnsi="Arial"/>
                <w:sz w:val="18"/>
                <w:szCs w:val="18"/>
                <w:color w:val="auto"/>
              </w:rPr>
              <w:t>Long-Term Incentive Award Cycles; Awards</w:t>
            </w:r>
          </w:p>
        </w:tc>
        <w:tc>
          <w:tcPr>
            <w:tcW w:w="6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460" w:type="dxa"/>
            <w:vAlign w:val="bottom"/>
          </w:tcPr>
          <w:p>
            <w:pPr>
              <w:ind w:left="60"/>
              <w:spacing w:after="0"/>
              <w:rPr>
                <w:sz w:val="20"/>
                <w:szCs w:val="20"/>
                <w:color w:val="auto"/>
              </w:rPr>
            </w:pPr>
            <w:r>
              <w:rPr>
                <w:rFonts w:ascii="Arial" w:cs="Arial" w:eastAsia="Arial" w:hAnsi="Arial"/>
                <w:sz w:val="18"/>
                <w:szCs w:val="18"/>
                <w:color w:val="auto"/>
              </w:rPr>
              <w:t>Restricted Stock</w:t>
            </w:r>
          </w:p>
        </w:tc>
        <w:tc>
          <w:tcPr>
            <w:tcW w:w="6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460" w:type="dxa"/>
            <w:vAlign w:val="bottom"/>
          </w:tcPr>
          <w:p>
            <w:pPr>
              <w:ind w:left="60"/>
              <w:spacing w:after="0"/>
              <w:rPr>
                <w:sz w:val="20"/>
                <w:szCs w:val="20"/>
                <w:color w:val="auto"/>
              </w:rPr>
            </w:pPr>
            <w:r>
              <w:rPr>
                <w:rFonts w:ascii="Arial" w:cs="Arial" w:eastAsia="Arial" w:hAnsi="Arial"/>
                <w:sz w:val="18"/>
                <w:szCs w:val="18"/>
                <w:color w:val="auto"/>
              </w:rPr>
              <w:t>Performance Units</w:t>
            </w:r>
          </w:p>
        </w:tc>
        <w:tc>
          <w:tcPr>
            <w:tcW w:w="6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460" w:type="dxa"/>
            <w:vAlign w:val="bottom"/>
          </w:tcPr>
          <w:p>
            <w:pPr>
              <w:ind w:left="60"/>
              <w:spacing w:after="0"/>
              <w:rPr>
                <w:sz w:val="20"/>
                <w:szCs w:val="20"/>
                <w:color w:val="auto"/>
              </w:rPr>
            </w:pPr>
            <w:r>
              <w:rPr>
                <w:rFonts w:ascii="Arial" w:cs="Arial" w:eastAsia="Arial" w:hAnsi="Arial"/>
                <w:sz w:val="18"/>
                <w:szCs w:val="18"/>
                <w:color w:val="auto"/>
              </w:rPr>
              <w:t>Expenses</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460" w:type="dxa"/>
            <w:vAlign w:val="bottom"/>
          </w:tcPr>
          <w:p>
            <w:pPr>
              <w:ind w:left="60"/>
              <w:spacing w:after="0"/>
              <w:rPr>
                <w:sz w:val="20"/>
                <w:szCs w:val="20"/>
                <w:color w:val="auto"/>
              </w:rPr>
            </w:pPr>
            <w:r>
              <w:rPr>
                <w:rFonts w:ascii="Arial" w:cs="Arial" w:eastAsia="Arial" w:hAnsi="Arial"/>
                <w:sz w:val="18"/>
                <w:szCs w:val="18"/>
                <w:color w:val="auto"/>
              </w:rPr>
              <w:t>Adjustments in Class B Common Stock</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4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8" w:name="page119"/>
    <w:bookmarkEnd w:id="11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INCENTIVE COMPENSATION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Amended and Restated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Effective September 9, 2004</w:t>
      </w:r>
    </w:p>
    <w:p>
      <w:pPr>
        <w:spacing w:after="0" w:line="158"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Purposes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130"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129"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76" w:lineRule="exact"/>
        <w:rPr>
          <w:rFonts w:ascii="Arial" w:cs="Arial" w:eastAsia="Arial" w:hAnsi="Arial"/>
          <w:sz w:val="18"/>
          <w:szCs w:val="18"/>
          <w:color w:val="auto"/>
        </w:rPr>
      </w:pPr>
    </w:p>
    <w:p>
      <w:pPr>
        <w:ind w:right="480" w:firstLine="464"/>
        <w:spacing w:after="0" w:line="268" w:lineRule="auto"/>
        <w:tabs>
          <w:tab w:leader="none" w:pos="6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Participation in the Plan shall be extended to senior executives, key managers and key personnel of the Company and its subsidiaries who, in the opinion of the Committee, are mainly responsible for the management of the operations of the Company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its subsidiaries or who are otherwise in a position to make substantial contributions to the management, growth and success of the business of the Company.</w:t>
      </w:r>
    </w:p>
    <w:p>
      <w:pPr>
        <w:spacing w:after="0" w:line="192" w:lineRule="exact"/>
        <w:rPr>
          <w:sz w:val="20"/>
          <w:szCs w:val="20"/>
          <w:color w:val="auto"/>
        </w:rPr>
      </w:pPr>
    </w:p>
    <w:p>
      <w:pPr>
        <w:ind w:right="60" w:firstLine="464"/>
        <w:spacing w:after="0" w:line="268"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Directors as such shall not participate in the Plan, but the fact that an employee is also a Director of the Company or a subsidiary shall not prevent his participation.</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As used in the Plan, the term “Company” shall mean The Washington Post Company and any subsidiary thereof.</w:t>
      </w:r>
    </w:p>
    <w:p>
      <w:pPr>
        <w:spacing w:after="0" w:line="157"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Plan shall not be deemed to preclude the making of any award pursuant to any other compensation, incentive, bonus or stock option plan which may be in effect from time to time.</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Duration of Plan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118"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Annual Incentive Provision</w:t>
      </w:r>
    </w:p>
    <w:p>
      <w:pPr>
        <w:spacing w:after="0" w:line="76" w:lineRule="exact"/>
        <w:rPr>
          <w:rFonts w:ascii="Arial" w:cs="Arial" w:eastAsia="Arial" w:hAnsi="Arial"/>
          <w:sz w:val="18"/>
          <w:szCs w:val="18"/>
          <w:color w:val="auto"/>
        </w:rPr>
      </w:pPr>
    </w:p>
    <w:p>
      <w:pPr>
        <w:ind w:right="180" w:firstLine="464"/>
        <w:spacing w:after="0" w:line="268" w:lineRule="auto"/>
        <w:tabs>
          <w:tab w:leader="none" w:pos="695"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each fiscal year the Committee may make incentive awards in an aggregate amount not to exceed the Maximum Incentive Credit (as hereinafter defined) for such year (the Annual Award).</w:t>
      </w:r>
    </w:p>
    <w:p>
      <w:pPr>
        <w:spacing w:after="0" w:line="118" w:lineRule="exact"/>
        <w:rPr>
          <w:rFonts w:ascii="Arial" w:cs="Arial" w:eastAsia="Arial" w:hAnsi="Arial"/>
          <w:sz w:val="18"/>
          <w:szCs w:val="18"/>
          <w:color w:val="auto"/>
        </w:rPr>
      </w:pPr>
    </w:p>
    <w:p>
      <w:pPr>
        <w:ind w:right="60" w:firstLine="464"/>
        <w:spacing w:after="0" w:line="298" w:lineRule="auto"/>
        <w:tabs>
          <w:tab w:leader="none" w:pos="705"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term “Maximum Incentive Credit”, as used herein, shall mean for any year an amount determined as follows: (i) there shall first be calculated an amount equal to twelve (12) percent of Stockholders’ Equity (hereinafter called the “Basic Return on Equity”); (ii) there shall then be deducted from Consolidated Profit Before Income Taxes an amount equal to the Basic Return on Equity, the excess (if any) being hereinafter called “Incentive Profit”; (iii) the Maximum Incentive Credit shall be ten (10) percent of Incentive Profit. The term “Consolidated Profit Before Income Taxes”, as used herein,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80" w:right="379" w:bottom="1440" w:gutter="0" w:footer="0" w:header="0"/>
        </w:sectPr>
      </w:pPr>
    </w:p>
    <w:bookmarkStart w:id="120" w:name="page121"/>
    <w:bookmarkEnd w:id="120"/>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mean for any year the sum of (i) the profit before income taxes (exclusive of special credits and charges and extraordinary items) included in the Consolidated Statement of Income of the Company for such year and (ii) the amount of incentive compensation provided for in computing such profit before income taxes. The term “Shareholders’ Equity”, as used herein, shall mean for any year the amount reported as stockholders’ equity (or the comparable item, however designated) at the end of the preceding year as included in the Consolidated Balance Sheet of the Company for the preceding year, with appropriate pro rata adjustments, as approved by the Committee, for any change during the year arising from any increase or decrease in outstanding capital stock.</w:t>
      </w:r>
    </w:p>
    <w:p>
      <w:pPr>
        <w:spacing w:after="0" w:line="102" w:lineRule="exact"/>
        <w:rPr>
          <w:sz w:val="20"/>
          <w:szCs w:val="20"/>
          <w:color w:val="auto"/>
        </w:rPr>
      </w:pPr>
    </w:p>
    <w:p>
      <w:pPr>
        <w:jc w:val="both"/>
        <w:ind w:right="120" w:firstLine="464"/>
        <w:spacing w:after="0" w:line="370" w:lineRule="auto"/>
        <w:tabs>
          <w:tab w:leader="none" w:pos="695" w:val="left"/>
        </w:tabs>
        <w:numPr>
          <w:ilvl w:val="0"/>
          <w:numId w:val="98"/>
        </w:numPr>
        <w:rPr>
          <w:rFonts w:ascii="Arial" w:cs="Arial" w:eastAsia="Arial" w:hAnsi="Arial"/>
          <w:sz w:val="15"/>
          <w:szCs w:val="15"/>
          <w:color w:val="auto"/>
        </w:rPr>
      </w:pPr>
      <w:r>
        <w:rPr>
          <w:rFonts w:ascii="Arial" w:cs="Arial" w:eastAsia="Arial" w:hAnsi="Arial"/>
          <w:sz w:val="15"/>
          <w:szCs w:val="15"/>
          <w:color w:val="auto"/>
        </w:rPr>
        <w:t>During the last month of each fiscal year the Vice President-Finance of the Company shall advise the Committee of the estimated Maximum Incentive Credit for such fiscal year and the Committee shall determine the employees who are to receive awards for such fiscal year and the amount of each such award.</w:t>
      </w:r>
    </w:p>
    <w:p>
      <w:pPr>
        <w:spacing w:after="0" w:line="48" w:lineRule="exact"/>
        <w:rPr>
          <w:rFonts w:ascii="Arial" w:cs="Arial" w:eastAsia="Arial" w:hAnsi="Arial"/>
          <w:sz w:val="15"/>
          <w:szCs w:val="15"/>
          <w:color w:val="auto"/>
        </w:rPr>
      </w:pPr>
    </w:p>
    <w:p>
      <w:pPr>
        <w:ind w:right="20" w:firstLine="464"/>
        <w:spacing w:after="0" w:line="268"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soon as practicable after the close of each fiscal year the Company’s independent public accountants shall calculate and certify to the Committee the Maximum Incentive Credit for such fiscal year.</w:t>
      </w:r>
    </w:p>
    <w:p>
      <w:pPr>
        <w:spacing w:after="0" w:line="118" w:lineRule="exact"/>
        <w:rPr>
          <w:rFonts w:ascii="Arial" w:cs="Arial" w:eastAsia="Arial" w:hAnsi="Arial"/>
          <w:sz w:val="18"/>
          <w:szCs w:val="18"/>
          <w:color w:val="auto"/>
        </w:rPr>
      </w:pPr>
    </w:p>
    <w:p>
      <w:pPr>
        <w:ind w:firstLine="464"/>
        <w:spacing w:after="0" w:line="294"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amount determined and reported by the Company’s independent auditors as the Maximum Incentive Credit for any fiscal year shall be final, conclusive and binding upon all parties, including the Company, its stockholders and employees, notwithstanding any subsequent special item or surplus charge or credit that may be considered applicable in whole or in part to such fiscal year; provided that if the amount actually awarded for any fiscal year should later be determined by a court of competent jurisdiction to have exceeded the Maximum Incentive Credit for such fiscal year, the Maximum Incentive Credit for the fiscal year next succeeding such determination shall be reduced by the amount of such excess. Any such excess shall thus be corrected exclusively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21" w:name="page122"/>
    <w:bookmarkEnd w:id="12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adjustments of the amounts subsequently available for awards and not be recourse to the Company, the Board of Directors, the Committee, any participant or any other person.</w:t>
      </w:r>
    </w:p>
    <w:p>
      <w:pPr>
        <w:spacing w:after="0" w:line="118"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Determination of Annual Awards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shall determine the participants to receive incentive awards for each fiscal year, the amount and the form of each award (which shall not exceed in value the lesser of 200% of a participant’s base earnings or $1 million), and the other terms and conditions applicable thereto. Specifically, the Committee shall establish performance goals related to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before the commencement of the services to which an incentive award relates and in no event later than March 31 of the year to which the award relates or such other date as may be permitted under the Internal Revenue Code.</w:t>
      </w:r>
    </w:p>
    <w:p>
      <w:pPr>
        <w:spacing w:after="0" w:line="107"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Method Payment of Annual Awards and Time of Payment</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Annual Awards shall be made in cash.</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Annual Awards may be paid in a lump sum, in annual installments, or otherwise, or deferred until after retirement or as otherwise provided herein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151" w:lineRule="exact"/>
        <w:rPr>
          <w:rFonts w:ascii="Arial" w:cs="Arial" w:eastAsia="Arial" w:hAnsi="Arial"/>
          <w:sz w:val="16"/>
          <w:szCs w:val="16"/>
          <w:color w:val="auto"/>
        </w:rPr>
      </w:pPr>
    </w:p>
    <w:p>
      <w:pPr>
        <w:ind w:firstLine="464"/>
        <w:spacing w:after="0" w:line="259" w:lineRule="auto"/>
        <w:tabs>
          <w:tab w:leader="none" w:pos="69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When payments or distributions of Annual Awards are not to be made in a lump sum in the year of the award, the Committee shall fix the time or times of payments or distributions, and may impose such terms and conditions with respect to the making of payments or distributions and forfeitures thereof, as in its judgment will best serve the interests of the Company and the purposes of the Plan.</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Committee may also in its sole discretion establish terms and conditions under which a participant may elect to defer the payment of an award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whole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122" w:name="page123"/>
    <w:bookmarkEnd w:id="12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in part to a period following retirement or other termination of employment pursuant to The Washington Post Company Deferred Compensation Plan (the “Deferred Compensation Plan”), provided that any election by an employee to defer payment shall be irrevocably made by him at such time prior to the beginning of the year for which such award shall be made as the Committee shall determine and shall earn investment credits reflecting gains or losses in accordance with a Participant’s individual Investment Election as provided in the Deferred Compensation Plan.</w:t>
      </w:r>
    </w:p>
    <w:p>
      <w:pPr>
        <w:spacing w:after="0" w:line="99" w:lineRule="exact"/>
        <w:rPr>
          <w:sz w:val="20"/>
          <w:szCs w:val="20"/>
          <w:color w:val="auto"/>
        </w:rPr>
      </w:pPr>
    </w:p>
    <w:p>
      <w:pPr>
        <w:ind w:right="180" w:firstLine="464"/>
        <w:spacing w:after="0" w:line="298" w:lineRule="auto"/>
        <w:tabs>
          <w:tab w:leader="none" w:pos="6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Committee may also in its sole discretion establish arrangements, terms and conditions under which portions of awards payable in the future may be or may be deemed to have been invested in securities or other suitable or appropriate property. The amount of such future payments, whether made in installments or deferred until after retirement or other termination of employment, shall be subject to increase or decrease to reflect income earned or deemed earned on, and gains or losses of principal of, the funds so invested or deemed to be so invested.</w:t>
      </w:r>
    </w:p>
    <w:p>
      <w:pPr>
        <w:spacing w:after="0" w:line="99" w:lineRule="exact"/>
        <w:rPr>
          <w:rFonts w:ascii="Arial" w:cs="Arial" w:eastAsia="Arial" w:hAnsi="Arial"/>
          <w:sz w:val="16"/>
          <w:szCs w:val="16"/>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Long-Term Incentive Award Cycles; Awards</w:t>
      </w:r>
    </w:p>
    <w:p>
      <w:pPr>
        <w:spacing w:after="0" w:line="76"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During the term of the Plan the Committee shall from time to time establish Award Cycles, each of which shall commence on the first day of a fiscal year of the Company and shall consist of not less than three nor more than four fiscal years of the Company (subject to subparagraph 9(c)(ii) below). At least two such fiscal years shall elapse between the beginning of consecutive Award Cycles.</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each Award Cycle the Committee shall</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108"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designate the participants who are to receive awards of Restricted Stock for such Award Cycle and, subject to paragraph 9(a), the number of shares of Restricted Stock awarded to each such participant,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3" w:name="page124"/>
    <w:bookmarkEnd w:id="123"/>
    <w:p>
      <w:pPr>
        <w:ind w:left="460" w:right="180" w:firstLine="443"/>
        <w:spacing w:after="0" w:line="268" w:lineRule="auto"/>
        <w:tabs>
          <w:tab w:leader="none" w:pos="1157" w:val="left"/>
        </w:tabs>
        <w:numPr>
          <w:ilvl w:val="2"/>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 subject to paragraph 10(a), the participants who are to receive awards of Performance Units for such Award Cycle and the number of Performance Units awarded to each such participant, and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20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establish, subject to paragraph 10(b), the method for determining at the end of such Award Cycle the value of a Performance Unit awarded at the beginning of such Award Cycle.</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76" w:lineRule="exact"/>
        <w:rPr>
          <w:rFonts w:ascii="Arial" w:cs="Arial" w:eastAsia="Arial" w:hAnsi="Arial"/>
          <w:sz w:val="18"/>
          <w:szCs w:val="18"/>
          <w:color w:val="auto"/>
        </w:rPr>
      </w:pPr>
    </w:p>
    <w:p>
      <w:pPr>
        <w:jc w:val="both"/>
        <w:ind w:right="100" w:firstLine="464"/>
        <w:spacing w:after="0" w:line="298" w:lineRule="auto"/>
        <w:tabs>
          <w:tab w:leader="none" w:pos="69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each participant designated to receive an award of Restricted Stock for an Award Cycle there shall be (1) issued (subject to subparagraph (b) below) a stock certificate, registered in the name of such participant, or (2) a book entry made in the name of such participant, in each case representing such number of restricted shares of Class B Common Stock of the Company (hereinafter called Common Stock) as the Committee shall determine (hereinafter called Restricted Stock); provided, however, that such number of shares shall not exceed 10,000.</w:t>
      </w:r>
    </w:p>
    <w:p>
      <w:pPr>
        <w:spacing w:after="0" w:line="99" w:lineRule="exact"/>
        <w:rPr>
          <w:rFonts w:ascii="Arial" w:cs="Arial" w:eastAsia="Arial" w:hAnsi="Arial"/>
          <w:sz w:val="16"/>
          <w:szCs w:val="16"/>
          <w:color w:val="auto"/>
        </w:rPr>
      </w:pPr>
    </w:p>
    <w:p>
      <w:pPr>
        <w:ind w:firstLine="464"/>
        <w:spacing w:after="0" w:line="291" w:lineRule="auto"/>
        <w:tabs>
          <w:tab w:leader="none" w:pos="70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to be issued in the name of the participant and delivered to the Secretary of the Company in custody for such participant or the book entry referred to in subparagraph (a) to be made in the name of the participant on the books of the Company. The failure of a participant to return such agreement and stock power within such 30-day period without cause shall result in cancellation of the Restricted Stock Award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participant, and no stock certificate therefor shall be issued in his name or book entry be made in his name.</w:t>
      </w:r>
    </w:p>
    <w:p>
      <w:pPr>
        <w:spacing w:after="0" w:line="158" w:lineRule="exact"/>
        <w:rPr>
          <w:sz w:val="20"/>
          <w:szCs w:val="20"/>
          <w:color w:val="auto"/>
        </w:rPr>
      </w:pPr>
    </w:p>
    <w:p>
      <w:pPr>
        <w:ind w:firstLine="464"/>
        <w:spacing w:after="0" w:line="268"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Restricted Stock Agreement accompanying an award of Restricted Stock made for an Award Cycle shall contain the following provisions, together with such other provisions as the Committee shall determine:</w:t>
      </w:r>
    </w:p>
    <w:p>
      <w:pPr>
        <w:spacing w:after="0" w:line="37" w:lineRule="exact"/>
        <w:rPr>
          <w:rFonts w:ascii="Arial" w:cs="Arial" w:eastAsia="Arial" w:hAnsi="Arial"/>
          <w:sz w:val="18"/>
          <w:szCs w:val="18"/>
          <w:color w:val="auto"/>
        </w:rPr>
      </w:pPr>
    </w:p>
    <w:p>
      <w:pPr>
        <w:ind w:left="460" w:right="340" w:firstLine="443"/>
        <w:spacing w:after="0" w:line="268" w:lineRule="auto"/>
        <w:tabs>
          <w:tab w:leader="none" w:pos="110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Except as hereinafter provided, none of the shares of Restricted Stock subject thereto may be sold, transferred, assigned, pledged or otherwise disposed of before the day following the end of such Award Cycle (hereinafter called the Vesting Date).</w:t>
      </w:r>
    </w:p>
    <w:p>
      <w:pPr>
        <w:spacing w:after="0" w:line="37" w:lineRule="exact"/>
        <w:rPr>
          <w:rFonts w:ascii="Arial" w:cs="Arial" w:eastAsia="Arial" w:hAnsi="Arial"/>
          <w:sz w:val="18"/>
          <w:szCs w:val="18"/>
          <w:color w:val="auto"/>
        </w:rPr>
      </w:pPr>
    </w:p>
    <w:p>
      <w:pPr>
        <w:ind w:left="460" w:right="80" w:firstLine="443"/>
        <w:spacing w:after="0" w:line="289" w:lineRule="auto"/>
        <w:tabs>
          <w:tab w:leader="none" w:pos="115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Except as provided below, if the participant is continuously employed by the Company until the end of the Award Cycle, the restriction set forth in subparagraph (c)(i) above shall terminate on the Vesting Date as to all the shares of Restricted Stock. In the event that the participant takes a leave of absence at any time during an Award Cycle (for Award Cyles after September 9, 2004), the Vesting Date for such grant may, in the sole discretion of the Compensation Committee, be extended by a period up to the equivalent number of days that the participant was out on a leave of absence (the “Extended Vesting Date”) and the restrictions set forth in subparagraph (c)(i) above shall terminate on such Extended Vesting Date. Notwithstanding the foregoing, in the case of a participant who is an executive officer of the Company at the time of the award, the Committee shall, prior to the beginning of each Award Cycle, establish a formula based on cash flow, operating income, earnings per share, economic value added (EVA), return on assets, total return on equity of the Company, operating margins, cash flow margins, shareholder return, cost control and/or revenue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5" w:name="page126"/>
    <w:bookmarkEnd w:id="125"/>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growth measurements over the period of the Award Cycle, which will have to be achieved if the restriction set forth in subparagraph (c)(i) above is to terminate as provided in this subparagraph (c)(ii).</w:t>
      </w:r>
    </w:p>
    <w:p>
      <w:pPr>
        <w:spacing w:after="0" w:line="37" w:lineRule="exact"/>
        <w:rPr>
          <w:sz w:val="20"/>
          <w:szCs w:val="20"/>
          <w:color w:val="auto"/>
        </w:rPr>
      </w:pPr>
    </w:p>
    <w:p>
      <w:pPr>
        <w:ind w:firstLine="443"/>
        <w:spacing w:after="0" w:line="298" w:lineRule="auto"/>
        <w:tabs>
          <w:tab w:leader="none" w:pos="7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participant’s employment by the Company terminates before the Vesting Date or Extended Vesting Date, as the case may be, the restriction set forth in paragraph (c)(i) shall terminate on the date his employment terminates (including by reason of death or disability) as to a percentage of the number of shares of Restricted Stock originally awarded (rounded to the nearest whole share) determined as set forth below (and ownership of all shares of Restricted Stock as to which such restriction shall not so terminate shall forthwith revert to the Company):</w:t>
      </w:r>
    </w:p>
    <w:p>
      <w:pPr>
        <w:spacing w:after="0" w:line="18" w:lineRule="exact"/>
        <w:rPr>
          <w:rFonts w:ascii="Arial" w:cs="Arial" w:eastAsia="Arial" w:hAnsi="Arial"/>
          <w:sz w:val="16"/>
          <w:szCs w:val="16"/>
          <w:color w:val="auto"/>
        </w:rPr>
      </w:pPr>
    </w:p>
    <w:p>
      <w:pPr>
        <w:ind w:left="460" w:right="60" w:firstLine="421"/>
        <w:spacing w:after="0" w:line="294" w:lineRule="auto"/>
        <w:tabs>
          <w:tab w:leader="none" w:pos="116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termination is by reason of death, disability or retirement at Normal Retirement Age (as defined in the Company’s Retirement Plan), the percentage determined by dividing (i) the number of full months elapsed from the effective date of the award to the date of such termination (less, at the discretion of the Compensation Committee, the period of full months that a participant was on a leave of absence during the Award Cycle (for Award Cycles commencing after September 9, 2004) by (ii) the number of full months from such effective date to the Vesting Date for such Award Cycle (such percentage being hereinafter called the Pro-Rated Percentage);</w:t>
      </w:r>
    </w:p>
    <w:p>
      <w:pPr>
        <w:spacing w:after="0" w:line="21" w:lineRule="exact"/>
        <w:rPr>
          <w:rFonts w:ascii="Arial" w:cs="Arial" w:eastAsia="Arial" w:hAnsi="Arial"/>
          <w:sz w:val="16"/>
          <w:szCs w:val="16"/>
          <w:color w:val="auto"/>
        </w:rPr>
      </w:pPr>
    </w:p>
    <w:p>
      <w:pPr>
        <w:ind w:left="1160" w:hanging="279"/>
        <w:spacing w:after="0"/>
        <w:tabs>
          <w:tab w:leader="none" w:pos="11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termination is by reason of retirement at or after age 55, but prior to Normal Retirement Age (as defined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26" w:name="page127"/>
    <w:bookmarkEnd w:id="126"/>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Company’s Retirement Plan), such percentage (not greater than the Pro-Rated Percentage) as the Committee may in its sole discretion determine;</w:t>
      </w:r>
    </w:p>
    <w:p>
      <w:pPr>
        <w:spacing w:after="0" w:line="37" w:lineRule="exact"/>
        <w:rPr>
          <w:sz w:val="20"/>
          <w:szCs w:val="20"/>
          <w:color w:val="auto"/>
        </w:rPr>
      </w:pPr>
    </w:p>
    <w:p>
      <w:pPr>
        <w:ind w:left="460" w:right="580" w:firstLine="421"/>
        <w:spacing w:after="0" w:line="325" w:lineRule="auto"/>
        <w:tabs>
          <w:tab w:leader="none" w:pos="115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termination occurs for any other reason (voluntary or involuntary) more than two years from the effective date of the award, such percentage, if any, (but not greater than the Pro-Rated Percentage) as the Committee may in its sole discretion determine; and</w:t>
      </w:r>
    </w:p>
    <w:p>
      <w:pPr>
        <w:spacing w:after="0" w:line="1" w:lineRule="exact"/>
        <w:rPr>
          <w:rFonts w:ascii="Arial" w:cs="Arial" w:eastAsia="Arial" w:hAnsi="Arial"/>
          <w:sz w:val="16"/>
          <w:szCs w:val="16"/>
          <w:color w:val="auto"/>
        </w:rPr>
      </w:pPr>
    </w:p>
    <w:p>
      <w:pPr>
        <w:ind w:left="460" w:firstLine="421"/>
        <w:spacing w:after="0" w:line="268" w:lineRule="auto"/>
        <w:tabs>
          <w:tab w:leader="none" w:pos="1167"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termination occurs for any other reason (voluntary or involuntary) within two years from the effective date of the award, ownership of all the shares of Restricted Stock shall revert to the Company.</w:t>
      </w:r>
    </w:p>
    <w:p>
      <w:pPr>
        <w:spacing w:after="0" w:line="37" w:lineRule="exact"/>
        <w:rPr>
          <w:rFonts w:ascii="Arial" w:cs="Arial" w:eastAsia="Arial" w:hAnsi="Arial"/>
          <w:sz w:val="18"/>
          <w:szCs w:val="18"/>
          <w:color w:val="auto"/>
        </w:rPr>
      </w:pPr>
    </w:p>
    <w:p>
      <w:pPr>
        <w:ind w:right="60" w:firstLine="443"/>
        <w:spacing w:after="0" w:line="290" w:lineRule="auto"/>
        <w:tabs>
          <w:tab w:leader="none" w:pos="73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Promptly after the restriction set forth in subparagraph (c)(i) shall terminate as to any shares of Restricted Stock, the participant to whom such shares were awarded (or his estate)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his award in the form of cash in lieu of shares, based on the fair market value (the mean between the high and low price per share on the New York Stock Exchange) of such shares on the date the restrictions set forth in subparagraph (c)(i) shall terminate; and the Company will deduct the amount of all withholding taxes payable on the compensation represented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27" w:name="page128"/>
    <w:bookmarkEnd w:id="12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shares from the cash value of the shares to be paid to the participant.</w:t>
      </w:r>
    </w:p>
    <w:p>
      <w:pPr>
        <w:spacing w:after="0" w:line="77" w:lineRule="exact"/>
        <w:rPr>
          <w:sz w:val="20"/>
          <w:szCs w:val="20"/>
          <w:color w:val="auto"/>
        </w:rPr>
      </w:pPr>
    </w:p>
    <w:p>
      <w:pPr>
        <w:ind w:left="452" w:firstLine="443"/>
        <w:spacing w:after="0" w:line="259" w:lineRule="auto"/>
        <w:tabs>
          <w:tab w:leader="none" w:pos="113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As long as shares of Restricted Stock remain registered in the name of a participant he shall be entitled to all the attributes of ownership of such shares (subject to the restriction on transfer referred to above), including the right to vote such shares and to receive all dividends declared and paid on such shares.</w:t>
      </w:r>
    </w:p>
    <w:p>
      <w:pPr>
        <w:spacing w:after="0" w:line="126" w:lineRule="exact"/>
        <w:rPr>
          <w:rFonts w:ascii="Arial" w:cs="Arial" w:eastAsia="Arial" w:hAnsi="Arial"/>
          <w:sz w:val="18"/>
          <w:szCs w:val="18"/>
          <w:color w:val="auto"/>
        </w:rPr>
      </w:pPr>
    </w:p>
    <w:p>
      <w:pPr>
        <w:ind w:left="-8" w:right="180" w:firstLine="464"/>
        <w:spacing w:after="0" w:line="268" w:lineRule="auto"/>
        <w:tabs>
          <w:tab w:leader="none" w:pos="69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shares of Common Stock issued to recipients of Restricted Stock awards shall be issued from previously issued and outstanding shares held in the Treasury of the Company.</w:t>
      </w:r>
    </w:p>
    <w:p>
      <w:pPr>
        <w:spacing w:after="0" w:line="118" w:lineRule="exact"/>
        <w:rPr>
          <w:rFonts w:ascii="Arial" w:cs="Arial" w:eastAsia="Arial" w:hAnsi="Arial"/>
          <w:sz w:val="18"/>
          <w:szCs w:val="18"/>
          <w:color w:val="auto"/>
        </w:rPr>
      </w:pPr>
    </w:p>
    <w:p>
      <w:pPr>
        <w:ind w:left="-8" w:right="180" w:firstLine="464"/>
        <w:spacing w:after="0" w:line="306" w:lineRule="auto"/>
        <w:tabs>
          <w:tab w:leader="none" w:pos="68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total number of shares of Common Stock that may be awarded as Restricted Stock under the Plan shall not exceed 275,000 shares; provided, however, that effective November 1, 1991, shares which revert to the Company in accordance with paragraph 5(c)(iii) shall be deemed to have been awarded as Restricted Stock for purposes of determining the number of shares of Restricted Stock remaining available to be awarded hereunder.</w:t>
      </w:r>
    </w:p>
    <w:p>
      <w:pPr>
        <w:spacing w:after="0" w:line="93" w:lineRule="exact"/>
        <w:rPr>
          <w:rFonts w:ascii="Arial" w:cs="Arial" w:eastAsia="Arial" w:hAnsi="Arial"/>
          <w:sz w:val="16"/>
          <w:szCs w:val="16"/>
          <w:color w:val="auto"/>
        </w:rPr>
      </w:pPr>
    </w:p>
    <w:p>
      <w:pPr>
        <w:ind w:left="272" w:hanging="272"/>
        <w:spacing w:after="0"/>
        <w:tabs>
          <w:tab w:leader="none" w:pos="27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Performance Units</w:t>
      </w:r>
    </w:p>
    <w:p>
      <w:pPr>
        <w:spacing w:after="0" w:line="76" w:lineRule="exact"/>
        <w:rPr>
          <w:rFonts w:ascii="Arial" w:cs="Arial" w:eastAsia="Arial" w:hAnsi="Arial"/>
          <w:sz w:val="18"/>
          <w:szCs w:val="18"/>
          <w:color w:val="auto"/>
        </w:rPr>
      </w:pPr>
    </w:p>
    <w:p>
      <w:pPr>
        <w:ind w:left="-8" w:right="180" w:firstLine="464"/>
        <w:spacing w:after="0" w:line="335" w:lineRule="auto"/>
        <w:tabs>
          <w:tab w:leader="none" w:pos="687"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To each participant designated to receive an award of Performance Units for an Award Cycle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74" w:lineRule="exact"/>
        <w:rPr>
          <w:rFonts w:ascii="Arial" w:cs="Arial" w:eastAsia="Arial" w:hAnsi="Arial"/>
          <w:sz w:val="15"/>
          <w:szCs w:val="15"/>
          <w:color w:val="auto"/>
        </w:rPr>
      </w:pPr>
    </w:p>
    <w:p>
      <w:pPr>
        <w:ind w:left="-8" w:right="840" w:firstLine="464"/>
        <w:spacing w:after="0" w:line="268" w:lineRule="auto"/>
        <w:tabs>
          <w:tab w:leader="none" w:pos="69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 later than 90 days after the beginning of each Award Cycle the Committee shall establish a method for determining the earned value of a Performance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128" w:name="page129"/>
    <w:bookmarkEnd w:id="128"/>
    <w:p>
      <w:pPr>
        <w:ind w:right="2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 at the end of such Award Cycle (hereinafter called the Payout Value) based on performance goals over the period of the Award Cycle related to operating income, cash flow, shareholder return, return on assets, return on equity, operating margins, cost control, customer satisfaction, economic value added (EVA) and/or revenue growth measurements, which may be in respect of the Company, as a whole, or any business unit thereof; provided, however, that such method shall provide that (i) no Payout Value may exceed $200 and (ii) the payment of an award of Performance Units to any participant at the end of an Award Cycle shall be the lesser of $4 million or the amount determined by multiplying the Payout Value times the number of Performance Units granted to such participant.</w:t>
      </w:r>
    </w:p>
    <w:p>
      <w:pPr>
        <w:spacing w:after="0" w:line="86" w:lineRule="exact"/>
        <w:rPr>
          <w:sz w:val="20"/>
          <w:szCs w:val="20"/>
          <w:color w:val="auto"/>
        </w:rPr>
      </w:pPr>
    </w:p>
    <w:p>
      <w:pPr>
        <w:ind w:right="80" w:firstLine="464"/>
        <w:spacing w:after="0" w:line="325"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 participant’s employment by the Company terminates before the end of an Award Cycle for which he was granted Performance Units, after the end of such Award Cycle, he shall be entitled to a percentage of the Payout Value of said Performance Units determined as set forth below:</w:t>
      </w:r>
    </w:p>
    <w:p>
      <w:pPr>
        <w:spacing w:after="0" w:line="1" w:lineRule="exact"/>
        <w:rPr>
          <w:rFonts w:ascii="Arial" w:cs="Arial" w:eastAsia="Arial" w:hAnsi="Arial"/>
          <w:sz w:val="16"/>
          <w:szCs w:val="16"/>
          <w:color w:val="auto"/>
        </w:rPr>
      </w:pPr>
    </w:p>
    <w:p>
      <w:pPr>
        <w:ind w:left="460" w:right="160" w:firstLine="443"/>
        <w:spacing w:after="0" w:line="268" w:lineRule="auto"/>
        <w:tabs>
          <w:tab w:leader="none" w:pos="118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termination is by reason of death, disability or retirement at Normal Retirement Age (as defined in the Company’s Retirement Plan), the Pro-Rated Percentage;</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termination is by reason of retirement at or after age 55, but prior to Normal Retirement Age (as defined in the Company’s Retirement Plan), such percentage (not greater than the Pro-Rated Percentage) as the Committee may in its sole discretion determine;</w:t>
      </w:r>
    </w:p>
    <w:p>
      <w:pPr>
        <w:spacing w:after="0" w:line="37" w:lineRule="exact"/>
        <w:rPr>
          <w:rFonts w:ascii="Arial" w:cs="Arial" w:eastAsia="Arial" w:hAnsi="Arial"/>
          <w:sz w:val="18"/>
          <w:szCs w:val="18"/>
          <w:color w:val="auto"/>
        </w:rPr>
      </w:pPr>
    </w:p>
    <w:p>
      <w:pPr>
        <w:ind w:left="460" w:firstLine="443"/>
        <w:spacing w:after="0" w:line="268" w:lineRule="auto"/>
        <w:tabs>
          <w:tab w:leader="none" w:pos="11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termination occurs for any other reason (voluntary or involuntary) more than two years after the effective date of the award, such percentage, if any (but not greater than the Pro-Rated Percentage), as the Committee may in its sole discretion determine;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9" w:name="page130"/>
    <w:bookmarkEnd w:id="129"/>
    <w:p>
      <w:pPr>
        <w:ind w:left="420" w:right="140" w:firstLine="443"/>
        <w:spacing w:after="0" w:line="268" w:lineRule="auto"/>
        <w:tabs>
          <w:tab w:leader="none" w:pos="11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termination occurs for any other reason (voluntary or involuntary) within two years from the effective date of the award, no percentage of the Payout Value shall be paid.</w:t>
      </w:r>
    </w:p>
    <w:p>
      <w:pPr>
        <w:spacing w:after="0" w:line="118" w:lineRule="exact"/>
        <w:rPr>
          <w:rFonts w:ascii="Arial" w:cs="Arial" w:eastAsia="Arial" w:hAnsi="Arial"/>
          <w:sz w:val="18"/>
          <w:szCs w:val="18"/>
          <w:color w:val="auto"/>
        </w:rPr>
      </w:pPr>
    </w:p>
    <w:p>
      <w:pPr>
        <w:ind w:left="-40" w:right="100" w:firstLine="464"/>
        <w:spacing w:after="0" w:line="287" w:lineRule="auto"/>
        <w:tabs>
          <w:tab w:leader="none" w:pos="66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As promptly as practicable after the end of each Award Cycle, the Payout Value of a Performance Unit awarded at the beginning of such Award Cycle shall be calculated and paid (unless otherwise deferred as provided herein) in cash to the recipients awarded such Performance Units after deduction of all Federal, state and local withholding taxes payable on the compensation represented thereby. Notwithstanding the foregoing, in the event a participant takes a leave of absence at any time during an Award Cycle (for Award Cycles commencing after September 9,2004), the payment of the Payout Value of his Performance Units may, in the sole discretion of the Compensation Committee, be deferred by a period up to the equivalent number of days that the participant was out on a leave of absence. In addition, the Committee may, in its sole discretion, establish terms and conditions under which a participant may elect to defer the payment of the Payout Value of a Performance Unit in whole or in part pursuant to the Deferred Compensation Plan to a period following retirement or other termination of employment, provided that any election by a participant to defer payment shall be irrevocably made by him at such time prior to the beginning of the year for which such award shall be made as the Committee shall determine and shall earn investment credits reflecting gains or losses in accordance with a Participant’s individual Investment Election as provided in the Deferred Compensation Plan.</w:t>
      </w:r>
    </w:p>
    <w:p>
      <w:pPr>
        <w:spacing w:after="0" w:line="109" w:lineRule="exact"/>
        <w:rPr>
          <w:rFonts w:ascii="Arial" w:cs="Arial" w:eastAsia="Arial" w:hAnsi="Arial"/>
          <w:sz w:val="16"/>
          <w:szCs w:val="16"/>
          <w:color w:val="auto"/>
        </w:rPr>
      </w:pPr>
    </w:p>
    <w:p>
      <w:pPr>
        <w:ind w:left="-40" w:firstLine="464"/>
        <w:spacing w:after="0" w:line="259"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to exceed 10% of the aggregate Payout Value of all Performance Units that become vested and payable with respect to such Award Cycle.</w:t>
      </w:r>
    </w:p>
    <w:p>
      <w:pPr>
        <w:spacing w:after="0" w:line="181"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administering this Plan shall be borne by the Company.</w:t>
      </w:r>
    </w:p>
    <w:p>
      <w:pPr>
        <w:spacing w:after="0" w:line="158"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Adjustments in Class B Common Stock</w:t>
      </w:r>
    </w:p>
    <w:p>
      <w:pPr>
        <w:spacing w:after="0" w:line="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75" w:lineRule="exact"/>
        <w:rPr>
          <w:sz w:val="20"/>
          <w:szCs w:val="20"/>
          <w:color w:val="auto"/>
        </w:rPr>
      </w:pPr>
    </w:p>
    <w:p>
      <w:pPr>
        <w:ind w:left="280" w:hanging="272"/>
        <w:spacing w:after="0"/>
        <w:tabs>
          <w:tab w:leader="none" w:pos="2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of Directors of the Company shall have complete power and authority to amend, suspend or discontinue this Plan, provided, however, that the Board of Directors shall not, without the approval of the holders of a majority of the voting stock of the Company entitled to vote thereon, (A) increase either (i) the maximum number of shares of Restricted Stock that may be awarded under the Plan, (ii) the maximum number of shares of Restricted Stock or Performance Units that may be awarded to a participant, (iii) the maximum Payout Value of a Performance Unit, or (iv) the percentage ceiling on the aggregate amount of bonuses which may be awarded pursuant to paragraph 11(e) or (B) make any amendment which would permit the incentive provision of any year provided in paragraph 5 hereof to exceed the limitations set forth in said paragraph.</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Exhibit 11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100" w:type="dxa"/>
            <w:vAlign w:val="bottom"/>
            <w:gridSpan w:val="5"/>
          </w:tcPr>
          <w:p>
            <w:pPr>
              <w:jc w:val="center"/>
              <w:ind w:left="3192"/>
              <w:spacing w:after="0"/>
              <w:rPr>
                <w:sz w:val="20"/>
                <w:szCs w:val="20"/>
                <w:color w:val="auto"/>
              </w:rPr>
            </w:pPr>
            <w:r>
              <w:rPr>
                <w:rFonts w:ascii="Arial" w:cs="Arial" w:eastAsia="Arial" w:hAnsi="Arial"/>
                <w:sz w:val="18"/>
                <w:szCs w:val="18"/>
                <w:color w:val="auto"/>
                <w:w w:val="93"/>
              </w:rPr>
              <w:t>THE WASHINGTON POST COMPANY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080" w:type="dxa"/>
            <w:vAlign w:val="bottom"/>
            <w:gridSpan w:val="3"/>
          </w:tcPr>
          <w:p>
            <w:pPr>
              <w:jc w:val="center"/>
              <w:ind w:left="4212"/>
              <w:spacing w:after="0"/>
              <w:rPr>
                <w:sz w:val="20"/>
                <w:szCs w:val="20"/>
                <w:color w:val="auto"/>
              </w:rPr>
            </w:pPr>
            <w:r>
              <w:rPr>
                <w:rFonts w:ascii="Arial" w:cs="Arial" w:eastAsia="Arial" w:hAnsi="Arial"/>
                <w:sz w:val="18"/>
                <w:szCs w:val="18"/>
                <w:color w:val="auto"/>
                <w:w w:val="94"/>
              </w:rPr>
              <w:t>CALCULATION OF EARNINGS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jc w:val="center"/>
              <w:ind w:left="4232"/>
              <w:spacing w:after="0"/>
              <w:rPr>
                <w:sz w:val="20"/>
                <w:szCs w:val="20"/>
                <w:color w:val="auto"/>
              </w:rPr>
            </w:pPr>
            <w:r>
              <w:rPr>
                <w:rFonts w:ascii="Arial" w:cs="Arial" w:eastAsia="Arial" w:hAnsi="Arial"/>
                <w:sz w:val="18"/>
                <w:szCs w:val="18"/>
                <w:color w:val="auto"/>
                <w:w w:val="92"/>
              </w:rPr>
              <w:t>PER SHARE OF COMMON STOCK</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jc w:val="center"/>
              <w:ind w:left="4612"/>
              <w:spacing w:after="0"/>
              <w:rPr>
                <w:sz w:val="20"/>
                <w:szCs w:val="20"/>
                <w:color w:val="auto"/>
              </w:rPr>
            </w:pPr>
            <w:r>
              <w:rPr>
                <w:rFonts w:ascii="Arial" w:cs="Arial" w:eastAsia="Arial" w:hAnsi="Arial"/>
                <w:sz w:val="18"/>
                <w:szCs w:val="18"/>
                <w:color w:val="auto"/>
                <w:w w:val="86"/>
              </w:rPr>
              <w:t>(In thousands of shares)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26,</w:t>
            </w:r>
          </w:p>
        </w:tc>
        <w:tc>
          <w:tcPr>
            <w:tcW w:w="420" w:type="dxa"/>
            <w:vAlign w:val="bottom"/>
          </w:tcPr>
          <w:p>
            <w:pPr>
              <w:spacing w:after="0"/>
              <w:rPr>
                <w:sz w:val="20"/>
                <w:szCs w:val="20"/>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2004</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9"/>
              </w:rPr>
              <w:t>Number of shares of Class A and Class B common stock outstanding at beginning of</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9,563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2"/>
              </w:rPr>
              <w:t>Issuance of shares of Class B common stock (weighted), net of forfeiture of restricted stock</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9,568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9,598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82,227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19,647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225,810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58"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2004</w:t>
      </w:r>
    </w:p>
    <w:p>
      <w:pPr>
        <w:sectPr>
          <w:pgSz w:w="11900" w:h="16838" w:orient="portrait"/>
          <w:cols w:equalWidth="0" w:num="1">
            <w:col w:w="11420"/>
          </w:cols>
          <w:pgMar w:left="240" w:top="13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58"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2004</w:t>
      </w:r>
    </w:p>
    <w:p>
      <w:pPr>
        <w:sectPr>
          <w:pgSz w:w="11900" w:h="16838" w:orient="portrait"/>
          <w:cols w:equalWidth="0" w:num="1">
            <w:col w:w="11420"/>
          </w:cols>
          <w:pgMar w:left="240" w:top="13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September 26, 2004 (the “Report”), I, Donald E. Graham, Chief Executive Officer (principal executive officer) of the Company, certify, pursuant to 18 U.S.C. Section 1350, as adopted pursuant to Section 906 of the Sarbanes-Oxley Act of 2002, that:</w:t>
      </w:r>
    </w:p>
    <w:p>
      <w:pPr>
        <w:spacing w:after="0" w:line="127"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2004</w:t>
      </w:r>
    </w:p>
    <w:p>
      <w:pPr>
        <w:sectPr>
          <w:pgSz w:w="11900" w:h="16838" w:orient="portrait"/>
          <w:cols w:equalWidth="0" w:num="1">
            <w:col w:w="11420"/>
          </w:cols>
          <w:pgMar w:left="240" w:top="13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5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September 26, 2004 (the “Report”), I, John B. Morse, Jr., Vice President-Finance (principal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lowerLetter"/>
      <w:start w:val="1"/>
    </w:lvl>
  </w:abstractNum>
  <w:abstractNum w:abstractNumId="3">
    <w:nsid w:val="7E0C57B1"/>
    <w:multiLevelType w:val="hybridMultilevel"/>
    <w:lvl w:ilvl="0">
      <w:lvlJc w:val="left"/>
      <w:lvlText w:val="%1."/>
      <w:numFmt w:val="lowerLetter"/>
      <w:start w:val="2"/>
    </w:lvl>
  </w:abstractNum>
  <w:abstractNum w:abstractNumId="4">
    <w:nsid w:val="77AE35EB"/>
    <w:multiLevelType w:val="hybridMultilevel"/>
    <w:lvl w:ilvl="0">
      <w:lvlJc w:val="left"/>
      <w:lvlText w:val="%1."/>
      <w:numFmt w:val="lowerLetter"/>
      <w:start w:val="4"/>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1)"/>
      <w:numFmt w:val="lowerLetter"/>
      <w:start w:val="2"/>
    </w:lvl>
  </w:abstractNum>
  <w:abstractNum w:abstractNumId="7">
    <w:nsid w:val="5FF87E05"/>
    <w:multiLevelType w:val="hybridMultilevel"/>
    <w:lvl w:ilvl="0">
      <w:lvlJc w:val="left"/>
      <w:lvlText w:val="(%1)"/>
      <w:numFmt w:val="lowerLetter"/>
      <w:start w:val="1"/>
    </w:lvl>
  </w:abstractNum>
  <w:abstractNum w:abstractNumId="8">
    <w:nsid w:val="2F305DEF"/>
    <w:multiLevelType w:val="hybridMultilevel"/>
    <w:lvl w:ilvl="0">
      <w:lvlJc w:val="left"/>
      <w:lvlText w:val="(%1)"/>
      <w:numFmt w:val="lowerRoman"/>
      <w:start w:val="2"/>
    </w:lvl>
  </w:abstractNum>
  <w:abstractNum w:abstractNumId="9">
    <w:nsid w:val="25A70BF7"/>
    <w:multiLevelType w:val="hybridMultilevel"/>
    <w:lvl w:ilvl="0">
      <w:lvlJc w:val="left"/>
      <w:lvlText w:val="(%1)"/>
      <w:numFmt w:val="lowerLetter"/>
      <w:start w:val="8"/>
    </w:lvl>
  </w:abstractNum>
  <w:abstractNum w:abstractNumId="10">
    <w:nsid w:val="1DBABF00"/>
    <w:multiLevelType w:val="hybridMultilevel"/>
    <w:lvl w:ilvl="0">
      <w:lvlJc w:val="left"/>
      <w:lvlText w:val="(%1)"/>
      <w:numFmt w:val="lowerRoman"/>
      <w:start w:val="1"/>
    </w:lvl>
  </w:abstractNum>
  <w:abstractNum w:abstractNumId="11">
    <w:nsid w:val="4AD084E9"/>
    <w:multiLevelType w:val="hybridMultilevel"/>
    <w:lvl w:ilvl="0">
      <w:lvlJc w:val="left"/>
      <w:lvlText w:val="(%1)"/>
      <w:numFmt w:val="lowerRoman"/>
      <w:start w:val="3"/>
    </w:lvl>
  </w:abstractNum>
  <w:abstractNum w:abstractNumId="12">
    <w:nsid w:val="1F48EAA1"/>
    <w:multiLevelType w:val="hybridMultilevel"/>
    <w:lvl w:ilvl="0">
      <w:lvlJc w:val="left"/>
      <w:lvlText w:val="(%1)"/>
      <w:numFmt w:val="lowerLetter"/>
      <w:start w:val="1"/>
    </w:lvl>
  </w:abstractNum>
  <w:abstractNum w:abstractNumId="13">
    <w:nsid w:val="1381823A"/>
    <w:multiLevelType w:val="hybridMultilevel"/>
    <w:lvl w:ilvl="0">
      <w:lvlJc w:val="left"/>
      <w:lvlText w:val="(%1)"/>
      <w:numFmt w:val="lowerLetter"/>
      <w:start w:val="3"/>
    </w:lvl>
  </w:abstractNum>
  <w:abstractNum w:abstractNumId="14">
    <w:nsid w:val="5DB70AE5"/>
    <w:multiLevelType w:val="hybridMultilevel"/>
    <w:lvl w:ilvl="0">
      <w:lvlJc w:val="left"/>
      <w:lvlText w:val="(%1)"/>
      <w:numFmt w:val="lowerLetter"/>
      <w:start w:val="2"/>
    </w:lvl>
  </w:abstractNum>
  <w:abstractNum w:abstractNumId="15">
    <w:nsid w:val="100F8FCA"/>
    <w:multiLevelType w:val="hybridMultilevel"/>
    <w:lvl w:ilvl="0">
      <w:lvlJc w:val="left"/>
      <w:lvlText w:val="(%1)"/>
      <w:numFmt w:val="lowerLetter"/>
      <w:start w:val="4"/>
    </w:lvl>
  </w:abstractNum>
  <w:abstractNum w:abstractNumId="16">
    <w:nsid w:val="6590700B"/>
    <w:multiLevelType w:val="hybridMultilevel"/>
    <w:lvl w:ilvl="0">
      <w:lvlJc w:val="left"/>
      <w:lvlText w:val="%1"/>
      <w:numFmt w:val="lowerLetter"/>
      <w:start w:val="1"/>
    </w:lvl>
    <w:lvl w:ilvl="1">
      <w:lvlJc w:val="left"/>
      <w:lvlText w:val="(%2)"/>
      <w:numFmt w:val="lowerLetter"/>
      <w:start w:val="9"/>
    </w:lvl>
  </w:abstractNum>
  <w:abstractNum w:abstractNumId="17">
    <w:nsid w:val="15014ACB"/>
    <w:multiLevelType w:val="hybridMultilevel"/>
    <w:lvl w:ilvl="0">
      <w:lvlJc w:val="left"/>
      <w:lvlText w:val="(%1)"/>
      <w:numFmt w:val="lowerLetter"/>
      <w:start w:val="21"/>
    </w:lvl>
    <w:lvl w:ilvl="1">
      <w:lvlJc w:val="left"/>
      <w:lvlText w:val="%2"/>
      <w:numFmt w:val="lowerLetter"/>
      <w:start w:val="1"/>
    </w:lvl>
  </w:abstractNum>
  <w:abstractNum w:abstractNumId="18">
    <w:nsid w:val="5F5E7FD0"/>
    <w:multiLevelType w:val="hybridMultilevel"/>
    <w:lvl w:ilvl="0">
      <w:lvlJc w:val="left"/>
      <w:lvlText w:val="(%1)"/>
      <w:numFmt w:val="lowerRoman"/>
      <w:start w:val="2"/>
    </w:lvl>
    <w:lvl w:ilvl="1">
      <w:lvlJc w:val="left"/>
      <w:lvlText w:val="(%2)"/>
      <w:numFmt w:val="lowerLetter"/>
      <w:start w:val="24"/>
    </w:lvl>
  </w:abstractNum>
  <w:abstractNum w:abstractNumId="19">
    <w:nsid w:val="98A3148"/>
    <w:multiLevelType w:val="hybridMultilevel"/>
    <w:lvl w:ilvl="0">
      <w:lvlJc w:val="left"/>
      <w:lvlText w:val="(%1)"/>
      <w:numFmt w:val="lowerRoman"/>
      <w:start w:val="4"/>
    </w:lvl>
  </w:abstractNum>
  <w:abstractNum w:abstractNumId="20">
    <w:nsid w:val="799D0247"/>
    <w:multiLevelType w:val="hybridMultilevel"/>
    <w:lvl w:ilvl="0">
      <w:lvlJc w:val="left"/>
      <w:lvlText w:val="%1"/>
      <w:numFmt w:val="lowerLetter"/>
      <w:start w:val="1"/>
    </w:lvl>
    <w:lvl w:ilvl="1">
      <w:lvlJc w:val="left"/>
      <w:lvlText w:val="(%2)"/>
      <w:numFmt w:val="lowerLetter"/>
      <w:start w:val="2"/>
    </w:lvl>
  </w:abstractNum>
  <w:abstractNum w:abstractNumId="21">
    <w:nsid w:val="6B94764"/>
    <w:multiLevelType w:val="hybridMultilevel"/>
    <w:lvl w:ilvl="0">
      <w:lvlJc w:val="left"/>
      <w:lvlText w:val="(%1)"/>
      <w:numFmt w:val="lowerLetter"/>
      <w:start w:val="1"/>
    </w:lvl>
    <w:lvl w:ilvl="1">
      <w:lvlJc w:val="left"/>
      <w:lvlText w:val="(%2)"/>
      <w:numFmt w:val="lowerLetter"/>
      <w:start w:val="3"/>
    </w:lvl>
  </w:abstractNum>
  <w:abstractNum w:abstractNumId="22">
    <w:nsid w:val="42C296BD"/>
    <w:multiLevelType w:val="hybridMultilevel"/>
    <w:lvl w:ilvl="0">
      <w:lvlJc w:val="left"/>
      <w:lvlText w:val="(%1)"/>
      <w:numFmt w:val="lowerLetter"/>
      <w:start w:val="2"/>
    </w:lvl>
  </w:abstractNum>
  <w:abstractNum w:abstractNumId="23">
    <w:nsid w:val="168E121F"/>
    <w:multiLevelType w:val="hybridMultilevel"/>
    <w:lvl w:ilvl="0">
      <w:lvlJc w:val="left"/>
      <w:lvlText w:val="%1"/>
      <w:numFmt w:val="lowerLetter"/>
      <w:start w:val="1"/>
    </w:lvl>
    <w:lvl w:ilvl="1">
      <w:lvlJc w:val="left"/>
      <w:lvlText w:val="(%2)"/>
      <w:numFmt w:val="lowerLetter"/>
      <w:start w:val="35"/>
    </w:lvl>
  </w:abstractNum>
  <w:abstractNum w:abstractNumId="24">
    <w:nsid w:val="1EBA5D23"/>
    <w:multiLevelType w:val="hybridMultilevel"/>
    <w:lvl w:ilvl="0">
      <w:lvlJc w:val="left"/>
      <w:lvlText w:val="(%1)"/>
      <w:numFmt w:val="lowerLetter"/>
      <w:start w:val="2"/>
    </w:lvl>
    <w:lvl w:ilvl="1">
      <w:lvlJc w:val="left"/>
      <w:lvlText w:val="%2"/>
      <w:numFmt w:val="lowerLetter"/>
      <w:start w:val="1"/>
    </w:lvl>
  </w:abstractNum>
  <w:abstractNum w:abstractNumId="25">
    <w:nsid w:val="661E3F1E"/>
    <w:multiLevelType w:val="hybridMultilevel"/>
    <w:lvl w:ilvl="0">
      <w:lvlJc w:val="left"/>
      <w:lvlText w:val="%1"/>
      <w:numFmt w:val="decimal"/>
      <w:start w:val="1"/>
    </w:lvl>
    <w:lvl w:ilvl="1">
      <w:lvlJc w:val="left"/>
      <w:lvlText w:val="(%2)"/>
      <w:numFmt w:val="lowerLetter"/>
      <w:start w:val="24"/>
    </w:lvl>
  </w:abstractNum>
  <w:abstractNum w:abstractNumId="26">
    <w:nsid w:val="5DC79EA8"/>
    <w:multiLevelType w:val="hybridMultilevel"/>
    <w:lvl w:ilvl="0">
      <w:lvlJc w:val="left"/>
      <w:lvlText w:val="(%1)"/>
      <w:numFmt w:val="decimal"/>
      <w:start w:val="2"/>
    </w:lvl>
    <w:lvl w:ilvl="1">
      <w:lvlJc w:val="left"/>
      <w:lvlText w:val="(%2)"/>
      <w:numFmt w:val="lowerLetter"/>
      <w:start w:val="25"/>
    </w:lvl>
  </w:abstractNum>
  <w:abstractNum w:abstractNumId="27">
    <w:nsid w:val="540A471C"/>
    <w:multiLevelType w:val="hybridMultilevel"/>
    <w:lvl w:ilvl="0">
      <w:lvlJc w:val="left"/>
      <w:lvlText w:val="(%1)"/>
      <w:numFmt w:val="lowerRoman"/>
      <w:start w:val="2"/>
    </w:lvl>
  </w:abstractNum>
  <w:abstractNum w:abstractNumId="28">
    <w:nsid w:val="7BD3EE7B"/>
    <w:multiLevelType w:val="hybridMultilevel"/>
    <w:lvl w:ilvl="0">
      <w:lvlJc w:val="left"/>
      <w:lvlText w:val="(%1)"/>
      <w:numFmt w:val="lowerRoman"/>
      <w:start w:val="3"/>
    </w:lvl>
  </w:abstractNum>
  <w:abstractNum w:abstractNumId="29">
    <w:nsid w:val="51D9C564"/>
    <w:multiLevelType w:val="hybridMultilevel"/>
    <w:lvl w:ilvl="0">
      <w:lvlJc w:val="left"/>
      <w:lvlText w:val="%1"/>
      <w:numFmt w:val="lowerLetter"/>
      <w:start w:val="1"/>
    </w:lvl>
    <w:lvl w:ilvl="1">
      <w:lvlJc w:val="left"/>
      <w:lvlText w:val="(%2)"/>
      <w:numFmt w:val="lowerRoman"/>
      <w:start w:val="1"/>
    </w:lvl>
  </w:abstractNum>
  <w:abstractNum w:abstractNumId="30">
    <w:nsid w:val="613EFDC5"/>
    <w:multiLevelType w:val="hybridMultilevel"/>
    <w:lvl w:ilvl="0">
      <w:lvlJc w:val="left"/>
      <w:lvlText w:val="(%1)"/>
      <w:numFmt w:val="lowerLetter"/>
      <w:start w:val="2"/>
    </w:lvl>
    <w:lvl w:ilvl="1">
      <w:lvlJc w:val="left"/>
      <w:lvlText w:val="%2"/>
      <w:numFmt w:val="lowerRoman"/>
      <w:start w:val="1"/>
    </w:lvl>
  </w:abstractNum>
  <w:abstractNum w:abstractNumId="31">
    <w:nsid w:val="BF72B14"/>
    <w:multiLevelType w:val="hybridMultilevel"/>
    <w:lvl w:ilvl="0">
      <w:lvlJc w:val="left"/>
      <w:lvlText w:val="(%1)"/>
      <w:numFmt w:val="lowerLetter"/>
      <w:start w:val="2"/>
    </w:lvl>
  </w:abstractNum>
  <w:abstractNum w:abstractNumId="32">
    <w:nsid w:val="11447B73"/>
    <w:multiLevelType w:val="hybridMultilevel"/>
    <w:lvl w:ilvl="0">
      <w:lvlJc w:val="left"/>
      <w:lvlText w:val="(%1)"/>
      <w:numFmt w:val="lowerLetter"/>
      <w:start w:val="3"/>
    </w:lvl>
    <w:lvl w:ilvl="1">
      <w:lvlJc w:val="left"/>
      <w:lvlText w:val="(%2)"/>
      <w:numFmt w:val="lowerRoman"/>
      <w:start w:val="1"/>
    </w:lvl>
  </w:abstractNum>
  <w:abstractNum w:abstractNumId="33">
    <w:nsid w:val="42963E5A"/>
    <w:multiLevelType w:val="hybridMultilevel"/>
    <w:lvl w:ilvl="0">
      <w:lvlJc w:val="left"/>
      <w:lvlText w:val="(%1)"/>
      <w:numFmt w:val="lowerLetter"/>
      <w:start w:val="2"/>
    </w:lvl>
  </w:abstractNum>
  <w:abstractNum w:abstractNumId="34">
    <w:nsid w:val="A0382C5"/>
    <w:multiLevelType w:val="hybridMultilevel"/>
    <w:lvl w:ilvl="0">
      <w:lvlJc w:val="left"/>
      <w:lvlText w:val="(%1)"/>
      <w:numFmt w:val="lowerLetter"/>
      <w:start w:val="3"/>
    </w:lvl>
  </w:abstractNum>
  <w:abstractNum w:abstractNumId="35">
    <w:nsid w:val="8F2B15E"/>
    <w:multiLevelType w:val="hybridMultilevel"/>
    <w:lvl w:ilvl="0">
      <w:lvlJc w:val="left"/>
      <w:lvlText w:val="(%1)"/>
      <w:numFmt w:val="lowerLetter"/>
      <w:start w:val="2"/>
    </w:lvl>
  </w:abstractNum>
  <w:abstractNum w:abstractNumId="36">
    <w:nsid w:val="1A32234B"/>
    <w:multiLevelType w:val="hybridMultilevel"/>
    <w:lvl w:ilvl="0">
      <w:lvlJc w:val="left"/>
      <w:lvlText w:val="(%1)"/>
      <w:numFmt w:val="lowerLetter"/>
      <w:start w:val="2"/>
    </w:lvl>
  </w:abstractNum>
  <w:abstractNum w:abstractNumId="37">
    <w:nsid w:val="3B0FD379"/>
    <w:multiLevelType w:val="hybridMultilevel"/>
    <w:lvl w:ilvl="0">
      <w:lvlJc w:val="left"/>
      <w:lvlText w:val="(%1)"/>
      <w:numFmt w:val="lowerLetter"/>
      <w:start w:val="3"/>
    </w:lvl>
  </w:abstractNum>
  <w:abstractNum w:abstractNumId="38">
    <w:nsid w:val="68EB2F63"/>
    <w:multiLevelType w:val="hybridMultilevel"/>
    <w:lvl w:ilvl="0">
      <w:lvlJc w:val="left"/>
      <w:lvlText w:val="(%1)"/>
      <w:numFmt w:val="lowerLetter"/>
      <w:start w:val="2"/>
    </w:lvl>
  </w:abstractNum>
  <w:abstractNum w:abstractNumId="39">
    <w:nsid w:val="4962813B"/>
    <w:multiLevelType w:val="hybridMultilevel"/>
    <w:lvl w:ilvl="0">
      <w:lvlJc w:val="left"/>
      <w:lvlText w:val="(%1)"/>
      <w:numFmt w:val="lowerLetter"/>
      <w:start w:val="6"/>
    </w:lvl>
  </w:abstractNum>
  <w:abstractNum w:abstractNumId="40">
    <w:nsid w:val="60B6DF70"/>
    <w:multiLevelType w:val="hybridMultilevel"/>
    <w:lvl w:ilvl="0">
      <w:lvlJc w:val="left"/>
      <w:lvlText w:val="(%1)"/>
      <w:numFmt w:val="lowerLetter"/>
      <w:start w:val="2"/>
    </w:lvl>
  </w:abstractNum>
  <w:abstractNum w:abstractNumId="41">
    <w:nsid w:val="6A5EE64"/>
    <w:multiLevelType w:val="hybridMultilevel"/>
    <w:lvl w:ilvl="0">
      <w:lvlJc w:val="left"/>
      <w:lvlText w:val="(%1)"/>
      <w:numFmt w:val="lowerRoman"/>
      <w:start w:val="1"/>
    </w:lvl>
  </w:abstractNum>
  <w:abstractNum w:abstractNumId="42">
    <w:nsid w:val="14330624"/>
    <w:multiLevelType w:val="hybridMultilevel"/>
    <w:lvl w:ilvl="0">
      <w:lvlJc w:val="left"/>
      <w:lvlText w:val="(%1)"/>
      <w:numFmt w:val="lowerLetter"/>
      <w:start w:val="4"/>
    </w:lvl>
  </w:abstractNum>
  <w:abstractNum w:abstractNumId="43">
    <w:nsid w:val="7FFFCA11"/>
    <w:multiLevelType w:val="hybridMultilevel"/>
    <w:lvl w:ilvl="0">
      <w:lvlJc w:val="left"/>
      <w:lvlText w:val="(%1)"/>
      <w:numFmt w:val="lowerLetter"/>
      <w:start w:val="1"/>
    </w:lvl>
    <w:lvl w:ilvl="1">
      <w:lvlJc w:val="left"/>
      <w:lvlText w:val="(%2)"/>
      <w:numFmt w:val="lowerRoman"/>
      <w:start w:val="1"/>
    </w:lvl>
  </w:abstractNum>
  <w:abstractNum w:abstractNumId="44">
    <w:nsid w:val="1A27709E"/>
    <w:multiLevelType w:val="hybridMultilevel"/>
    <w:lvl w:ilvl="0">
      <w:lvlJc w:val="left"/>
      <w:lvlText w:val="(%1)"/>
      <w:numFmt w:val="lowerRoman"/>
      <w:start w:val="5"/>
    </w:lvl>
  </w:abstractNum>
  <w:abstractNum w:abstractNumId="45">
    <w:nsid w:val="71EA1109"/>
    <w:multiLevelType w:val="hybridMultilevel"/>
    <w:lvl w:ilvl="0">
      <w:lvlJc w:val="left"/>
      <w:lvlText w:val="%1"/>
      <w:numFmt w:val="lowerLetter"/>
      <w:start w:val="1"/>
    </w:lvl>
    <w:lvl w:ilvl="1">
      <w:lvlJc w:val="left"/>
      <w:lvlText w:val="(%2)"/>
      <w:numFmt w:val="lowerRoman"/>
      <w:start w:val="6"/>
    </w:lvl>
  </w:abstractNum>
  <w:abstractNum w:abstractNumId="46">
    <w:nsid w:val="100F59DC"/>
    <w:multiLevelType w:val="hybridMultilevel"/>
    <w:lvl w:ilvl="0">
      <w:lvlJc w:val="left"/>
      <w:lvlText w:val="(%1)"/>
      <w:numFmt w:val="lowerLetter"/>
      <w:start w:val="4"/>
    </w:lvl>
    <w:lvl w:ilvl="1">
      <w:lvlJc w:val="left"/>
      <w:lvlText w:val="%2"/>
      <w:numFmt w:val="lowerRoman"/>
      <w:start w:val="1"/>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abstractNum>
  <w:abstractNum w:abstractNumId="50">
    <w:nsid w:val="94211F2"/>
    <w:multiLevelType w:val="hybridMultilevel"/>
    <w:lvl w:ilvl="0">
      <w:lvlJc w:val="left"/>
      <w:lvlText w:val="(%1)"/>
      <w:numFmt w:val="lowerLetter"/>
      <w:start w:val="4"/>
    </w:lvl>
  </w:abstractNum>
  <w:abstractNum w:abstractNumId="51">
    <w:nsid w:val="885E1B"/>
    <w:multiLevelType w:val="hybridMultilevel"/>
    <w:lvl w:ilvl="0">
      <w:lvlJc w:val="left"/>
      <w:lvlText w:val="(%1)"/>
      <w:numFmt w:val="lowerLetter"/>
      <w:start w:val="1"/>
    </w:lvl>
  </w:abstractNum>
  <w:abstractNum w:abstractNumId="52">
    <w:nsid w:val="76272110"/>
    <w:multiLevelType w:val="hybridMultilevel"/>
    <w:lvl w:ilvl="0">
      <w:lvlJc w:val="left"/>
      <w:lvlText w:val="(%1)"/>
      <w:numFmt w:val="lowerLetter"/>
      <w:start w:val="6"/>
    </w:lvl>
    <w:lvl w:ilvl="1">
      <w:lvlJc w:val="left"/>
      <w:lvlText w:val="(%2)"/>
      <w:numFmt w:val="lowerRoman"/>
      <w:start w:val="1"/>
    </w:lvl>
  </w:abstractNum>
  <w:abstractNum w:abstractNumId="53">
    <w:nsid w:val="4C04A8AF"/>
    <w:multiLevelType w:val="hybridMultilevel"/>
    <w:lvl w:ilvl="0">
      <w:lvlJc w:val="left"/>
      <w:lvlText w:val="(%1)"/>
      <w:numFmt w:val="lowerRoman"/>
      <w:start w:val="3"/>
    </w:lvl>
  </w:abstractNum>
  <w:abstractNum w:abstractNumId="54">
    <w:nsid w:val="1716703B"/>
    <w:multiLevelType w:val="hybridMultilevel"/>
    <w:lvl w:ilvl="0">
      <w:lvlJc w:val="left"/>
      <w:lvlText w:val="(%1)"/>
      <w:numFmt w:val="lowerLetter"/>
      <w:start w:val="1"/>
    </w:lvl>
    <w:lvl w:ilvl="1">
      <w:lvlJc w:val="left"/>
      <w:lvlText w:val="(%2)"/>
      <w:numFmt w:val="lowerRoman"/>
      <w:start w:val="1"/>
    </w:lvl>
  </w:abstractNum>
  <w:abstractNum w:abstractNumId="55">
    <w:nsid w:val="14E17E33"/>
    <w:multiLevelType w:val="hybridMultilevel"/>
    <w:lvl w:ilvl="0">
      <w:lvlJc w:val="left"/>
      <w:lvlText w:val="%1"/>
      <w:numFmt w:val="lowerLetter"/>
      <w:start w:val="1"/>
    </w:lvl>
    <w:lvl w:ilvl="1">
      <w:lvlJc w:val="left"/>
      <w:lvlText w:val="(%2)"/>
      <w:numFmt w:val="lowerRoman"/>
      <w:start w:val="3"/>
    </w:lvl>
  </w:abstractNum>
  <w:abstractNum w:abstractNumId="56">
    <w:nsid w:val="3222E7CD"/>
    <w:multiLevelType w:val="hybridMultilevel"/>
    <w:lvl w:ilvl="0">
      <w:lvlJc w:val="left"/>
      <w:lvlText w:val="(%1)"/>
      <w:numFmt w:val="lowerLetter"/>
      <w:start w:val="2"/>
    </w:lvl>
    <w:lvl w:ilvl="1">
      <w:lvlJc w:val="left"/>
      <w:lvlText w:val="%2"/>
      <w:numFmt w:val="lowerRoman"/>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2"/>
    </w:lvl>
  </w:abstractNum>
  <w:abstractNum w:abstractNumId="59">
    <w:nsid w:val="2DF6D648"/>
    <w:multiLevelType w:val="hybridMultilevel"/>
    <w:lvl w:ilvl="0">
      <w:lvlJc w:val="left"/>
      <w:lvlText w:val="(%1)"/>
      <w:numFmt w:val="lowerLetter"/>
      <w:start w:val="7"/>
    </w:lvl>
  </w:abstractNum>
  <w:abstractNum w:abstractNumId="60">
    <w:nsid w:val="46B7D447"/>
    <w:multiLevelType w:val="hybridMultilevel"/>
    <w:lvl w:ilvl="0">
      <w:lvlJc w:val="left"/>
      <w:lvlText w:val="(%1)"/>
      <w:numFmt w:val="lowerLetter"/>
      <w:start w:val="5"/>
    </w:lvl>
  </w:abstractNum>
  <w:abstractNum w:abstractNumId="61">
    <w:nsid w:val="4A2AC315"/>
    <w:multiLevelType w:val="hybridMultilevel"/>
    <w:lvl w:ilvl="0">
      <w:lvlJc w:val="left"/>
      <w:lvlText w:val="(%1)"/>
      <w:numFmt w:val="lowerLetter"/>
      <w:start w:val="2"/>
    </w:lvl>
  </w:abstractNum>
  <w:abstractNum w:abstractNumId="62">
    <w:nsid w:val="39EE015C"/>
    <w:multiLevelType w:val="hybridMultilevel"/>
    <w:lvl w:ilvl="0">
      <w:lvlJc w:val="left"/>
      <w:lvlText w:val="(%1)"/>
      <w:numFmt w:val="lowerLetter"/>
      <w:start w:val="4"/>
    </w:lvl>
  </w:abstractNum>
  <w:abstractNum w:abstractNumId="63">
    <w:nsid w:val="57FC4FBB"/>
    <w:multiLevelType w:val="hybridMultilevel"/>
    <w:lvl w:ilvl="0">
      <w:lvlJc w:val="left"/>
      <w:lvlText w:val="%1"/>
      <w:numFmt w:val="lowerLetter"/>
      <w:start w:val="1"/>
    </w:lvl>
    <w:lvl w:ilvl="1">
      <w:lvlJc w:val="left"/>
      <w:lvlText w:val="(%2)"/>
      <w:numFmt w:val="lowerLetter"/>
      <w:start w:val="2"/>
    </w:lvl>
  </w:abstractNum>
  <w:abstractNum w:abstractNumId="64">
    <w:nsid w:val="CC1016F"/>
    <w:multiLevelType w:val="hybridMultilevel"/>
    <w:lvl w:ilvl="0">
      <w:lvlJc w:val="left"/>
      <w:lvlText w:val="(%1)"/>
      <w:numFmt w:val="lowerLetter"/>
      <w:start w:val="35"/>
    </w:lvl>
    <w:lvl w:ilvl="1">
      <w:lvlJc w:val="left"/>
      <w:lvlText w:val="%2"/>
      <w:numFmt w:val="lowerLetter"/>
      <w:start w:val="1"/>
    </w:lvl>
  </w:abstractNum>
  <w:abstractNum w:abstractNumId="65">
    <w:nsid w:val="43F18422"/>
    <w:multiLevelType w:val="hybridMultilevel"/>
    <w:lvl w:ilvl="0">
      <w:lvlJc w:val="left"/>
      <w:lvlText w:val="(%1)"/>
      <w:numFmt w:val="lowerLetter"/>
      <w:start w:val="3"/>
    </w:lvl>
  </w:abstractNum>
  <w:abstractNum w:abstractNumId="66">
    <w:nsid w:val="60EF0119"/>
    <w:multiLevelType w:val="hybridMultilevel"/>
    <w:lvl w:ilvl="0">
      <w:lvlJc w:val="left"/>
      <w:lvlText w:val="(%1)"/>
      <w:numFmt w:val="lowerLetter"/>
      <w:start w:val="6"/>
    </w:lvl>
  </w:abstractNum>
  <w:abstractNum w:abstractNumId="67">
    <w:nsid w:val="26F324BA"/>
    <w:multiLevelType w:val="hybridMultilevel"/>
    <w:lvl w:ilvl="0">
      <w:lvlJc w:val="left"/>
      <w:lvlText w:val="(%1)"/>
      <w:numFmt w:val="lowerLetter"/>
      <w:start w:val="2"/>
    </w:lvl>
  </w:abstractNum>
  <w:abstractNum w:abstractNumId="68">
    <w:nsid w:val="7F01579B"/>
    <w:multiLevelType w:val="hybridMultilevel"/>
    <w:lvl w:ilvl="0">
      <w:lvlJc w:val="left"/>
      <w:lvlText w:val="(%1)"/>
      <w:numFmt w:val="upperLetter"/>
      <w:start w:val="1"/>
    </w:lvl>
  </w:abstractNum>
  <w:abstractNum w:abstractNumId="69">
    <w:nsid w:val="49DA307D"/>
    <w:multiLevelType w:val="hybridMultilevel"/>
    <w:lvl w:ilvl="0">
      <w:lvlJc w:val="left"/>
      <w:lvlText w:val="(%1)"/>
      <w:numFmt w:val="upperLetter"/>
      <w:start w:val="2"/>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lowerLetter"/>
      <w:start w:val="3"/>
    </w:lvl>
  </w:abstractNum>
  <w:abstractNum w:abstractNumId="72">
    <w:nsid w:val="50801EE1"/>
    <w:multiLevelType w:val="hybridMultilevel"/>
    <w:lvl w:ilvl="0">
      <w:lvlJc w:val="left"/>
      <w:lvlText w:val="%1."/>
      <w:numFmt w:val="decimal"/>
      <w:start w:val="1"/>
    </w:lvl>
  </w:abstractNum>
  <w:abstractNum w:abstractNumId="73">
    <w:nsid w:val="488AC1A"/>
    <w:multiLevelType w:val="hybridMultilevel"/>
    <w:lvl w:ilvl="0">
      <w:lvlJc w:val="left"/>
      <w:lvlText w:val="%1."/>
      <w:numFmt w:val="decimal"/>
      <w:start w:val="4"/>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1)"/>
      <w:numFmt w:val="decimal"/>
      <w:start w:val="1"/>
    </w:lvl>
  </w:abstractNum>
  <w:abstractNum w:abstractNumId="76">
    <w:nsid w:val="7672BD23"/>
    <w:multiLevelType w:val="hybridMultilevel"/>
    <w:lvl w:ilvl="0">
      <w:lvlJc w:val="left"/>
      <w:lvlText w:val="%1"/>
      <w:numFmt w:val="lowerRoman"/>
      <w:start w:val="1"/>
    </w:lvl>
    <w:lvl w:ilvl="1">
      <w:lvlJc w:val="left"/>
      <w:lvlText w:val="%2."/>
      <w:numFmt w:val="decimal"/>
      <w:start w:val="1"/>
    </w:lvl>
  </w:abstractNum>
  <w:abstractNum w:abstractNumId="77">
    <w:nsid w:val="6FC75AF8"/>
    <w:multiLevelType w:val="hybridMultilevel"/>
    <w:lvl w:ilvl="0">
      <w:lvlJc w:val="left"/>
      <w:lvlText w:val="(%1)"/>
      <w:numFmt w:val="lowerRoman"/>
      <w:start w:val="1"/>
    </w:lvl>
    <w:lvl w:ilvl="1">
      <w:lvlJc w:val="left"/>
      <w:lvlText w:val="%2."/>
      <w:numFmt w:val="decimal"/>
      <w:start w:val="3"/>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lowerLetter"/>
      <w:start w:val="2"/>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2"/>
    </w:lvl>
  </w:abstractNum>
  <w:abstractNum w:abstractNumId="90">
    <w:nsid w:val="1FBFE8E0"/>
    <w:multiLevelType w:val="hybridMultilevel"/>
    <w:lvl w:ilvl="0">
      <w:lvlJc w:val="left"/>
      <w:lvlText w:val="(%1)"/>
      <w:numFmt w:val="lowerLetter"/>
      <w:start w:val="2"/>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decimal"/>
      <w:start w:val="2"/>
    </w:lvl>
  </w:abstractNum>
  <w:abstractNum w:abstractNumId="93">
    <w:nsid w:val="59ADEA3D"/>
    <w:multiLevelType w:val="hybridMultilevel"/>
    <w:lvl w:ilvl="0">
      <w:lvlJc w:val="left"/>
      <w:lvlText w:val="%1."/>
      <w:numFmt w:val="decimal"/>
      <w:start w:val="3"/>
    </w:lvl>
    <w:lvl w:ilvl="1">
      <w:lvlJc w:val="left"/>
      <w:lvlText w:val="(%2)"/>
      <w:numFmt w:val="lowerLetter"/>
      <w:start w:val="1"/>
    </w:lvl>
  </w:abstractNum>
  <w:abstractNum w:abstractNumId="94">
    <w:nsid w:val="288F1A34"/>
    <w:multiLevelType w:val="hybridMultilevel"/>
    <w:lvl w:ilvl="0">
      <w:lvlJc w:val="left"/>
      <w:lvlText w:val="%1"/>
      <w:numFmt w:val="decimal"/>
      <w:start w:val="1"/>
    </w:lvl>
    <w:lvl w:ilvl="1">
      <w:lvlJc w:val="left"/>
      <w:lvlText w:val="(%2)"/>
      <w:numFmt w:val="lowerLetter"/>
      <w:start w:val="2"/>
    </w:lvl>
  </w:abstractNum>
  <w:abstractNum w:abstractNumId="95">
    <w:nsid w:val="2A155DBC"/>
    <w:multiLevelType w:val="hybridMultilevel"/>
    <w:lvl w:ilvl="0">
      <w:lvlJc w:val="left"/>
      <w:lvlText w:val="%1."/>
      <w:numFmt w:val="decimal"/>
      <w:start w:val="4"/>
    </w:lvl>
    <w:lvl w:ilvl="1">
      <w:lvlJc w:val="left"/>
      <w:lvlText w:val="%2"/>
      <w:numFmt w:val="lowerLetter"/>
      <w:start w:val="1"/>
    </w:lvl>
  </w:abstractNum>
  <w:abstractNum w:abstractNumId="96">
    <w:nsid w:val="1D9F6E5F"/>
    <w:multiLevelType w:val="hybridMultilevel"/>
    <w:lvl w:ilvl="0">
      <w:lvlJc w:val="left"/>
      <w:lvlText w:val="%1."/>
      <w:numFmt w:val="decimal"/>
      <w:start w:val="5"/>
    </w:lvl>
    <w:lvl w:ilvl="1">
      <w:lvlJc w:val="left"/>
      <w:lvlText w:val="(%2)"/>
      <w:numFmt w:val="lowerLetter"/>
      <w:start w:val="1"/>
    </w:lvl>
  </w:abstractNum>
  <w:abstractNum w:abstractNumId="97">
    <w:nsid w:val="97E1B4E"/>
    <w:multiLevelType w:val="hybridMultilevel"/>
    <w:lvl w:ilvl="0">
      <w:lvlJc w:val="left"/>
      <w:lvlText w:val="(%1)"/>
      <w:numFmt w:val="lowerLetter"/>
      <w:start w:val="3"/>
    </w:lvl>
  </w:abstractNum>
  <w:abstractNum w:abstractNumId="98">
    <w:nsid w:val="51088277"/>
    <w:multiLevelType w:val="hybridMultilevel"/>
    <w:lvl w:ilvl="0">
      <w:lvlJc w:val="left"/>
      <w:lvlText w:val="%1."/>
      <w:numFmt w:val="decimal"/>
      <w:start w:val="6"/>
    </w:lvl>
  </w:abstractNum>
  <w:abstractNum w:abstractNumId="99">
    <w:nsid w:val="1CA0C5FA"/>
    <w:multiLevelType w:val="hybridMultilevel"/>
    <w:lvl w:ilvl="0">
      <w:lvlJc w:val="left"/>
      <w:lvlText w:val="%1."/>
      <w:numFmt w:val="decimal"/>
      <w:start w:val="7"/>
    </w:lvl>
    <w:lvl w:ilvl="1">
      <w:lvlJc w:val="left"/>
      <w:lvlText w:val="(%2)"/>
      <w:numFmt w:val="lowerLetter"/>
      <w:start w:val="1"/>
    </w:lvl>
  </w:abstractNum>
  <w:abstractNum w:abstractNumId="100">
    <w:nsid w:val="53584BC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01">
    <w:nsid w:val="415E286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02">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3">
    <w:nsid w:val="23D86AA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4">
    <w:nsid w:val="45E6D486"/>
    <w:multiLevelType w:val="hybridMultilevel"/>
    <w:lvl w:ilvl="0">
      <w:lvlJc w:val="left"/>
      <w:lvlText w:val="(%1)"/>
      <w:numFmt w:val="lowerLetter"/>
      <w:start w:val="3"/>
    </w:lvl>
    <w:lvl w:ilvl="1">
      <w:lvlJc w:val="left"/>
      <w:lvlText w:val="(%2)"/>
      <w:numFmt w:val="lowerRoman"/>
      <w:start w:val="1"/>
    </w:lvl>
  </w:abstractNum>
  <w:abstractNum w:abstractNumId="105">
    <w:nsid w:val="5C10FE21"/>
    <w:multiLevelType w:val="hybridMultilevel"/>
    <w:lvl w:ilvl="0">
      <w:lvlJc w:val="left"/>
      <w:lvlText w:val="(%1)"/>
      <w:numFmt w:val="lowerRoman"/>
      <w:start w:val="3"/>
    </w:lvl>
    <w:lvl w:ilvl="1">
      <w:lvlJc w:val="left"/>
      <w:lvlText w:val="(%2)"/>
      <w:numFmt w:val="upperLetter"/>
      <w:start w:val="1"/>
    </w:lvl>
  </w:abstractNum>
  <w:abstractNum w:abstractNumId="106">
    <w:nsid w:val="E7FFA2B"/>
    <w:multiLevelType w:val="hybridMultilevel"/>
    <w:lvl w:ilvl="0">
      <w:lvlJc w:val="left"/>
      <w:lvlText w:val="%1"/>
      <w:numFmt w:val="lowerRoman"/>
      <w:start w:val="1"/>
    </w:lvl>
    <w:lvl w:ilvl="1">
      <w:lvlJc w:val="left"/>
      <w:lvlText w:val="(%2)"/>
      <w:numFmt w:val="upperLetter"/>
      <w:start w:val="3"/>
    </w:lvl>
  </w:abstractNum>
  <w:abstractNum w:abstractNumId="107">
    <w:nsid w:val="3C5991AA"/>
    <w:multiLevelType w:val="hybridMultilevel"/>
    <w:lvl w:ilvl="0">
      <w:lvlJc w:val="left"/>
      <w:lvlText w:val="(%1)"/>
      <w:numFmt w:val="lowerRoman"/>
      <w:start w:val="4"/>
    </w:lvl>
    <w:lvl w:ilvl="1">
      <w:lvlJc w:val="left"/>
      <w:lvlText w:val="%2"/>
      <w:numFmt w:val="upperLetter"/>
      <w:start w:val="1"/>
    </w:lvl>
  </w:abstractNum>
  <w:abstractNum w:abstractNumId="108">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9">
    <w:nsid w:val="78DF6A5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10">
    <w:nsid w:val="39B7AAA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11">
    <w:nsid w:val="2B0D8DBE"/>
    <w:multiLevelType w:val="hybridMultilevel"/>
    <w:lvl w:ilvl="0">
      <w:lvlJc w:val="left"/>
      <w:lvlText w:val="(%1)"/>
      <w:numFmt w:val="lowerLetter"/>
      <w:start w:val="3"/>
    </w:lvl>
    <w:lvl w:ilvl="1">
      <w:lvlJc w:val="left"/>
      <w:lvlText w:val="(%2)"/>
      <w:numFmt w:val="upperLetter"/>
      <w:start w:val="1"/>
    </w:lvl>
  </w:abstractNum>
  <w:abstractNum w:abstractNumId="112">
    <w:nsid w:val="6C80EC70"/>
    <w:multiLevelType w:val="hybridMultilevel"/>
    <w:lvl w:ilvl="0">
      <w:lvlJc w:val="left"/>
      <w:lvlText w:val="%1"/>
      <w:numFmt w:val="lowerLetter"/>
      <w:start w:val="1"/>
    </w:lvl>
    <w:lvl w:ilvl="1">
      <w:lvlJc w:val="left"/>
      <w:lvlText w:val="(%2)"/>
      <w:numFmt w:val="upperLetter"/>
      <w:start w:val="4"/>
    </w:lvl>
  </w:abstractNum>
  <w:abstractNum w:abstractNumId="113">
    <w:nsid w:val="379E21B5"/>
    <w:multiLevelType w:val="hybridMultilevel"/>
    <w:lvl w:ilvl="0">
      <w:lvlJc w:val="left"/>
      <w:lvlText w:val="(%1)"/>
      <w:numFmt w:val="lowerLetter"/>
      <w:start w:val="4"/>
    </w:lvl>
    <w:lvl w:ilvl="1">
      <w:lvlJc w:val="left"/>
      <w:lvlText w:val="%2"/>
      <w:numFmt w:val="upperLetter"/>
      <w:start w:val="1"/>
    </w:lvl>
  </w:abstractNum>
  <w:abstractNum w:abstractNumId="114">
    <w:nsid w:val="69E373"/>
    <w:multiLevelType w:val="hybridMultilevel"/>
    <w:lvl w:ilvl="0">
      <w:lvlJc w:val="left"/>
      <w:lvlText w:val="%1."/>
      <w:numFmt w:val="decimal"/>
      <w:start w:val="11"/>
    </w:lvl>
  </w:abstractNum>
  <w:abstractNum w:abstractNumId="115">
    <w:nsid w:val="2C27173B"/>
    <w:multiLevelType w:val="hybridMultilevel"/>
    <w:lvl w:ilvl="0">
      <w:lvlJc w:val="left"/>
      <w:lvlText w:val="%1."/>
      <w:numFmt w:val="decimal"/>
      <w:start w:val="12"/>
    </w:lvl>
  </w:abstractNum>
  <w:abstractNum w:abstractNumId="116">
    <w:nsid w:val="4C9B0904"/>
    <w:multiLevelType w:val="hybridMultilevel"/>
    <w:lvl w:ilvl="0">
      <w:lvlJc w:val="left"/>
      <w:lvlText w:val="%1."/>
      <w:numFmt w:val="decimal"/>
      <w:start w:val="13"/>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2019-12-13T07:56:52Z</dcterms:created>
  <dcterms:modified xsi:type="dcterms:W3CDTF">2019-12-13T07:56:52Z</dcterms:modified>
</cp:coreProperties>
</file>