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3, 2017</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3, 2017, Graham Holdings Company issued a press release announcing the Company’s earnings for the first quarter ended March 31, 2017.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94"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4020" w:type="dxa"/>
            <w:vAlign w:val="bottom"/>
          </w:tcPr>
          <w:p>
            <w:pPr>
              <w:jc w:val="right"/>
              <w:ind w:right="2070"/>
              <w:spacing w:after="0"/>
              <w:rPr>
                <w:sz w:val="20"/>
                <w:szCs w:val="20"/>
                <w:color w:val="auto"/>
              </w:rPr>
            </w:pPr>
            <w:r>
              <w:rPr>
                <w:rFonts w:ascii="Arial" w:cs="Arial" w:eastAsia="Arial" w:hAnsi="Arial"/>
                <w:sz w:val="18"/>
                <w:szCs w:val="18"/>
                <w:color w:val="auto"/>
              </w:rPr>
              <w:t>Wallace R. Cooney</w:t>
            </w:r>
          </w:p>
        </w:tc>
        <w:tc>
          <w:tcPr>
            <w:tcW w:w="4060" w:type="dxa"/>
            <w:vAlign w:val="bottom"/>
            <w:gridSpan w:val="2"/>
          </w:tcPr>
          <w:p>
            <w:pPr>
              <w:ind w:left="218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4020" w:type="dxa"/>
            <w:vAlign w:val="bottom"/>
          </w:tcPr>
          <w:p>
            <w:pPr>
              <w:jc w:val="right"/>
              <w:ind w:right="2410"/>
              <w:spacing w:after="0"/>
              <w:rPr>
                <w:sz w:val="20"/>
                <w:szCs w:val="20"/>
                <w:color w:val="auto"/>
              </w:rPr>
            </w:pPr>
            <w:r>
              <w:rPr>
                <w:rFonts w:ascii="Arial" w:cs="Arial" w:eastAsia="Arial" w:hAnsi="Arial"/>
                <w:sz w:val="18"/>
                <w:szCs w:val="18"/>
                <w:color w:val="auto"/>
              </w:rPr>
              <w:t>(703) 345-6470</w:t>
            </w:r>
          </w:p>
        </w:tc>
        <w:tc>
          <w:tcPr>
            <w:tcW w:w="2180" w:type="dxa"/>
            <w:vAlign w:val="bottom"/>
          </w:tcPr>
          <w:p>
            <w:pPr>
              <w:spacing w:after="0"/>
              <w:rPr>
                <w:sz w:val="20"/>
                <w:szCs w:val="20"/>
                <w:color w:val="auto"/>
              </w:rPr>
            </w:pPr>
          </w:p>
        </w:tc>
        <w:tc>
          <w:tcPr>
            <w:tcW w:w="1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May 3, 2017</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FIRST QUARTER EARNINGS</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ARLINGTON, VA – Graham Holdings Company (NYSE: GHC) today reported income attributable to common shares of $21.1 million ($3.75 per share) for the first quarter of 2017, compared to $37.8 million ($6.59 per share) for the first quarter of 2016.</w:t>
      </w:r>
    </w:p>
    <w:p>
      <w:pPr>
        <w:spacing w:after="0" w:line="135"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The results for the first quarter of 2017 and 2016 were affected by a number of items as described in the following paragraphs. Excluding these items, income attributable to common shares was $ 14.1 million ($2.50 per share) for the first quarter of 2017, compared to $28.2 million ($4.92 per share) for the first quarter of 2016. (Refer to the Non-GAAP Financial Information schedule at the end of this release for additional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for the first quarter of 2017:</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 million in non-operating foreign currency gains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for the first quarter of 2016:</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$18.9 million non-operating gain arising from the sale of a business (after-tax impact of $11.9 million, or $2.08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$1.8 million gain on sale of marketable equity securities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$5.4 million in non-operating foreign currency losses (after-tax impact of $3.4 million, or $0.60 per share).</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for the first quarter of 2017 was $582.7 million, down 3% from $601.7 million in the first quarter of 2016. Revenues declined at the education and television broadcasting divisions, offset by an increase in other businesses. The Company reported operating income of $29.1 million for the first quarter of 2017, compared to $51.9 million for the first quarter of 2016. The operating income decline is driven by lower earnings at the television broadcasting division largely due to a new NBC contract for the Company's NBC affiliates in Houston and Detroit, and a decrease in earnings at Kaplan Higher Education (KHE) due to lower enrollments at Kaplan University. Operating results for other businesses were also down for the quarter.</w:t>
      </w:r>
    </w:p>
    <w:p>
      <w:pPr>
        <w:spacing w:after="0" w:line="13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the institutional assets and operations of Kaplan University (KU)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Kaplan University, and certain other state educational agencies and accreditors of programs. Kaplan is unable to predict with certainty when and if such approvals will be obtained; however, it expects that all approvals will not be received until the fourth quarter of 2017. If the transaction is not consummated by April 30, 2018, either party may terminate the Transfer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Education division revenue totaled $372.9 million for the first quarter of 2017, down 7% from revenue of $401.1 million for the same period of 2016. Kaplan reported operating income of $9.0 million for the first quarter of 2017, compared to $14.5 million for the first quarter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first quarter of 2017 compared to 2016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144,310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165,549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64,568</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66,462</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164,562</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169,287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14</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(557)</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372,897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401,076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12,604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21,306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(2,864)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7,707</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4,897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(7,349)</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(7,724)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(1,120)</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53</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9,031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14,488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the first quarter of 2017, KHE revenue was down 13%, due to declines in average enrollments at Kaplan University, offset by increased revenues at the domestic professional and other continuing education businesses. KHE operating results declined in the first quarter of 2017 due primarily to lower enrollment at Kaplan University.</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New higher education student enrollments at Kaplan University were up 2% in the first quarter of 2017; however, total students at Kaplan University were 32,536 at March 31, 2017, down 13% from March 31,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March 31, 2017 and 2016,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8.7%</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17.7%</w:t>
            </w:r>
          </w:p>
        </w:tc>
        <w:tc>
          <w:tcPr>
            <w:tcW w:w="8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51.0%</w:t>
            </w:r>
          </w:p>
        </w:tc>
        <w:tc>
          <w:tcPr>
            <w:tcW w:w="88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3% for the first quarter of 2017. Enrollments, excluding the new economy skills training offerings, were down 3% for the first three months of 2017. In comparison to 2016, KTP operating results were down 24% in the first quarter of 2017 due to lower revenues. Operating losses for the new economy skills training programs were $3.8 million and $4.1 million for the first quarter of 2017 and 2016, respectively.</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Kaplan International revenue declined 3% for the first quarter of 2017; on a constant currency basis, revenue increased 4% primarily due to growth in Pathways enrollments. Operating income increased in the first quarter of 2017, due largely to the improved Pathways and English-language results, partially offset by a decline in Singapore.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62"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62" w:right="239" w:bottom="1440" w:gutter="0" w:footer="0" w:header="0"/>
          <w:type w:val="continuous"/>
        </w:sectPr>
      </w:pPr>
    </w:p>
    <w:bookmarkStart w:id="6" w:name="page7"/>
    <w:bookmarkEnd w:id="6"/>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Revenue at the television broadcasting division decreased 1% to $91.5 million in the first quarter of 2017, from $92.0 million in the same period of 2016. Excluding revenue from the two newly acquired stations, revenue declined 6% due to a $4.2 million decrease in political advertising revenue and lower network revenue, offset by $2.9 million in higher retransmission revenues. As previously disclosed, the Company's NBC affiliates in Houston and Detroit are operating under a new contract with NBC effective January 1, 2017 that has resulted in a significant increase in network fees in 2017, compared to 2016. Operating income for the first quarter of 2017 decreased 37% to $26.0 million, from $41.2 million in the same period of 2016 due to the significantly higher network fees and lower revenues. The Company's television broadcasting division stations are operating under a new retransmission contract with Comcast effective April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Manufacturing revenues and operating income increased in the first three months of 2017 due to growth and improved results at Dekko, including the ECA acquisition.</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April 2017, the Company acquired Hoover Treated Wood Products, Inc., a Thomson, GA-based supplier of pressure impregnated kiln-dried lumber and plywood products for fire retardant and preservative applications.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Healthcare revenues increased 3% in the first three months of 2017, while operating results were down due largely to an increase in information systems and other integration costs.</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18% in the first quarter of 2017, due to continued growth in digital advertising service revenues. SocialCode reported operating losses of $4.5 million for the first quarter of 2017, compared to $3.0 million in the first quarter of 2016.</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quarter of 2017 adversely affected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$18.5 million and $16.0 million in the first three months of 2017 and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three months of 2017.</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At March 31, 2017, the Company held interests in a number of home health and hospice joint ventures, and interests in several other affiliates. The Company recorded equity in earnings of affiliates of $0.6 million for the first quarter of 2017, compared to $1.0 million for the first quarter of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recorded total other non-operating income, net, of $0.8 million for the first quarter of 2017, compared to $15.1 million for the first quarter of 2016. The 2017 amounts included $1.7 million in foreign currency gains, partially offset by other items. The 2016 amounts included an $18.9 million gain on the sale of a business and a $1.8 million gain on the sale of marketable equity securities, offset by $5.4 million in foreign currency losses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incurred net interest expense of $6.8 million for the first quarter of 2017, compared to $7.4 million for the first quarter of 2016. At March 31, 2017, the Company had $493.3 million in borrowings outstanding at an average interest rate of 6.3% and cash, marketable equity securities and other investments of $1,113.9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effective tax rate for the first three months of 2017 was 11.4%, compared to 37.0% for the first three months of 2016. The low effective tax rate in the first quarter of 2017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in the first quarter of 2017 was 36.3%.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2017 was based on 5,568,903 weighted average shares outstanding, compared to 5,651,655 for the first quarter of 2016. At March 31, 2017, there were 5,590,529 shares outstanding. On May 14, 2015, the Board of Directors authorized the Company to acquire up to 500,000 shares of its Class B common stock; the Company has remaining authorization for 223,526 shares as of March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62"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582,717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601,740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532,175</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526,845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14,652</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16,761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6,836</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6,262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29,054</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51,872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649</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1,363</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(8,129)</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(7,948)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849</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15,096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23,786</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60,615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2,700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21,086</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38,215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21,086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37,780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5,535</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5,623</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5,569</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5,652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76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372,897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401,076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91,496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92,018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118,324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108,716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582,717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601,740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363,866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386,588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65,527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50,798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128,888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114,446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(4,618)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553,663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549,868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9,031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14,488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25,969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41,220</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(10,564)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(5,730)</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29,054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51,872</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8,584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11,103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2,594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3,184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14,652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16,761</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1,120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902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4,814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6,836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2,706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3,109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493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(18,370)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144,310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165,549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64,568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66,462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164,562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169,287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372,897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401,076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131,706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144,243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67,432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68,772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156,855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164,390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7,363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7,849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1,120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363,866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386,588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12,604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21,306</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(2,864)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(2,310)</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7,707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(7,349)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(1,120)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9,031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14,488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3,431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4,175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1,341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1,781</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3,682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5,060</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2,044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911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2,706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61,898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56,675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36,899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35,880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12,574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6,953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118,324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58,233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55,538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37,825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17,082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15,748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128,888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3,665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(926)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(4,508)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(2,970)</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(8,795)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(10,564)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1,508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1,069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3,077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4,814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Net Income</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Income before</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Income</w:t>
            </w:r>
          </w:p>
        </w:tc>
        <w:tc>
          <w:tcPr>
            <w:tcW w:w="14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2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income taxes</w:t>
            </w:r>
          </w:p>
        </w:tc>
        <w:tc>
          <w:tcPr>
            <w:tcW w:w="220" w:type="dxa"/>
            <w:vAlign w:val="bottom"/>
          </w:tcPr>
          <w:p>
            <w:pPr>
              <w:spacing w:after="0"/>
              <w:rPr>
                <w:sz w:val="10"/>
                <w:szCs w:val="10"/>
                <w:color w:val="auto"/>
              </w:rPr>
            </w:pPr>
          </w:p>
        </w:tc>
        <w:tc>
          <w:tcPr>
            <w:tcW w:w="68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rPr>
              <w:t>Taxes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8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income taxes</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23,786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b w:val="1"/>
                <w:bCs w:val="1"/>
                <w:color w:val="auto"/>
              </w:rPr>
              <w:t>2,700</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21,086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60,615</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$ 22,400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38,215</w:t>
            </w: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21,086</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37,780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 of a business</w:t>
            </w:r>
          </w:p>
        </w:tc>
        <w:tc>
          <w:tcPr>
            <w:tcW w:w="34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(18,931)</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(7,004)</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on the sale of marketable equity securities</w:t>
            </w:r>
          </w:p>
        </w:tc>
        <w:tc>
          <w:tcPr>
            <w:tcW w:w="34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(1,754)</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(649)</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(1,728)</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5,443</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3,429</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4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b w:val="1"/>
                <w:bCs w:val="1"/>
                <w:color w:val="auto"/>
              </w:rPr>
              <w:t>5,933</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(5,933)</w:t>
            </w:r>
          </w:p>
        </w:tc>
        <w:tc>
          <w:tcPr>
            <w:tcW w:w="4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14,064</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44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3.75</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 of a business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on the sale of marketable equity securities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(0.19)</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2.50</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2019-12-05T08:25:02Z</dcterms:created>
  <dcterms:modified xsi:type="dcterms:W3CDTF">2019-12-05T08:25:02Z</dcterms:modified>
</cp:coreProperties>
</file>