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26, 2020</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80" w:type="dxa"/>
        <w:tblCellMar>
          <w:top w:w="0" w:type="dxa"/>
          <w:left w:w="0" w:type="dxa"/>
          <w:bottom w:w="0" w:type="dxa"/>
          <w:right w:w="0" w:type="dxa"/>
        </w:tblCellMar>
      </w:tblPr>
      <w:tr>
        <w:trPr>
          <w:trHeight w:val="239"/>
        </w:trPr>
        <w:tc>
          <w:tcPr>
            <w:tcW w:w="2560" w:type="dxa"/>
            <w:vAlign w:val="bottom"/>
          </w:tcPr>
          <w:p>
            <w:pPr>
              <w:jc w:val="center"/>
              <w:ind w:left="1601"/>
              <w:spacing w:after="0"/>
              <w:rPr>
                <w:sz w:val="20"/>
                <w:szCs w:val="20"/>
                <w:color w:val="auto"/>
              </w:rPr>
            </w:pPr>
            <w:r>
              <w:rPr>
                <w:rFonts w:ascii="Arial" w:cs="Arial" w:eastAsia="Arial" w:hAnsi="Arial"/>
                <w:sz w:val="18"/>
                <w:szCs w:val="18"/>
                <w:b w:val="1"/>
                <w:bCs w:val="1"/>
                <w:color w:val="auto"/>
              </w:rPr>
              <w:t>Delaware</w:t>
            </w:r>
          </w:p>
        </w:tc>
        <w:tc>
          <w:tcPr>
            <w:tcW w:w="1180" w:type="dxa"/>
            <w:vAlign w:val="bottom"/>
          </w:tcPr>
          <w:p>
            <w:pPr>
              <w:spacing w:after="0"/>
              <w:rPr>
                <w:sz w:val="20"/>
                <w:szCs w:val="20"/>
                <w:color w:val="auto"/>
              </w:rPr>
            </w:pPr>
          </w:p>
        </w:tc>
        <w:tc>
          <w:tcPr>
            <w:tcW w:w="3300" w:type="dxa"/>
            <w:vAlign w:val="bottom"/>
          </w:tcPr>
          <w:p>
            <w:pPr>
              <w:jc w:val="center"/>
              <w:ind w:left="339"/>
              <w:spacing w:after="0"/>
              <w:rPr>
                <w:sz w:val="20"/>
                <w:szCs w:val="20"/>
                <w:color w:val="auto"/>
              </w:rPr>
            </w:pPr>
            <w:r>
              <w:rPr>
                <w:rFonts w:ascii="Arial" w:cs="Arial" w:eastAsia="Arial" w:hAnsi="Arial"/>
                <w:sz w:val="18"/>
                <w:szCs w:val="18"/>
                <w:b w:val="1"/>
                <w:bCs w:val="1"/>
                <w:color w:val="auto"/>
              </w:rPr>
              <w:t>001-06714</w:t>
            </w:r>
          </w:p>
        </w:tc>
        <w:tc>
          <w:tcPr>
            <w:tcW w:w="218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189"/>
        </w:trPr>
        <w:tc>
          <w:tcPr>
            <w:tcW w:w="37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(State or other jurisdiction of</w:t>
            </w:r>
          </w:p>
        </w:tc>
        <w:tc>
          <w:tcPr>
            <w:tcW w:w="3300" w:type="dxa"/>
            <w:vAlign w:val="bottom"/>
          </w:tcPr>
          <w:p>
            <w:pPr>
              <w:jc w:val="center"/>
              <w:ind w:left="339"/>
              <w:spacing w:after="0"/>
              <w:rPr>
                <w:sz w:val="20"/>
                <w:szCs w:val="20"/>
                <w:color w:val="auto"/>
              </w:rPr>
            </w:pPr>
            <w:r>
              <w:rPr>
                <w:rFonts w:ascii="Arial" w:cs="Arial" w:eastAsia="Arial" w:hAnsi="Arial"/>
                <w:sz w:val="14"/>
                <w:szCs w:val="14"/>
                <w:b w:val="1"/>
                <w:bCs w:val="1"/>
                <w:color w:val="auto"/>
              </w:rPr>
              <w:t>(Commission</w:t>
            </w:r>
          </w:p>
        </w:tc>
        <w:tc>
          <w:tcPr>
            <w:tcW w:w="2180" w:type="dxa"/>
            <w:vAlign w:val="bottom"/>
          </w:tcPr>
          <w:p>
            <w:pPr>
              <w:jc w:val="center"/>
              <w:ind w:left="90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incorporation)</w:t>
            </w:r>
          </w:p>
        </w:tc>
        <w:tc>
          <w:tcPr>
            <w:tcW w:w="3300" w:type="dxa"/>
            <w:vAlign w:val="bottom"/>
          </w:tcPr>
          <w:p>
            <w:pPr>
              <w:jc w:val="center"/>
              <w:ind w:left="339"/>
              <w:spacing w:after="0"/>
              <w:rPr>
                <w:sz w:val="20"/>
                <w:szCs w:val="20"/>
                <w:color w:val="auto"/>
              </w:rPr>
            </w:pPr>
            <w:r>
              <w:rPr>
                <w:rFonts w:ascii="Arial" w:cs="Arial" w:eastAsia="Arial" w:hAnsi="Arial"/>
                <w:sz w:val="14"/>
                <w:szCs w:val="14"/>
                <w:b w:val="1"/>
                <w:bCs w:val="1"/>
                <w:color w:val="auto"/>
              </w:rPr>
              <w:t>File Number)</w:t>
            </w:r>
          </w:p>
        </w:tc>
        <w:tc>
          <w:tcPr>
            <w:tcW w:w="2180" w:type="dxa"/>
            <w:vAlign w:val="bottom"/>
          </w:tcPr>
          <w:p>
            <w:pPr>
              <w:jc w:val="center"/>
              <w:ind w:left="90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66"/>
        </w:trPr>
        <w:tc>
          <w:tcPr>
            <w:tcW w:w="2560" w:type="dxa"/>
            <w:vAlign w:val="bottom"/>
          </w:tcPr>
          <w:p>
            <w:pPr>
              <w:spacing w:after="0"/>
              <w:rPr>
                <w:sz w:val="20"/>
                <w:szCs w:val="20"/>
                <w:color w:val="auto"/>
              </w:rPr>
            </w:pPr>
            <w:r>
              <w:rPr>
                <w:rFonts w:ascii="Arial" w:cs="Arial" w:eastAsia="Arial" w:hAnsi="Arial"/>
                <w:sz w:val="18"/>
                <w:szCs w:val="18"/>
                <w:b w:val="1"/>
                <w:bCs w:val="1"/>
                <w:color w:val="auto"/>
              </w:rPr>
              <w:t xml:space="preserve">1300 North 17th Street </w:t>
            </w:r>
            <w:r>
              <w:rPr>
                <w:rFonts w:ascii="Arial" w:cs="Arial" w:eastAsia="Arial" w:hAnsi="Arial"/>
                <w:sz w:val="18"/>
                <w:szCs w:val="18"/>
                <w:color w:val="auto"/>
              </w:rPr>
              <w:t>,</w:t>
            </w: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Arlington ,</w:t>
            </w:r>
          </w:p>
        </w:tc>
        <w:tc>
          <w:tcPr>
            <w:tcW w:w="3300" w:type="dxa"/>
            <w:vAlign w:val="bottom"/>
          </w:tcPr>
          <w:p>
            <w:pPr>
              <w:ind w:left="160"/>
              <w:spacing w:after="0"/>
              <w:rPr>
                <w:sz w:val="20"/>
                <w:szCs w:val="20"/>
                <w:color w:val="auto"/>
              </w:rPr>
            </w:pPr>
            <w:r>
              <w:rPr>
                <w:rFonts w:ascii="Arial" w:cs="Arial" w:eastAsia="Arial" w:hAnsi="Arial"/>
                <w:sz w:val="18"/>
                <w:szCs w:val="18"/>
                <w:b w:val="1"/>
                <w:bCs w:val="1"/>
                <w:color w:val="auto"/>
              </w:rPr>
              <w:t>Virginia</w:t>
            </w:r>
          </w:p>
        </w:tc>
        <w:tc>
          <w:tcPr>
            <w:tcW w:w="218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18"/>
        </w:trPr>
        <w:tc>
          <w:tcPr>
            <w:tcW w:w="374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rPr>
              <w:t>(Address of principal executive offices)</w:t>
            </w:r>
          </w:p>
        </w:tc>
        <w:tc>
          <w:tcPr>
            <w:tcW w:w="3300" w:type="dxa"/>
            <w:vAlign w:val="bottom"/>
          </w:tcPr>
          <w:p>
            <w:pPr>
              <w:spacing w:after="0"/>
              <w:rPr>
                <w:sz w:val="18"/>
                <w:szCs w:val="18"/>
                <w:color w:val="auto"/>
              </w:rPr>
            </w:pPr>
          </w:p>
        </w:tc>
        <w:tc>
          <w:tcPr>
            <w:tcW w:w="2180" w:type="dxa"/>
            <w:vAlign w:val="bottom"/>
            <w:vMerge w:val="restart"/>
          </w:tcPr>
          <w:p>
            <w:pPr>
              <w:jc w:val="center"/>
              <w:ind w:left="90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right="46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04"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9"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9"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9"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0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364"/>
        </w:trPr>
        <w:tc>
          <w:tcPr>
            <w:tcW w:w="4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Title of each class</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4980" w:type="dxa"/>
            <w:vAlign w:val="bottom"/>
          </w:tcPr>
          <w:p>
            <w:pPr>
              <w:jc w:val="center"/>
              <w:ind w:left="219"/>
              <w:spacing w:after="0"/>
              <w:rPr>
                <w:sz w:val="20"/>
                <w:szCs w:val="20"/>
                <w:color w:val="auto"/>
              </w:rPr>
            </w:pPr>
            <w:r>
              <w:rPr>
                <w:rFonts w:ascii="Arial" w:cs="Arial" w:eastAsia="Arial" w:hAnsi="Arial"/>
                <w:sz w:val="16"/>
                <w:szCs w:val="16"/>
                <w:color w:val="auto"/>
              </w:rPr>
              <w:t>Class B Common Stock, par value $1.00 per share</w:t>
            </w:r>
          </w:p>
        </w:tc>
        <w:tc>
          <w:tcPr>
            <w:tcW w:w="210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59"/>
              <w:spacing w:after="0"/>
              <w:rPr>
                <w:sz w:val="20"/>
                <w:szCs w:val="20"/>
                <w:color w:val="auto"/>
              </w:rPr>
            </w:pPr>
            <w:r>
              <w:rPr>
                <w:rFonts w:ascii="Arial" w:cs="Arial" w:eastAsia="Arial" w:hAnsi="Arial"/>
                <w:sz w:val="16"/>
                <w:szCs w:val="16"/>
                <w:color w:val="auto"/>
              </w:rPr>
              <w:t>New York Stock Exchange</w:t>
            </w:r>
          </w:p>
        </w:tc>
      </w:tr>
    </w:tbl>
    <w:p>
      <w:pPr>
        <w:spacing w:after="0" w:line="332" w:lineRule="exact"/>
        <w:rPr>
          <w:sz w:val="24"/>
          <w:szCs w:val="24"/>
          <w:color w:val="auto"/>
        </w:rPr>
      </w:pPr>
    </w:p>
    <w:p>
      <w:pPr>
        <w:ind w:right="14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14" w:lineRule="exact"/>
        <w:rPr>
          <w:sz w:val="24"/>
          <w:szCs w:val="24"/>
          <w:color w:val="auto"/>
        </w:rPr>
      </w:pPr>
    </w:p>
    <w:p>
      <w:pPr>
        <w:ind w:left="40"/>
        <w:spacing w:after="0" w:line="184" w:lineRule="exact"/>
        <w:tabs>
          <w:tab w:leader="none" w:pos="3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1" w:lineRule="exact"/>
        <w:rPr>
          <w:sz w:val="24"/>
          <w:szCs w:val="24"/>
          <w:color w:val="auto"/>
        </w:rPr>
      </w:pPr>
    </w:p>
    <w:p>
      <w:pPr>
        <w:ind w:right="30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52" w:right="239" w:bottom="854"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26, 2020, Graham Holdings Company issued a press release announcing the Company’s earnings for the fourth quarter and year ended December 31, 2019.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581025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96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February 26, 2020.</w:t>
        </w:r>
      </w:hyperlink>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443865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67"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1138555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967" w:right="459"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500" w:type="dxa"/>
            <w:vAlign w:val="bottom"/>
            <w:gridSpan w:val="2"/>
          </w:tcPr>
          <w:p>
            <w:pPr>
              <w:ind w:left="1500"/>
              <w:spacing w:after="0"/>
              <w:rPr>
                <w:sz w:val="20"/>
                <w:szCs w:val="20"/>
                <w:color w:val="auto"/>
              </w:rPr>
            </w:pPr>
            <w:r>
              <w:rPr>
                <w:rFonts w:ascii="Arial" w:cs="Arial" w:eastAsia="Arial" w:hAnsi="Arial"/>
                <w:sz w:val="18"/>
                <w:szCs w:val="18"/>
                <w:b w:val="1"/>
                <w:bCs w:val="1"/>
                <w:color w:val="auto"/>
                <w:w w:val="97"/>
              </w:rPr>
              <w:t>Exhibit 99.1</w:t>
            </w:r>
          </w:p>
        </w:tc>
      </w:tr>
      <w:tr>
        <w:trPr>
          <w:trHeight w:val="567"/>
        </w:trPr>
        <w:tc>
          <w:tcPr>
            <w:tcW w:w="3220" w:type="dxa"/>
            <w:vAlign w:val="bottom"/>
          </w:tcPr>
          <w:p>
            <w:pPr>
              <w:jc w:val="right"/>
              <w:ind w:right="592"/>
              <w:spacing w:after="0"/>
              <w:rPr>
                <w:sz w:val="20"/>
                <w:szCs w:val="20"/>
                <w:color w:val="auto"/>
              </w:rPr>
            </w:pPr>
            <w:r>
              <w:rPr>
                <w:rFonts w:ascii="Arial" w:cs="Arial" w:eastAsia="Arial" w:hAnsi="Arial"/>
                <w:sz w:val="18"/>
                <w:szCs w:val="18"/>
                <w:color w:val="auto"/>
                <w:w w:val="98"/>
              </w:rPr>
              <w:t>Contact:Wallace R. Cooney</w:t>
            </w:r>
          </w:p>
        </w:tc>
        <w:tc>
          <w:tcPr>
            <w:tcW w:w="566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For Immediate Release</w:t>
            </w:r>
          </w:p>
        </w:tc>
        <w:tc>
          <w:tcPr>
            <w:tcW w:w="620" w:type="dxa"/>
            <w:vAlign w:val="bottom"/>
          </w:tcPr>
          <w:p>
            <w:pPr>
              <w:spacing w:after="0"/>
              <w:rPr>
                <w:sz w:val="24"/>
                <w:szCs w:val="24"/>
                <w:color w:val="auto"/>
              </w:rPr>
            </w:pPr>
          </w:p>
        </w:tc>
      </w:tr>
      <w:tr>
        <w:trPr>
          <w:trHeight w:val="291"/>
        </w:trPr>
        <w:tc>
          <w:tcPr>
            <w:tcW w:w="3220" w:type="dxa"/>
            <w:vAlign w:val="bottom"/>
          </w:tcPr>
          <w:p>
            <w:pPr>
              <w:jc w:val="right"/>
              <w:ind w:right="892"/>
              <w:spacing w:after="0"/>
              <w:rPr>
                <w:sz w:val="20"/>
                <w:szCs w:val="20"/>
                <w:color w:val="auto"/>
              </w:rPr>
            </w:pPr>
            <w:r>
              <w:rPr>
                <w:rFonts w:ascii="Arial" w:cs="Arial" w:eastAsia="Arial" w:hAnsi="Arial"/>
                <w:sz w:val="18"/>
                <w:szCs w:val="18"/>
                <w:color w:val="auto"/>
              </w:rPr>
              <w:t>(703) 345-6470</w:t>
            </w:r>
          </w:p>
        </w:tc>
        <w:tc>
          <w:tcPr>
            <w:tcW w:w="5660" w:type="dxa"/>
            <w:vAlign w:val="bottom"/>
          </w:tcPr>
          <w:p>
            <w:pPr>
              <w:spacing w:after="0"/>
              <w:rPr>
                <w:sz w:val="24"/>
                <w:szCs w:val="24"/>
                <w:color w:val="auto"/>
              </w:rPr>
            </w:pPr>
          </w:p>
        </w:tc>
        <w:tc>
          <w:tcPr>
            <w:tcW w:w="2500" w:type="dxa"/>
            <w:vAlign w:val="bottom"/>
            <w:gridSpan w:val="2"/>
          </w:tcPr>
          <w:p>
            <w:pPr>
              <w:jc w:val="center"/>
              <w:ind w:right="580"/>
              <w:spacing w:after="0"/>
              <w:rPr>
                <w:sz w:val="20"/>
                <w:szCs w:val="20"/>
                <w:color w:val="auto"/>
              </w:rPr>
            </w:pPr>
            <w:r>
              <w:rPr>
                <w:rFonts w:ascii="Arial" w:cs="Arial" w:eastAsia="Arial" w:hAnsi="Arial"/>
                <w:sz w:val="18"/>
                <w:szCs w:val="18"/>
                <w:color w:val="auto"/>
              </w:rPr>
              <w:t>February 26, 2020</w:t>
            </w:r>
          </w:p>
        </w:tc>
      </w:tr>
      <w:tr>
        <w:trPr>
          <w:trHeight w:val="513"/>
        </w:trPr>
        <w:tc>
          <w:tcPr>
            <w:tcW w:w="3220" w:type="dxa"/>
            <w:vAlign w:val="bottom"/>
          </w:tcPr>
          <w:p>
            <w:pPr>
              <w:spacing w:after="0"/>
              <w:rPr>
                <w:sz w:val="24"/>
                <w:szCs w:val="24"/>
                <w:color w:val="auto"/>
              </w:rPr>
            </w:pPr>
          </w:p>
        </w:tc>
        <w:tc>
          <w:tcPr>
            <w:tcW w:w="8160" w:type="dxa"/>
            <w:vAlign w:val="bottom"/>
            <w:gridSpan w:val="3"/>
          </w:tcPr>
          <w:p>
            <w:pPr>
              <w:jc w:val="center"/>
              <w:ind w:right="3240"/>
              <w:spacing w:after="0"/>
              <w:rPr>
                <w:sz w:val="20"/>
                <w:szCs w:val="20"/>
                <w:color w:val="auto"/>
              </w:rPr>
            </w:pPr>
            <w:r>
              <w:rPr>
                <w:rFonts w:ascii="Arial" w:cs="Arial" w:eastAsia="Arial" w:hAnsi="Arial"/>
                <w:sz w:val="18"/>
                <w:szCs w:val="18"/>
                <w:color w:val="auto"/>
                <w:w w:val="99"/>
              </w:rPr>
              <w:t>GRAHAM HOLDINGS COMPANY REPORTS</w:t>
            </w:r>
          </w:p>
        </w:tc>
      </w:tr>
      <w:tr>
        <w:trPr>
          <w:trHeight w:val="270"/>
        </w:trPr>
        <w:tc>
          <w:tcPr>
            <w:tcW w:w="3220" w:type="dxa"/>
            <w:vAlign w:val="bottom"/>
          </w:tcPr>
          <w:p>
            <w:pPr>
              <w:spacing w:after="0"/>
              <w:rPr>
                <w:sz w:val="23"/>
                <w:szCs w:val="23"/>
                <w:color w:val="auto"/>
              </w:rPr>
            </w:pPr>
          </w:p>
        </w:tc>
        <w:tc>
          <w:tcPr>
            <w:tcW w:w="8160" w:type="dxa"/>
            <w:vAlign w:val="bottom"/>
            <w:gridSpan w:val="3"/>
          </w:tcPr>
          <w:p>
            <w:pPr>
              <w:jc w:val="center"/>
              <w:ind w:right="3240"/>
              <w:spacing w:after="0"/>
              <w:rPr>
                <w:sz w:val="20"/>
                <w:szCs w:val="20"/>
                <w:color w:val="auto"/>
              </w:rPr>
            </w:pPr>
            <w:r>
              <w:rPr>
                <w:rFonts w:ascii="Arial" w:cs="Arial" w:eastAsia="Arial" w:hAnsi="Arial"/>
                <w:sz w:val="18"/>
                <w:szCs w:val="18"/>
                <w:color w:val="auto"/>
              </w:rPr>
              <w:t>2019 AND FOURTH QUARTER EARNINGS</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net income attributable to common shares of $327.9 million</w:t>
      </w:r>
    </w:p>
    <w:p>
      <w:pPr>
        <w:jc w:val="both"/>
        <w:ind w:right="300"/>
        <w:spacing w:after="0" w:line="229" w:lineRule="auto"/>
        <w:rPr>
          <w:sz w:val="20"/>
          <w:szCs w:val="20"/>
          <w:color w:val="auto"/>
        </w:rPr>
      </w:pPr>
      <w:r>
        <w:rPr>
          <w:rFonts w:ascii="Arial" w:cs="Arial" w:eastAsia="Arial" w:hAnsi="Arial"/>
          <w:sz w:val="18"/>
          <w:szCs w:val="18"/>
          <w:color w:val="auto"/>
        </w:rPr>
        <w:t>($61.21 per share) for the year ended December 31, 2019, compared to $271.2 million ($50.20 per share) for the year ended December 31, 2018. For the fourth quarter of 2019, the Company reported net income attributable to common shares of $145.9 million ($27.25 per share), compared to $56.7 million ($10.61 per share) for the same period of 2018.</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results for 2019 and 2018 were affected by a number of items as described in the following paragraphs. Excluding these items, net income attributable to common shares was $176.2 million ($32.89 per share) for 2019, compared to $255.0 million ($ 47.23 per share) for 2018. Excluding these items, net income attributable to common shares was $ 48.8 million ($9.13 per share) for the fourth quarter of 2019, compared to $75.6 million ($14.18 per share) for the fourth quarter of 2018. (Refer to the Non-GAAP Financial Information schedule attached to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2019 are listed below, and fourth quarter activity, if any, is highlighted for each item:</w:t>
      </w:r>
    </w:p>
    <w:p>
      <w:pPr>
        <w:spacing w:after="0" w:line="90" w:lineRule="exact"/>
        <w:rPr>
          <w:sz w:val="20"/>
          <w:szCs w:val="20"/>
          <w:color w:val="auto"/>
        </w:rPr>
      </w:pPr>
    </w:p>
    <w:p>
      <w:pPr>
        <w:ind w:left="180" w:right="12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Value Added Tax (VAT) receivable at UK Pathways (after-tax impact of $13.9 million, or $2.59 per share);</w:t>
      </w:r>
    </w:p>
    <w:p>
      <w:pPr>
        <w:spacing w:after="0" w:line="80" w:lineRule="exact"/>
        <w:rPr>
          <w:rFonts w:ascii="Arial" w:cs="Arial" w:eastAsia="Arial" w:hAnsi="Arial"/>
          <w:sz w:val="18"/>
          <w:szCs w:val="18"/>
          <w:color w:val="auto"/>
        </w:rPr>
      </w:pPr>
    </w:p>
    <w:p>
      <w:pPr>
        <w:ind w:left="180" w:hanging="172"/>
        <w:spacing w:after="0" w:line="22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$11.8 million reduction to operating expenses from property, plant and equipment gains in connection with the spectrum repacking mandate of the Federal Communications Commissions (FCC) (after-tax impact of $9.1 million, or $1.70 per share); $1.1 million of these gains were recorded in the fourth quarter (after-tax impact of $0.8 million, or $0.15 per share);</w:t>
      </w:r>
    </w:p>
    <w:p>
      <w:pPr>
        <w:spacing w:after="0" w:line="82" w:lineRule="exact"/>
        <w:rPr>
          <w:rFonts w:ascii="Arial" w:cs="Arial" w:eastAsia="Arial" w:hAnsi="Arial"/>
          <w:sz w:val="18"/>
          <w:szCs w:val="18"/>
          <w:color w:val="auto"/>
        </w:rPr>
      </w:pPr>
    </w:p>
    <w:p>
      <w:pPr>
        <w:ind w:left="180" w:right="42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$7.8 million fourth quarter intangible asset impairment charge at the television broadcasting division (after-tax impact of $6.0 million, or $1.12 per share);</w:t>
      </w:r>
    </w:p>
    <w:p>
      <w:pPr>
        <w:spacing w:after="0" w:line="80" w:lineRule="exact"/>
        <w:rPr>
          <w:rFonts w:ascii="Arial" w:cs="Arial" w:eastAsia="Arial" w:hAnsi="Arial"/>
          <w:sz w:val="18"/>
          <w:szCs w:val="18"/>
          <w:color w:val="auto"/>
        </w:rPr>
      </w:pPr>
    </w:p>
    <w:p>
      <w:pPr>
        <w:ind w:left="180" w:right="3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$91.7 million fourth quarter settlement gain related to a retiree annuity pension purchase (after-tax impact of $66.9 million, or $12.50 per share);</w:t>
      </w:r>
    </w:p>
    <w:p>
      <w:pPr>
        <w:spacing w:after="0" w:line="80" w:lineRule="exact"/>
        <w:rPr>
          <w:rFonts w:ascii="Arial" w:cs="Arial" w:eastAsia="Arial" w:hAnsi="Arial"/>
          <w:sz w:val="18"/>
          <w:szCs w:val="18"/>
          <w:color w:val="auto"/>
        </w:rPr>
      </w:pPr>
    </w:p>
    <w:p>
      <w:pPr>
        <w:ind w:left="180" w:right="4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(SIP) at the education division (after-tax impact of $5.1 million, or $0.95 per share);</w:t>
      </w:r>
    </w:p>
    <w:p>
      <w:pPr>
        <w:spacing w:after="0" w:line="80" w:lineRule="exact"/>
        <w:rPr>
          <w:rFonts w:ascii="Arial" w:cs="Arial" w:eastAsia="Arial" w:hAnsi="Arial"/>
          <w:sz w:val="18"/>
          <w:szCs w:val="18"/>
          <w:color w:val="auto"/>
        </w:rPr>
      </w:pPr>
    </w:p>
    <w:p>
      <w:pPr>
        <w:ind w:left="180" w:right="12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$98.7 million in net gains on marketable equity securities (after-tax impact of $74.0 million, or $13.82 per share); $49.4 million of these gains were recorded in the fourth quarter (after-tax impact of $37.1 million, or $6.92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 of $5.1 million from write-ups of cost method investments (after-tax impact of $3.9 million, or $0.73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90" w:lineRule="exact"/>
        <w:rPr>
          <w:rFonts w:ascii="Arial" w:cs="Arial" w:eastAsia="Arial" w:hAnsi="Arial"/>
          <w:sz w:val="18"/>
          <w:szCs w:val="18"/>
          <w:color w:val="auto"/>
        </w:rPr>
      </w:pPr>
    </w:p>
    <w:p>
      <w:pPr>
        <w:ind w:left="180" w:right="7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 (after-tax impact of $0.8 million, or $0.15 per share); $2.4 million in losses were recorded in the fourth quarter (after-tax impact of $1.8 million, or $0.33 per share); and</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2018 are listed below, and fourth quarter activity, if any, is highlighted for each item:</w:t>
      </w:r>
    </w:p>
    <w:p>
      <w:pPr>
        <w:spacing w:after="0" w:line="90" w:lineRule="exact"/>
        <w:rPr>
          <w:sz w:val="20"/>
          <w:szCs w:val="20"/>
          <w:color w:val="auto"/>
        </w:rPr>
      </w:pPr>
    </w:p>
    <w:p>
      <w:pPr>
        <w:ind w:left="180" w:right="60" w:hanging="172"/>
        <w:spacing w:after="0" w:line="22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$3.9 million reduction to operating expenses from property, plant and equipment gains in connection with the spectrum repacking mandate of the FCC (after-tax impact of $3.0 million, or $0.55 per share); $1.8 million of these gains were recorded in the fourth quarter (after-tax impact of $1.4 million, or $0.26 per share);</w:t>
      </w:r>
    </w:p>
    <w:p>
      <w:pPr>
        <w:spacing w:after="0" w:line="82"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90" w:lineRule="exact"/>
        <w:rPr>
          <w:rFonts w:ascii="Arial" w:cs="Arial" w:eastAsia="Arial" w:hAnsi="Arial"/>
          <w:sz w:val="18"/>
          <w:szCs w:val="18"/>
          <w:color w:val="auto"/>
        </w:rPr>
      </w:pPr>
    </w:p>
    <w:p>
      <w:pPr>
        <w:ind w:left="180" w:right="4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$30.3 million fourth quarter settlement gain related to a bulk lump sum pension offering and curtailment gain related to changes in the Company’s postretirement healthcare benefit plan (after-tax impact of $22.2 million, or $4.11 per share);</w:t>
      </w:r>
    </w:p>
    <w:p>
      <w:pPr>
        <w:spacing w:after="0" w:line="80" w:lineRule="exact"/>
        <w:rPr>
          <w:rFonts w:ascii="Arial" w:cs="Arial" w:eastAsia="Arial" w:hAnsi="Arial"/>
          <w:sz w:val="18"/>
          <w:szCs w:val="18"/>
          <w:color w:val="auto"/>
        </w:rPr>
      </w:pPr>
    </w:p>
    <w:p>
      <w:pPr>
        <w:ind w:left="180" w:right="2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$15.8 million in net losses on marketable equity securities (after-tax impact of $12.6 million, or $2.33 per share); $44.1 million of these losses were recorded in the fourth quarter (after-tax impact of $33.6 million, or $6.28 per share);</w:t>
      </w:r>
    </w:p>
    <w:p>
      <w:pPr>
        <w:spacing w:after="0" w:line="80" w:lineRule="exact"/>
        <w:rPr>
          <w:rFonts w:ascii="Arial" w:cs="Arial" w:eastAsia="Arial" w:hAnsi="Arial"/>
          <w:sz w:val="18"/>
          <w:szCs w:val="18"/>
          <w:color w:val="auto"/>
        </w:rPr>
      </w:pPr>
    </w:p>
    <w:p>
      <w:pPr>
        <w:jc w:val="both"/>
        <w:ind w:left="180" w:right="80" w:hanging="172"/>
        <w:spacing w:after="0" w:line="22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 net, of $6.7 million from sales, write-ups and impairments of cost method and equity method investments, and related to sales of land and businesses, including guarantor lease obligations (after-tax impact of $5.7 million, or $1.03 per share); $10.3 million in net losses were recorded in the fourth quarter (after-tax impact of $7.7 million, or $1.43 per share);</w:t>
      </w:r>
    </w:p>
    <w:p>
      <w:pPr>
        <w:spacing w:after="0" w:line="82"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90" w:lineRule="exact"/>
        <w:rPr>
          <w:rFonts w:ascii="Arial" w:cs="Arial" w:eastAsia="Arial" w:hAnsi="Arial"/>
          <w:sz w:val="18"/>
          <w:szCs w:val="18"/>
          <w:color w:val="auto"/>
        </w:rPr>
      </w:pPr>
    </w:p>
    <w:p>
      <w:pPr>
        <w:ind w:left="180" w:right="70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$2.9 million, or $0.54 per share); $1.6 million in losses were recorded in the fourth quarter (after-tax impact of $1.2 million, or $0.23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9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for 2019 was $2,932.1 million, up 9% from $2,696.0 million in 2018 largely due to the acquisition of two automotive dealerships in January 2019 and the acquisition of Clyde’s Restaurant Group (CRG) in July 2019. Revenues increased at the healthcare division, SocialCode and other businesses, partially offset by a decline at the television broadcasting and manufacturing divisions. The Company reported operating income for 2019 of $144.5 million, compared to $246.2 million in 2018. Operating results declined at most of the Company’s divisions in 2019, with a large portion of the decline at television broadcasting due to significant political and Olympics-related revenue in 2018; this was partially offset by improvement at healthcare.</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For the fourth quarter of 2019, revenue was $763.5 million, up 11% from $689.1 million in 2018 largely due to the acquisition of two automotive dealerships in January 2019 and the acquisition of CRG in July 2019. Revenues increased at the education and healthcare divisions and other businesses, partially offset by declines at the television broadcasting and manufacturing divisions. The Company reported operating income of $30.3 million in the fourth quarter of 2019, compared to $75.6 million in 2018. Operating results declined at most of the Company’s divisions, with a large portion of the decline at television broadcasting due to significant political revenue in the fourth quarter of 2018; this was partially offset by improvements at healthcare and SocialCode.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Education division revenue in 2019 totaled $1,451.8 million, flat from $1,451.0 million in 2018. For the fourth quarter of 2019, education division revenue totaled $354.2 million, up 2% from $346.9 million for the same period of 2018.</w:t>
      </w:r>
    </w:p>
    <w:p>
      <w:pPr>
        <w:spacing w:after="0" w:line="135"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Kaplan reported operating income of $48.1 million for 2019, a 51% decrease from $97.1 million in 2018; Kaplan reported operating income for the fourth quarter of 2019 of $3.3 million, a 77% decrease from $14.6 million in the fourth quarter of 2018. In 2019, operating results decreased across all of Kaplan reporting units.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34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Three Months Ended</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Twelve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2018</w:t>
            </w: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color w:val="auto"/>
              </w:rPr>
              <w:t>2018</w:t>
            </w:r>
          </w:p>
        </w:tc>
        <w:tc>
          <w:tcPr>
            <w:tcW w:w="140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258"/>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197,740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184,429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750,245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719,982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67,892</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67,005</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305,672</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342,085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52,384</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60,598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243,917</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256,102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34,716</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35,472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144,897</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134,187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2,359</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272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9,480</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1,142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6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(877)</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(2,461)</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354,214</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346,910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1,451,750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1,451,015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6,533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17,349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42,129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70,315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4,147</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(3,399)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13,960</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15,217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(1,395)</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1,883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7,399</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19,096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6,145</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7,745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27,088</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28,608</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(8,067)</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(26,891)</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(26,702)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(4,027)</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(14,915)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(9,362)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(693)</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6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660" w:type="dxa"/>
            <w:vAlign w:val="bottom"/>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3,333</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14,620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48,072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97,136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increased 4% in 2019, and on a constant currency basis, revenue increased 8%, primarily due to growth at UK Pathways, UK Professional and Australia, and from the Heverald acquisition, offset by a decline in Singapore. Revenue increased 7% in the fourth quarter of 2019, and on a constant currency basis, revenue increased 8% due to growth at English-language and UK Pathways, offset by a decline in Singapore. Kaplan International operating income declined 40% in 2019, due to the VAT provision recorded at UK Pathways, and declines in Singapore and English Language, offset by increases at UK Professional and Australia. In the fourth quarter of 2019, Kaplan International operating results were adversely affected by $4.6 million in losses at Heverald, due to the timing of program starts. Operating income decreased 62% in the fourth quarter of 2019 due to declines in Singapore, the aformentioned losses in English-language at Heverald, and the adverse impact of VAT expense at UK Pathways.</w:t>
      </w:r>
    </w:p>
    <w:p>
      <w:pPr>
        <w:spacing w:after="0" w:line="138"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and the Company believes it has met all requirements under UK VAT law and is entitled to recover the amounts from assessments and subsequent payments through December 31, 2019. Due to developments in the case, in the third quarter of 2019, the Company recorded a full provision against a receivable to expense, of which £14.1 million ($17.1 million) relates to years 2014 to 2018. The Company recorded additional annual VAT expense at the UK Pathways business of approximately $6.0 million related to this matter for 2019. If the Company ultimately prevails in this case, the provision will be reversed and a pre-tax credit will be recorded in the Company’s Consolidated Statement of Operations. The result of the case is expected to be finalized by the end of 2020.</w:t>
      </w:r>
    </w:p>
    <w:p>
      <w:pPr>
        <w:spacing w:after="0" w:line="13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 In 2019, Higher Education revenue declined 11% due largely to the sale of KU on March 22, 2018. During 2019, the Company recorded $12.3 million in fees from Purdue Global in its Higher Education operating results based on an assessment of its collectability under the TOSA; $4.2 million in fees are included in the fourth quarter of 2019. In 2018, the Company recorded $16.8 million in fees from Purdue Global in its Higher Education operating results, based on an assessment of its collectability under the TOSA; no fees from Purdue Global were recorded in the fourth quarter of 2018. Following the transition from KU, Purdue Global launched a planned marketing campaign to fully establish its new brand. This significant marketing spend, along with investments in program quality and student experience, all of which the Company supports, impacts the cash generated by Purdue Global and its current ability to fully pay the KHE fee under the TOSA. The Company will continue to assess the collectability of the fee from Purdue Global on a quarterly basis to make a determination as to whether to record all or part of the fee in the future and whether to make adjustments to fee amounts recognized in earlier periods. Additionally, Higher Education reported losses in the fourth quarter of 2018 related to costs incurred that are not reimbursable under the TOSA.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55" w:right="239" w:bottom="1440" w:gutter="0" w:footer="0" w:header="0"/>
        </w:sectPr>
      </w:pPr>
    </w:p>
    <w:bookmarkStart w:id="7" w:name="page8"/>
    <w:bookmarkEnd w:id="7"/>
    <w:p>
      <w:pPr>
        <w:ind w:right="8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declined 5% in 2019 and 14% for the fourth quarter of 2019. Excluding revenues from the Barron’s acquisition, revenues were down 10% for 2019. These revenue declines were due to declines in KTP’s retail comprehensive test preparation programs. Operating losses for the new economy skills training programs were $4.0 million and $3.6 million for 2019 and 2018, respectively. Operating losses from the new economy skills training programs were $0.8 million for both the fourth quarter of 2019 and 2018. Excluding losses from the new economy skills training programs, KTP operating results were down in 2019, due primarily to revenue declines in KTP’s retail comprehensive test preparation programs.</w:t>
      </w:r>
    </w:p>
    <w:p>
      <w:pPr>
        <w:spacing w:after="0" w:line="13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second quarter of 2019, the Company approved a SIP to reduce the number of employees at KTP and Higher Education. In connection with the SIP, the Company recorded $6.6 million in non-operating pension expense in the second quarter of 2019.</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2019, Kaplan Professional (U.S.) revenue was up 8% due primarily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declined 5% in 2019, due mostly to increased spending on sales, marketing and technology, offset by income from PPI and CFFP. Kaplan Professional (U.S.) revenues declined 2% in the fourth quarter of 2019, due mostly to lower demand for real estate and accountancy programs. Operating results were down in the fourth quarter of 2019 by 21% due to lower revenues and increased spending for sales and marketing.</w:t>
      </w:r>
    </w:p>
    <w:p>
      <w:pPr>
        <w:spacing w:after="0" w:line="19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60"/>
        <w:spacing w:after="0" w:line="222" w:lineRule="auto"/>
        <w:rPr>
          <w:sz w:val="20"/>
          <w:szCs w:val="20"/>
          <w:color w:val="auto"/>
        </w:rPr>
      </w:pPr>
      <w:r>
        <w:rPr>
          <w:rFonts w:ascii="Arial" w:cs="Arial" w:eastAsia="Arial" w:hAnsi="Arial"/>
          <w:sz w:val="18"/>
          <w:szCs w:val="18"/>
          <w:color w:val="auto"/>
        </w:rPr>
        <w:t>Revenue at the television broadcasting division declined 8% to $463.5 million in 2019, from $505.5 million in 2018. The revenue decrease is due to a $60.2 million decrease in political advertising revenue and $8.6 million in 2018 incremental winter Olympics-related advertising revenue at the Company’s NBC stations, partially offset by $18.3 million in higher retransmission revenues. In 2019 and 2018, the television broadcasting division recorded $11.8 million and $3.9 million, respectively, in reductions to operating expenses related to property, plant and equipment gains due to new equipment received at no cost in connection with the spectrum repacking mandate of the FCC. In the fourth quarter of 2019, the television broadcasting division recorded a $ 7.8 million intangible asset impairment charge on FCC licenses at the WSLS (Roanoke -NBC) and WCWJ (Jacksonville-CW) stations acquired in 2017, due to a decline in local market conditions. Operating income for 2019 was down 27% to $152.7 million, from $210.5 million in 2018, due to lower revenues and higher network fees, and the intangible asset impairment charge, partially offset by higher property, plant and equipment gains.</w:t>
      </w:r>
    </w:p>
    <w:p>
      <w:pPr>
        <w:spacing w:after="0" w:line="141"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For the fourth quarter of 2019, revenue declined 19% to $123.5 million, from $ 152.6 million in 2018. The revenue decrease is due to a $35.1 million decrease in political advertising revenue, partially offset by $ 0.8 million in higher retransmission revenues. In the fourth quarter of 2019 and 2018, the television broadcasting division recorded $1.1 million and $ 1.8 million, respectively, in reductions to operating expenses related to property, plant and equipment gains due to new equipment received at no cost in connection with the spectrum repacking mandate of the FCC. Operating income for the fourth quarter of 2019 decreased 51% to $35.8 million, from $73.4 million in the same period of 2018, due to lower revenues and higher network fees, and the intangible asset impairment charge.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Manufacturing includes four businesses: Hoover Treated Wood Products, Inc., a supplier of pressure impregnated kiln-dried lumber and plywood products for fire retardant and preservative applications; Dekko, a manufacturer of electrical workspace solutions, architectural lighting and electrical components and assemblies; Joyce/Dayton Corp., a manufacturer of screw jacks and other linear motion systems; and Forney, a global supplier of products and systems that control and monitor combustion processes in electric utility and industrial applications. In July 2018, Dekko acquired Furnlite, Inc., a Fallston, NC-based manufacturer of power and data solutions for the hospitality and residential furniture industries.</w:t>
      </w:r>
    </w:p>
    <w:p>
      <w:pPr>
        <w:spacing w:after="0" w:line="137"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Manufacturing revenues declined in 2019 and the fourth quarter of 2019 due primarily to a decline at Hoover from lower wood prices, partially offset by increases due to the Furnlite acquisition. Operating income declined in 2019 due largely to increased labor and other operating costs at Hoover and a decline at Forney. Operating income was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41" w:right="239" w:bottom="1440" w:gutter="0" w:footer="0" w:header="0"/>
        </w:sectPr>
      </w:pPr>
    </w:p>
    <w:bookmarkStart w:id="8" w:name="page9"/>
    <w:bookmarkEnd w:id="8"/>
    <w:p>
      <w:pPr>
        <w:ind w:right="60"/>
        <w:spacing w:after="0" w:line="235" w:lineRule="auto"/>
        <w:rPr>
          <w:sz w:val="20"/>
          <w:szCs w:val="20"/>
          <w:color w:val="auto"/>
        </w:rPr>
      </w:pPr>
      <w:r>
        <w:rPr>
          <w:rFonts w:ascii="Arial" w:cs="Arial" w:eastAsia="Arial" w:hAnsi="Arial"/>
          <w:sz w:val="18"/>
          <w:szCs w:val="18"/>
          <w:color w:val="auto"/>
        </w:rPr>
        <w:t>down in the fourth quarter of 2019 due to declines at Forney and Dekko, offset by improved results at Hoover from losses on inventory sales in the fourth quarter of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Graham Healthcare Group (GHG) provides home health and hospice services in three states. Healthcare revenues increased 8% in 2019, largely due to patient growth in both home health and hospice. The improvement in GHG operating results in 2019 is due to increased revenues and the absence of integration costs and other overall cost reduction. In the third quarter of 2018, GHG recorded a $7.9 million intangible asset impairment charge related to the Celtic trademark, which was phased out in the second half of 2018.</w:t>
      </w:r>
    </w:p>
    <w:p>
      <w:pPr>
        <w:spacing w:after="0" w:line="13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December 2019, GHG acquired a 75% interest in CSI Pharmacy Holding Company, LLC (CSI), a Wake Village, TX-based company, which coordinates the prescriptions and nursing care for patients receiving in-home infusion treatments.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ind w:right="360"/>
        <w:spacing w:after="0" w:line="223"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In the third quarter of 2018, SocialCode acquired Marketplace Strategy, a Cleveland-based Amazon sales acceleration agency. SocialCode’s revenue increased 7% in 2019 and remained flat in the fourth quarter of 2019. SocialCode reported an operating loss of $3.3 million and operating income of $2.1 million in 2019 and the fourth quarter of 2019, respectively, compared to an operating loss of $1.1 million and $0.7 million in 2018 and the fourth quarter of 2018, respectively. SocialCode’s operating results included a credit of $0.3 million related to phantom equity plans in 2019 and the fourth quarter of 2019; whereas 2018 results included a credit of $ 7.1 million and expense of $0.1 million related to phantom equity plans in 2018 and the fourth quarter of 2018, respectively. Excluding the amounts related to phantom equity plans for the relevant periods, SocialCode results improved in 2019, largely due to cost reductions.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July 31, 2019, the Company acquired Clyde’s Restaurant Group (CRG). CRG owns and operates thirteen restaurants and entertainment venues in the Washington, DC metropolitan area, including Old Ebbitt Grill and The Hamilton, two of the top twenty highest grossing independent restaurants in the United States. CRG is managed by its existing management team as a wholly-owned subsidiary of the Company.</w:t>
      </w:r>
    </w:p>
    <w:p>
      <w:pPr>
        <w:spacing w:after="0" w:line="135"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operate and manage the dealerships. In the fourth quarter of 2019, the Company and Mr. Ourisman commenced operations at a new Jeep automotive dealership, which began generating sales in January 2020 as Ourisman Jeep of Bethesda. Mr. Ourisman and his team are also operating and managing this new dealership. Graham Holdings Company holds a 90% stake in all three dealerships.</w:t>
      </w:r>
    </w:p>
    <w:p>
      <w:pPr>
        <w:spacing w:after="0" w:line="137" w:lineRule="exact"/>
        <w:rPr>
          <w:sz w:val="20"/>
          <w:szCs w:val="20"/>
          <w:color w:val="auto"/>
        </w:rPr>
      </w:pPr>
    </w:p>
    <w:p>
      <w:pPr>
        <w:jc w:val="both"/>
        <w:ind w:right="820"/>
        <w:spacing w:after="0" w:line="229" w:lineRule="auto"/>
        <w:rPr>
          <w:sz w:val="20"/>
          <w:szCs w:val="20"/>
          <w:color w:val="auto"/>
        </w:rPr>
      </w:pPr>
      <w:r>
        <w:rPr>
          <w:rFonts w:ascii="Arial" w:cs="Arial" w:eastAsia="Arial" w:hAnsi="Arial"/>
          <w:sz w:val="18"/>
          <w:szCs w:val="18"/>
          <w:color w:val="auto"/>
        </w:rPr>
        <w:t>Revenues from other businesses increased due mostly to the automotive dealership and CRG acquisitions. Operating results for the automotive dealerships and CRG were both positive for 2019, although results were adversely impacted by transaction and transition expenses. Automotive results were also adversely impacted by start-up costs for the new Jeep dealership.</w:t>
      </w:r>
    </w:p>
    <w:p>
      <w:pPr>
        <w:spacing w:after="0" w:line="137"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three investment stage businesses, Megaphone, Pinna and CyberVista. All five of these businesses reported revenue increases in 2019. Losses from each of these five businesses in 2019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At December 31, 2019,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$11.7 million and $14.5 million for 2019 and 2018, respectively. In the third quarter of 2018, the Company recorded $7.9 million in gains in equity in earnings of affiliates related to two of its investments.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$11.25 million to finance a portion of the acquisition. The debt bears interest at 4.35% per annum. The GHG subsidiary is required to repay the loan over a five-year period by making monthly installment payments.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May 30, 2018, the Company issued $400 million of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incurred net interest expense of $23.6 million in 2019, compared to $32.5 million in 2018; net interest expense totaled $5.8 million and $5.1 million for the fourth quarter of 2019 and 2018, respectively. The Company incurred $6.2 million in interest expense related to the mandatorily redeemable noncontrolling interest at GHG settled in the second quarter of 2018.</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At December 31, 2019, the Company had $512.8 million in borrowings outstanding at an average interest rate of 5.1%, and cash, marketable securities and other investments of $814.0 million. At December 31, 2018, the Company had $477.1 million in borrowings outstanding at an average interest rate of 5.1%, and cash, marketable securities and other investments of $778.7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$162.8 million in 2019, compared to $120.5 million in 2018. The Company recorded $111.1 million for the fourth quarter of 2019, compared to $53.9 million for the fourth quarter of 2018.</w:t>
      </w:r>
    </w:p>
    <w:p>
      <w:pPr>
        <w:spacing w:after="0" w:line="135"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In the fourth quarter of 2019, the Company’s pension plan purchased a group annuity contract from an insurance company for a group of retirees. As a result, the Company recorded a $91.7 million settlement gain in the fourth quarter of 2019. In the second quarter of 2019, the Company recorded $6.6 million in non-operating pension expense related to a SIP at the education division.</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fourth quarter of 2018, the Company recorded a $26.9 million gain related to a bulk lump sum pension program offering. Also in the fourth quarter of 2018, the Company made changes to its postretirement healthcare benefit plan, resulting in a $3.4 million curtailment gain.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Company recognized $ 98.7 million in net gains and $15.8 million in net losses on marketable equity securities in 2019 and 2018, respectively. The Company recognized $49.4 million in net gains and $44.1 million in net losses on marketable equity securities in the fourth quarter of 2019 and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recorded total other non-operating income, net, of $32.4 million in 2019, compared to $2.1 million in 2018. The 2019 amounts included a $29.0 million gain on the sale of the Company’s interest in Gimlet Media; $5.1 million in fair value increases on cost method investments; and other items; partially offset by $1.1 million in losses on guarantor lease obligations in connection with the 2015 sale of the KHE Campuses businesses; $1.1 million in foreign currency losses; and $0.6 million in net losses related to sales of businesses and contingent consideration. The 2018 non-operating income, net, included $11.7 million in fair value increases on cost method investments; $ 8.2 million in net gains related to sales of businesses and contingent consideration; a $2.8 million gain on sale of a cost method investment; a $2.5 million gain on sale of land and other items, partially offset by $17.5 million in losses on guarantor lease obligations in connection with the 2015 sale of the KHE Campuses businesses; $3.8 million in foreign currency losses; and $2.7 million in impairments on cost method investments.</w:t>
      </w:r>
    </w:p>
    <w:p>
      <w:pPr>
        <w:spacing w:after="0" w:line="13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For the fourth quarter of 2019, the Company recorded other non-operating expense, net, of $ 3.7 million, compared to $12.6 million for the fourth quarter of 2018. The 2019 non-operating expense, net, included $2.4 million in foreign currency losses; $1.5 million in net losses related to sales of businesses and contingent consideration; and other items. The 2018 non-operating expense, net, included $13.3 million in losses on guarantor lease obligations in connection with the 2015 sale of the KHE Campuses businesses and $1.6 million in foreign currency losses and other items; partially offset by a $3.2 million fair value increase on cost method investments.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31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Company’s effective tax rate for 2019 was 23.1%. In the first quarter of 2019, the Company recorded income tax benefits related to stock compensation of $1.7 million. Excluding this $1.7 million benefit, the overall income tax rate for 2019 was 23.5%.</w:t>
      </w:r>
    </w:p>
    <w:p>
      <w:pPr>
        <w:spacing w:after="0" w:line="135"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Company’s effective tax rate for 2018 was 16.1%. In the third quarter of 2018, the Company recorded a $17.8 million deferred state tax benefit related to the release of valuation allowances. Excluding this $17.8 million benefit and income tax benefits related to stock compensation of $1.8 million recorded in the first quarter of 2018, the overall income tax rate for 2018 was 22.2%.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calculation of diluted earnings per share for 2019 and the fourth quarter of 2019 was based on 5,326,953 and 5,324,079 weighted average shares, respectively, compared to 5,369,611 and 5,308,710 weighted average shares, respectively, for 2018 and the fourth quarter of 2018. At December 31, 2019, there were 5,312,237 shares outstanding. On November 9, 2017, the Board of Directors authorized the Company to acquire up to 500,000 shares of Class B common stock; the Company has remaining authorization for 270,263 shares as of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80"/>
          </w:cols>
          <w:pgMar w:left="240" w:top="319"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763,478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689,087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694,853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585,330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16,495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14,813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13,731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13,362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8,087</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30,312</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75,582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3,835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1,426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1,398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1,469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(7,192)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(6,531)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111,061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53,900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49,407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(44,149)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(3,704)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185,117</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69,138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39,100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146,017</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56,738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145,881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56,685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27.45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5,284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5,270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27.25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5,324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5,309</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17" w:right="239" w:bottom="1440" w:gutter="0" w:footer="0" w:header="0"/>
        </w:sectPr>
      </w:pPr>
    </w:p>
    <w:bookmarkStart w:id="12" w:name="page13"/>
    <w:bookmarkEnd w:id="12"/>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2,932,099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2,695,966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2,665,905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2,337,560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59,253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56,722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53,243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47,414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9,152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144,546</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246,161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11,664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14,473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6,151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5,353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(29,779)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(37,902)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162,798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120,541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98,668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(15,843)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32,431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426,479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323,508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98,600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327,879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271,408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327,855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271,206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61.70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5,285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5,333</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5,327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5,370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39"/>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354,214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346,910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1,451,750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1,451,015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123,452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152,647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463,464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505,549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107,347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117,723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449,053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487,619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42,711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37,960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161,768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149,275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16,950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16,878</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62,754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58,728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119,278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17,024</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344,092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43,880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auto"/>
            </w:tcBorders>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763,478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689,087</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2,932,099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2,695,966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350,881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332,290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1,403,678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1,353,879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87,631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79,227</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310,796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295,016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101,691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111,311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428,586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458,768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40,938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37,032</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153,860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157,676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14,862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17,560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66,037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59,809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125,972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22,864</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374,221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71,896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11,665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13,276</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51,157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52,861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733,166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613,505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2,787,553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2,449,805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14,620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48,072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97,136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35,821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73,420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152,668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210,533</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5,656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6,412</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20,467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28,851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1,773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7,908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(8,401)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2,088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(3,283)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(6,694)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(5,840)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(30,129)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(28,016)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(11,665)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(13,276)</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(51,157)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30,312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75,582</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144,546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246,161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7,059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6,969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25,655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28,099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2,978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3,961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12,817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13,204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2,548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2,400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10,036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9,515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2,577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1,017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3,080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6,539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(13)</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16,495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14,813</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59,253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56,722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18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b w:val="1"/>
                <w:bCs w:val="1"/>
                <w:color w:val="auto"/>
              </w:rPr>
              <w:t>Long-Lived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4,027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3,868</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15,608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9,184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13,408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5,632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6,762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6,530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26,342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24,746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1,689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1,399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6,411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14,855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21,818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13,362</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62,395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55,523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12</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2,596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2,104</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10,385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8,753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752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3,025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2,188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573</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(14)</w:t>
            </w:r>
          </w:p>
        </w:tc>
      </w:tr>
    </w:tbl>
    <w:p>
      <w:pPr>
        <w:sectPr>
          <w:pgSz w:w="11900" w:h="16838" w:orient="portrait"/>
          <w:cols w:equalWidth="0" w:num="1">
            <w:col w:w="11420"/>
          </w:cols>
          <w:pgMar w:left="240" w:top="51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219</w:t>
            </w:r>
          </w:p>
        </w:tc>
        <w:tc>
          <w:tcPr>
            <w:tcW w:w="4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181</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877</w:t>
            </w:r>
          </w:p>
        </w:tc>
        <w:tc>
          <w:tcPr>
            <w:tcW w:w="4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723</w:t>
            </w: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7"/>
        </w:trPr>
        <w:tc>
          <w:tcPr>
            <w:tcW w:w="476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186</w:t>
            </w:r>
          </w:p>
        </w:tc>
        <w:tc>
          <w:tcPr>
            <w:tcW w:w="400" w:type="dxa"/>
            <w:vAlign w:val="bottom"/>
          </w:tcPr>
          <w:p>
            <w:pPr>
              <w:spacing w:after="0"/>
              <w:rPr>
                <w:sz w:val="24"/>
                <w:szCs w:val="24"/>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161</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763</w:t>
            </w:r>
          </w:p>
        </w:tc>
        <w:tc>
          <w:tcPr>
            <w:tcW w:w="4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83"/>
        </w:trPr>
        <w:tc>
          <w:tcPr>
            <w:tcW w:w="4440" w:type="dxa"/>
            <w:vAlign w:val="bottom"/>
          </w:tcPr>
          <w:p>
            <w:pPr>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1,200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1,334</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4,800</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5,334</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64"/>
        </w:trPr>
        <w:tc>
          <w:tcPr>
            <w:tcW w:w="444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5,096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4,491</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20,422</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18,221</w:t>
            </w: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420" w:top="121" w:right="5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43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39"/>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197,740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184,429</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750,245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719,982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67,892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67,005</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305,672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342,085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52,384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60,598</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243,917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256,102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34,716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35,472</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144,897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134,187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2,359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9,480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(877)</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(2,461)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354,214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346,910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1,451,750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1,451,015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191,207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167,080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708,116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649,667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63,745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70,404</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291,712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326,868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53,779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58,715</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236,518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237,006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28,571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27,727</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117,809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105,579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10,426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5,358</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36,371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27,844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4,027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3,868</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14,915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693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(2,456)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350,881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332,290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1,403,678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1,353,879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17,349</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(62)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42,129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70,315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4,147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(3,399)</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13,960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15,217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(1,395)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1,883</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7,399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19,096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6,145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7,745</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27,088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28,608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(8,067)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(5,086)</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(26,891)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(26,702)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(4,027)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(3,868)</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(14,915)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(9,362)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(693)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14,620</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48,072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97,136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4,196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4,258</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15,394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15,755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817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2,883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4,826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926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957</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3,284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3,941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1,046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925</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3,848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3,096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24</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(49)</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7,059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6,969</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25,655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28,099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1,134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4,535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4,310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844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3,378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1,356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78</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2,596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2,104</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10,385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7"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5"/>
          <w:szCs w:val="15"/>
          <w:color w:val="auto"/>
        </w:rPr>
        <w:t>a better understanding of how management plans and measures the Company’s underlying business.</w:t>
      </w:r>
    </w:p>
    <w:p>
      <w:pPr>
        <w:spacing w:after="0" w:line="167" w:lineRule="exact"/>
        <w:rPr>
          <w:sz w:val="20"/>
          <w:szCs w:val="20"/>
          <w:color w:val="auto"/>
        </w:rPr>
      </w:pPr>
    </w:p>
    <w:p>
      <w:pPr>
        <w:ind w:right="260"/>
        <w:spacing w:after="0" w:line="279" w:lineRule="auto"/>
        <w:rPr>
          <w:sz w:val="20"/>
          <w:szCs w:val="20"/>
          <w:color w:val="auto"/>
        </w:rPr>
      </w:pPr>
      <w:r>
        <w:rPr>
          <w:rFonts w:ascii="Arial" w:cs="Arial" w:eastAsia="Arial" w:hAnsi="Arial"/>
          <w:sz w:val="15"/>
          <w:szCs w:val="15"/>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reconciles the non-GAAP financial measures to the most directly comparable GAAP measures:</w:t>
      </w:r>
    </w:p>
    <w:p>
      <w:pPr>
        <w:spacing w:after="0" w:line="299"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399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2018</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9"/>
              </w:rPr>
              <w:t>Income before</w:t>
            </w:r>
          </w:p>
        </w:tc>
        <w:tc>
          <w:tcPr>
            <w:tcW w:w="220" w:type="dxa"/>
            <w:vAlign w:val="bottom"/>
          </w:tcPr>
          <w:p>
            <w:pPr>
              <w:spacing w:after="0"/>
              <w:rPr>
                <w:sz w:val="15"/>
                <w:szCs w:val="15"/>
                <w:color w:val="auto"/>
              </w:rPr>
            </w:pPr>
          </w:p>
        </w:tc>
        <w:tc>
          <w:tcPr>
            <w:tcW w:w="90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Income</w:t>
            </w:r>
          </w:p>
        </w:tc>
        <w:tc>
          <w:tcPr>
            <w:tcW w:w="1000" w:type="dxa"/>
            <w:vAlign w:val="bottom"/>
            <w:gridSpan w:val="2"/>
            <w:vMerge w:val="restart"/>
          </w:tcPr>
          <w:p>
            <w:pPr>
              <w:jc w:val="right"/>
              <w:ind w:right="3"/>
              <w:spacing w:after="0"/>
              <w:rPr>
                <w:sz w:val="20"/>
                <w:szCs w:val="20"/>
                <w:color w:val="auto"/>
              </w:rPr>
            </w:pPr>
            <w:r>
              <w:rPr>
                <w:rFonts w:ascii="Arial" w:cs="Arial" w:eastAsia="Arial" w:hAnsi="Arial"/>
                <w:sz w:val="15"/>
                <w:szCs w:val="15"/>
                <w:b w:val="1"/>
                <w:bCs w:val="1"/>
                <w:color w:val="auto"/>
              </w:rPr>
              <w:t>Net Income</w:t>
            </w:r>
          </w:p>
        </w:tc>
        <w:tc>
          <w:tcPr>
            <w:tcW w:w="300" w:type="dxa"/>
            <w:vAlign w:val="bottom"/>
          </w:tcPr>
          <w:p>
            <w:pPr>
              <w:spacing w:after="0"/>
              <w:rPr>
                <w:sz w:val="15"/>
                <w:szCs w:val="15"/>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color w:val="auto"/>
              </w:rPr>
              <w:t>Income</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4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restart"/>
          </w:tcPr>
          <w:p>
            <w:pPr>
              <w:jc w:val="center"/>
              <w:ind w:right="143"/>
              <w:spacing w:after="0" w:line="162" w:lineRule="exact"/>
              <w:rPr>
                <w:sz w:val="20"/>
                <w:szCs w:val="20"/>
                <w:color w:val="auto"/>
              </w:rPr>
            </w:pPr>
            <w:r>
              <w:rPr>
                <w:rFonts w:ascii="Arial" w:cs="Arial" w:eastAsia="Arial" w:hAnsi="Arial"/>
                <w:sz w:val="15"/>
                <w:szCs w:val="15"/>
                <w:color w:val="auto"/>
              </w:rPr>
              <w:t>before</w:t>
            </w:r>
          </w:p>
        </w:tc>
        <w:tc>
          <w:tcPr>
            <w:tcW w:w="1200" w:type="dxa"/>
            <w:vAlign w:val="bottom"/>
            <w:gridSpan w:val="2"/>
            <w:vMerge w:val="restart"/>
          </w:tcPr>
          <w:p>
            <w:pPr>
              <w:ind w:left="120"/>
              <w:spacing w:after="0" w:line="162" w:lineRule="exact"/>
              <w:rPr>
                <w:sz w:val="20"/>
                <w:szCs w:val="20"/>
                <w:color w:val="auto"/>
              </w:rPr>
            </w:pPr>
            <w:r>
              <w:rPr>
                <w:rFonts w:ascii="Arial" w:cs="Arial" w:eastAsia="Arial" w:hAnsi="Arial"/>
                <w:sz w:val="15"/>
                <w:szCs w:val="15"/>
                <w:color w:val="auto"/>
              </w:rPr>
              <w:t>Income Taxes</w:t>
            </w:r>
          </w:p>
        </w:tc>
        <w:tc>
          <w:tcPr>
            <w:tcW w:w="140" w:type="dxa"/>
            <w:vAlign w:val="bottom"/>
          </w:tcPr>
          <w:p>
            <w:pPr>
              <w:spacing w:after="0"/>
              <w:rPr>
                <w:sz w:val="5"/>
                <w:szCs w:val="5"/>
                <w:color w:val="auto"/>
              </w:rPr>
            </w:pPr>
          </w:p>
        </w:tc>
        <w:tc>
          <w:tcPr>
            <w:tcW w:w="1000" w:type="dxa"/>
            <w:vAlign w:val="bottom"/>
            <w:vMerge w:val="restart"/>
          </w:tcPr>
          <w:p>
            <w:pPr>
              <w:jc w:val="right"/>
              <w:ind w:right="103"/>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9"/>
        </w:trPr>
        <w:tc>
          <w:tcPr>
            <w:tcW w:w="4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income taxes</w:t>
            </w:r>
          </w:p>
        </w:tc>
        <w:tc>
          <w:tcPr>
            <w:tcW w:w="220" w:type="dxa"/>
            <w:vAlign w:val="bottom"/>
          </w:tcPr>
          <w:p>
            <w:pPr>
              <w:spacing w:after="0"/>
              <w:rPr>
                <w:sz w:val="8"/>
                <w:szCs w:val="8"/>
                <w:color w:val="auto"/>
              </w:rPr>
            </w:pPr>
          </w:p>
        </w:tc>
        <w:tc>
          <w:tcPr>
            <w:tcW w:w="9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Taxes</w:t>
            </w:r>
          </w:p>
        </w:tc>
        <w:tc>
          <w:tcPr>
            <w:tcW w:w="10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42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2"/>
            <w:vMerge w:val="restart"/>
          </w:tcPr>
          <w:p>
            <w:pPr>
              <w:jc w:val="center"/>
              <w:ind w:left="23"/>
              <w:spacing w:after="0"/>
              <w:rPr>
                <w:sz w:val="20"/>
                <w:szCs w:val="20"/>
                <w:color w:val="auto"/>
              </w:rPr>
            </w:pPr>
            <w:r>
              <w:rPr>
                <w:rFonts w:ascii="Arial" w:cs="Arial" w:eastAsia="Arial" w:hAnsi="Arial"/>
                <w:sz w:val="15"/>
                <w:szCs w:val="15"/>
                <w:color w:val="auto"/>
              </w:rPr>
              <w:t>income taxes</w:t>
            </w: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4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4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Amounts attributable to Graham Holdings Company</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rPr>
                <w:sz w:val="20"/>
                <w:szCs w:val="20"/>
                <w:color w:val="auto"/>
              </w:rPr>
            </w:pPr>
            <w:r>
              <w:rPr>
                <w:rFonts w:ascii="Arial" w:cs="Arial" w:eastAsia="Arial" w:hAnsi="Arial"/>
                <w:sz w:val="15"/>
                <w:szCs w:val="15"/>
                <w:b w:val="1"/>
                <w:bCs w:val="1"/>
                <w:color w:val="auto"/>
              </w:rPr>
              <w:t>Common Stockholders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b w:val="1"/>
                <w:bCs w:val="1"/>
                <w:color w:val="auto"/>
              </w:rPr>
              <w:t>185,117</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143"/>
              <w:spacing w:after="0"/>
              <w:rPr>
                <w:sz w:val="20"/>
                <w:szCs w:val="20"/>
                <w:color w:val="auto"/>
              </w:rPr>
            </w:pPr>
            <w:r>
              <w:rPr>
                <w:rFonts w:ascii="Arial" w:cs="Arial" w:eastAsia="Arial" w:hAnsi="Arial"/>
                <w:sz w:val="15"/>
                <w:szCs w:val="15"/>
                <w:b w:val="1"/>
                <w:bCs w:val="1"/>
                <w:color w:val="auto"/>
              </w:rPr>
              <w:t>39,100</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b w:val="1"/>
                <w:bCs w:val="1"/>
                <w:color w:val="auto"/>
              </w:rPr>
              <w:t>146,017</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69,138</w:t>
            </w:r>
          </w:p>
        </w:tc>
        <w:tc>
          <w:tcPr>
            <w:tcW w:w="340" w:type="dxa"/>
            <w:vAlign w:val="bottom"/>
          </w:tcPr>
          <w:p>
            <w:pPr>
              <w:ind w:left="10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12,400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56,738</w:t>
            </w:r>
          </w:p>
        </w:tc>
        <w:tc>
          <w:tcPr>
            <w:tcW w:w="0" w:type="dxa"/>
            <w:vAlign w:val="bottom"/>
          </w:tcPr>
          <w:p>
            <w:pPr>
              <w:spacing w:after="0"/>
              <w:rPr>
                <w:sz w:val="1"/>
                <w:szCs w:val="1"/>
                <w:color w:val="auto"/>
              </w:rPr>
            </w:pPr>
          </w:p>
        </w:tc>
      </w:tr>
      <w:tr>
        <w:trPr>
          <w:trHeight w:val="274"/>
        </w:trPr>
        <w:tc>
          <w:tcPr>
            <w:tcW w:w="442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(136)</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46"/>
        </w:trPr>
        <w:tc>
          <w:tcPr>
            <w:tcW w:w="442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b w:val="1"/>
                <w:bCs w:val="1"/>
                <w:color w:val="auto"/>
              </w:rPr>
              <w:t>145,881</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56,685</w:t>
            </w:r>
          </w:p>
        </w:tc>
        <w:tc>
          <w:tcPr>
            <w:tcW w:w="0" w:type="dxa"/>
            <w:vAlign w:val="bottom"/>
          </w:tcPr>
          <w:p>
            <w:pPr>
              <w:spacing w:after="0"/>
              <w:rPr>
                <w:sz w:val="1"/>
                <w:szCs w:val="1"/>
                <w:color w:val="auto"/>
              </w:rPr>
            </w:pPr>
          </w:p>
        </w:tc>
      </w:tr>
      <w:tr>
        <w:trPr>
          <w:trHeight w:val="270"/>
        </w:trPr>
        <w:tc>
          <w:tcPr>
            <w:tcW w:w="442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20" w:type="dxa"/>
            <w:vAlign w:val="bottom"/>
          </w:tcPr>
          <w:p>
            <w:pPr>
              <w:spacing w:after="0"/>
              <w:rPr>
                <w:sz w:val="16"/>
                <w:szCs w:val="16"/>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(1,074)</w:t>
            </w:r>
          </w:p>
        </w:tc>
        <w:tc>
          <w:tcPr>
            <w:tcW w:w="220" w:type="dxa"/>
            <w:vAlign w:val="bottom"/>
          </w:tcPr>
          <w:p>
            <w:pPr>
              <w:spacing w:after="0"/>
              <w:rPr>
                <w:sz w:val="16"/>
                <w:szCs w:val="16"/>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(247)</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(827)</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(1,814)</w:t>
            </w:r>
          </w:p>
        </w:tc>
        <w:tc>
          <w:tcPr>
            <w:tcW w:w="340" w:type="dxa"/>
            <w:vAlign w:val="bottom"/>
          </w:tcPr>
          <w:p>
            <w:pPr>
              <w:spacing w:after="0"/>
              <w:rPr>
                <w:sz w:val="16"/>
                <w:szCs w:val="16"/>
                <w:color w:val="auto"/>
              </w:rPr>
            </w:pP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(399)</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(1,415)</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Intangible asset impairment charges</w:t>
            </w:r>
          </w:p>
        </w:tc>
        <w:tc>
          <w:tcPr>
            <w:tcW w:w="120" w:type="dxa"/>
            <w:vAlign w:val="bottom"/>
          </w:tcPr>
          <w:p>
            <w:pPr>
              <w:spacing w:after="0"/>
              <w:rPr>
                <w:sz w:val="23"/>
                <w:szCs w:val="23"/>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b w:val="1"/>
                <w:bCs w:val="1"/>
                <w:color w:val="auto"/>
              </w:rPr>
              <w:t>7,800</w:t>
            </w:r>
          </w:p>
        </w:tc>
        <w:tc>
          <w:tcPr>
            <w:tcW w:w="220" w:type="dxa"/>
            <w:vAlign w:val="bottom"/>
          </w:tcPr>
          <w:p>
            <w:pPr>
              <w:spacing w:after="0"/>
              <w:rPr>
                <w:sz w:val="23"/>
                <w:szCs w:val="23"/>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b w:val="1"/>
                <w:bCs w:val="1"/>
                <w:color w:val="auto"/>
              </w:rPr>
              <w:t>1,794</w:t>
            </w:r>
          </w:p>
        </w:tc>
        <w:tc>
          <w:tcPr>
            <w:tcW w:w="2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b w:val="1"/>
                <w:bCs w:val="1"/>
                <w:color w:val="auto"/>
              </w:rPr>
              <w:t>6,006</w:t>
            </w:r>
          </w:p>
        </w:tc>
        <w:tc>
          <w:tcPr>
            <w:tcW w:w="30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Settlement gain related to retiree annuity pension purchase</w:t>
            </w:r>
          </w:p>
        </w:tc>
        <w:tc>
          <w:tcPr>
            <w:tcW w:w="12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b w:val="1"/>
                <w:bCs w:val="1"/>
                <w:color w:val="auto"/>
              </w:rPr>
              <w:t>(91,676)</w:t>
            </w:r>
          </w:p>
        </w:tc>
        <w:tc>
          <w:tcPr>
            <w:tcW w:w="22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b w:val="1"/>
                <w:bCs w:val="1"/>
                <w:color w:val="auto"/>
              </w:rPr>
              <w:t>(24,752)</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(66,924)</w:t>
            </w:r>
          </w:p>
        </w:tc>
        <w:tc>
          <w:tcPr>
            <w:tcW w:w="30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420"/>
              <w:spacing w:after="0" w:line="162" w:lineRule="exact"/>
              <w:rPr>
                <w:sz w:val="20"/>
                <w:szCs w:val="20"/>
                <w:color w:val="auto"/>
              </w:rPr>
            </w:pPr>
            <w:r>
              <w:rPr>
                <w:rFonts w:ascii="Arial" w:cs="Arial" w:eastAsia="Arial" w:hAnsi="Arial"/>
                <w:sz w:val="15"/>
                <w:szCs w:val="15"/>
                <w:color w:val="auto"/>
              </w:rPr>
              <w:t>and curtailment gain related to postretirement healthcare</w:t>
            </w:r>
          </w:p>
        </w:tc>
        <w:tc>
          <w:tcPr>
            <w:tcW w:w="120" w:type="dxa"/>
            <w:vAlign w:val="bottom"/>
          </w:tcPr>
          <w:p>
            <w:pPr>
              <w:spacing w:after="0"/>
              <w:rPr>
                <w:sz w:val="14"/>
                <w:szCs w:val="14"/>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9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benefit plan</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(30,298)</w:t>
            </w:r>
          </w:p>
        </w:tc>
        <w:tc>
          <w:tcPr>
            <w:tcW w:w="340" w:type="dxa"/>
            <w:vAlign w:val="bottom"/>
          </w:tcPr>
          <w:p>
            <w:pPr>
              <w:spacing w:after="0"/>
              <w:rPr>
                <w:sz w:val="16"/>
                <w:szCs w:val="16"/>
                <w:color w:val="auto"/>
              </w:rPr>
            </w:pP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(8,120)</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(22,178)</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Net (gains) losses on marketable equity securities</w:t>
            </w:r>
          </w:p>
        </w:tc>
        <w:tc>
          <w:tcPr>
            <w:tcW w:w="12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b w:val="1"/>
                <w:bCs w:val="1"/>
                <w:color w:val="auto"/>
              </w:rPr>
              <w:t>(49,406)</w:t>
            </w:r>
          </w:p>
        </w:tc>
        <w:tc>
          <w:tcPr>
            <w:tcW w:w="22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b w:val="1"/>
                <w:bCs w:val="1"/>
                <w:color w:val="auto"/>
              </w:rPr>
              <w:t>(12,351)</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(37,055)</w:t>
            </w:r>
          </w:p>
        </w:tc>
        <w:tc>
          <w:tcPr>
            <w:tcW w:w="30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44,148</w:t>
            </w:r>
          </w:p>
        </w:tc>
        <w:tc>
          <w:tcPr>
            <w:tcW w:w="34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10,596</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33,552</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Non-operating loss, net, from cost method investments and</w:t>
            </w:r>
          </w:p>
        </w:tc>
        <w:tc>
          <w:tcPr>
            <w:tcW w:w="120" w:type="dxa"/>
            <w:vAlign w:val="bottom"/>
          </w:tcPr>
          <w:p>
            <w:pPr>
              <w:spacing w:after="0"/>
              <w:rPr>
                <w:sz w:val="16"/>
                <w:szCs w:val="16"/>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guarantor lease obligations</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10,333</w:t>
            </w:r>
          </w:p>
        </w:tc>
        <w:tc>
          <w:tcPr>
            <w:tcW w:w="340" w:type="dxa"/>
            <w:vAlign w:val="bottom"/>
          </w:tcPr>
          <w:p>
            <w:pPr>
              <w:spacing w:after="0"/>
              <w:rPr>
                <w:sz w:val="16"/>
                <w:szCs w:val="16"/>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2,669</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7,664</w:t>
            </w:r>
          </w:p>
        </w:tc>
        <w:tc>
          <w:tcPr>
            <w:tcW w:w="0" w:type="dxa"/>
            <w:vAlign w:val="bottom"/>
          </w:tcPr>
          <w:p>
            <w:pPr>
              <w:spacing w:after="0"/>
              <w:rPr>
                <w:sz w:val="1"/>
                <w:szCs w:val="1"/>
                <w:color w:val="auto"/>
              </w:rPr>
            </w:pPr>
          </w:p>
        </w:tc>
      </w:tr>
      <w:tr>
        <w:trPr>
          <w:trHeight w:val="274"/>
        </w:trPr>
        <w:tc>
          <w:tcPr>
            <w:tcW w:w="4420" w:type="dxa"/>
            <w:vAlign w:val="bottom"/>
          </w:tcPr>
          <w:p>
            <w:pPr>
              <w:ind w:left="260"/>
              <w:spacing w:after="0"/>
              <w:rPr>
                <w:sz w:val="20"/>
                <w:szCs w:val="20"/>
                <w:color w:val="auto"/>
              </w:rPr>
            </w:pPr>
            <w:r>
              <w:rPr>
                <w:rFonts w:ascii="Arial" w:cs="Arial" w:eastAsia="Arial" w:hAnsi="Arial"/>
                <w:sz w:val="15"/>
                <w:szCs w:val="15"/>
                <w:color w:val="auto"/>
              </w:rPr>
              <w:t>Foreign currency loss</w:t>
            </w:r>
          </w:p>
        </w:tc>
        <w:tc>
          <w:tcPr>
            <w:tcW w:w="120" w:type="dxa"/>
            <w:vAlign w:val="bottom"/>
          </w:tcPr>
          <w:p>
            <w:pPr>
              <w:spacing w:after="0"/>
              <w:rPr>
                <w:sz w:val="23"/>
                <w:szCs w:val="23"/>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b w:val="1"/>
                <w:bCs w:val="1"/>
                <w:color w:val="auto"/>
              </w:rPr>
              <w:t>2,353</w:t>
            </w:r>
          </w:p>
        </w:tc>
        <w:tc>
          <w:tcPr>
            <w:tcW w:w="220" w:type="dxa"/>
            <w:vAlign w:val="bottom"/>
          </w:tcPr>
          <w:p>
            <w:pPr>
              <w:spacing w:after="0"/>
              <w:rPr>
                <w:sz w:val="23"/>
                <w:szCs w:val="23"/>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b w:val="1"/>
                <w:bCs w:val="1"/>
                <w:color w:val="auto"/>
              </w:rPr>
              <w:t>588</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1,765</w:t>
            </w:r>
          </w:p>
        </w:tc>
        <w:tc>
          <w:tcPr>
            <w:tcW w:w="30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1,639</w:t>
            </w:r>
          </w:p>
        </w:tc>
        <w:tc>
          <w:tcPr>
            <w:tcW w:w="34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393</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1,246</w:t>
            </w:r>
          </w:p>
        </w:tc>
        <w:tc>
          <w:tcPr>
            <w:tcW w:w="0" w:type="dxa"/>
            <w:vAlign w:val="bottom"/>
          </w:tcPr>
          <w:p>
            <w:pPr>
              <w:spacing w:after="0"/>
              <w:rPr>
                <w:sz w:val="1"/>
                <w:szCs w:val="1"/>
                <w:color w:val="auto"/>
              </w:rPr>
            </w:pPr>
          </w:p>
        </w:tc>
      </w:tr>
      <w:tr>
        <w:trPr>
          <w:trHeight w:val="248"/>
        </w:trPr>
        <w:tc>
          <w:tcPr>
            <w:tcW w:w="4420" w:type="dxa"/>
            <w:vAlign w:val="bottom"/>
          </w:tcPr>
          <w:p>
            <w:pPr>
              <w:ind w:left="20"/>
              <w:spacing w:after="0"/>
              <w:rPr>
                <w:sz w:val="20"/>
                <w:szCs w:val="20"/>
                <w:color w:val="auto"/>
              </w:rPr>
            </w:pPr>
            <w:r>
              <w:rPr>
                <w:rFonts w:ascii="Arial" w:cs="Arial" w:eastAsia="Arial" w:hAnsi="Arial"/>
                <w:sz w:val="15"/>
                <w:szCs w:val="15"/>
                <w:color w:val="auto"/>
              </w:rPr>
              <w:t>Net Income, adjusted (non-GAAP)</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48,846</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75,554</w:t>
            </w:r>
          </w:p>
        </w:tc>
        <w:tc>
          <w:tcPr>
            <w:tcW w:w="0" w:type="dxa"/>
            <w:vAlign w:val="bottom"/>
          </w:tcPr>
          <w:p>
            <w:pPr>
              <w:spacing w:after="0"/>
              <w:rPr>
                <w:sz w:val="1"/>
                <w:szCs w:val="1"/>
                <w:color w:val="auto"/>
              </w:rPr>
            </w:pPr>
          </w:p>
        </w:tc>
      </w:tr>
      <w:tr>
        <w:trPr>
          <w:trHeight w:val="411"/>
        </w:trPr>
        <w:tc>
          <w:tcPr>
            <w:tcW w:w="442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rPr>
                <w:sz w:val="20"/>
                <w:szCs w:val="20"/>
                <w:color w:val="auto"/>
              </w:rPr>
            </w:pPr>
            <w:r>
              <w:rPr>
                <w:rFonts w:ascii="Arial" w:cs="Arial" w:eastAsia="Arial" w:hAnsi="Arial"/>
                <w:sz w:val="15"/>
                <w:szCs w:val="15"/>
                <w:b w:val="1"/>
                <w:bCs w:val="1"/>
                <w:color w:val="auto"/>
              </w:rPr>
              <w:t>Company Common Stockholders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42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27.25</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10.61</w:t>
            </w:r>
          </w:p>
        </w:tc>
        <w:tc>
          <w:tcPr>
            <w:tcW w:w="0" w:type="dxa"/>
            <w:vAlign w:val="bottom"/>
          </w:tcPr>
          <w:p>
            <w:pPr>
              <w:spacing w:after="0"/>
              <w:rPr>
                <w:sz w:val="1"/>
                <w:szCs w:val="1"/>
                <w:color w:val="auto"/>
              </w:rPr>
            </w:pPr>
          </w:p>
        </w:tc>
      </w:tr>
      <w:tr>
        <w:trPr>
          <w:trHeight w:val="249"/>
        </w:trPr>
        <w:tc>
          <w:tcPr>
            <w:tcW w:w="442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(0.15)</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Intangible asset impairment charges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b w:val="1"/>
                <w:bCs w:val="1"/>
                <w:color w:val="auto"/>
              </w:rPr>
              <w:t>1.12</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Settlement gain related to retiree annuity pension purchase</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(12.50)</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420"/>
              <w:spacing w:after="0" w:line="162" w:lineRule="exact"/>
              <w:rPr>
                <w:sz w:val="20"/>
                <w:szCs w:val="20"/>
                <w:color w:val="auto"/>
              </w:rPr>
            </w:pPr>
            <w:r>
              <w:rPr>
                <w:rFonts w:ascii="Arial" w:cs="Arial" w:eastAsia="Arial" w:hAnsi="Arial"/>
                <w:sz w:val="15"/>
                <w:szCs w:val="15"/>
                <w:color w:val="auto"/>
              </w:rPr>
              <w:t>and curtailment gain related to postretirement healthcare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benefit plan</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(4.11)</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Net (gains) losses on marketable equity securities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(6.92)</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Non-operating loss, net, from cost method investments and</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guarantor lease obligations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74"/>
        </w:trPr>
        <w:tc>
          <w:tcPr>
            <w:tcW w:w="4420" w:type="dxa"/>
            <w:vAlign w:val="bottom"/>
          </w:tcPr>
          <w:p>
            <w:pPr>
              <w:ind w:left="260"/>
              <w:spacing w:after="0"/>
              <w:rPr>
                <w:sz w:val="20"/>
                <w:szCs w:val="20"/>
                <w:color w:val="auto"/>
              </w:rPr>
            </w:pPr>
            <w:r>
              <w:rPr>
                <w:rFonts w:ascii="Arial" w:cs="Arial" w:eastAsia="Arial" w:hAnsi="Arial"/>
                <w:sz w:val="15"/>
                <w:szCs w:val="15"/>
                <w:color w:val="auto"/>
              </w:rPr>
              <w:t>Foreign currency loss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0.33</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5"/>
                <w:szCs w:val="15"/>
                <w:color w:val="auto"/>
              </w:rPr>
              <w:t>Diluted income per common share, adjusted (non-GAAP)</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9.13</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14.18</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adjusted diluted per share amounts may not compute due to rounding.</w:t>
      </w:r>
    </w:p>
    <w:p>
      <w:pPr>
        <w:sectPr>
          <w:pgSz w:w="11900" w:h="16838" w:orient="portrait"/>
          <w:cols w:equalWidth="0" w:num="1">
            <w:col w:w="11400"/>
          </w:cols>
          <w:pgMar w:left="240" w:top="57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571" w:right="259" w:bottom="1440" w:gutter="0" w:footer="0" w:header="0"/>
          <w:type w:val="continuous"/>
        </w:sectPr>
      </w:pPr>
    </w:p>
    <w:bookmarkStart w:id="17" w:name="page18"/>
    <w:bookmarkEnd w:id="17"/>
    <w:p>
      <w:pPr>
        <w:ind w:left="6640"/>
        <w:spacing w:after="0"/>
        <w:rPr>
          <w:sz w:val="20"/>
          <w:szCs w:val="20"/>
          <w:color w:val="auto"/>
        </w:rPr>
      </w:pPr>
      <w:r>
        <w:rPr>
          <w:rFonts w:ascii="Arial" w:cs="Arial" w:eastAsia="Arial" w:hAnsi="Arial"/>
          <w:sz w:val="16"/>
          <w:szCs w:val="16"/>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4253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2018</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center"/>
              <w:ind w:right="163"/>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5"/>
                <w:szCs w:val="15"/>
                <w:color w:val="auto"/>
              </w:rPr>
            </w:pPr>
          </w:p>
        </w:tc>
        <w:tc>
          <w:tcPr>
            <w:tcW w:w="86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Income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ind w:right="123"/>
              <w:spacing w:after="0"/>
              <w:rPr>
                <w:sz w:val="20"/>
                <w:szCs w:val="20"/>
                <w:color w:val="auto"/>
              </w:rPr>
            </w:pPr>
            <w:r>
              <w:rPr>
                <w:rFonts w:ascii="Arial" w:cs="Arial" w:eastAsia="Arial" w:hAnsi="Arial"/>
                <w:sz w:val="15"/>
                <w:szCs w:val="15"/>
                <w:color w:val="auto"/>
              </w:rPr>
              <w:t>Income</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4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restart"/>
          </w:tcPr>
          <w:p>
            <w:pPr>
              <w:jc w:val="center"/>
              <w:ind w:right="103"/>
              <w:spacing w:after="0" w:line="144" w:lineRule="exact"/>
              <w:rPr>
                <w:sz w:val="20"/>
                <w:szCs w:val="20"/>
                <w:color w:val="auto"/>
              </w:rPr>
            </w:pPr>
            <w:r>
              <w:rPr>
                <w:rFonts w:ascii="Arial" w:cs="Arial" w:eastAsia="Arial" w:hAnsi="Arial"/>
                <w:sz w:val="15"/>
                <w:szCs w:val="15"/>
                <w:color w:val="auto"/>
              </w:rPr>
              <w:t>before</w:t>
            </w: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restart"/>
          </w:tcPr>
          <w:p>
            <w:pPr>
              <w:jc w:val="center"/>
              <w:ind w:right="163"/>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right"/>
              <w:ind w:right="83"/>
              <w:spacing w:after="0" w:line="162" w:lineRule="exact"/>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0" w:type="dxa"/>
            <w:vAlign w:val="bottom"/>
            <w:gridSpan w:val="2"/>
            <w:vMerge w:val="restart"/>
          </w:tcPr>
          <w:p>
            <w:pPr>
              <w:ind w:left="120"/>
              <w:spacing w:after="0" w:line="162" w:lineRule="exact"/>
              <w:rPr>
                <w:sz w:val="20"/>
                <w:szCs w:val="20"/>
                <w:color w:val="auto"/>
              </w:rPr>
            </w:pPr>
            <w:r>
              <w:rPr>
                <w:rFonts w:ascii="Arial" w:cs="Arial" w:eastAsia="Arial" w:hAnsi="Arial"/>
                <w:sz w:val="15"/>
                <w:szCs w:val="15"/>
                <w:color w:val="auto"/>
              </w:rPr>
              <w:t>Income Taxes</w:t>
            </w:r>
          </w:p>
        </w:tc>
        <w:tc>
          <w:tcPr>
            <w:tcW w:w="140" w:type="dxa"/>
            <w:vAlign w:val="bottom"/>
          </w:tcPr>
          <w:p>
            <w:pPr>
              <w:spacing w:after="0"/>
              <w:rPr>
                <w:sz w:val="7"/>
                <w:szCs w:val="7"/>
                <w:color w:val="auto"/>
              </w:rPr>
            </w:pPr>
          </w:p>
        </w:tc>
        <w:tc>
          <w:tcPr>
            <w:tcW w:w="1000" w:type="dxa"/>
            <w:vAlign w:val="bottom"/>
            <w:vMerge w:val="restart"/>
          </w:tcPr>
          <w:p>
            <w:pPr>
              <w:jc w:val="right"/>
              <w:ind w:right="103"/>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Taxes</w:t>
            </w: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vMerge w:val="restart"/>
          </w:tcPr>
          <w:p>
            <w:pPr>
              <w:jc w:val="center"/>
              <w:ind w:right="103"/>
              <w:spacing w:after="0"/>
              <w:rPr>
                <w:sz w:val="20"/>
                <w:szCs w:val="20"/>
                <w:color w:val="auto"/>
              </w:rPr>
            </w:pPr>
            <w:r>
              <w:rPr>
                <w:rFonts w:ascii="Arial" w:cs="Arial" w:eastAsia="Arial" w:hAnsi="Arial"/>
                <w:sz w:val="15"/>
                <w:szCs w:val="15"/>
                <w:color w:val="auto"/>
                <w:w w:val="99"/>
              </w:rPr>
              <w:t>income</w:t>
            </w: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income taxes</w:t>
            </w: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6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1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vMerge w:val="restart"/>
          </w:tcPr>
          <w:p>
            <w:pPr>
              <w:jc w:val="center"/>
              <w:ind w:right="103"/>
              <w:spacing w:after="0"/>
              <w:rPr>
                <w:sz w:val="20"/>
                <w:szCs w:val="20"/>
                <w:color w:val="auto"/>
              </w:rPr>
            </w:pPr>
            <w:r>
              <w:rPr>
                <w:rFonts w:ascii="Arial" w:cs="Arial" w:eastAsia="Arial" w:hAnsi="Arial"/>
                <w:sz w:val="15"/>
                <w:szCs w:val="15"/>
                <w:color w:val="auto"/>
              </w:rPr>
              <w:t>taxes</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66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6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18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426,479</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98,600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327,879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323,508</w:t>
            </w:r>
          </w:p>
        </w:tc>
        <w:tc>
          <w:tcPr>
            <w:tcW w:w="360" w:type="dxa"/>
            <w:vAlign w:val="bottom"/>
          </w:tcPr>
          <w:p>
            <w:pPr>
              <w:ind w:left="10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52,100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271,408</w:t>
            </w:r>
          </w:p>
        </w:tc>
        <w:tc>
          <w:tcPr>
            <w:tcW w:w="0" w:type="dxa"/>
            <w:vAlign w:val="bottom"/>
          </w:tcPr>
          <w:p>
            <w:pPr>
              <w:spacing w:after="0"/>
              <w:rPr>
                <w:sz w:val="1"/>
                <w:szCs w:val="1"/>
                <w:color w:val="auto"/>
              </w:rPr>
            </w:pPr>
          </w:p>
        </w:tc>
      </w:tr>
      <w:tr>
        <w:trPr>
          <w:trHeight w:val="274"/>
        </w:trPr>
        <w:tc>
          <w:tcPr>
            <w:tcW w:w="466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46"/>
        </w:trPr>
        <w:tc>
          <w:tcPr>
            <w:tcW w:w="466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327,855</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271,206</w:t>
            </w:r>
          </w:p>
        </w:tc>
        <w:tc>
          <w:tcPr>
            <w:tcW w:w="0" w:type="dxa"/>
            <w:vAlign w:val="bottom"/>
          </w:tcPr>
          <w:p>
            <w:pPr>
              <w:spacing w:after="0"/>
              <w:rPr>
                <w:sz w:val="1"/>
                <w:szCs w:val="1"/>
                <w:color w:val="auto"/>
              </w:rPr>
            </w:pPr>
          </w:p>
        </w:tc>
      </w:tr>
      <w:tr>
        <w:trPr>
          <w:trHeight w:val="270"/>
        </w:trPr>
        <w:tc>
          <w:tcPr>
            <w:tcW w:w="46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Provision related to a VAT receivable</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17,132</w:t>
            </w:r>
          </w:p>
        </w:tc>
        <w:tc>
          <w:tcPr>
            <w:tcW w:w="22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3,255</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13,877</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80" w:type="dxa"/>
            <w:vAlign w:val="bottom"/>
          </w:tcPr>
          <w:p>
            <w:pPr>
              <w:spacing w:after="0"/>
              <w:rPr>
                <w:sz w:val="16"/>
                <w:szCs w:val="16"/>
                <w:color w:val="auto"/>
              </w:rPr>
            </w:pPr>
          </w:p>
        </w:tc>
        <w:tc>
          <w:tcPr>
            <w:tcW w:w="9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(11,821)</w:t>
            </w:r>
          </w:p>
        </w:tc>
        <w:tc>
          <w:tcPr>
            <w:tcW w:w="220" w:type="dxa"/>
            <w:vAlign w:val="bottom"/>
          </w:tcPr>
          <w:p>
            <w:pPr>
              <w:spacing w:after="0"/>
              <w:rPr>
                <w:sz w:val="16"/>
                <w:szCs w:val="16"/>
                <w:color w:val="auto"/>
              </w:rPr>
            </w:pPr>
          </w:p>
        </w:tc>
        <w:tc>
          <w:tcPr>
            <w:tcW w:w="86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(2,719)</w:t>
            </w: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(9,102)</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(3,881)</w:t>
            </w:r>
          </w:p>
        </w:tc>
        <w:tc>
          <w:tcPr>
            <w:tcW w:w="360" w:type="dxa"/>
            <w:vAlign w:val="bottom"/>
          </w:tcPr>
          <w:p>
            <w:pPr>
              <w:spacing w:after="0"/>
              <w:rPr>
                <w:sz w:val="16"/>
                <w:szCs w:val="16"/>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(854)</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(3,027)</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Intangible asset impairment charges</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7,800</w:t>
            </w:r>
          </w:p>
        </w:tc>
        <w:tc>
          <w:tcPr>
            <w:tcW w:w="22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1,794</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6,006</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7,909</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2,099</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5,810</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Interest expense related to the settlement of a mandatorily</w:t>
            </w:r>
          </w:p>
        </w:tc>
        <w:tc>
          <w:tcPr>
            <w:tcW w:w="180" w:type="dxa"/>
            <w:vAlign w:val="bottom"/>
          </w:tcPr>
          <w:p>
            <w:pPr>
              <w:spacing w:after="0"/>
              <w:rPr>
                <w:sz w:val="16"/>
                <w:szCs w:val="16"/>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8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redeemable noncontrolling interest</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6,169</w:t>
            </w:r>
          </w:p>
        </w:tc>
        <w:tc>
          <w:tcPr>
            <w:tcW w:w="360" w:type="dxa"/>
            <w:vAlign w:val="bottom"/>
          </w:tcPr>
          <w:p>
            <w:pPr>
              <w:spacing w:after="0"/>
              <w:rPr>
                <w:sz w:val="16"/>
                <w:szCs w:val="16"/>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6,169</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Debt extinguishment costs</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11,378</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2,731</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8,647</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Settlement gain related to retiree annuity pension purchase</w:t>
            </w:r>
          </w:p>
        </w:tc>
        <w:tc>
          <w:tcPr>
            <w:tcW w:w="18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auto"/>
              </w:rPr>
              <w:t>(91,676)</w:t>
            </w:r>
          </w:p>
        </w:tc>
        <w:tc>
          <w:tcPr>
            <w:tcW w:w="220" w:type="dxa"/>
            <w:vAlign w:val="bottom"/>
          </w:tcPr>
          <w:p>
            <w:pPr>
              <w:spacing w:after="0"/>
              <w:rPr>
                <w:sz w:val="23"/>
                <w:szCs w:val="23"/>
                <w:color w:val="auto"/>
              </w:rPr>
            </w:pPr>
          </w:p>
        </w:tc>
        <w:tc>
          <w:tcPr>
            <w:tcW w:w="860" w:type="dxa"/>
            <w:vAlign w:val="bottom"/>
          </w:tcPr>
          <w:p>
            <w:pPr>
              <w:jc w:val="right"/>
              <w:ind w:right="83"/>
              <w:spacing w:after="0"/>
              <w:rPr>
                <w:sz w:val="20"/>
                <w:szCs w:val="20"/>
                <w:color w:val="auto"/>
              </w:rPr>
            </w:pPr>
            <w:r>
              <w:rPr>
                <w:rFonts w:ascii="Arial" w:cs="Arial" w:eastAsia="Arial" w:hAnsi="Arial"/>
                <w:sz w:val="15"/>
                <w:szCs w:val="15"/>
                <w:b w:val="1"/>
                <w:bCs w:val="1"/>
                <w:color w:val="auto"/>
              </w:rPr>
              <w:t>(24,752)</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(66,924)</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Charges related to non-operating SIP at the education division</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6,607</w:t>
            </w:r>
          </w:p>
        </w:tc>
        <w:tc>
          <w:tcPr>
            <w:tcW w:w="22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1,520</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5,087</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 and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curtailment gain related to postretirement healthcare benefit</w:t>
            </w:r>
          </w:p>
        </w:tc>
        <w:tc>
          <w:tcPr>
            <w:tcW w:w="180" w:type="dxa"/>
            <w:vAlign w:val="bottom"/>
          </w:tcPr>
          <w:p>
            <w:pPr>
              <w:spacing w:after="0"/>
              <w:rPr>
                <w:sz w:val="14"/>
                <w:szCs w:val="14"/>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8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plan</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(30,298)</w:t>
            </w:r>
          </w:p>
        </w:tc>
        <w:tc>
          <w:tcPr>
            <w:tcW w:w="360" w:type="dxa"/>
            <w:vAlign w:val="bottom"/>
          </w:tcPr>
          <w:p>
            <w:pPr>
              <w:spacing w:after="0"/>
              <w:rPr>
                <w:sz w:val="16"/>
                <w:szCs w:val="16"/>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(8,120)</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(22,178)</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Net (gains) losses on marketable equity securities</w:t>
            </w:r>
          </w:p>
        </w:tc>
        <w:tc>
          <w:tcPr>
            <w:tcW w:w="18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auto"/>
              </w:rPr>
              <w:t>(98,668)</w:t>
            </w:r>
          </w:p>
        </w:tc>
        <w:tc>
          <w:tcPr>
            <w:tcW w:w="220" w:type="dxa"/>
            <w:vAlign w:val="bottom"/>
          </w:tcPr>
          <w:p>
            <w:pPr>
              <w:spacing w:after="0"/>
              <w:rPr>
                <w:sz w:val="23"/>
                <w:szCs w:val="23"/>
                <w:color w:val="auto"/>
              </w:rPr>
            </w:pPr>
          </w:p>
        </w:tc>
        <w:tc>
          <w:tcPr>
            <w:tcW w:w="860" w:type="dxa"/>
            <w:vAlign w:val="bottom"/>
          </w:tcPr>
          <w:p>
            <w:pPr>
              <w:jc w:val="right"/>
              <w:ind w:right="83"/>
              <w:spacing w:after="0"/>
              <w:rPr>
                <w:sz w:val="20"/>
                <w:szCs w:val="20"/>
                <w:color w:val="auto"/>
              </w:rPr>
            </w:pPr>
            <w:r>
              <w:rPr>
                <w:rFonts w:ascii="Arial" w:cs="Arial" w:eastAsia="Arial" w:hAnsi="Arial"/>
                <w:sz w:val="15"/>
                <w:szCs w:val="15"/>
                <w:b w:val="1"/>
                <w:bCs w:val="1"/>
                <w:color w:val="auto"/>
              </w:rPr>
              <w:t>(24,667)</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(74,001)</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15,843</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3,236</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12,607</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Non-operating gain, net, from cost and equity method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investments and related to sales of land and businesses,</w:t>
            </w:r>
          </w:p>
        </w:tc>
        <w:tc>
          <w:tcPr>
            <w:tcW w:w="180" w:type="dxa"/>
            <w:vAlign w:val="bottom"/>
          </w:tcPr>
          <w:p>
            <w:pPr>
              <w:spacing w:after="0"/>
              <w:rPr>
                <w:sz w:val="14"/>
                <w:szCs w:val="14"/>
                <w:color w:val="auto"/>
              </w:rPr>
            </w:pPr>
          </w:p>
        </w:tc>
        <w:tc>
          <w:tcPr>
            <w:tcW w:w="9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(5,080)</w:t>
            </w:r>
          </w:p>
        </w:tc>
        <w:tc>
          <w:tcPr>
            <w:tcW w:w="220" w:type="dxa"/>
            <w:vAlign w:val="bottom"/>
          </w:tcPr>
          <w:p>
            <w:pPr>
              <w:spacing w:after="0"/>
              <w:rPr>
                <w:sz w:val="14"/>
                <w:szCs w:val="14"/>
                <w:color w:val="auto"/>
              </w:rPr>
            </w:pPr>
          </w:p>
        </w:tc>
        <w:tc>
          <w:tcPr>
            <w:tcW w:w="86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(1,168)</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(3,912)</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including guarantor lease obligations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(6,705)</w:t>
            </w:r>
          </w:p>
        </w:tc>
        <w:tc>
          <w:tcPr>
            <w:tcW w:w="360" w:type="dxa"/>
            <w:vAlign w:val="bottom"/>
          </w:tcPr>
          <w:p>
            <w:pPr>
              <w:spacing w:after="0"/>
              <w:rPr>
                <w:sz w:val="16"/>
                <w:szCs w:val="16"/>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(995)</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(5,710)</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Gain on sale of Gimlet Media</w:t>
            </w:r>
          </w:p>
        </w:tc>
        <w:tc>
          <w:tcPr>
            <w:tcW w:w="18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auto"/>
              </w:rPr>
              <w:t>(28,994)</w:t>
            </w:r>
          </w:p>
        </w:tc>
        <w:tc>
          <w:tcPr>
            <w:tcW w:w="220" w:type="dxa"/>
            <w:vAlign w:val="bottom"/>
          </w:tcPr>
          <w:p>
            <w:pPr>
              <w:spacing w:after="0"/>
              <w:rPr>
                <w:sz w:val="23"/>
                <w:szCs w:val="23"/>
                <w:color w:val="auto"/>
              </w:rPr>
            </w:pPr>
          </w:p>
        </w:tc>
        <w:tc>
          <w:tcPr>
            <w:tcW w:w="860" w:type="dxa"/>
            <w:vAlign w:val="bottom"/>
          </w:tcPr>
          <w:p>
            <w:pPr>
              <w:jc w:val="right"/>
              <w:ind w:right="83"/>
              <w:spacing w:after="0"/>
              <w:rPr>
                <w:sz w:val="20"/>
                <w:szCs w:val="20"/>
                <w:color w:val="auto"/>
              </w:rPr>
            </w:pPr>
            <w:r>
              <w:rPr>
                <w:rFonts w:ascii="Arial" w:cs="Arial" w:eastAsia="Arial" w:hAnsi="Arial"/>
                <w:sz w:val="15"/>
                <w:szCs w:val="15"/>
                <w:b w:val="1"/>
                <w:bCs w:val="1"/>
                <w:color w:val="auto"/>
              </w:rPr>
              <w:t>(7,248)</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(21,746)</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Gain on Kaplan University Transaction</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(4,315)</w:t>
            </w:r>
          </w:p>
        </w:tc>
        <w:tc>
          <w:tcPr>
            <w:tcW w:w="360" w:type="dxa"/>
            <w:vAlign w:val="bottom"/>
          </w:tcPr>
          <w:p>
            <w:pPr>
              <w:spacing w:after="0"/>
              <w:rPr>
                <w:sz w:val="23"/>
                <w:szCs w:val="23"/>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(2,472)</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(1,843)</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Foreign currency loss</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1,070</w:t>
            </w:r>
          </w:p>
        </w:tc>
        <w:tc>
          <w:tcPr>
            <w:tcW w:w="22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268</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802</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3,844</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923</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2,921</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Nonrecurring deferred state tax benefit related to the release of</w:t>
            </w:r>
          </w:p>
        </w:tc>
        <w:tc>
          <w:tcPr>
            <w:tcW w:w="180" w:type="dxa"/>
            <w:vAlign w:val="bottom"/>
          </w:tcPr>
          <w:p>
            <w:pPr>
              <w:spacing w:after="0"/>
              <w:rPr>
                <w:sz w:val="16"/>
                <w:szCs w:val="16"/>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8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valuation allowances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17,783</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(17,783)</w:t>
            </w:r>
          </w:p>
        </w:tc>
        <w:tc>
          <w:tcPr>
            <w:tcW w:w="0" w:type="dxa"/>
            <w:vAlign w:val="bottom"/>
          </w:tcPr>
          <w:p>
            <w:pPr>
              <w:spacing w:after="0"/>
              <w:rPr>
                <w:sz w:val="1"/>
                <w:szCs w:val="1"/>
                <w:color w:val="auto"/>
              </w:rPr>
            </w:pPr>
          </w:p>
        </w:tc>
      </w:tr>
      <w:tr>
        <w:trPr>
          <w:trHeight w:val="274"/>
        </w:trPr>
        <w:tc>
          <w:tcPr>
            <w:tcW w:w="4660" w:type="dxa"/>
            <w:vAlign w:val="bottom"/>
          </w:tcPr>
          <w:p>
            <w:pPr>
              <w:ind w:left="260"/>
              <w:spacing w:after="0"/>
              <w:rPr>
                <w:sz w:val="20"/>
                <w:szCs w:val="20"/>
                <w:color w:val="auto"/>
              </w:rPr>
            </w:pPr>
            <w:r>
              <w:rPr>
                <w:rFonts w:ascii="Arial" w:cs="Arial" w:eastAsia="Arial" w:hAnsi="Arial"/>
                <w:sz w:val="15"/>
                <w:szCs w:val="15"/>
                <w:color w:val="auto"/>
              </w:rPr>
              <w:t>Tax benefit related to stock compensation</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1,700</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(1,700)</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143"/>
              <w:spacing w:after="0"/>
              <w:rPr>
                <w:sz w:val="20"/>
                <w:szCs w:val="20"/>
                <w:color w:val="auto"/>
              </w:rPr>
            </w:pPr>
            <w:r>
              <w:rPr>
                <w:rFonts w:ascii="Arial" w:cs="Arial" w:eastAsia="Arial" w:hAnsi="Arial"/>
                <w:sz w:val="15"/>
                <w:szCs w:val="15"/>
                <w:color w:val="auto"/>
              </w:rPr>
              <w:t>1,810</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w:t>
            </w:r>
          </w:p>
        </w:tc>
        <w:tc>
          <w:tcPr>
            <w:tcW w:w="0" w:type="dxa"/>
            <w:vAlign w:val="bottom"/>
          </w:tcPr>
          <w:p>
            <w:pPr>
              <w:spacing w:after="0"/>
              <w:rPr>
                <w:sz w:val="1"/>
                <w:szCs w:val="1"/>
                <w:color w:val="auto"/>
              </w:rPr>
            </w:pPr>
          </w:p>
        </w:tc>
      </w:tr>
      <w:tr>
        <w:trPr>
          <w:trHeight w:val="248"/>
        </w:trPr>
        <w:tc>
          <w:tcPr>
            <w:tcW w:w="4660" w:type="dxa"/>
            <w:vAlign w:val="bottom"/>
          </w:tcPr>
          <w:p>
            <w:pPr>
              <w:ind w:left="20"/>
              <w:spacing w:after="0"/>
              <w:rPr>
                <w:sz w:val="20"/>
                <w:szCs w:val="20"/>
                <w:color w:val="auto"/>
              </w:rPr>
            </w:pPr>
            <w:r>
              <w:rPr>
                <w:rFonts w:ascii="Arial" w:cs="Arial" w:eastAsia="Arial" w:hAnsi="Arial"/>
                <w:sz w:val="15"/>
                <w:szCs w:val="15"/>
                <w:color w:val="auto"/>
              </w:rPr>
              <w:t>Net Income, adjusted (non-GAAP)</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176,242</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255,009</w:t>
            </w:r>
          </w:p>
        </w:tc>
        <w:tc>
          <w:tcPr>
            <w:tcW w:w="0" w:type="dxa"/>
            <w:vAlign w:val="bottom"/>
          </w:tcPr>
          <w:p>
            <w:pPr>
              <w:spacing w:after="0"/>
              <w:rPr>
                <w:sz w:val="1"/>
                <w:szCs w:val="1"/>
                <w:color w:val="auto"/>
              </w:rPr>
            </w:pPr>
          </w:p>
        </w:tc>
      </w:tr>
      <w:tr>
        <w:trPr>
          <w:trHeight w:val="289"/>
        </w:trPr>
        <w:tc>
          <w:tcPr>
            <w:tcW w:w="466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180"/>
              <w:spacing w:after="0"/>
              <w:rPr>
                <w:sz w:val="20"/>
                <w:szCs w:val="20"/>
                <w:color w:val="auto"/>
              </w:rPr>
            </w:pPr>
            <w:r>
              <w:rPr>
                <w:rFonts w:ascii="Arial" w:cs="Arial" w:eastAsia="Arial" w:hAnsi="Arial"/>
                <w:sz w:val="15"/>
                <w:szCs w:val="15"/>
                <w:b w:val="1"/>
                <w:bCs w:val="1"/>
                <w:color w:val="auto"/>
              </w:rPr>
              <w:t>Company Common Stockholders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66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61.21</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50.20</w:t>
            </w:r>
          </w:p>
        </w:tc>
        <w:tc>
          <w:tcPr>
            <w:tcW w:w="0" w:type="dxa"/>
            <w:vAlign w:val="bottom"/>
          </w:tcPr>
          <w:p>
            <w:pPr>
              <w:spacing w:after="0"/>
              <w:rPr>
                <w:sz w:val="1"/>
                <w:szCs w:val="1"/>
                <w:color w:val="auto"/>
              </w:rPr>
            </w:pPr>
          </w:p>
        </w:tc>
      </w:tr>
      <w:tr>
        <w:trPr>
          <w:trHeight w:val="249"/>
        </w:trPr>
        <w:tc>
          <w:tcPr>
            <w:tcW w:w="46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Provision related to a VAT receivable</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2.59</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(1.70)</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(0.55)</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Intangible asset impairment charges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1.12</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Interest expense related to the settlement of a mandatorily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redeemable noncontrolling interest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Debt extinguishment costs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Settlement gain related to retiree annuity pension purchase</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(12.50)</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Charges related to non-operating SIP at the education division</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0.95</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 and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curtailment gain related to postretirement healthcare benefit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plan</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(4.11)</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Net (gains) losses on marketable equity securities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(13.82)</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Non-operating gain, net, from cost and equity method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investments and related to sales of land and businesses,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(0.73)</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including guarantor lease obligations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Gain on sale of Gimlet Media</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(4.06)</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Gain on Kaplan University Transaction</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(0.33)</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Foreign currency loss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0.15</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0.54</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Nonrecurring deferred state tax benefit related to the release of</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valuation allowances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74"/>
        </w:trPr>
        <w:tc>
          <w:tcPr>
            <w:tcW w:w="4660" w:type="dxa"/>
            <w:vAlign w:val="bottom"/>
          </w:tcPr>
          <w:p>
            <w:pPr>
              <w:ind w:left="260"/>
              <w:spacing w:after="0"/>
              <w:rPr>
                <w:sz w:val="20"/>
                <w:szCs w:val="20"/>
                <w:color w:val="auto"/>
              </w:rPr>
            </w:pPr>
            <w:r>
              <w:rPr>
                <w:rFonts w:ascii="Arial" w:cs="Arial" w:eastAsia="Arial" w:hAnsi="Arial"/>
                <w:sz w:val="15"/>
                <w:szCs w:val="15"/>
                <w:color w:val="auto"/>
              </w:rPr>
              <w:t>Tax benefit related to stock compensation</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(0.32)</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(0.33)</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5"/>
                <w:szCs w:val="15"/>
                <w:color w:val="auto"/>
              </w:rPr>
              <w:t>Diluted income per common share, adjusted (non-GAAP)</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32.89</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47.23</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 #</w:t>
      </w:r>
    </w:p>
    <w:sectPr>
      <w:pgSz w:w="11900" w:h="16838" w:orient="portrait"/>
      <w:cols w:equalWidth="0" w:num="1">
        <w:col w:w="11360"/>
      </w:cols>
      <w:pgMar w:left="280" w:top="716" w:right="259" w:bottom="6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2020-02-26T08:18:02Z</dcterms:created>
  <dcterms:modified xsi:type="dcterms:W3CDTF">2020-02-26T08:18:02Z</dcterms:modified>
</cp:coreProperties>
</file>