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8"/>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15"/>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59"/>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9"/>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19"/>
                <w:szCs w:val="19"/>
                <w:color w:val="auto"/>
              </w:rPr>
            </w:pPr>
          </w:p>
        </w:tc>
      </w:tr>
      <w:tr>
        <w:trPr>
          <w:trHeight w:val="357"/>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80" w:type="dxa"/>
            <w:vAlign w:val="bottom"/>
            <w:gridSpan w:val="3"/>
          </w:tcPr>
          <w:p>
            <w:pPr>
              <w:jc w:val="center"/>
              <w:ind w:right="620"/>
              <w:spacing w:after="0"/>
              <w:rPr>
                <w:sz w:val="20"/>
                <w:szCs w:val="20"/>
                <w:color w:val="auto"/>
              </w:rPr>
            </w:pPr>
            <w:r>
              <w:rPr>
                <w:rFonts w:ascii="Arial" w:cs="Arial" w:eastAsia="Arial" w:hAnsi="Arial"/>
                <w:sz w:val="16"/>
                <w:szCs w:val="16"/>
                <w:color w:val="auto"/>
              </w:rPr>
              <w:t>Trading Symbol(s)</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3"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14" w:lineRule="exact"/>
        <w:rPr>
          <w:sz w:val="24"/>
          <w:szCs w:val="24"/>
          <w:color w:val="auto"/>
        </w:rPr>
      </w:pPr>
    </w:p>
    <w:p>
      <w:pPr>
        <w:ind w:right="420"/>
        <w:spacing w:after="0" w:line="213"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6"/>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28, 2022:</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3,837,643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(Loss)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41</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588,166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515,280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1,708,848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1,509,986</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424,272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294,156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1,151,613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813,057</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1,012,438</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809,436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2,860,461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2,323,043</w:t>
            </w: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342,138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307,138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996,821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906,555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352,619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241,539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945,265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647,218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223,857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215,891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676,563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587,181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19,657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18,741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58,545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51,886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14,635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15,981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44,436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43,807</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26,753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31,568</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952,906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826,043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2,721,630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2,268,215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59,532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138,831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54,828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12,964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2,920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28,168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803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2,214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(11,579)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(38,969)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(25,144)</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50,687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27,561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152,063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81,564</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(54,250)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14,069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(172,878)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176,981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2,358</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6,410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46,440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33,783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90,591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346,744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12,600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26,800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78,500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33,840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39,683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63,791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268,244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32,780</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39,586</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60,919</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267,394</w:t>
            </w:r>
          </w:p>
        </w:tc>
        <w:tc>
          <w:tcPr>
            <w:tcW w:w="0" w:type="dxa"/>
            <w:vAlign w:val="bottom"/>
          </w:tcPr>
          <w:p>
            <w:pPr>
              <w:spacing w:after="0"/>
              <w:rPr>
                <w:sz w:val="1"/>
                <w:szCs w:val="1"/>
                <w:color w:val="auto"/>
              </w:rPr>
            </w:pPr>
          </w:p>
        </w:tc>
      </w:tr>
      <w:tr>
        <w:trPr>
          <w:trHeight w:val="208"/>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53.49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4,808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4,841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6.76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53.33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4,820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4,977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4,853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680" w:type="dxa"/>
            <w:vAlign w:val="bottom"/>
          </w:tcPr>
          <w:p>
            <w:pPr>
              <w:spacing w:after="0"/>
              <w:rPr>
                <w:sz w:val="17"/>
                <w:szCs w:val="17"/>
                <w:color w:val="auto"/>
              </w:rPr>
            </w:pPr>
          </w:p>
        </w:tc>
        <w:tc>
          <w:tcPr>
            <w:tcW w:w="2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September 30</w:t>
            </w:r>
          </w:p>
        </w:tc>
        <w:tc>
          <w:tcPr>
            <w:tcW w:w="226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668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2021</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640"/>
        <w:spacing w:after="0" w:line="339" w:lineRule="auto"/>
        <w:rPr>
          <w:sz w:val="20"/>
          <w:szCs w:val="20"/>
          <w:color w:val="auto"/>
        </w:rPr>
      </w:pPr>
      <w:r>
        <w:rPr>
          <w:rFonts w:ascii="Arial" w:cs="Arial" w:eastAsia="Arial" w:hAnsi="Arial"/>
          <w:sz w:val="16"/>
          <w:szCs w:val="16"/>
          <w:color w:val="auto"/>
        </w:rPr>
        <w:t>Amortization of net prior service cost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(Loss)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33,840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39,683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63,791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268,244</w:t>
            </w:r>
          </w:p>
        </w:tc>
      </w:tr>
      <w:tr>
        <w:trPr>
          <w:trHeight w:val="688"/>
        </w:trPr>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(44,260)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(16,033)</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(86,926)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(15,352)</w:t>
            </w:r>
          </w:p>
        </w:tc>
      </w:tr>
      <w:tr>
        <w:trPr>
          <w:trHeight w:val="459"/>
        </w:trPr>
        <w:tc>
          <w:tcPr>
            <w:tcW w:w="26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716</w:t>
            </w:r>
          </w:p>
        </w:tc>
        <w:tc>
          <w:tcPr>
            <w:tcW w:w="3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2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2,148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(18,083)</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(53,939)</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w:t>
            </w:r>
          </w:p>
        </w:tc>
      </w:tr>
      <w:tr>
        <w:trPr>
          <w:trHeight w:val="220"/>
        </w:trPr>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(17,367)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(51,791)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2,202</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4,935</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20"/>
        </w:trPr>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(59,425)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(16,137)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(133,782)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(16,591)</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3,970</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12,213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223"/>
        </w:trPr>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(55,455)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(121,569)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(16,249)</w:t>
            </w:r>
          </w:p>
        </w:tc>
      </w:tr>
      <w:tr>
        <w:trPr>
          <w:trHeight w:val="220"/>
        </w:trPr>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(21,615)</w:t>
            </w:r>
          </w:p>
        </w:tc>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23,557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(57,778)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251,995</w:t>
            </w:r>
          </w:p>
        </w:tc>
      </w:tr>
      <w:tr>
        <w:trPr>
          <w:trHeight w:val="233"/>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r>
      <w:tr>
        <w:trPr>
          <w:trHeight w:val="223"/>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23,460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(60,650)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251,145</w:t>
            </w:r>
          </w:p>
        </w:tc>
      </w:tr>
      <w:tr>
        <w:trPr>
          <w:trHeight w:val="24"/>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140" w:space="560"/>
            <w:col w:w="454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149,773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145,886</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20,436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12,175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610,756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537,561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209,804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87,166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21,934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32,744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1,639,373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1,847,174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468,173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468,126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421,303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437,969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169,422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1,631,440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174,915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142,180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202,260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2,392,746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6,896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$646 and $782 of restricted cash)</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170,603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163,516</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7,277,131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556,646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362,351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358,720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2,551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70,100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77,655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141,802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7,606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1,141,056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1,166,338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155,966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175,391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33,741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36,497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668,964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676,706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27,142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387,142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405,200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568,534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2,982,545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2,999,545</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17,625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394,609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389,456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7,156,952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7,126,761</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(93,224)</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(6,298)</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940,714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979,157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2,329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(4,161,672)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(4,108,022)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4,259,708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4,399,583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17,253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12,086</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4,276,961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4,411,669</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7,277,131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63,791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268,244</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102,981</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127,261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51,344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55,246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(136,411)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(68,644)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172,318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(179,737)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(2,177)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(14,406)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2,831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4,552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1,973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5,167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(11,364)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9,189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43,580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(3,898)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(4,325)</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58,940</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(27,350)</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(47,486)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21,117</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(33,994)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(7,979)</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36,676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33,561</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(7,495)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10,724</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(59,612)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(61,775)</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(19,698)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4,674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203,665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197,271</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(130,177)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(272,428)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74,233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38,308</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(57,097)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(140,935)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(48,036)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(30,075)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5,580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8,771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(171,645)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(420,456)</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77,299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22,684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(54,581)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(21,840)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(23,122)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(22,659)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(repayments of)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11,688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(15,035)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borrowings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37,696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(10,564)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(16,878)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(4,731)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(30,866)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4,391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1,531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(8,184)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(48,025)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12,012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(274,118)</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158,843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423,054</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170,855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148,936</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1"/>
                <w:szCs w:val="11"/>
                <w:color w:val="auto"/>
              </w:rPr>
              <w:t>Income</w:t>
            </w:r>
          </w:p>
        </w:tc>
        <w:tc>
          <w:tcPr>
            <w:tcW w:w="180" w:type="dxa"/>
            <w:vAlign w:val="bottom"/>
          </w:tcPr>
          <w:p>
            <w:pPr>
              <w:spacing w:after="0"/>
              <w:rPr>
                <w:sz w:val="13"/>
                <w:szCs w:val="13"/>
                <w:color w:val="auto"/>
              </w:rPr>
            </w:pPr>
          </w:p>
        </w:tc>
        <w:tc>
          <w:tcPr>
            <w:tcW w:w="86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389,456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7,126,761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971,388</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(4,108,022)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12,086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4,411,669</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14,311</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96,566</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96,566</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(357)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(15,497)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(15,497)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(9,527)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1,437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1,677</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(13,135)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391,133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7,206,888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958,253</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(4,116,112)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12,779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4,472,941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14,331</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(66,615)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(66,615)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(7,656)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(24,776)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(24,776)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(462)</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2,302</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2,302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(52,979)</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(52,979)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June 30, 2022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392,973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7,131,747</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905,274</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(4,141,303)</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13,552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4,322,243</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16,500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33,840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33,840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2,960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2,960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Redeemable noncontrolling interest capital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contribution</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(1,049)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1,049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w:t>
            </w: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61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(369)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(369)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(7,575)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(7,575)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(20,278)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(20,278)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Forfeiture of restricted stock awards, net of Class B</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(203)</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common stock issuances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1,748</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1,748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(55,455)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(55,455)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September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394,609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7,156,952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849,819</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(4,161,672)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4,276,961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17,625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388,159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6,804,822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603,314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(4,056,993)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7,091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3,766,393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11,928</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112,635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112,635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761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(15,106)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(15,106)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(5,188)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1,589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(1,203)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385,257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6,902,166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602,111</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(4,051,909)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7,214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3,864,839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7,786</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115,926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115,926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131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(7,553)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(7,553)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1,080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386,882</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7,009,971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603,191</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(4,051,958)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7,826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3,975,912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7,720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39,683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39,683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1,750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1,750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372</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(7,496)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(7,496)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(21,840)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(21,840)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(16,126)</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(16,126)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388,386</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7,042,061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587,065</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(4,073,677)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3,973,738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Graham Holdings Company (the Company), is a diversified education and media company. The Company’s Kaplan subsidiary provides a wide variety of educational services, both domestically and outside the United States (U.S.). The Company’s media operations comprise the</w:t>
      </w:r>
    </w:p>
    <w:p>
      <w:pPr>
        <w:spacing w:after="0" w:line="235" w:lineRule="auto"/>
        <w:rPr>
          <w:sz w:val="20"/>
          <w:szCs w:val="20"/>
          <w:color w:val="auto"/>
        </w:rPr>
      </w:pPr>
      <w:r>
        <w:rPr>
          <w:rFonts w:ascii="Arial" w:cs="Arial" w:eastAsia="Arial" w:hAnsi="Arial"/>
          <w:sz w:val="18"/>
          <w:szCs w:val="18"/>
          <w:color w:val="auto"/>
        </w:rPr>
        <w:t>ownership and operation of seven television broadcasting stations, several websites and print publications, podcast content and a marketing</w:t>
      </w:r>
    </w:p>
    <w:p>
      <w:pPr>
        <w:ind w:right="420"/>
        <w:spacing w:after="0" w:line="237" w:lineRule="auto"/>
        <w:rPr>
          <w:sz w:val="20"/>
          <w:szCs w:val="20"/>
          <w:color w:val="auto"/>
        </w:rPr>
      </w:pPr>
      <w:r>
        <w:rPr>
          <w:rFonts w:ascii="Arial" w:cs="Arial" w:eastAsia="Arial" w:hAnsi="Arial"/>
          <w:sz w:val="18"/>
          <w:szCs w:val="18"/>
          <w:color w:val="auto"/>
        </w:rPr>
        <w:t>solutions provider. The Company’s other business operations include manufacturing, automotive dealerships, consumer internet brands, restaurants and entertainment venues, custom framing services and home health and hospice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2022 and 2021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2021.</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2022, the Company acquired seven businesses: five in healthcare and two in automotive, for $142.8 million in cash</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and contingent 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Graham Healthcare Group (GHG) acquired two small businesses which are included in healthcare.</w:t>
      </w:r>
    </w:p>
    <w:p>
      <w:pPr>
        <w:spacing w:after="0" w:line="15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July 2022, GHG acquired a 100% interest in a multi-state provider of Applied Behavior Analysis clinics. The acquisition is expected to expand the product offerings of the healthcare division and is included in healthcare.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operations. In addition to a cash payment and the assumption of $10.9 million in floor plan payables, the automotive subsidiary borrowed $77.4 million to finance the acquisition. The dealerships are operated and managed by an entity affiliated with Christopher J. Ourisman, a</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member of the Ourisman Automotive Group family of dealerships. These acquisitions expand the Company’s automotive business operations and will be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2021, the Company acquired six businesses: two in education, two in healthcare, one in automotive, and one in other businesses for</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$392.4 million in cash and contingent consideration and the assumption of floor plan payables. The assets and liabilities of the companies acquired were recorded at their estimated fair values at the date of the acquisition.</w:t>
      </w:r>
    </w:p>
    <w:p>
      <w:pPr>
        <w:spacing w:after="0" w:line="1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On June 14, 2021, the Company acquired all of the outstanding common shares of Leaf Group Ltd. (Leaf) for $308.6 million in cash and the assumption of $9.2 million in liabilities related to their previous stock compensation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plan, which will be paid in the future. Leaf is a consumer internet company that builds creator-driven brands in lifestyle and home and art</w:t>
      </w:r>
    </w:p>
    <w:p>
      <w:pPr>
        <w:spacing w:after="0" w:line="14"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design categories. The acquisition is expected to provide benefits in the future by diversifying the Company’s business operations and providing operating synergies with other business units. The Company includes Leaf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small business in November 2021. These acquisitions are expected to build upon Kaplan’s existing customer base in the medical and test preparation fields. Both businesses are included in Kaplan’s supplemental education division.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GHG acquired two businesses, a home health business in Florida and a 50.1% interest in Weiss, a physician practice</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specializing in allergies, asthma and immunology. The minority shareholder of Weiss has an option to put 10% of the shares to the Company annually starting in 2026 and may put all of the shares starting in 2033. The fair value of the redeemable noncontrolling interest in Weiss was</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$6.6 million at the acquisition date, determined using an income approach. These acquisitions are expected to expand the market the healthcare division serves and are included in healthcare.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$16.6 million in floor plan payables (see Note 5). In connection with the acquisition, the automotive subsidiary of the Company borrowed</w:t>
      </w:r>
    </w:p>
    <w:p>
      <w:pPr>
        <w:ind w:right="180"/>
        <w:spacing w:after="0" w:line="226" w:lineRule="auto"/>
        <w:rPr>
          <w:sz w:val="20"/>
          <w:szCs w:val="20"/>
          <w:color w:val="auto"/>
        </w:rPr>
      </w:pPr>
      <w:r>
        <w:rPr>
          <w:rFonts w:ascii="Arial" w:cs="Arial" w:eastAsia="Arial" w:hAnsi="Arial"/>
          <w:sz w:val="18"/>
          <w:szCs w:val="18"/>
          <w:color w:val="auto"/>
        </w:rPr>
        <w:t>$22.5 million to finance the acquisition. The dealership is operated and managed by an entity affiliated with Christopher J. Ourisman, a member of the Ourisman Automotive Group family of dealerships. The acquisition expands the Company’s automotive business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is included in automotive.</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Acquisition-related costs for acquisitions that closed during the first nine months of 2022 and 2021 were $ 1.6 million in each period and were expensed as incurred. The aggregate purchase price of the 2022 and 2021 acquisitions was allocated as follows (2022 on a preliminary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jc w:val="right"/>
              <w:ind w:right="301"/>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7"/>
                <w:szCs w:val="17"/>
                <w:color w:val="auto"/>
              </w:rPr>
            </w:pPr>
          </w:p>
        </w:tc>
        <w:tc>
          <w:tcPr>
            <w:tcW w:w="1860" w:type="dxa"/>
            <w:vAlign w:val="bottom"/>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0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17,878</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21,278</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36,254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13,126</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5,397</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25,890</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56,902</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204,151</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41,800</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22,200</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1,200</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99,800</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474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4,911</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241</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44,975</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(10,908)</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(16,636)</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(3,798)</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(52,567)</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(6,482)</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(2,164)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(6,616)</w:t>
            </w:r>
          </w:p>
        </w:tc>
      </w:tr>
      <w:tr>
        <w:trPr>
          <w:trHeight w:val="233"/>
        </w:trPr>
        <w:tc>
          <w:tcPr>
            <w:tcW w:w="70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0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141,708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356,902</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2021 fair values include measurement period adjustments related to accounts receivable, goodwill, amortized intangible assets, current</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and noncurrent lease liabilities, deferred income taxes and contingent consideration. The 2022 fair values recorded were based upon preliminary valuations and the estimates and assumptions used in such valuations are subject to change within the measurement period (up</w:t>
      </w:r>
    </w:p>
    <w:p>
      <w:pPr>
        <w:spacing w:after="0" w:line="236" w:lineRule="auto"/>
        <w:rPr>
          <w:sz w:val="20"/>
          <w:szCs w:val="20"/>
          <w:color w:val="auto"/>
        </w:rPr>
      </w:pPr>
      <w:r>
        <w:rPr>
          <w:rFonts w:ascii="Arial" w:cs="Arial" w:eastAsia="Arial" w:hAnsi="Arial"/>
          <w:sz w:val="18"/>
          <w:szCs w:val="18"/>
          <w:color w:val="auto"/>
        </w:rPr>
        <w:t>to one year from the acquisition date). The recording of deferred tax assets and liabilities, working capital and the amounts of residual</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w:t>
      </w:r>
    </w:p>
    <w:p>
      <w:pPr>
        <w:spacing w:after="0" w:line="236" w:lineRule="auto"/>
        <w:rPr>
          <w:sz w:val="20"/>
          <w:szCs w:val="20"/>
          <w:color w:val="auto"/>
        </w:rPr>
      </w:pPr>
      <w:r>
        <w:rPr>
          <w:rFonts w:ascii="Arial" w:cs="Arial" w:eastAsia="Arial" w:hAnsi="Arial"/>
          <w:sz w:val="18"/>
          <w:szCs w:val="18"/>
          <w:color w:val="auto"/>
        </w:rPr>
        <w:t>and separately recognized. The goodwill recorded due to these acquisitions is attributable to the assembled workforces of the acquired</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companies and expected synergies. The Company expects to deduct $38.0 million and $80.1 million of goodwill for income tax purposes for the acquisitions completed in 2022 and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w:t>
      </w:r>
    </w:p>
    <w:p>
      <w:pPr>
        <w:spacing w:after="0" w:line="14"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Company’s Condensed Consolidated Statements of Operations for the third quarter of 2022 include aggregate revenues and operating income for the companies acquired in 2022 of $73.2 million and $2.4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million, respectively. The Company’s Condensed Consolidated Statements of Operations include aggregate revenues and operating income</w:t>
      </w:r>
    </w:p>
    <w:p>
      <w:pPr>
        <w:spacing w:after="0" w:line="1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of $74.7 million and $2.2 million, respectively, for the first nine months of 2022. The following unaudited pro forma financial information presents the Company’s results as if the current year acquisitions had occurred at the beginning of 2021. The unaudited pro forma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also includes the 2021 acquisitions as if they occurred at the beginning of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2021</w:t>
            </w:r>
          </w:p>
        </w:tc>
      </w:tr>
      <w:tr>
        <w:trPr>
          <w:trHeight w:val="223"/>
        </w:trPr>
        <w:tc>
          <w:tcPr>
            <w:tcW w:w="54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1,012,438</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948,465</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3,026,240</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2,830,653</w:t>
            </w:r>
          </w:p>
        </w:tc>
      </w:tr>
      <w:tr>
        <w:trPr>
          <w:trHeight w:val="229"/>
        </w:trPr>
        <w:tc>
          <w:tcPr>
            <w:tcW w:w="5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34,827</w:t>
            </w:r>
          </w:p>
        </w:tc>
        <w:tc>
          <w:tcPr>
            <w:tcW w:w="56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49,563</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74,491</w:t>
            </w:r>
          </w:p>
        </w:tc>
        <w:tc>
          <w:tcPr>
            <w:tcW w:w="5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283,499</w:t>
            </w:r>
          </w:p>
        </w:tc>
      </w:tr>
    </w:tbl>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September 30, 2022, the Company had money market investments of $ 5.3 million that are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in the Company’s Condensed Consolidated Balance Sheets. The Company had no money market investments as of December 31,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273,047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273,201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336,830</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537,915</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(12,421)</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597,456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At September 30, 2022 and December 31, 2021, the Company owned 55,430 and 44,430 shares in Markel Corporation (Markel) valued at $60.1 million and $54.8 million, respectively. The Co-Chief Executive Officer of Markel, Mr. Thomas S. Gayner, is a member of the</w:t>
      </w:r>
    </w:p>
    <w:p>
      <w:pPr>
        <w:ind w:right="760"/>
        <w:spacing w:after="0" w:line="237" w:lineRule="auto"/>
        <w:rPr>
          <w:sz w:val="20"/>
          <w:szCs w:val="20"/>
          <w:color w:val="auto"/>
        </w:rPr>
      </w:pPr>
      <w:r>
        <w:rPr>
          <w:rFonts w:ascii="Arial" w:cs="Arial" w:eastAsia="Arial" w:hAnsi="Arial"/>
          <w:sz w:val="18"/>
          <w:szCs w:val="18"/>
          <w:color w:val="auto"/>
        </w:rPr>
        <w:t>Company’s Board of Directors. As of September 30, 2022, there was no marketable equity security holding that exceeded 5% of the Company’s total assets.</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purchased $35.1 million of marketable equity securities during the first nine months of 2022. The Company purchased $48.0 million of marketable equity securities during the first nine months of 2021.</w:t>
      </w:r>
    </w:p>
    <w:p>
      <w:pPr>
        <w:spacing w:after="0" w:line="8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During the first nine months of 2022, the gross cumulative realized gains from the sales of marketable equity securities were $39.5 million. The total proceeds from such sales were $74.2 million. During the first nine months of 2021, the gross cumulative realized gains from the sales of marketable equity securities were $27.7 million. The total proceeds from such sales were $38.3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2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b w:val="1"/>
                <w:bCs w:val="1"/>
                <w:color w:val="auto"/>
              </w:rPr>
              <w:t>(54,250)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14,069</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(172,878)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176,981</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137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10,742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161"/>
        </w:trPr>
        <w:tc>
          <w:tcPr>
            <w:tcW w:w="6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(losses) gains in earnings from marketable equity securities still held</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(54,113)</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14,480</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(162,136)</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169,231</w:t>
            </w:r>
          </w:p>
        </w:tc>
        <w:tc>
          <w:tcPr>
            <w:tcW w:w="0" w:type="dxa"/>
            <w:vAlign w:val="bottom"/>
          </w:tcPr>
          <w:p>
            <w:pPr>
              <w:spacing w:after="0"/>
              <w:rPr>
                <w:sz w:val="1"/>
                <w:szCs w:val="1"/>
                <w:color w:val="auto"/>
              </w:rPr>
            </w:pPr>
          </w:p>
        </w:tc>
      </w:tr>
      <w:tr>
        <w:trPr>
          <w:trHeight w:val="208"/>
        </w:trPr>
        <w:tc>
          <w:tcPr>
            <w:tcW w:w="6640" w:type="dxa"/>
            <w:vAlign w:val="bottom"/>
          </w:tcPr>
          <w:p>
            <w:pPr>
              <w:ind w:left="180"/>
              <w:spacing w:after="0"/>
              <w:rPr>
                <w:sz w:val="20"/>
                <w:szCs w:val="20"/>
                <w:color w:val="auto"/>
              </w:rPr>
            </w:pPr>
            <w:r>
              <w:rPr>
                <w:rFonts w:ascii="Arial" w:cs="Arial" w:eastAsia="Arial" w:hAnsi="Arial"/>
                <w:sz w:val="16"/>
                <w:szCs w:val="16"/>
                <w:b w:val="1"/>
                <w:bCs w:val="1"/>
                <w:color w:val="auto"/>
              </w:rPr>
              <w:t>at the end of the period</w:t>
            </w: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2022, the Company held an approximate 12% interest in Intersection Holdings, LLC</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(Intersection), and accounts for its investment under the equity method. The Company holds two of the ten seats of Intersection’s governing board, which allows the Company to exercise significant influence over Intersection. As of September 30, 2022, the Company also held</w:t>
      </w:r>
    </w:p>
    <w:p>
      <w:pPr>
        <w:spacing w:after="0" w:line="236" w:lineRule="auto"/>
        <w:rPr>
          <w:sz w:val="20"/>
          <w:szCs w:val="20"/>
          <w:color w:val="auto"/>
        </w:rPr>
      </w:pPr>
      <w:r>
        <w:rPr>
          <w:rFonts w:ascii="Arial" w:cs="Arial" w:eastAsia="Arial" w:hAnsi="Arial"/>
          <w:sz w:val="18"/>
          <w:szCs w:val="18"/>
          <w:color w:val="auto"/>
        </w:rPr>
        <w:t>investments in several other affiliates; GHG held a 40% interest in Residential Home Health Illinois, a 40% interest in Residential Hospice</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Illinois, a 40% interest in the joint venture formed between GHG and a Michigan hospital, and a 40% interest in the joint venture formed between GHG and Allegheny Health Network (AHN). During the first quarter of 2022, GHG invested an additional $18.5 million in the</w:t>
      </w:r>
    </w:p>
    <w:p>
      <w:pPr>
        <w:spacing w:after="0" w:line="235" w:lineRule="auto"/>
        <w:rPr>
          <w:sz w:val="20"/>
          <w:szCs w:val="20"/>
          <w:color w:val="auto"/>
        </w:rPr>
      </w:pPr>
      <w:r>
        <w:rPr>
          <w:rFonts w:ascii="Arial" w:cs="Arial" w:eastAsia="Arial" w:hAnsi="Arial"/>
          <w:sz w:val="18"/>
          <w:szCs w:val="18"/>
          <w:color w:val="auto"/>
        </w:rPr>
        <w:t>Residential Home Health Illinois and Residential Hospice Illinois affiliates to fund their acquisition of certain home health and hospice assets</w:t>
      </w:r>
    </w:p>
    <w:p>
      <w:pPr>
        <w:ind w:right="220"/>
        <w:spacing w:after="0" w:line="226" w:lineRule="auto"/>
        <w:rPr>
          <w:sz w:val="20"/>
          <w:szCs w:val="20"/>
          <w:color w:val="auto"/>
        </w:rPr>
      </w:pPr>
      <w:r>
        <w:rPr>
          <w:rFonts w:ascii="Arial" w:cs="Arial" w:eastAsia="Arial" w:hAnsi="Arial"/>
          <w:sz w:val="18"/>
          <w:szCs w:val="18"/>
          <w:color w:val="auto"/>
        </w:rPr>
        <w:t>of the NorthShore University HealthSystem. The transaction diluted GHG’s interest in Residential Hospice Illinois resulting in a $0.6 million gain on the sale of investment in affiliate (see Note 12). For the three and nine months ended September 30, 2022, the Company recorded</w:t>
      </w:r>
    </w:p>
    <w:p>
      <w:pPr>
        <w:spacing w:after="0" w:line="236" w:lineRule="auto"/>
        <w:rPr>
          <w:sz w:val="20"/>
          <w:szCs w:val="20"/>
          <w:color w:val="auto"/>
        </w:rPr>
      </w:pPr>
      <w:r>
        <w:rPr>
          <w:rFonts w:ascii="Arial" w:cs="Arial" w:eastAsia="Arial" w:hAnsi="Arial"/>
          <w:sz w:val="18"/>
          <w:szCs w:val="18"/>
          <w:color w:val="auto"/>
        </w:rPr>
        <w:t>$3.5 million and $10.5 million, respectively, in revenue for services provided to the affiliates of GHG. For the three and nine months ended</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September 30, 2021, the Company recorded $2.8 million and $8.0 million, respectively, in revenue for services provided to the affiliates of GHG.</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$54.5 million and $52.5 million in its investment account that represents cumulative undistributed income in its investments in affiliates as of September 30, 2022 and December 31, 2021, respectively.</w:t>
      </w:r>
    </w:p>
    <w:p>
      <w:pPr>
        <w:spacing w:after="0" w:line="8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the third quarter of 2021, the Company recorded an impairment charge of $6.6 million on one of its investments in affiliates as a result of the challenging economic environment for this business following an announcement by the Chinese government to reform the education sector for private education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joint venture £22 million, which loan is repayable over 25 years at an interest rate of 7% and guaranteed by the University of York. The outstanding balance on this loan was £20.4 million as of September 30, 2022. The loan is repayable by December 2041.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$54.9 million and $48.9 million as of</w:t>
      </w:r>
    </w:p>
    <w:p>
      <w:pPr>
        <w:spacing w:after="0" w:line="236" w:lineRule="auto"/>
        <w:rPr>
          <w:sz w:val="20"/>
          <w:szCs w:val="20"/>
          <w:color w:val="auto"/>
        </w:rPr>
      </w:pPr>
      <w:r>
        <w:rPr>
          <w:rFonts w:ascii="Arial" w:cs="Arial" w:eastAsia="Arial" w:hAnsi="Arial"/>
          <w:sz w:val="18"/>
          <w:szCs w:val="18"/>
          <w:color w:val="auto"/>
        </w:rPr>
        <w:t>September 30, 2022 and December 31, 2021, respectively. During the three and nine months ended September 30, 2022, the Company</w:t>
      </w:r>
    </w:p>
    <w:p>
      <w:pPr>
        <w:spacing w:after="0" w:line="1"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recorded gains of $ 0.6 million to those equity securities based on observable transactions. During the first nine months of 2021, the Company recorded gains of $10.5 million to those equity securities based on observable transactions.</w:t>
      </w:r>
    </w:p>
    <w:p>
      <w:pPr>
        <w:spacing w:after="0" w:line="127" w:lineRule="exact"/>
        <w:rPr>
          <w:sz w:val="20"/>
          <w:szCs w:val="20"/>
          <w:color w:val="auto"/>
        </w:rPr>
      </w:pPr>
    </w:p>
    <w:p>
      <w:pPr>
        <w:ind w:right="436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$20,930 and $21,836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509,527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589,582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28,034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17,889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537,561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Credit loss expense was $0.6 million and $1.7 million for the three months ended September 30, 2022 and 2021, respectively. Credit loss expense was $2.8 million and $4.2 million for the nine months ended September 30, 2022 and 2021,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b w:val="1"/>
                <w:bCs w:val="1"/>
                <w:color w:val="auto"/>
              </w:rPr>
              <w:t>118,061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126,985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b w:val="1"/>
                <w:bCs w:val="1"/>
                <w:color w:val="auto"/>
              </w:rPr>
              <w:t>151,865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179,307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286,720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277,337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556,646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Cash overdrafts of $9.9 million and $5.5 million are included in accounts payable as of September 30, 2022 and December 31, 2021,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3940"/>
        <w:spacing w:after="0" w:line="451"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68,728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54,944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14,973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11,506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124,816</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72,796</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1,287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209,804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(Truist floor</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plan facility) and Ford Motor Credit Company (Ford floor plan facility). The Truist floor plan facility bears interest at variable rates that are based on Secured Overnight Financing Rate (SOFR) plus 1.19% per annum. On July 5, 2022, the Company entered into an amended</w:t>
      </w:r>
    </w:p>
    <w:p>
      <w:pPr>
        <w:spacing w:after="0" w:line="235" w:lineRule="auto"/>
        <w:rPr>
          <w:sz w:val="20"/>
          <w:szCs w:val="20"/>
          <w:color w:val="auto"/>
        </w:rPr>
      </w:pPr>
      <w:r>
        <w:rPr>
          <w:rFonts w:ascii="Arial" w:cs="Arial" w:eastAsia="Arial" w:hAnsi="Arial"/>
          <w:sz w:val="18"/>
          <w:szCs w:val="18"/>
          <w:color w:val="auto"/>
        </w:rPr>
        <w:t>agreement with Truist to increase the capacity under the Truist floor plan facility to $80.0 million. The Ford floor plan facility bears interest at</w:t>
      </w:r>
    </w:p>
    <w:p>
      <w:pPr>
        <w:ind w:right="40"/>
        <w:spacing w:after="0" w:line="226" w:lineRule="auto"/>
        <w:rPr>
          <w:sz w:val="20"/>
          <w:szCs w:val="20"/>
          <w:color w:val="auto"/>
        </w:rPr>
      </w:pPr>
      <w:r>
        <w:rPr>
          <w:rFonts w:ascii="Arial" w:cs="Arial" w:eastAsia="Arial" w:hAnsi="Arial"/>
          <w:sz w:val="18"/>
          <w:szCs w:val="18"/>
          <w:color w:val="auto"/>
        </w:rPr>
        <w:t>variable interest rates that are based on the prime rate, with a floor of 3.5%, plus 1.5% per annum. The weighted average interest rate for the floor plan facilities was 3.5% and 0.9% for the three months ended September 30, 2022 and 2021, respectively. The weighted average</w:t>
      </w:r>
    </w:p>
    <w:p>
      <w:pPr>
        <w:spacing w:after="0" w:line="236" w:lineRule="auto"/>
        <w:rPr>
          <w:sz w:val="20"/>
          <w:szCs w:val="20"/>
          <w:color w:val="auto"/>
        </w:rPr>
      </w:pPr>
      <w:r>
        <w:rPr>
          <w:rFonts w:ascii="Arial" w:cs="Arial" w:eastAsia="Arial" w:hAnsi="Arial"/>
          <w:sz w:val="18"/>
          <w:szCs w:val="18"/>
          <w:color w:val="auto"/>
        </w:rPr>
        <w:t>interest rate for the floor plan facilities was 2.6% and 1.1% for the nine months ended September 30, 2022 and 2021, respectively. As of</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September 30, 2022, the aggregate capacity under the floor plan facilities was $100.9 million, of which $55.0 million had been utilized, and is included in accounts payable and accrued liabilities in the Condensed Consolidated Balance Sheet. Changes in the vehicle floor plan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payable are reported as cash flows from financing activities in the Condensed Consolidated Statements of Cash Flows.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floor plan facilities are collateralized by vehicle inventory and other assets of the relevant dealership subsidiary, and contains a number of covenants, including, among others, covenants restricting the dealership subsidiary with respect to the creation of liens and changes in</w:t>
      </w:r>
    </w:p>
    <w:p>
      <w:pPr>
        <w:spacing w:after="0" w:line="1"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September 30,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floor plan assistance capitalized in inventory and recorded against cost of goods sold in the Condensed Consolidated Statements of Operations when the associated inventory is sold. For the three months ended September 30, 2022 and 2021, the Company recognized a</w:t>
      </w:r>
    </w:p>
    <w:p>
      <w:pPr>
        <w:spacing w:after="0" w:line="236" w:lineRule="auto"/>
        <w:rPr>
          <w:sz w:val="20"/>
          <w:szCs w:val="20"/>
          <w:color w:val="auto"/>
        </w:rPr>
      </w:pPr>
      <w:r>
        <w:rPr>
          <w:rFonts w:ascii="Arial" w:cs="Arial" w:eastAsia="Arial" w:hAnsi="Arial"/>
          <w:sz w:val="18"/>
          <w:szCs w:val="18"/>
          <w:color w:val="auto"/>
        </w:rPr>
        <w:t>reduction in cost of goods sold of $1.4 million and $0.7 million, respectively, related to manufacturer floor plan assistance. For the nine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months ended September 30, 2022 and 2021, the Company recognized a reduction in cost of goods sold of $3.4 million and $2.1 million, respectively, related to manufacturer floor plan assistance.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w:t>
      </w:r>
    </w:p>
    <w:p>
      <w:pPr>
        <w:spacing w:after="0" w:line="235" w:lineRule="auto"/>
        <w:rPr>
          <w:sz w:val="20"/>
          <w:szCs w:val="20"/>
          <w:color w:val="auto"/>
        </w:rPr>
      </w:pPr>
      <w:r>
        <w:rPr>
          <w:rFonts w:ascii="Arial" w:cs="Arial" w:eastAsia="Arial" w:hAnsi="Arial"/>
          <w:sz w:val="18"/>
          <w:szCs w:val="18"/>
          <w:color w:val="auto"/>
        </w:rPr>
        <w:t>of the goodwill and indefinite-lived intangibles of the Dekko reporting unit. As a result of the impairment review, the Company recorded a</w:t>
      </w:r>
    </w:p>
    <w:p>
      <w:pPr>
        <w:ind w:right="20"/>
        <w:spacing w:after="0"/>
        <w:rPr>
          <w:sz w:val="20"/>
          <w:szCs w:val="20"/>
          <w:color w:val="auto"/>
        </w:rPr>
      </w:pPr>
      <w:r>
        <w:rPr>
          <w:rFonts w:ascii="Arial" w:cs="Arial" w:eastAsia="Arial" w:hAnsi="Arial"/>
          <w:sz w:val="17"/>
          <w:szCs w:val="17"/>
          <w:color w:val="auto"/>
        </w:rPr>
        <w:t>$26.7 million goodwill impairment charge. The Company estimated the fair value of the reporting unit by utilizing a discounted cash flow model. The carrying value of the reporting unit exceeded the estimated fair value, resulting in a goodwill impairment charge for the amount by</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which the carrying value exceeded the estimated fair value after taking into account the effect of deferred income taxes. Dekko is included in manufacturing.</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Amortization of intangible assets for the three months ended September 30, 2022 and 2021, was $14.6 million and $16.0 million, respectively. Amortization of intangible assets for the nine months ended September 30, 2022 and 2021, was $44.4 million and $43.8 million,</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respectively. Amortization of intangible assets is estimated to be approximately $15 million for the remainder of 2022, $51 million in 2023, $39 million in 2024, $31 million in 2025, $26 million in 2026 and $40 million thereafter.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5"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1,186,236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253,399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2,029,598</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(380,016)</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855,085</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238,836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Measurement period</w:t>
            </w:r>
          </w:p>
        </w:tc>
        <w:tc>
          <w:tcPr>
            <w:tcW w:w="180" w:type="dxa"/>
            <w:vAlign w:val="bottom"/>
          </w:tcPr>
          <w:p>
            <w:pPr>
              <w:spacing w:after="0"/>
              <w:rPr>
                <w:sz w:val="16"/>
                <w:szCs w:val="16"/>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1,081</w:t>
            </w:r>
          </w:p>
        </w:tc>
        <w:tc>
          <w:tcPr>
            <w:tcW w:w="180" w:type="dxa"/>
            <w:vAlign w:val="bottom"/>
          </w:tcPr>
          <w:p>
            <w:pPr>
              <w:spacing w:after="0"/>
              <w:rPr>
                <w:sz w:val="16"/>
                <w:szCs w:val="16"/>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249</w:t>
            </w:r>
          </w:p>
        </w:tc>
        <w:tc>
          <w:tcPr>
            <w:tcW w:w="220" w:type="dxa"/>
            <w:vAlign w:val="bottom"/>
          </w:tcPr>
          <w:p>
            <w:pPr>
              <w:spacing w:after="0"/>
              <w:rPr>
                <w:sz w:val="16"/>
                <w:szCs w:val="16"/>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(2,183)</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(853)</w:t>
            </w:r>
          </w:p>
        </w:tc>
        <w:tc>
          <w:tcPr>
            <w:tcW w:w="0" w:type="dxa"/>
            <w:vAlign w:val="bottom"/>
          </w:tcPr>
          <w:p>
            <w:pPr>
              <w:spacing w:after="0"/>
              <w:rPr>
                <w:sz w:val="1"/>
                <w:szCs w:val="1"/>
                <w:color w:val="auto"/>
              </w:rPr>
            </w:pPr>
          </w:p>
        </w:tc>
      </w:tr>
      <w:tr>
        <w:trPr>
          <w:trHeight w:val="223"/>
        </w:trPr>
        <w:tc>
          <w:tcPr>
            <w:tcW w:w="2420" w:type="dxa"/>
            <w:vAlign w:val="bottom"/>
          </w:tcPr>
          <w:p>
            <w:pPr>
              <w:jc w:val="center"/>
              <w:ind w:right="102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18,031</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38,871</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56,902</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(74,191)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(74,191)</w:t>
            </w:r>
          </w:p>
        </w:tc>
        <w:tc>
          <w:tcPr>
            <w:tcW w:w="0" w:type="dxa"/>
            <w:vAlign w:val="bottom"/>
          </w:tcPr>
          <w:p>
            <w:pPr>
              <w:spacing w:after="0"/>
              <w:rPr>
                <w:sz w:val="1"/>
                <w:szCs w:val="1"/>
                <w:color w:val="auto"/>
              </w:rPr>
            </w:pPr>
          </w:p>
        </w:tc>
      </w:tr>
      <w:tr>
        <w:trPr>
          <w:trHeight w:val="224"/>
        </w:trPr>
        <w:tc>
          <w:tcPr>
            <w:tcW w:w="2420" w:type="dxa"/>
            <w:vAlign w:val="bottom"/>
          </w:tcPr>
          <w:p>
            <w:pPr>
              <w:jc w:val="center"/>
              <w:ind w:right="9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Balance as of September 30,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1,113,126</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136,609</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84,697</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2,011,456</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(380,016)</w:t>
            </w:r>
          </w:p>
        </w:tc>
        <w:tc>
          <w:tcPr>
            <w:tcW w:w="0" w:type="dxa"/>
            <w:vAlign w:val="bottom"/>
          </w:tcPr>
          <w:p>
            <w:pPr>
              <w:spacing w:after="0"/>
              <w:rPr>
                <w:sz w:val="1"/>
                <w:szCs w:val="1"/>
                <w:color w:val="auto"/>
              </w:rPr>
            </w:pPr>
          </w:p>
        </w:tc>
      </w:tr>
      <w:tr>
        <w:trPr>
          <w:trHeight w:val="226"/>
        </w:trPr>
        <w:tc>
          <w:tcPr>
            <w:tcW w:w="2420" w:type="dxa"/>
            <w:vAlign w:val="bottom"/>
          </w:tcPr>
          <w:p>
            <w:pPr>
              <w:jc w:val="center"/>
              <w:ind w:right="10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781,975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136,609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84,697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236,653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1,631,440</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390,404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1,186,236</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170,577</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855,085</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1,081</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1,081</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(74,068)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(74,191)</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547,200</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391,362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1,113,126</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547,200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781,975</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2022</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7"/>
        </w:trPr>
        <w:tc>
          <w:tcPr>
            <w:tcW w:w="29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296,743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223,485</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73,258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206,714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93,313</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157,303</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78,189</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79,114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158,365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68,113</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90,252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35,848</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30,454</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5,394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36,585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26,464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9,933</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7,467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8,628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8,772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994</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69,450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32,429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37,021</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23,847</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44,653</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577,744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375,484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202,260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334,757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77,887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86,972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85,858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174,915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00" w:type="dxa"/>
            <w:vAlign w:val="bottom"/>
          </w:tcPr>
          <w:p>
            <w:pPr>
              <w:spacing w:after="0"/>
              <w:rPr>
                <w:sz w:val="14"/>
                <w:szCs w:val="14"/>
                <w:color w:val="auto"/>
              </w:rPr>
            </w:pPr>
          </w:p>
        </w:tc>
        <w:tc>
          <w:tcPr>
            <w:tcW w:w="14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397,367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396,830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1.61% - 6.63%</w:t>
            </w:r>
          </w:p>
        </w:tc>
        <w:tc>
          <w:tcPr>
            <w:tcW w:w="1780" w:type="dxa"/>
            <w:vAlign w:val="bottom"/>
          </w:tcPr>
          <w:p>
            <w:pPr>
              <w:jc w:val="center"/>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180,662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209,643</w:t>
            </w: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1.85% - 4.13%</w:t>
            </w:r>
          </w:p>
        </w:tc>
        <w:tc>
          <w:tcPr>
            <w:tcW w:w="1780" w:type="dxa"/>
            <w:vAlign w:val="bottom"/>
          </w:tcPr>
          <w:p>
            <w:pPr>
              <w:jc w:val="center"/>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23,767</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24,504</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2.10% - 4.56%</w:t>
            </w:r>
          </w:p>
        </w:tc>
        <w:tc>
          <w:tcPr>
            <w:tcW w:w="1780" w:type="dxa"/>
            <w:vAlign w:val="bottom"/>
          </w:tcPr>
          <w:p>
            <w:pPr>
              <w:jc w:val="center"/>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69,542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(3)</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3.49% - 4.31%</w:t>
            </w:r>
          </w:p>
        </w:tc>
        <w:tc>
          <w:tcPr>
            <w:tcW w:w="1780" w:type="dxa"/>
            <w:vAlign w:val="bottom"/>
          </w:tcPr>
          <w:p>
            <w:pPr>
              <w:jc w:val="center"/>
              <w:spacing w:after="0"/>
              <w:rPr>
                <w:sz w:val="20"/>
                <w:szCs w:val="20"/>
                <w:color w:val="auto"/>
              </w:rPr>
            </w:pPr>
            <w:r>
              <w:rPr>
                <w:rFonts w:ascii="Arial" w:cs="Arial" w:eastAsia="Arial" w:hAnsi="Arial"/>
                <w:sz w:val="16"/>
                <w:szCs w:val="16"/>
                <w:color w:val="auto"/>
              </w:rPr>
              <w:t>4.06%</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26,886</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4.19%</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8,715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31"/>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2025 - 2030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3,397</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710,336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667,501</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(141,802)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568,534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$2.6 million and $3.2 million of unamortized debt issuance costs as of September 30, 2022 and December 31, 2021,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2022 and December 31, 2021.</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2022.</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At September 30, 2022 and December 31, 2021, the fair value of the Company’s 5.75% unsecured notes, based on quoted market prices (Level 2 fair value assessment), totaled $389.0 million and $417.5 million, respectively.</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May 3, 2022, the Company amended the revolving credit facility to, among other things, (i) extend the maturity of the facility to May 30, 2027, (ii) eliminate borrowings under separate U.S. Dollar and multicurrency tranches, (iii) update certain interest rate benchmarks including</w:t>
      </w:r>
    </w:p>
    <w:p>
      <w:pPr>
        <w:spacing w:after="0" w:line="235" w:lineRule="auto"/>
        <w:rPr>
          <w:sz w:val="20"/>
          <w:szCs w:val="20"/>
          <w:color w:val="auto"/>
        </w:rPr>
      </w:pPr>
      <w:r>
        <w:rPr>
          <w:rFonts w:ascii="Arial" w:cs="Arial" w:eastAsia="Arial" w:hAnsi="Arial"/>
          <w:sz w:val="18"/>
          <w:szCs w:val="18"/>
          <w:color w:val="auto"/>
        </w:rPr>
        <w:t>replacing USD London Interbank Offered Rate (LIBOR) with SOFR for borrowings denominated in U.S. dollars, (iv) incorporate a sub-facility</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the issuance of letters of credit, and (v) allow for applicable margin for borrowings to be determined and adjusted quarterly based on the Company’s Total Net Leverage Ratio. The outstanding balance on the Company’s $300 million unsecured revolving credit facility was $180.7</w:t>
      </w:r>
    </w:p>
    <w:p>
      <w:pPr>
        <w:spacing w:after="0" w:line="235" w:lineRule="auto"/>
        <w:rPr>
          <w:sz w:val="20"/>
          <w:szCs w:val="20"/>
          <w:color w:val="auto"/>
        </w:rPr>
      </w:pPr>
      <w:r>
        <w:rPr>
          <w:rFonts w:ascii="Arial" w:cs="Arial" w:eastAsia="Arial" w:hAnsi="Arial"/>
          <w:sz w:val="18"/>
          <w:szCs w:val="18"/>
          <w:color w:val="auto"/>
        </w:rPr>
        <w:t>million as of September 30, 2022, consisting of U.S. dollar borrowings of $126 million with interest payable at SOFR plus 1.375% or prime</w:t>
      </w:r>
    </w:p>
    <w:p>
      <w:pPr>
        <w:spacing w:after="0" w:line="237" w:lineRule="auto"/>
        <w:rPr>
          <w:sz w:val="20"/>
          <w:szCs w:val="20"/>
          <w:color w:val="auto"/>
        </w:rPr>
      </w:pPr>
      <w:r>
        <w:rPr>
          <w:rFonts w:ascii="Arial" w:cs="Arial" w:eastAsia="Arial" w:hAnsi="Arial"/>
          <w:sz w:val="18"/>
          <w:szCs w:val="18"/>
          <w:color w:val="auto"/>
        </w:rPr>
        <w:t>rate plus 0.375%, and British Pound (GBP) borrowings of £50 million with interest payable at Daily Sterling Overnight Index Average (SONIA) plus 1.375%.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July 5, 2022, the Company’s automotive subsidiary amended its commercial note, dated December 28, 2021, with Truist Bank to, among</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other things, increase the aggregate loan amount to $ 71.6 million. The amended commercial note is payable over a 10-year period in monthly installments of $1.0 million, plus accrued and unpaid interest, for the first 24 months and $0.5 million, plus accrued and unpaid</w:t>
      </w:r>
    </w:p>
    <w:p>
      <w:pPr>
        <w:spacing w:after="0" w:line="235" w:lineRule="auto"/>
        <w:rPr>
          <w:sz w:val="20"/>
          <w:szCs w:val="20"/>
          <w:color w:val="auto"/>
        </w:rPr>
      </w:pPr>
      <w:r>
        <w:rPr>
          <w:rFonts w:ascii="Arial" w:cs="Arial" w:eastAsia="Arial" w:hAnsi="Arial"/>
          <w:sz w:val="18"/>
          <w:szCs w:val="18"/>
          <w:color w:val="auto"/>
        </w:rPr>
        <w:t>interest, for the remaining 96 months due on the first day of each month, with a final payment of the outstanding principal balance due on</w:t>
      </w:r>
    </w:p>
    <w:p>
      <w:pPr>
        <w:ind w:right="240"/>
        <w:spacing w:after="0" w:line="237" w:lineRule="auto"/>
        <w:rPr>
          <w:sz w:val="20"/>
          <w:szCs w:val="20"/>
          <w:color w:val="auto"/>
        </w:rPr>
      </w:pPr>
      <w:r>
        <w:rPr>
          <w:rFonts w:ascii="Arial" w:cs="Arial" w:eastAsia="Arial" w:hAnsi="Arial"/>
          <w:sz w:val="18"/>
          <w:szCs w:val="18"/>
          <w:color w:val="auto"/>
        </w:rPr>
        <w:t>July 1, 2032. The amended commercial note bears interest at variable rates based on SOFR plus 2.05% per annum. The commercial note contains terms and conditions, including remedies in the event of a default by the automotive subsidiary.</w:t>
      </w:r>
    </w:p>
    <w:p>
      <w:pPr>
        <w:spacing w:after="0" w:line="127"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On July 5, 2022, the Company’s automotive subsidiary entered into three additional commercial notes with Truist Bank in an aggregate amount of $27.2 million. The commercial notes are each payable over a 10-year period in aggregate monthly installments of $0.1 million,</w:t>
      </w:r>
    </w:p>
    <w:p>
      <w:pPr>
        <w:spacing w:after="0" w:line="235" w:lineRule="auto"/>
        <w:rPr>
          <w:sz w:val="20"/>
          <w:szCs w:val="20"/>
          <w:color w:val="auto"/>
        </w:rPr>
      </w:pPr>
      <w:r>
        <w:rPr>
          <w:rFonts w:ascii="Arial" w:cs="Arial" w:eastAsia="Arial" w:hAnsi="Arial"/>
          <w:sz w:val="18"/>
          <w:szCs w:val="18"/>
          <w:color w:val="auto"/>
        </w:rPr>
        <w:t>plus accrued and unpaid interest, due on the first day of each month, with a final payment of the outstanding principal balances due on July</w:t>
      </w:r>
    </w:p>
    <w:p>
      <w:pPr>
        <w:ind w:right="360"/>
        <w:spacing w:after="0"/>
        <w:rPr>
          <w:sz w:val="20"/>
          <w:szCs w:val="20"/>
          <w:color w:val="auto"/>
        </w:rPr>
      </w:pPr>
      <w:r>
        <w:rPr>
          <w:rFonts w:ascii="Arial" w:cs="Arial" w:eastAsia="Arial" w:hAnsi="Arial"/>
          <w:sz w:val="17"/>
          <w:szCs w:val="17"/>
          <w:color w:val="auto"/>
        </w:rPr>
        <w:t>1, 2032. The commercial notes each bear interest at variable rates based on SOFR plus 1.8% per annum. The commercial notes contain terms and conditions, including remedies in the event of a default by the automotive subsidiary. On the same date, the Company’s</w:t>
      </w:r>
    </w:p>
    <w:p>
      <w:pPr>
        <w:spacing w:after="0" w:line="235" w:lineRule="auto"/>
        <w:rPr>
          <w:sz w:val="20"/>
          <w:szCs w:val="20"/>
          <w:color w:val="auto"/>
        </w:rPr>
      </w:pPr>
      <w:r>
        <w:rPr>
          <w:rFonts w:ascii="Arial" w:cs="Arial" w:eastAsia="Arial" w:hAnsi="Arial"/>
          <w:sz w:val="18"/>
          <w:szCs w:val="18"/>
          <w:color w:val="auto"/>
        </w:rPr>
        <w:t>automotive subsidiary entered into three interest rate swap agreements with a total notional value of $27.2 million and a maturity date of July</w:t>
      </w:r>
    </w:p>
    <w:p>
      <w:pPr>
        <w:ind w:right="100"/>
        <w:spacing w:after="0" w:line="226" w:lineRule="auto"/>
        <w:rPr>
          <w:sz w:val="20"/>
          <w:szCs w:val="20"/>
          <w:color w:val="auto"/>
        </w:rPr>
      </w:pPr>
      <w:r>
        <w:rPr>
          <w:rFonts w:ascii="Arial" w:cs="Arial" w:eastAsia="Arial" w:hAnsi="Arial"/>
          <w:sz w:val="18"/>
          <w:szCs w:val="18"/>
          <w:color w:val="auto"/>
        </w:rPr>
        <w:t>1, 2032. The interest rate swap agreements will pay the automotive subsidiary interest on the $27.2 million notional amount based on SOFR plus 1.8% per annum and the automotive subsidiary will pay the counterparty a fixed rate of 4.861% per annum. The new interest rate swap</w:t>
      </w:r>
    </w:p>
    <w:p>
      <w:pPr>
        <w:spacing w:after="0" w:line="236" w:lineRule="auto"/>
        <w:rPr>
          <w:sz w:val="20"/>
          <w:szCs w:val="20"/>
          <w:color w:val="auto"/>
        </w:rPr>
      </w:pPr>
      <w:r>
        <w:rPr>
          <w:rFonts w:ascii="Arial" w:cs="Arial" w:eastAsia="Arial" w:hAnsi="Arial"/>
          <w:sz w:val="18"/>
          <w:szCs w:val="18"/>
          <w:color w:val="auto"/>
        </w:rPr>
        <w:t>agreements were entered into to convert the variable rate borrowings under these commercial notes into fixed rate borrowings. Based on the</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terms of the new interest rate swap agreements and the underlying borrowings, the new interest rate swaps were determined to be effective and thus qualify as cash flow hedges.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September 30, 2022 and</w:t>
      </w:r>
    </w:p>
    <w:p>
      <w:pPr>
        <w:spacing w:after="0" w:line="14"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December 31, 2021. The Company is in compliance with all financial covenants of the revolving credit facility, commercial notes, and Pinnacle Bank term loan as of September 30, 2022.</w:t>
      </w:r>
    </w:p>
    <w:p>
      <w:pPr>
        <w:spacing w:after="0" w:line="12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During the three months ended September 30, 2022 and 2021, the Company had average borrowings outstanding of approximately $714.1 million and $545.9 million, respectively, at average annual interest rates of approximately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5" w:name="page16"/>
    <w:bookmarkEnd w:id="15"/>
    <w:p>
      <w:pPr>
        <w:ind w:right="120"/>
        <w:spacing w:after="0" w:line="271" w:lineRule="auto"/>
        <w:rPr>
          <w:sz w:val="20"/>
          <w:szCs w:val="20"/>
          <w:color w:val="auto"/>
        </w:rPr>
      </w:pPr>
      <w:r>
        <w:rPr>
          <w:rFonts w:ascii="Arial" w:cs="Arial" w:eastAsia="Arial" w:hAnsi="Arial"/>
          <w:sz w:val="18"/>
          <w:szCs w:val="18"/>
          <w:color w:val="auto"/>
        </w:rPr>
        <w:t>4.9% and 4.8%, respectively. During the three months ended September 30, 2022 and 2021, the Company incurred net interest expense of $10.8 million and $9.4 million, respectively.</w:t>
      </w:r>
    </w:p>
    <w:p>
      <w:pPr>
        <w:spacing w:after="0" w:line="8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During the nine months ended September 30, 2022 and 2021, the Company had average borrowings outstanding of approximately $676.5 million and $531.3 million, respectively, at average annual interest rates of approximately 4.6% and 4.9%, respectively. During the nine months ended September 30, 2022 and 2021, the Company incurred net interest expense of $36.8 million and $22.5 million, respectively.</w:t>
      </w:r>
    </w:p>
    <w:p>
      <w:pPr>
        <w:spacing w:after="0" w:line="101"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During the three and nine months ended September 30, 2022, the Company recorded interest expense of $1.4 million and $ 12.8 million, respectively, to adjust the fair value of the mandatorily redeemable noncontrolling interest. During the three and nine months ended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September 30, 2021, the Company recorded net interest expense of $2.6 million and $2.7 million, respectively, to adjust the fair value of the mandatorily redeemable noncontrolling interest. The fair value of the mandatorily redeemable noncontrolling interest was based on the fair</w:t>
      </w:r>
    </w:p>
    <w:p>
      <w:pPr>
        <w:spacing w:after="0" w:line="235" w:lineRule="auto"/>
        <w:rPr>
          <w:sz w:val="20"/>
          <w:szCs w:val="20"/>
          <w:color w:val="auto"/>
        </w:rPr>
      </w:pPr>
      <w:r>
        <w:rPr>
          <w:rFonts w:ascii="Arial" w:cs="Arial" w:eastAsia="Arial" w:hAnsi="Arial"/>
          <w:sz w:val="18"/>
          <w:szCs w:val="18"/>
          <w:color w:val="auto"/>
        </w:rPr>
        <w:t>value of the underlying subsidiaries owned by GHC One and GHC Two, after taking into account any debt and other noncontrolling interests</w:t>
      </w:r>
    </w:p>
    <w:p>
      <w:pPr>
        <w:spacing w:after="0" w:line="237" w:lineRule="auto"/>
        <w:rPr>
          <w:sz w:val="20"/>
          <w:szCs w:val="20"/>
          <w:color w:val="auto"/>
        </w:rPr>
      </w:pPr>
      <w:r>
        <w:rPr>
          <w:rFonts w:ascii="Arial" w:cs="Arial" w:eastAsia="Arial" w:hAnsi="Arial"/>
          <w:sz w:val="18"/>
          <w:szCs w:val="18"/>
          <w:color w:val="auto"/>
        </w:rPr>
        <w:t>of its 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5,306</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597,456</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597,456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9,294</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4,006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2,781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606,750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12,093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9,631</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27,142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36,773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809,997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817,227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2,049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484</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13,661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28,542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0" w:lineRule="exact"/>
        <w:rPr>
          <w:rFonts w:ascii="Arial" w:cs="Arial" w:eastAsia="Arial" w:hAnsi="Arial"/>
          <w:sz w:val="14"/>
          <w:szCs w:val="14"/>
          <w:color w:val="auto"/>
        </w:rPr>
      </w:pPr>
    </w:p>
    <w:p>
      <w:pPr>
        <w:ind w:left="480" w:right="2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60" w:hanging="454"/>
        <w:spacing w:after="0" w:line="25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7"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1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0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7" w:name="page18"/>
    <w:bookmarkEnd w:id="17"/>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September 30, 2022</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14,881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13,661</w:t>
            </w:r>
          </w:p>
        </w:tc>
      </w:tr>
      <w:tr>
        <w:trPr>
          <w:trHeight w:val="238"/>
        </w:trPr>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397</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(5,036)</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12,799</w:t>
            </w:r>
          </w:p>
        </w:tc>
      </w:tr>
      <w:tr>
        <w:trPr>
          <w:trHeight w:val="229"/>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922</w:t>
            </w:r>
          </w:p>
        </w:tc>
      </w:tr>
      <w:tr>
        <w:trPr>
          <w:trHeight w:val="230"/>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1,139</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3"/>
        </w:trPr>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9,631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27,142</w:t>
            </w:r>
          </w:p>
        </w:tc>
      </w:tr>
      <w:tr>
        <w:trPr>
          <w:trHeight w:val="24"/>
        </w:trPr>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43"/>
        </w:trPr>
        <w:tc>
          <w:tcPr>
            <w:tcW w:w="200" w:type="dxa"/>
            <w:vAlign w:val="bottom"/>
          </w:tcPr>
          <w:p>
            <w:pPr>
              <w:spacing w:after="0"/>
              <w:rPr>
                <w:sz w:val="24"/>
                <w:szCs w:val="2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200" w:type="dxa"/>
            <w:vAlign w:val="bottom"/>
          </w:tcPr>
          <w:p>
            <w:pPr>
              <w:spacing w:after="0"/>
              <w:rPr>
                <w:sz w:val="17"/>
                <w:szCs w:val="17"/>
                <w:color w:val="auto"/>
              </w:rPr>
            </w:pPr>
          </w:p>
        </w:tc>
        <w:tc>
          <w:tcPr>
            <w:tcW w:w="2140" w:type="dxa"/>
            <w:vAlign w:val="bottom"/>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bl>
    <w:p>
      <w:pPr>
        <w:spacing w:after="0" w:line="1"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 of December 31, 2020</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37,174</w:t>
            </w:r>
          </w:p>
        </w:tc>
        <w:tc>
          <w:tcPr>
            <w:tcW w:w="9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9,240</w:t>
            </w:r>
          </w:p>
        </w:tc>
      </w:tr>
      <w:tr>
        <w:trPr>
          <w:trHeight w:val="239"/>
        </w:trPr>
        <w:tc>
          <w:tcPr>
            <w:tcW w:w="6540" w:type="dxa"/>
            <w:vAlign w:val="bottom"/>
          </w:tcPr>
          <w:p>
            <w:pPr>
              <w:ind w:left="20"/>
              <w:spacing w:after="0" w:line="239" w:lineRule="exact"/>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(5,482)</w:t>
            </w:r>
          </w:p>
        </w:tc>
        <w:tc>
          <w:tcPr>
            <w:tcW w:w="9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8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8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1,157</w:t>
            </w:r>
          </w:p>
        </w:tc>
        <w:tc>
          <w:tcPr>
            <w:tcW w:w="9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(19,942)</w:t>
            </w:r>
          </w:p>
        </w:tc>
        <w:tc>
          <w:tcPr>
            <w:tcW w:w="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12,895</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11,921</w:t>
            </w:r>
          </w:p>
        </w:tc>
      </w:tr>
      <w:tr>
        <w:trPr>
          <w:trHeight w:val="21"/>
        </w:trPr>
        <w:tc>
          <w:tcPr>
            <w:tcW w:w="6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2021, the Company recorded goodwill and other long-lived asset impairment</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charges of $26.8 million and $31.6 million, respectively. The remeasurement of goodwill and other long-lived assets is classified as a Level 3 fair value assessment due to the significance of unobservable inputs developed in the determination of the fair value. The Company used a</w:t>
      </w:r>
    </w:p>
    <w:p>
      <w:pPr>
        <w:spacing w:after="0" w:line="235" w:lineRule="auto"/>
        <w:rPr>
          <w:sz w:val="20"/>
          <w:szCs w:val="20"/>
          <w:color w:val="auto"/>
        </w:rPr>
      </w:pPr>
      <w:r>
        <w:rPr>
          <w:rFonts w:ascii="Arial" w:cs="Arial" w:eastAsia="Arial" w:hAnsi="Arial"/>
          <w:sz w:val="18"/>
          <w:szCs w:val="18"/>
          <w:color w:val="auto"/>
        </w:rPr>
        <w:t>discounted cash flow model to determine the estimated fair value of the reporting unit and other long-lived assets. A market value approach</w:t>
      </w:r>
    </w:p>
    <w:p>
      <w:pPr>
        <w:ind w:right="480"/>
        <w:spacing w:after="0" w:line="237" w:lineRule="auto"/>
        <w:rPr>
          <w:sz w:val="20"/>
          <w:szCs w:val="20"/>
          <w:color w:val="auto"/>
        </w:rPr>
      </w:pPr>
      <w:r>
        <w:rPr>
          <w:rFonts w:ascii="Arial" w:cs="Arial" w:eastAsia="Arial" w:hAnsi="Arial"/>
          <w:sz w:val="18"/>
          <w:szCs w:val="18"/>
          <w:color w:val="auto"/>
        </w:rPr>
        <w:t>was also utilized to supplement the discounted cash flow model. The Company made estimates and assumptions regarding future cash flows, discount rates, market values, and long-term growth rates.</w:t>
      </w:r>
    </w:p>
    <w:p>
      <w:pPr>
        <w:spacing w:after="0" w:line="12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During the three and nine months ended September 30, 2022, the Company recorded gains of $0.6 million to equity securities that are accounted for as cost method investments based on observable transactions for identical or similar investments of the same issuer. During the nine months ended September 30, 2021, the Company recorded gains of $10.5 million to equity securities that are accounted for as cost method investments based on observable transactions for identical or similar investments of the same issuer.</w:t>
      </w:r>
    </w:p>
    <w:p>
      <w:pPr>
        <w:spacing w:after="0" w:line="1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third quarter of 2021, the Company recorded an impairment charge of $6.6 million on one of its investments in affiliates (see Note 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generated 84% and 81% of its revenue from U.S. domestic sales for the three and nine months ended September 30, 2022. The remaining 16% and 19% of revenue was generated from non-U.S. sales for the three and nine months ended September 30, 2022. For</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three and nine months ended September 30, 2021, 82% and 79% of revenue was from U.S. domestic sales and the remaining 18% and 21% of revenue was generated from non-U.S. sales.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For the three and nine months ended September 30, 2022, the Company recognized 55% and 58% of its revenue over time as control of the services and goods transferred to the customer, and the remaining 45% and 42% at a point in time, when the customer obtained control of</w:t>
      </w:r>
    </w:p>
    <w:p>
      <w:pPr>
        <w:ind w:right="100"/>
        <w:spacing w:after="0" w:line="237" w:lineRule="auto"/>
        <w:rPr>
          <w:sz w:val="20"/>
          <w:szCs w:val="20"/>
          <w:color w:val="auto"/>
        </w:rPr>
      </w:pPr>
      <w:r>
        <w:rPr>
          <w:rFonts w:ascii="Arial" w:cs="Arial" w:eastAsia="Arial" w:hAnsi="Arial"/>
          <w:sz w:val="18"/>
          <w:szCs w:val="18"/>
          <w:color w:val="auto"/>
        </w:rPr>
        <w:t>the promised goods. For the three and nine months ended September 30, 2021, the Company recognized 66% and 67% of its revenue over time, and the remaining 34% and 33% at a point in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2022, the Company recognized a contract asset of $21.0 million related to a contract at a Kaplan</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International business, which is included in Deferred Charges and Other Assets. The Company expects to recognize an additional $282.1 million related to this contract within the next seven years. As of December 31, 2021, the contract asset was $17.7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ind w:right="40"/>
        <w:spacing w:after="0" w:line="271"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367,048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363,065</w:t>
            </w:r>
          </w:p>
        </w:tc>
        <w:tc>
          <w:tcPr>
            <w:tcW w:w="1320" w:type="dxa"/>
            <w:vAlign w:val="bottom"/>
          </w:tcPr>
          <w:p>
            <w:pPr>
              <w:jc w:val="right"/>
              <w:ind w:right="54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Coronavirus Aid, Relief, and Economic Security Act (CARES Act) as a result of COVID-19. The Department of Health and Human Services started to recoup this advance 365 days after the payment was issued. GHG recognized $0.5 million and $12.5 million of the balance in</w:t>
      </w:r>
    </w:p>
    <w:p>
      <w:pPr>
        <w:spacing w:after="0" w:line="235" w:lineRule="auto"/>
        <w:rPr>
          <w:sz w:val="20"/>
          <w:szCs w:val="20"/>
          <w:color w:val="auto"/>
        </w:rPr>
      </w:pPr>
      <w:r>
        <w:rPr>
          <w:rFonts w:ascii="Arial" w:cs="Arial" w:eastAsia="Arial" w:hAnsi="Arial"/>
          <w:sz w:val="18"/>
          <w:szCs w:val="18"/>
          <w:color w:val="auto"/>
        </w:rPr>
        <w:t>revenue for claims submitted for eligible services for the three and nine months ended September 30, 2022, respectively. The advance has</w:t>
      </w:r>
    </w:p>
    <w:p>
      <w:pPr>
        <w:ind w:right="260"/>
        <w:spacing w:after="0" w:line="237" w:lineRule="auto"/>
        <w:rPr>
          <w:sz w:val="20"/>
          <w:szCs w:val="20"/>
          <w:color w:val="auto"/>
        </w:rPr>
      </w:pPr>
      <w:r>
        <w:rPr>
          <w:rFonts w:ascii="Arial" w:cs="Arial" w:eastAsia="Arial" w:hAnsi="Arial"/>
          <w:sz w:val="18"/>
          <w:szCs w:val="18"/>
          <w:color w:val="auto"/>
        </w:rPr>
        <w:t>been recouped in full as of September 30, 2022. For the three and nine months ended September 30, 2021, GHG recognized $6.6 million and $11.6 million of the balance in revenue for claims submitted for eligible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During the nine months ended September 30, 2022, the Company recognized $296.6 million related to the Company’s deferred revenue balance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periods. As of September 30, 2022, the deferred revenue balance related to certain medical and nursing qualifications with an original contract length greater than twelve months at Kaplan Supplemental Education was $7.8 million. Kaplan Supplemental Education expects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recognize 66% of this revenue over the next twelve months and the remainder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49"/>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r>
      <w:tr>
        <w:trPr>
          <w:trHeight w:val="21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26,081</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30,046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(38,407)</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(2,747)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14,973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nine months ended September 30, 2022.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32,780</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60,919</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39,586</w:t>
            </w:r>
          </w:p>
        </w:tc>
        <w:tc>
          <w:tcPr>
            <w:tcW w:w="3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267,394</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(7,575)</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(7,496)</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(30,728)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(30,155)</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9"/>
                <w:szCs w:val="19"/>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25,205</w:t>
            </w:r>
          </w:p>
        </w:tc>
        <w:tc>
          <w:tcPr>
            <w:tcW w:w="50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32,090</w:t>
            </w:r>
          </w:p>
        </w:tc>
        <w:tc>
          <w:tcPr>
            <w:tcW w:w="36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30,191</w:t>
            </w:r>
          </w:p>
        </w:tc>
        <w:tc>
          <w:tcPr>
            <w:tcW w:w="5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237,239</w:t>
            </w:r>
          </w:p>
        </w:tc>
        <w:tc>
          <w:tcPr>
            <w:tcW w:w="0" w:type="dxa"/>
            <w:vAlign w:val="bottom"/>
          </w:tcPr>
          <w:p>
            <w:pPr>
              <w:spacing w:after="0"/>
              <w:rPr>
                <w:sz w:val="1"/>
                <w:szCs w:val="1"/>
                <w:color w:val="auto"/>
              </w:rPr>
            </w:pPr>
          </w:p>
        </w:tc>
      </w:tr>
      <w:tr>
        <w:trPr>
          <w:trHeight w:val="235"/>
        </w:trPr>
        <w:tc>
          <w:tcPr>
            <w:tcW w:w="56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99.41 %</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99.32 %</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99.41 %</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99.32 %</w:t>
            </w:r>
          </w:p>
        </w:tc>
        <w:tc>
          <w:tcPr>
            <w:tcW w:w="0" w:type="dxa"/>
            <w:vAlign w:val="bottom"/>
          </w:tcPr>
          <w:p>
            <w:pPr>
              <w:spacing w:after="0"/>
              <w:rPr>
                <w:sz w:val="1"/>
                <w:szCs w:val="1"/>
                <w:color w:val="auto"/>
              </w:rPr>
            </w:pPr>
          </w:p>
        </w:tc>
      </w:tr>
      <w:tr>
        <w:trPr>
          <w:trHeight w:val="217"/>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25,058</w:t>
            </w:r>
          </w:p>
        </w:tc>
        <w:tc>
          <w:tcPr>
            <w:tcW w:w="5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31,872</w:t>
            </w:r>
          </w:p>
        </w:tc>
        <w:tc>
          <w:tcPr>
            <w:tcW w:w="36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30,015</w:t>
            </w: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235,633</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Add: Dividends-common stock 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7,529</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7,447</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30,549</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29,953</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32,587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39,319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60,564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265,586</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6"/>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32,588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39,320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60,564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265,591</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4,808</w:t>
            </w:r>
          </w:p>
        </w:tc>
        <w:tc>
          <w:tcPr>
            <w:tcW w:w="500" w:type="dxa"/>
            <w:vAlign w:val="bottom"/>
          </w:tcPr>
          <w:p>
            <w:pPr>
              <w:spacing w:after="0"/>
              <w:rPr>
                <w:sz w:val="20"/>
                <w:szCs w:val="20"/>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4,961</w:t>
            </w:r>
          </w:p>
        </w:tc>
        <w:tc>
          <w:tcPr>
            <w:tcW w:w="36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4,841</w:t>
            </w:r>
          </w:p>
        </w:tc>
        <w:tc>
          <w:tcPr>
            <w:tcW w:w="54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7"/>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4,820</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4,977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4,853</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6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6.78</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80"/>
              <w:spacing w:after="0"/>
              <w:rPr>
                <w:sz w:val="20"/>
                <w:szCs w:val="20"/>
                <w:color w:val="auto"/>
              </w:rPr>
            </w:pPr>
            <w:r>
              <w:rPr>
                <w:rFonts w:ascii="Arial" w:cs="Arial" w:eastAsia="Arial" w:hAnsi="Arial"/>
                <w:sz w:val="16"/>
                <w:szCs w:val="16"/>
                <w:color w:val="auto"/>
              </w:rPr>
              <w:t>7.93</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12.51</w:t>
            </w:r>
          </w:p>
        </w:tc>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53.49</w:t>
            </w: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6.76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7.90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12.48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53.33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80" w:type="dxa"/>
            <w:vAlign w:val="bottom"/>
            <w:gridSpan w:val="2"/>
          </w:tcPr>
          <w:p>
            <w:pPr>
              <w:jc w:val="right"/>
              <w:ind w:right="704"/>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904"/>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0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2021</w:t>
            </w:r>
          </w:p>
        </w:tc>
        <w:tc>
          <w:tcPr>
            <w:tcW w:w="1680" w:type="dxa"/>
            <w:vAlign w:val="bottom"/>
            <w:tcBorders>
              <w:bottom w:val="single" w:sz="8" w:color="auto"/>
            </w:tcBorders>
          </w:tcPr>
          <w:p>
            <w:pPr>
              <w:jc w:val="right"/>
              <w:ind w:right="966"/>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400" w:type="dxa"/>
            <w:vAlign w:val="bottom"/>
          </w:tcPr>
          <w:p>
            <w:pPr>
              <w:jc w:val="right"/>
              <w:ind w:right="206"/>
              <w:spacing w:after="0"/>
              <w:rPr>
                <w:sz w:val="20"/>
                <w:szCs w:val="20"/>
                <w:color w:val="auto"/>
              </w:rPr>
            </w:pPr>
            <w:r>
              <w:rPr>
                <w:rFonts w:ascii="Arial" w:cs="Arial" w:eastAsia="Arial" w:hAnsi="Arial"/>
                <w:sz w:val="16"/>
                <w:szCs w:val="16"/>
                <w:b w:val="1"/>
                <w:bCs w:val="1"/>
                <w:color w:val="auto"/>
              </w:rPr>
              <w:t>17</w:t>
            </w:r>
          </w:p>
        </w:tc>
        <w:tc>
          <w:tcPr>
            <w:tcW w:w="1280" w:type="dxa"/>
            <w:vAlign w:val="bottom"/>
          </w:tcPr>
          <w:p>
            <w:pPr>
              <w:jc w:val="right"/>
              <w:ind w:right="244"/>
              <w:spacing w:after="0"/>
              <w:rPr>
                <w:sz w:val="20"/>
                <w:szCs w:val="20"/>
                <w:color w:val="auto"/>
              </w:rPr>
            </w:pPr>
            <w:r>
              <w:rPr>
                <w:rFonts w:ascii="Arial" w:cs="Arial" w:eastAsia="Arial" w:hAnsi="Arial"/>
                <w:sz w:val="16"/>
                <w:szCs w:val="16"/>
                <w:color w:val="auto"/>
              </w:rPr>
              <w:t>14</w:t>
            </w:r>
          </w:p>
        </w:tc>
        <w:tc>
          <w:tcPr>
            <w:tcW w:w="1680" w:type="dxa"/>
            <w:vAlign w:val="bottom"/>
          </w:tcPr>
          <w:p>
            <w:pPr>
              <w:jc w:val="right"/>
              <w:ind w:right="546"/>
              <w:spacing w:after="0"/>
              <w:rPr>
                <w:sz w:val="20"/>
                <w:szCs w:val="20"/>
                <w:color w:val="auto"/>
              </w:rPr>
            </w:pPr>
            <w:r>
              <w:rPr>
                <w:rFonts w:ascii="Arial" w:cs="Arial" w:eastAsia="Arial" w:hAnsi="Arial"/>
                <w:sz w:val="16"/>
                <w:szCs w:val="16"/>
                <w:b w:val="1"/>
                <w:bCs w:val="1"/>
                <w:color w:val="auto"/>
              </w:rPr>
              <w:t>17</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11</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diluted earnings per share amounts for the three and nine months ended September 30, 2022 and September 30, 2021 exclude the</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effects of 105,000 and 104,000 stock options and contingently issuable shares outstanding, respectively, as their inclusion would have been antidilutive due to a market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September 30, 2022, the Company declared regular dividends totaling $1.58 and $6.32 per common</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share, respectively. In the three and nine months ended September 30, 2021, the Company declared regular dividends totaling $1.51 and $6.04 per common share,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5,557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5,775</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16,581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17,254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7,612</w:t>
            </w:r>
          </w:p>
        </w:tc>
        <w:tc>
          <w:tcPr>
            <w:tcW w:w="5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6,754</w:t>
            </w:r>
          </w:p>
        </w:tc>
        <w:tc>
          <w:tcPr>
            <w:tcW w:w="3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22,893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20,162</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(41,779)</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(34,800)</w:t>
            </w:r>
          </w:p>
        </w:tc>
        <w:tc>
          <w:tcPr>
            <w:tcW w:w="36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(125,705)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(103,078)</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708</w:t>
            </w:r>
          </w:p>
        </w:tc>
        <w:tc>
          <w:tcPr>
            <w:tcW w:w="5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711</w:t>
            </w:r>
          </w:p>
        </w:tc>
        <w:tc>
          <w:tcPr>
            <w:tcW w:w="3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2,126</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2,134</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(17,538)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(52,306)</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(45,440)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(23,231)</w:t>
            </w:r>
          </w:p>
        </w:tc>
        <w:tc>
          <w:tcPr>
            <w:tcW w:w="36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(136,411)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(69,762)</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(45,440)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(136,411)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(68,644)</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the second quarter of 2021, the Company recorded $1.1 million in expenses related to a Separation Incentive Program for certain Dekko employees, which was funded from the assets of the Company’s pension plan.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227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256</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683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767</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823</w:t>
            </w:r>
          </w:p>
        </w:tc>
        <w:tc>
          <w:tcPr>
            <w:tcW w:w="54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736</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2,467</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2,207</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9</w:t>
            </w:r>
          </w:p>
        </w:tc>
        <w:tc>
          <w:tcPr>
            <w:tcW w:w="54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27</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248</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166</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1,482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499</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4,447</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1,225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2,557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3,676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7,669</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tbl>
      <w:tblPr>
        <w:tblLayout w:type="fixed"/>
        <w:tblInd w:w="8240" w:type="dxa"/>
        <w:tblCellMar>
          <w:top w:w="0" w:type="dxa"/>
          <w:left w:w="0" w:type="dxa"/>
          <w:bottom w:w="0" w:type="dxa"/>
          <w:right w:w="0" w:type="dxa"/>
        </w:tblCellMar>
      </w:tblPr>
      <w:tr>
        <w:trPr>
          <w:trHeight w:val="205"/>
        </w:trPr>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207"/>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6"/>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61 %</w:t>
      </w:r>
      <w:r>
        <w:rPr>
          <w:sz w:val="20"/>
          <w:szCs w:val="20"/>
          <w:color w:val="auto"/>
        </w:rPr>
        <w:tab/>
      </w:r>
      <w:r>
        <w:rPr>
          <w:rFonts w:ascii="Arial" w:cs="Arial" w:eastAsia="Arial" w:hAnsi="Arial"/>
          <w:sz w:val="15"/>
          <w:szCs w:val="15"/>
          <w:color w:val="auto"/>
        </w:rPr>
        <w:t>61 %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8 %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55245</wp:posOffset>
            </wp:positionV>
            <wp:extent cx="1903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manages approximately 42% of the pension assets internally, of which the majority is invested in private investment funds with the remaining investments in Berkshire Hathaway stock, a U.S. stock index fund, and short-term fixed-income securities. The remaining 58%</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 plan 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235"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w:t>
      </w:r>
    </w:p>
    <w:p>
      <w:pPr>
        <w:ind w:right="520"/>
        <w:spacing w:after="0"/>
        <w:rPr>
          <w:sz w:val="20"/>
          <w:szCs w:val="20"/>
          <w:color w:val="auto"/>
        </w:rPr>
      </w:pPr>
      <w:r>
        <w:rPr>
          <w:rFonts w:ascii="Arial" w:cs="Arial" w:eastAsia="Arial" w:hAnsi="Arial"/>
          <w:sz w:val="17"/>
          <w:szCs w:val="17"/>
          <w:color w:val="auto"/>
        </w:rPr>
        <w:t>investments. One investment manager cannot invest more than 15% of the assets at the time of purchase in the stock of Alphabet and Berkshire Hathaway, and no more than 30% of the assets it manages in specified international exchanges at the time the investment is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made. The other investment manager cannot invest more than 20% of the assets at the time of purchase in the stock of Berkshire Hathaway, and no more than 15% of the assets it manages in specified international exchanges at the time the investment is made, and no less than</w:t>
      </w:r>
    </w:p>
    <w:p>
      <w:pPr>
        <w:spacing w:after="0" w:line="235" w:lineRule="auto"/>
        <w:rPr>
          <w:sz w:val="20"/>
          <w:szCs w:val="20"/>
          <w:color w:val="auto"/>
        </w:rPr>
      </w:pPr>
      <w:r>
        <w:rPr>
          <w:rFonts w:ascii="Arial" w:cs="Arial" w:eastAsia="Arial" w:hAnsi="Arial"/>
          <w:sz w:val="18"/>
          <w:szCs w:val="18"/>
          <w:color w:val="auto"/>
        </w:rPr>
        <w:t>10% of the assets could be invested in fixed-income securities. Excluding the exceptions noted above, the investment managers cannot</w:t>
      </w:r>
    </w:p>
    <w:p>
      <w:pPr>
        <w:ind w:right="680"/>
        <w:spacing w:after="0" w:line="237" w:lineRule="auto"/>
        <w:rPr>
          <w:sz w:val="20"/>
          <w:szCs w:val="20"/>
          <w:color w:val="auto"/>
        </w:rPr>
      </w:pPr>
      <w:r>
        <w:rPr>
          <w:rFonts w:ascii="Arial" w:cs="Arial" w:eastAsia="Arial" w:hAnsi="Arial"/>
          <w:sz w:val="18"/>
          <w:szCs w:val="18"/>
          <w:color w:val="auto"/>
        </w:rPr>
        <w:t>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1" w:name="page22"/>
    <w:bookmarkEnd w:id="21"/>
    <w:p>
      <w:pPr>
        <w:ind w:right="360"/>
        <w:spacing w:after="0" w:line="271" w:lineRule="auto"/>
        <w:rPr>
          <w:sz w:val="20"/>
          <w:szCs w:val="20"/>
          <w:color w:val="auto"/>
        </w:rPr>
      </w:pPr>
      <w:r>
        <w:rPr>
          <w:rFonts w:ascii="Arial" w:cs="Arial" w:eastAsia="Arial" w:hAnsi="Arial"/>
          <w:sz w:val="18"/>
          <w:szCs w:val="18"/>
          <w:color w:val="auto"/>
        </w:rPr>
        <w:t>indicators of future performance. In addition, the Company may consult with and consider the input of financial and other professionals in developing appropriate return benchmarks.</w:t>
      </w:r>
    </w:p>
    <w:p>
      <w:pPr>
        <w:spacing w:after="0" w:line="8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2022. Types of concentrations that were evaluated include, but are not limited to,</w:t>
      </w:r>
    </w:p>
    <w:p>
      <w:pPr>
        <w:ind w:right="120"/>
        <w:spacing w:after="0" w:line="226"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September 30, 2022, the pension plan held investments in one common stock and one private investment fund that exceeded 10% of total plan assets, valued at $783.6 million, or</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approximately 33% of total plan assets. At December 31, 2021, the pension plan held investments in one common stock and one private investment fund that exceeded 10% of total plan assets, valued at $998.8 million, or approximately 29% of total plan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24</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73</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69</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88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(711)</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(2,132)</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(688)</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(2,064)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2021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(loss) gain,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1,376</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52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3,074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2,749</w:t>
            </w:r>
          </w:p>
        </w:tc>
      </w:tr>
      <w:tr>
        <w:trPr>
          <w:trHeight w:val="229"/>
        </w:trPr>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(1,973)</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30"/>
        </w:trPr>
        <w:tc>
          <w:tcPr>
            <w:tcW w:w="4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w:t>
            </w:r>
          </w:p>
        </w:tc>
        <w:tc>
          <w:tcPr>
            <w:tcW w:w="5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1,032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6,793</w:t>
            </w:r>
          </w:p>
        </w:tc>
      </w:tr>
      <w:tr>
        <w:trPr>
          <w:trHeight w:val="230"/>
        </w:trPr>
        <w:tc>
          <w:tcPr>
            <w:tcW w:w="4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604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560</w:t>
            </w:r>
          </w:p>
        </w:tc>
        <w:tc>
          <w:tcPr>
            <w:tcW w:w="5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560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10,506</w:t>
            </w:r>
          </w:p>
        </w:tc>
      </w:tr>
      <w:tr>
        <w:trPr>
          <w:trHeight w:val="233"/>
        </w:trPr>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862</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3,921</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3,113</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6,938</w:t>
            </w:r>
          </w:p>
        </w:tc>
      </w:tr>
      <w:tr>
        <w:trPr>
          <w:trHeight w:val="223"/>
        </w:trPr>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2,358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5,218</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6,410</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27,660</w:t>
            </w:r>
          </w:p>
        </w:tc>
      </w:tr>
      <w:tr>
        <w:trPr>
          <w:trHeight w:val="24"/>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3 and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the Company recorded contingent consideration gains of $1.4 million and $3.1</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million, respectively, related to the disposition of Kaplan University (KU) in 2018. During the three and nine months ended September 30, 2021, the Company recorded contingent consideration gains of $1.3 million and $2.8 million,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0"/>
        </w:trPr>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7"/>
                <w:szCs w:val="17"/>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17"/>
                <w:szCs w:val="17"/>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color w:val="auto"/>
              </w:rPr>
              <w:t>After-Tax</w:t>
            </w:r>
          </w:p>
        </w:tc>
      </w:tr>
      <w:tr>
        <w:trPr>
          <w:trHeight w:val="22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Amount</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70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center"/>
              <w:ind w:left="161"/>
              <w:spacing w:after="0"/>
              <w:rPr>
                <w:sz w:val="20"/>
                <w:szCs w:val="20"/>
                <w:color w:val="auto"/>
              </w:rPr>
            </w:pPr>
            <w:r>
              <w:rPr>
                <w:rFonts w:ascii="Arial" w:cs="Arial" w:eastAsia="Arial" w:hAnsi="Arial"/>
                <w:sz w:val="16"/>
                <w:szCs w:val="16"/>
                <w:b w:val="1"/>
                <w:bCs w:val="1"/>
                <w:color w:val="auto"/>
              </w:rPr>
              <w:t>(44,260)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(44,260)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(16,033)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(16,033)</w:t>
            </w:r>
          </w:p>
        </w:tc>
      </w:tr>
      <w:tr>
        <w:trPr>
          <w:trHeight w:val="221"/>
        </w:trPr>
        <w:tc>
          <w:tcPr>
            <w:tcW w:w="470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716</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531</w:t>
            </w:r>
          </w:p>
        </w:tc>
        <w:tc>
          <w:tcPr>
            <w:tcW w:w="180" w:type="dxa"/>
            <w:vAlign w:val="bottom"/>
          </w:tcPr>
          <w:p>
            <w:pPr>
              <w:spacing w:after="0"/>
              <w:rPr>
                <w:sz w:val="20"/>
                <w:szCs w:val="20"/>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793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605</w:t>
            </w:r>
          </w:p>
        </w:tc>
      </w:tr>
      <w:tr>
        <w:trPr>
          <w:trHeight w:val="233"/>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rPr>
              <w:t>(18,083)</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4,661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(13,422)</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(1,066)</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238</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r>
      <w:tr>
        <w:trPr>
          <w:trHeight w:val="220"/>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rPr>
              <w:t>(17,367)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4,476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(12,891)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(273)</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14"/>
        </w:trPr>
        <w:tc>
          <w:tcPr>
            <w:tcW w:w="470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4700" w:type="dxa"/>
            <w:vAlign w:val="bottom"/>
          </w:tcPr>
          <w:p>
            <w:pPr>
              <w:ind w:left="140"/>
              <w:spacing w:after="0"/>
              <w:rPr>
                <w:sz w:val="20"/>
                <w:szCs w:val="20"/>
                <w:color w:val="auto"/>
              </w:rPr>
            </w:pPr>
            <w:r>
              <w:rPr>
                <w:rFonts w:ascii="Arial" w:cs="Arial" w:eastAsia="Arial" w:hAnsi="Arial"/>
                <w:sz w:val="16"/>
                <w:szCs w:val="16"/>
                <w:color w:val="auto"/>
              </w:rPr>
              <w:t>Gains for the period</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2,202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1,696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169</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w:t>
            </w: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rPr>
              <w:t>(59,425)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3,970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(55,455)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(16,137)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(16,126)</w:t>
            </w:r>
          </w:p>
        </w:tc>
      </w:tr>
      <w:tr>
        <w:trPr>
          <w:trHeight w:val="21"/>
        </w:trPr>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87"/>
        </w:trPr>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9"/>
        </w:trPr>
        <w:tc>
          <w:tcPr>
            <w:tcW w:w="47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0"/>
        </w:trPr>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00" w:type="dxa"/>
            <w:vAlign w:val="bottom"/>
          </w:tcPr>
          <w:p>
            <w:pPr>
              <w:jc w:val="right"/>
              <w:ind w:right="181"/>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7"/>
                <w:szCs w:val="17"/>
                <w:color w:val="auto"/>
              </w:rPr>
            </w:pPr>
          </w:p>
        </w:tc>
        <w:tc>
          <w:tcPr>
            <w:tcW w:w="960" w:type="dxa"/>
            <w:vAlign w:val="bottom"/>
          </w:tcPr>
          <w:p>
            <w:pPr>
              <w:jc w:val="center"/>
              <w:ind w:right="121"/>
              <w:spacing w:after="0"/>
              <w:rPr>
                <w:sz w:val="20"/>
                <w:szCs w:val="20"/>
                <w:color w:val="auto"/>
              </w:rPr>
            </w:pPr>
            <w:r>
              <w:rPr>
                <w:rFonts w:ascii="Arial" w:cs="Arial" w:eastAsia="Arial" w:hAnsi="Arial"/>
                <w:sz w:val="14"/>
                <w:szCs w:val="14"/>
                <w:color w:val="auto"/>
                <w:w w:val="98"/>
              </w:rPr>
              <w:t>Before-Tax</w:t>
            </w:r>
          </w:p>
        </w:tc>
        <w:tc>
          <w:tcPr>
            <w:tcW w:w="20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7"/>
                <w:szCs w:val="17"/>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After-Tax</w:t>
            </w:r>
          </w:p>
        </w:tc>
      </w:tr>
      <w:tr>
        <w:trPr>
          <w:trHeight w:val="22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9"/>
              </w:rPr>
              <w:t>Amount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4"/>
              </w:rPr>
              <w:t>Tax</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70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(86,926)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(86,926)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(15,352)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(15,352)</w:t>
            </w:r>
          </w:p>
        </w:tc>
      </w:tr>
      <w:tr>
        <w:trPr>
          <w:trHeight w:val="222"/>
        </w:trPr>
        <w:tc>
          <w:tcPr>
            <w:tcW w:w="470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left="181"/>
              <w:spacing w:after="0"/>
              <w:rPr>
                <w:sz w:val="20"/>
                <w:szCs w:val="20"/>
                <w:color w:val="auto"/>
              </w:rPr>
            </w:pPr>
            <w:r>
              <w:rPr>
                <w:rFonts w:ascii="Arial" w:cs="Arial" w:eastAsia="Arial" w:hAnsi="Arial"/>
                <w:sz w:val="16"/>
                <w:szCs w:val="16"/>
                <w:b w:val="1"/>
                <w:bCs w:val="1"/>
                <w:color w:val="auto"/>
                <w:w w:val="99"/>
              </w:rPr>
              <w:t>2,148</w:t>
            </w:r>
          </w:p>
        </w:tc>
        <w:tc>
          <w:tcPr>
            <w:tcW w:w="22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(554)</w:t>
            </w: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1,594</w:t>
            </w:r>
          </w:p>
        </w:tc>
        <w:tc>
          <w:tcPr>
            <w:tcW w:w="180" w:type="dxa"/>
            <w:vAlign w:val="bottom"/>
          </w:tcPr>
          <w:p>
            <w:pPr>
              <w:spacing w:after="0"/>
              <w:rPr>
                <w:sz w:val="20"/>
                <w:szCs w:val="20"/>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2,377</w:t>
            </w:r>
          </w:p>
        </w:tc>
        <w:tc>
          <w:tcPr>
            <w:tcW w:w="20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(615)</w:t>
            </w:r>
          </w:p>
        </w:tc>
        <w:tc>
          <w:tcPr>
            <w:tcW w:w="2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1,762</w:t>
            </w:r>
          </w:p>
        </w:tc>
      </w:tr>
      <w:tr>
        <w:trPr>
          <w:trHeight w:val="233"/>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(53,939)</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13,902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(40,037)</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(4,419)</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1,143</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w:t>
            </w:r>
          </w:p>
        </w:tc>
      </w:tr>
      <w:tr>
        <w:trPr>
          <w:trHeight w:val="220"/>
        </w:trPr>
        <w:tc>
          <w:tcPr>
            <w:tcW w:w="47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(51,791)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13,348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(38,443)</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528</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14"/>
        </w:trPr>
        <w:tc>
          <w:tcPr>
            <w:tcW w:w="470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4700" w:type="dxa"/>
            <w:vAlign w:val="bottom"/>
          </w:tcPr>
          <w:p>
            <w:pPr>
              <w:ind w:left="140"/>
              <w:spacing w:after="0"/>
              <w:rPr>
                <w:sz w:val="20"/>
                <w:szCs w:val="20"/>
                <w:color w:val="auto"/>
              </w:rPr>
            </w:pPr>
            <w:r>
              <w:rPr>
                <w:rFonts w:ascii="Arial" w:cs="Arial" w:eastAsia="Arial" w:hAnsi="Arial"/>
                <w:sz w:val="16"/>
                <w:szCs w:val="16"/>
                <w:color w:val="auto"/>
              </w:rPr>
              <w:t>Gains for the period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b w:val="1"/>
                <w:bCs w:val="1"/>
                <w:color w:val="auto"/>
                <w:w w:val="99"/>
              </w:rPr>
              <w:t>4,935</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(1,135)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3,800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803</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(186)</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617</w:t>
            </w: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(133,782)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12,213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(121,569)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(16,591)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(16,249)</w:t>
            </w: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(6,298)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979,157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971,388</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(86,926)</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3,342</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(83,584)</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(38,443)</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458</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(37,985)</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(86,926)</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(38,443)</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3,800</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(121,569)</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(93,224)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940,714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849,819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940" w:type="dxa"/>
            <w:vAlign w:val="bottom"/>
          </w:tcPr>
          <w:p>
            <w:pPr>
              <w:spacing w:after="0"/>
              <w:rPr>
                <w:sz w:val="14"/>
                <w:szCs w:val="14"/>
                <w:color w:val="auto"/>
              </w:rPr>
            </w:pPr>
          </w:p>
        </w:tc>
      </w:tr>
      <w:tr>
        <w:trPr>
          <w:trHeight w:val="205"/>
        </w:trPr>
        <w:tc>
          <w:tcPr>
            <w:tcW w:w="3880" w:type="dxa"/>
            <w:vAlign w:val="bottom"/>
          </w:tcPr>
          <w:p>
            <w:pPr>
              <w:spacing w:after="0"/>
              <w:rPr>
                <w:sz w:val="17"/>
                <w:szCs w:val="17"/>
                <w:color w:val="auto"/>
              </w:rPr>
            </w:pPr>
          </w:p>
        </w:tc>
        <w:tc>
          <w:tcPr>
            <w:tcW w:w="214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September 30</w:t>
            </w:r>
          </w:p>
        </w:tc>
        <w:tc>
          <w:tcPr>
            <w:tcW w:w="2940" w:type="dxa"/>
            <w:vAlign w:val="bottom"/>
          </w:tcPr>
          <w:p>
            <w:pPr>
              <w:jc w:val="center"/>
              <w:ind w:left="14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200"/>
        </w:trPr>
        <w:tc>
          <w:tcPr>
            <w:tcW w:w="3880" w:type="dxa"/>
            <w:vAlign w:val="bottom"/>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2022</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2940" w:type="dxa"/>
            <w:vAlign w:val="bottom"/>
          </w:tcPr>
          <w:p>
            <w:pPr>
              <w:jc w:val="center"/>
              <w:ind w:left="168"/>
              <w:spacing w:after="0"/>
              <w:rPr>
                <w:sz w:val="20"/>
                <w:szCs w:val="20"/>
                <w:color w:val="auto"/>
              </w:rPr>
            </w:pPr>
            <w:r>
              <w:rPr>
                <w:rFonts w:ascii="Arial" w:cs="Arial" w:eastAsia="Arial" w:hAnsi="Arial"/>
                <w:sz w:val="14"/>
                <w:szCs w:val="14"/>
                <w:b w:val="1"/>
                <w:bCs w:val="1"/>
                <w:color w:val="auto"/>
              </w:rPr>
              <w:t>Consolidated Statements of 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2,148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2,377</w:t>
            </w:r>
          </w:p>
        </w:tc>
        <w:tc>
          <w:tcPr>
            <w:tcW w:w="30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39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(53,939)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30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(17,367)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(51,791)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(2,042)</w:t>
            </w:r>
          </w:p>
        </w:tc>
        <w:tc>
          <w:tcPr>
            <w:tcW w:w="306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4,476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13,348</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3060" w:type="dxa"/>
            <w:vAlign w:val="bottom"/>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(38,443)</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30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458</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30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(12,768)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(37,985)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30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20" w:hanging="412"/>
        <w:spacing w:after="0" w:line="264"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w:t>
      </w:r>
    </w:p>
    <w:p>
      <w:pPr>
        <w:spacing w:after="0" w:line="236" w:lineRule="auto"/>
        <w:rPr>
          <w:sz w:val="20"/>
          <w:szCs w:val="20"/>
          <w:color w:val="auto"/>
        </w:rPr>
      </w:pPr>
      <w:r>
        <w:rPr>
          <w:rFonts w:ascii="Arial" w:cs="Arial" w:eastAsia="Arial" w:hAnsi="Arial"/>
          <w:sz w:val="18"/>
          <w:szCs w:val="18"/>
          <w:color w:val="auto"/>
        </w:rPr>
        <w:t>applicable wage and hour laws; and statutory or common law claims involving current and former students and employees. Although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outcomes of the legal claims and proceedings against the Company cannot be predicted with certainty, based on currently available information, management believes that there are no existing claims or proceedings that are likely to have a material effect on the Company’s</w:t>
      </w:r>
    </w:p>
    <w:p>
      <w:pPr>
        <w:spacing w:after="0" w:line="235" w:lineRule="auto"/>
        <w:rPr>
          <w:sz w:val="20"/>
          <w:szCs w:val="20"/>
          <w:color w:val="auto"/>
        </w:rPr>
      </w:pPr>
      <w:r>
        <w:rPr>
          <w:rFonts w:ascii="Arial" w:cs="Arial" w:eastAsia="Arial" w:hAnsi="Arial"/>
          <w:sz w:val="18"/>
          <w:szCs w:val="18"/>
          <w:color w:val="auto"/>
        </w:rPr>
        <w:t>business, financial condition, results of operations or cash flows. However, based on currently available information, management believes it</w:t>
      </w:r>
    </w:p>
    <w:p>
      <w:pPr>
        <w:ind w:right="500"/>
        <w:spacing w:after="0" w:line="237" w:lineRule="auto"/>
        <w:rPr>
          <w:sz w:val="20"/>
          <w:szCs w:val="20"/>
          <w:color w:val="auto"/>
        </w:rPr>
      </w:pPr>
      <w:r>
        <w:rPr>
          <w:rFonts w:ascii="Arial" w:cs="Arial" w:eastAsia="Arial" w:hAnsi="Arial"/>
          <w:sz w:val="18"/>
          <w:szCs w:val="18"/>
          <w:color w:val="auto"/>
        </w:rPr>
        <w:t>is reasonably possible that future losses from existing and threatened legal, regulatory and other proceedings in excess of the amounts recorded could reach approximately $15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2015, Kaplan sold substantially all of the assets of the KHE Campuses (KHEC) business to Education Corporation of America. In 2018,</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certain subsidiaries of Kaplan contributed the institutional assets and operations of KU to a new university: an Indiana nonprofit, public-benefit corporation affiliated with Purdue University, known as Purdue University Global. Kaplan could be held liable to the current owners of</w:t>
      </w:r>
    </w:p>
    <w:p>
      <w:pPr>
        <w:spacing w:after="0" w:line="235" w:lineRule="auto"/>
        <w:rPr>
          <w:sz w:val="20"/>
          <w:szCs w:val="20"/>
          <w:color w:val="auto"/>
        </w:rPr>
      </w:pPr>
      <w:r>
        <w:rPr>
          <w:rFonts w:ascii="Arial" w:cs="Arial" w:eastAsia="Arial" w:hAnsi="Arial"/>
          <w:sz w:val="18"/>
          <w:szCs w:val="18"/>
          <w:color w:val="auto"/>
        </w:rPr>
        <w:t>KU and the KHEC schools related to the pre-sale conduct of the schools, and the pre-sale conduct of the schools has been and could be the</w:t>
      </w:r>
    </w:p>
    <w:p>
      <w:pPr>
        <w:spacing w:after="0" w:line="226" w:lineRule="auto"/>
        <w:rPr>
          <w:sz w:val="20"/>
          <w:szCs w:val="20"/>
          <w:color w:val="auto"/>
        </w:rPr>
      </w:pPr>
      <w:r>
        <w:rPr>
          <w:rFonts w:ascii="Arial" w:cs="Arial" w:eastAsia="Arial" w:hAnsi="Arial"/>
          <w:sz w:val="18"/>
          <w:szCs w:val="18"/>
          <w:color w:val="auto"/>
        </w:rPr>
        <w:t>subject of future compliance reviews, regulatory proceedings or lawsuits that could result in monetary liabilities or fines or other sanctions. On May 6, 2021, Kaplan received a notice from the Department of Education (ED) that it would be conducting a fact-finding process pursuant to</w:t>
      </w:r>
    </w:p>
    <w:p>
      <w:pPr>
        <w:spacing w:after="0" w:line="236" w:lineRule="auto"/>
        <w:rPr>
          <w:sz w:val="20"/>
          <w:szCs w:val="20"/>
          <w:color w:val="auto"/>
        </w:rPr>
      </w:pPr>
      <w:r>
        <w:rPr>
          <w:rFonts w:ascii="Arial" w:cs="Arial" w:eastAsia="Arial" w:hAnsi="Arial"/>
          <w:sz w:val="18"/>
          <w:szCs w:val="18"/>
          <w:color w:val="auto"/>
        </w:rPr>
        <w:t>the borrower defense to repayment (BDTR) regulations to determine the validity of more than 800 BDTR claims and a request for documents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related to several of Kaplan’s previously owned schools. Beginning in July 2021, Kaplan started receiving the claims and related information requests. In total, Kaplan received 1,449 borrower defense applications that seek discharge of approximately $35 million in loans (excluding</w:t>
      </w:r>
    </w:p>
    <w:p>
      <w:pPr>
        <w:spacing w:after="0" w:line="236" w:lineRule="auto"/>
        <w:rPr>
          <w:sz w:val="20"/>
          <w:szCs w:val="20"/>
          <w:color w:val="auto"/>
        </w:rPr>
      </w:pPr>
      <w:r>
        <w:rPr>
          <w:rFonts w:ascii="Arial" w:cs="Arial" w:eastAsia="Arial" w:hAnsi="Arial"/>
          <w:sz w:val="18"/>
          <w:szCs w:val="18"/>
          <w:color w:val="auto"/>
        </w:rPr>
        <w:t>interest). Most claims received are from former KU students. The ED’s process for adjudicating these claims is subject to the borrower</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defense regulations but it is not clear to what extent the ED will exclude claims based on the underlying statutes of limitations, evidence provided by Kaplan, or any prior investigation related to schools attended by the student applicants.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June 22, 2022, the ED filed a joint motion for approval of a settlement agreement in </w:t>
      </w:r>
      <w:r>
        <w:rPr>
          <w:rFonts w:ascii="Arial" w:cs="Arial" w:eastAsia="Arial" w:hAnsi="Arial"/>
          <w:sz w:val="18"/>
          <w:szCs w:val="18"/>
          <w:i w:val="1"/>
          <w:iCs w:val="1"/>
          <w:color w:val="auto"/>
        </w:rPr>
        <w:t>Sweet, et al. vs. Cardona</w:t>
      </w:r>
      <w:r>
        <w:rPr>
          <w:rFonts w:ascii="Arial" w:cs="Arial" w:eastAsia="Arial" w:hAnsi="Arial"/>
          <w:sz w:val="18"/>
          <w:szCs w:val="18"/>
          <w:color w:val="auto"/>
        </w:rPr>
        <w:t>, a case pending in the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United States District Court for the Northern District of California. Kaplan is not a party to this case. This case was brought in 2019 by a purported class of borrowers demanding that the ED adjudicate all pending borrower defense claims. The settlement proposes that the ED</w:t>
      </w:r>
    </w:p>
    <w:p>
      <w:pPr>
        <w:spacing w:after="0" w:line="235" w:lineRule="auto"/>
        <w:rPr>
          <w:sz w:val="20"/>
          <w:szCs w:val="20"/>
          <w:color w:val="auto"/>
        </w:rPr>
      </w:pPr>
      <w:r>
        <w:rPr>
          <w:rFonts w:ascii="Arial" w:cs="Arial" w:eastAsia="Arial" w:hAnsi="Arial"/>
          <w:sz w:val="18"/>
          <w:szCs w:val="18"/>
          <w:color w:val="auto"/>
        </w:rPr>
        <w:t>will discharge the loans for students who borrowed to attend any school on a specified list. The list includes approximately 150 schools,</w:t>
      </w:r>
    </w:p>
    <w:p>
      <w:pPr>
        <w:ind w:right="100"/>
        <w:spacing w:after="0"/>
        <w:rPr>
          <w:sz w:val="20"/>
          <w:szCs w:val="20"/>
          <w:color w:val="auto"/>
        </w:rPr>
      </w:pPr>
      <w:r>
        <w:rPr>
          <w:rFonts w:ascii="Arial" w:cs="Arial" w:eastAsia="Arial" w:hAnsi="Arial"/>
          <w:sz w:val="17"/>
          <w:szCs w:val="17"/>
          <w:color w:val="auto"/>
        </w:rPr>
        <w:t>including Bauder College, Mount Washington College, Kaplan Career Institute and Kaplan College, as well as Purdue University Global (encompassing the former Kaplan University). This proposed settlement would cover all claims to which Kaplan has previously responded to</w:t>
      </w:r>
    </w:p>
    <w:p>
      <w:pPr>
        <w:spacing w:after="0" w:line="235" w:lineRule="auto"/>
        <w:rPr>
          <w:sz w:val="20"/>
          <w:szCs w:val="20"/>
          <w:color w:val="auto"/>
        </w:rPr>
      </w:pPr>
      <w:r>
        <w:rPr>
          <w:rFonts w:ascii="Arial" w:cs="Arial" w:eastAsia="Arial" w:hAnsi="Arial"/>
          <w:sz w:val="18"/>
          <w:szCs w:val="18"/>
          <w:color w:val="auto"/>
        </w:rPr>
        <w:t>the ED and may also include new claims for which Kaplan has not received any information or which may still be filed prior to any final</w:t>
      </w:r>
    </w:p>
    <w:p>
      <w:pPr>
        <w:ind w:right="200"/>
        <w:spacing w:after="0" w:line="226" w:lineRule="auto"/>
        <w:rPr>
          <w:sz w:val="20"/>
          <w:szCs w:val="20"/>
          <w:color w:val="auto"/>
        </w:rPr>
      </w:pPr>
      <w:r>
        <w:rPr>
          <w:rFonts w:ascii="Arial" w:cs="Arial" w:eastAsia="Arial" w:hAnsi="Arial"/>
          <w:sz w:val="18"/>
          <w:szCs w:val="18"/>
          <w:color w:val="auto"/>
        </w:rPr>
        <w:t>approval of the settlement by the court. ED has clarified that while attendance at one of the listed schools justifies presumptive relief for the borrowers, inclusion on the list is not a finding of misconduct by the school and does not provide an evidentiary basis upon which ED could</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rely to take action against any of the schools. In its July 25, 2022 filing, the ED stated that the proposed settlement in Sweet “creates no independent basis for action against the schools” and “any concrete consequences on the schools – financial or otherwise—could be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imposed only after the ED initiates a separate, future proceeding...” The proposed settlement agreement will not be effective unless and until it achieves final court approval. In the event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right="300"/>
        <w:spacing w:after="0" w:line="271" w:lineRule="auto"/>
        <w:rPr>
          <w:sz w:val="20"/>
          <w:szCs w:val="20"/>
          <w:color w:val="auto"/>
        </w:rPr>
      </w:pPr>
      <w:r>
        <w:rPr>
          <w:rFonts w:ascii="Arial" w:cs="Arial" w:eastAsia="Arial" w:hAnsi="Arial"/>
          <w:sz w:val="18"/>
          <w:szCs w:val="18"/>
          <w:color w:val="auto"/>
        </w:rPr>
        <w:t>settlement is approved, the ED will likely be required to separately fully adjudicate the borrowers’ claims under the borrower defense rules process if it wishes to ultimately apply liability to institutions and seek recoupment of discharged amounts.</w:t>
      </w:r>
    </w:p>
    <w:p>
      <w:pPr>
        <w:spacing w:after="0" w:line="86"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In any such process Kaplan believes it has defenses that would bar any student discharge or school liability including that the claims are barred by the applicable statute of limitations, unproven, incomplete and fail to meet regulatory filing requirements. Kaplan will vigorously</w:t>
      </w:r>
    </w:p>
    <w:p>
      <w:pPr>
        <w:ind w:right="60"/>
        <w:spacing w:after="0" w:line="226" w:lineRule="auto"/>
        <w:rPr>
          <w:sz w:val="20"/>
          <w:szCs w:val="20"/>
          <w:color w:val="auto"/>
        </w:rPr>
      </w:pPr>
      <w:r>
        <w:rPr>
          <w:rFonts w:ascii="Arial" w:cs="Arial" w:eastAsia="Arial" w:hAnsi="Arial"/>
          <w:sz w:val="18"/>
          <w:szCs w:val="18"/>
          <w:color w:val="auto"/>
        </w:rPr>
        <w:t>defend any attempt by the ED to hold Kaplan liable for any ultimate student discharges and is responding to all claims with documentary and narrative evidence to refute the allegations, demonstrate their lack of merit, and support the denial of all such claims by the ED. If the ED</w:t>
      </w:r>
    </w:p>
    <w:p>
      <w:pPr>
        <w:spacing w:after="0" w:line="236" w:lineRule="auto"/>
        <w:rPr>
          <w:sz w:val="20"/>
          <w:szCs w:val="20"/>
          <w:color w:val="auto"/>
        </w:rPr>
      </w:pPr>
      <w:r>
        <w:rPr>
          <w:rFonts w:ascii="Arial" w:cs="Arial" w:eastAsia="Arial" w:hAnsi="Arial"/>
          <w:sz w:val="18"/>
          <w:szCs w:val="18"/>
          <w:color w:val="auto"/>
        </w:rPr>
        <w:t>grants borrower claims through the BTDR process, the ED may seek reimbursement for the amount discharged from Kaplan. If the ED were</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to initiate a recoupment action against Kaplan, and that action successfully overcame Kaplan’s defenses, Kaplan could be subject to significant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2022, the ED released the final Borrower Defense to Repayment rule with an effective date of July 1, 2023. Compared to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previous rule, this new rule in part, expands actions that can give rise to claims for discharge; provides that the borrower’s claim will be presumed true if the institution does not provide any responsive evidence; provides an easier process for group claims; and relies on current</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program review penalty hearing processes for discharge recoupment. Under the rule, the recoupment process applies only to loans first disbursed after July 1, 2023; however, the discharge process and standards apply to any pending application regardless of loan date.</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On October 27, 2022, the ED released a final rule that among other things, changes the Title IV definition of “Nonprofit” institution to generally exclude from that definition any institution that is an obligor on a debt owed to a former owner of the institution or that maintains a</w:t>
      </w:r>
    </w:p>
    <w:p>
      <w:pPr>
        <w:ind w:right="40"/>
        <w:spacing w:after="0" w:line="237" w:lineRule="auto"/>
        <w:rPr>
          <w:sz w:val="20"/>
          <w:szCs w:val="20"/>
          <w:color w:val="auto"/>
        </w:rPr>
      </w:pPr>
      <w:r>
        <w:rPr>
          <w:rFonts w:ascii="Arial" w:cs="Arial" w:eastAsia="Arial" w:hAnsi="Arial"/>
          <w:sz w:val="18"/>
          <w:szCs w:val="18"/>
          <w:color w:val="auto"/>
        </w:rPr>
        <w:t>revenue-based service agreement with a former owner of the institution. The final rule has an effective date of July 1, 2023 and could subject Purdue Global to additional regulatory requirements.</w:t>
      </w:r>
    </w:p>
    <w:p>
      <w:pPr>
        <w:spacing w:after="0" w:line="12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August 2018, Purdue University Global received an updated Provisional Program Participation Agreement (PPPA) from the ED which is necessary for continued participation in the federal Title IV programs after the change in ownership from Kaplan to Purdue. The PPPA</w:t>
      </w:r>
    </w:p>
    <w:p>
      <w:pPr>
        <w:spacing w:after="0" w:line="235" w:lineRule="auto"/>
        <w:rPr>
          <w:sz w:val="20"/>
          <w:szCs w:val="20"/>
          <w:color w:val="auto"/>
        </w:rPr>
      </w:pPr>
      <w:r>
        <w:rPr>
          <w:rFonts w:ascii="Arial" w:cs="Arial" w:eastAsia="Arial" w:hAnsi="Arial"/>
          <w:sz w:val="18"/>
          <w:szCs w:val="18"/>
          <w:color w:val="auto"/>
        </w:rPr>
        <w:t>expired on June 30, 2021 but was extended to June 30, 2022. In August 2022, Purdue University Global received an extended PPPA that is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effective through June 30, 2024. Under the extended PPPA, among other restrictions, Purdue University Global must also report information related to known open investigations and student complaints on a quarterly basis to the 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marketing diploma programs on both a full and part-time basis due to noncompliance with minimum entry level requirements for admission and to teach out existing students in these programs. On August 23, 2021, the CPE issued the same instructions with respect to the Kaplan</w:t>
      </w:r>
    </w:p>
    <w:p>
      <w:pPr>
        <w:spacing w:after="0" w:line="236" w:lineRule="auto"/>
        <w:rPr>
          <w:sz w:val="20"/>
          <w:szCs w:val="20"/>
          <w:color w:val="auto"/>
        </w:rPr>
      </w:pPr>
      <w:r>
        <w:rPr>
          <w:rFonts w:ascii="Arial" w:cs="Arial" w:eastAsia="Arial" w:hAnsi="Arial"/>
          <w:sz w:val="18"/>
          <w:szCs w:val="18"/>
          <w:color w:val="auto"/>
        </w:rPr>
        <w:t>Foundation diploma and four information technology diploma programs on both a full and part-time basis. In November 2021, the CPE issued</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 same instructions with respect to a further 23 full-time or part-time diploma programs. Post regulatory action, Kaplan Singapore was still able to offer 449 programs that remained registered with the CPE, out of which there were 16 diplomas, 361 bachelors and the balance of</w:t>
      </w:r>
    </w:p>
    <w:p>
      <w:pPr>
        <w:spacing w:after="0" w:line="236" w:lineRule="auto"/>
        <w:rPr>
          <w:sz w:val="20"/>
          <w:szCs w:val="20"/>
          <w:color w:val="auto"/>
        </w:rPr>
      </w:pPr>
      <w:r>
        <w:rPr>
          <w:rFonts w:ascii="Arial" w:cs="Arial" w:eastAsia="Arial" w:hAnsi="Arial"/>
          <w:sz w:val="18"/>
          <w:szCs w:val="18"/>
          <w:color w:val="auto"/>
        </w:rPr>
        <w:t>which were certificate and postgraduate courses. In April 2022, Kaplan Singapore applied for re-registration for certain of the diploma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programs and in July 2022 received approval from the CPE. In May 2022, CPE also renewed Kaplan Singapore’s registrations as a private education institution for a four year period expiring in 2026. In October 2022, Kaplan Singapore received approval from the CPE to re-register</w:t>
      </w:r>
    </w:p>
    <w:p>
      <w:pPr>
        <w:spacing w:after="0" w:line="236" w:lineRule="auto"/>
        <w:rPr>
          <w:sz w:val="20"/>
          <w:szCs w:val="20"/>
          <w:color w:val="auto"/>
        </w:rPr>
      </w:pPr>
      <w:r>
        <w:rPr>
          <w:rFonts w:ascii="Arial" w:cs="Arial" w:eastAsia="Arial" w:hAnsi="Arial"/>
          <w:sz w:val="18"/>
          <w:szCs w:val="18"/>
          <w:color w:val="auto"/>
        </w:rPr>
        <w:t>certain additional full-time and part-time programs. While the regulatory actions by the CPE in 2021 will have a significant adverse impact on</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Kaplan Singapore’s revenues, operating results and cash flows in the future, the impact is expected to be mitigated as a result of the recently approved registrations of certain impacted programs.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w:t>
            </w:r>
          </w:p>
        </w:tc>
      </w:tr>
      <w:tr>
        <w:trPr>
          <w:trHeight w:val="225"/>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355,064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335,999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1,066,089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1,005,300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135,165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126,498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380,970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360,089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122,964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99,766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365,966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356,849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87,176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55,445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230,816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160,184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211,396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84,702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509,965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242,702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101,207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107,539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308,150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199,477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1,012,438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809,436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2,860,461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2,323,043</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22,625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13,869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69,952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57,238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53,691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41,911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135,991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113,212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14,723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39,527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27,990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6,953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6,016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21,491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23,312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11,050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25,493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(17,840)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(19,752)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(68,301)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(57,533)</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(40,886)</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(42,831)</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74,167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183,267</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130,203</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3,955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12,190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15,240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4,080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5,076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32,541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15,403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46,138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905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2,822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3,314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4,121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9,941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7,599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14,635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42,734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44,436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75,375</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18,645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9,914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57,762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41,998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52,331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40,550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131,911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109,131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9,647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(39,483)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24,124</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(18,148)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6,048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18,669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20,995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11,050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25,493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(21,154)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(23,873)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(78,242)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(65,132)</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(40,886)</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(42,831)</w:t>
            </w: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59,532</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138,831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54,828</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12,964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2,920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28,168</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(10,776)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(9,422)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(36,755)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(22,457)</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50,687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27,561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152,063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81,564</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Gain on Marketable Equity Securities,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(54,250)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14,069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(172,878)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176,981</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2,358</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6,410</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27,660</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46,440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33,783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90,591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346,744</w:t>
            </w:r>
          </w:p>
        </w:tc>
      </w:tr>
      <w:tr>
        <w:trPr>
          <w:trHeight w:val="21"/>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9"/>
                <w:szCs w:val="19"/>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w w:val="96"/>
              </w:rPr>
              <w:t>2021</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8,360</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8,217</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25,396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23,479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2,961</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3,462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9,335</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10,478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2,358</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2,402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7,109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7,346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590</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1,455</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1,067</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2,596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4,169</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3,649</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12,198</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7,578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152</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456</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19,657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18,741</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58,545</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51,886</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2,233</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2,339</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6,700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7,020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884</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901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2,666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276</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828</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138</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552</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1,549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1,468</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1,615</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4,404</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w:t>
            </w:r>
          </w:p>
        </w:tc>
      </w:tr>
      <w:tr>
        <w:trPr>
          <w:trHeight w:val="237"/>
        </w:trPr>
        <w:tc>
          <w:tcPr>
            <w:tcW w:w="60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5,557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5,775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16,581</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1,847,201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422,465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448,627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494,335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486,304</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245,276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194,823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411,440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238,200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620,287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689,872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76,503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68,962</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4,117,507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4,153,570</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597,456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169,422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2,392,746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7,277,131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w:t>
            </w: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193,085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168,143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598,469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521,314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80,684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85,518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229,467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239,944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79,566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80,489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233,416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238,055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4,927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13,726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10,739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(3,198)</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(8,989)</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355,064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335,999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1,066,089</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1,005,300</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8,503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48,130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23,285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9,027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9,525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16,768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18,152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9,471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11,769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17,671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33,079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(4,579)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(12,783)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(17,375)</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22,625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13,869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69,952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57,238</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3,888</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12,190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11,967</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8,503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48,130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23,285</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9,027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9,525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16,768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18,152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9,471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11,769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17,671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33,079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(8,559)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(24,973)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(32,615)</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18,645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57,762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41,998</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5,709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5,516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17,258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15,603</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988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3,072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1,570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1,658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4,787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279</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8,360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25,396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23,479</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67</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1,109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2,862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1,029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3,106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2,861</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530</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6,700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1,336,856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1,493,868</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177,042</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187,789</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267,826</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286,877</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65,477</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58,248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1,847,201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reported net income attributable to common shares of $32.8 million ($6.76 per share) for the third quarter of 2022, compared to $39.6 million ($7.90 per share) for the third quarter of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2022:</w:t>
      </w:r>
    </w:p>
    <w:p>
      <w:pPr>
        <w:spacing w:after="0" w:line="15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$54.2 million in net losses on marketable equity securities (after-tax impact of $40.2 million, or $8.28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$2.7 million in net losses of affiliates whose operations are not managed by the Company (after-tax impact of $2.0 million, or $0.42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operating gain of $0.6 million from write-up of a cost method investment (after-tax impact of $0.4 million, or $0.09 per share); and</w:t>
      </w:r>
    </w:p>
    <w:p>
      <w:pPr>
        <w:spacing w:after="0" w:line="157" w:lineRule="exact"/>
        <w:rPr>
          <w:rFonts w:ascii="Arial" w:cs="Arial" w:eastAsia="Arial" w:hAnsi="Arial"/>
          <w:sz w:val="18"/>
          <w:szCs w:val="18"/>
          <w:color w:val="auto"/>
        </w:rPr>
      </w:pPr>
    </w:p>
    <w:p>
      <w:pPr>
        <w:ind w:left="180" w:right="540" w:hanging="172"/>
        <w:spacing w:after="0" w:line="256" w:lineRule="auto"/>
        <w:tabs>
          <w:tab w:leader="none" w:pos="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$1.4 million in interest expense to adjust the fair value of the mandatorily redeemable noncontrolling interest (after-tax impact of $1.3 million, or $0.28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2021:</w:t>
      </w:r>
    </w:p>
    <w:p>
      <w:pPr>
        <w:spacing w:after="0" w:line="158"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 at Corporate ($0.34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$26.8 million in goodwill and other long-lived asset impairment charges (after-tax impact of $22.4 million, or $4.46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$14.1 million in net gains on marketable equity securities (after-tax impact of $10.3 million, or $2.05 per share);</w:t>
      </w:r>
    </w:p>
    <w:p>
      <w:pPr>
        <w:spacing w:after="0" w:line="157" w:lineRule="exact"/>
        <w:rPr>
          <w:rFonts w:ascii="Arial" w:cs="Arial" w:eastAsia="Arial" w:hAnsi="Arial"/>
          <w:sz w:val="18"/>
          <w:szCs w:val="18"/>
          <w:color w:val="auto"/>
        </w:rPr>
      </w:pPr>
    </w:p>
    <w:p>
      <w:pPr>
        <w:ind w:left="180" w:hanging="172"/>
        <w:spacing w:after="0" w:line="256"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$16.7 million in net earnings of affiliates whose operations are not managed by the Company (after-tax impact of $12.2 million, or $2.43 per share);</w:t>
      </w:r>
    </w:p>
    <w:p>
      <w:pPr>
        <w:spacing w:after="0" w:line="111"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net non-operating loss of $6.4 million from the write-down of an equity method investment (after-tax impact of $4.8 million, or $0.95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 million in net interest expense to adjust the fair value of the mandatorily redeemable noncontrolling interest ($0.52 per share); and</w:t>
      </w:r>
    </w:p>
    <w:p>
      <w:pPr>
        <w:spacing w:after="0" w:line="157" w:lineRule="exact"/>
        <w:rPr>
          <w:rFonts w:ascii="Arial" w:cs="Arial" w:eastAsia="Arial" w:hAnsi="Arial"/>
          <w:sz w:val="18"/>
          <w:szCs w:val="18"/>
          <w:color w:val="auto"/>
        </w:rPr>
      </w:pPr>
    </w:p>
    <w:p>
      <w:pPr>
        <w:ind w:left="180" w:right="20" w:hanging="172"/>
        <w:spacing w:after="0" w:line="256"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$15.7 million deferred tax benefit arising from a change in the estimated deferred state income tax rate related to the Company’s pension and other postretirement plans ($3.14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2022 was $1,012.4 million, up 25% from $809.4 million in the third quarter of 2021. Revenues increased at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education, television broadcasting, manufacturing, healthcare, and automotive, partially offset by a decline at other businesses. The Company reported operating income of $59.5 million for the third quarter of 2022, compared to an operating loss of $16.6 million for the third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of 2021. Operating results improved at all the Company’s divisions.</w:t>
      </w:r>
    </w:p>
    <w:p>
      <w:pPr>
        <w:spacing w:after="0" w:line="140"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For the first nine months of 2022, the Company reported net income attributable to common shares of $60.9 million ($12.48 per share), compared to $267.4 million ($53.33 per share) for the first nine months of 2021.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Items included in the Company’s net income for the first nine months of 2022:</w:t>
      </w:r>
    </w:p>
    <w:p>
      <w:pPr>
        <w:spacing w:after="0" w:line="158" w:lineRule="exact"/>
        <w:rPr>
          <w:sz w:val="20"/>
          <w:szCs w:val="20"/>
          <w:color w:val="auto"/>
        </w:rPr>
      </w:pPr>
    </w:p>
    <w:p>
      <w:pPr>
        <w:ind w:left="180" w:right="200" w:hanging="172"/>
        <w:spacing w:after="0" w:line="256"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$3.1 million, or $0.64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$172.9 million in net losses on marketable equity securities (after-tax impact of $127.9 million, or $26.19 per share);</w:t>
      </w:r>
    </w:p>
    <w:p>
      <w:pPr>
        <w:spacing w:after="0" w:line="157" w:lineRule="exact"/>
        <w:rPr>
          <w:rFonts w:ascii="Arial" w:cs="Arial" w:eastAsia="Arial" w:hAnsi="Arial"/>
          <w:sz w:val="18"/>
          <w:szCs w:val="18"/>
          <w:color w:val="auto"/>
        </w:rPr>
      </w:pPr>
    </w:p>
    <w:p>
      <w:pPr>
        <w:ind w:left="180" w:right="400" w:hanging="172"/>
        <w:spacing w:after="0" w:line="256"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$0.43 per share);</w:t>
      </w:r>
    </w:p>
    <w:p>
      <w:pPr>
        <w:spacing w:after="0" w:line="111" w:lineRule="exact"/>
        <w:rPr>
          <w:rFonts w:ascii="Arial" w:cs="Arial" w:eastAsia="Arial" w:hAnsi="Arial"/>
          <w:sz w:val="18"/>
          <w:szCs w:val="18"/>
          <w:color w:val="auto"/>
        </w:rPr>
      </w:pPr>
    </w:p>
    <w:p>
      <w:pPr>
        <w:ind w:left="180" w:right="80" w:hanging="172"/>
        <w:spacing w:after="0" w:line="271"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gain of $2.2 million from sales and write-up of cost and equity method investments (after-tax impact of $1.7 million, or $0.34 per share); and</w:t>
      </w:r>
    </w:p>
    <w:p>
      <w:pPr>
        <w:spacing w:after="0" w:line="86"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$12.8 million in interest expense to adjust the fair value of the mandatorily redeemable noncontrolling interest (after-tax impact of $12.3 million, or $2.51 per share).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2021:</w:t>
      </w:r>
    </w:p>
    <w:p>
      <w:pPr>
        <w:spacing w:after="0" w:line="14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$3.9 million net credit related to a fair value change in contingent consideration from a prior acquisition at Corporate ($0.78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$30.2 million in goodwill and long-lived asset impairment charges (after-tax impact of $24.9 million, or $4.97 per share);</w:t>
      </w:r>
    </w:p>
    <w:p>
      <w:pPr>
        <w:spacing w:after="0" w:line="157"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$177.0 million in net gains on marketable equity securities (after-tax impact of $128.8 million, or $25.69 per share);</w:t>
      </w:r>
    </w:p>
    <w:p>
      <w:pPr>
        <w:spacing w:after="0" w:line="157" w:lineRule="exact"/>
        <w:rPr>
          <w:rFonts w:ascii="Arial" w:cs="Arial" w:eastAsia="Arial" w:hAnsi="Arial"/>
          <w:sz w:val="18"/>
          <w:szCs w:val="18"/>
          <w:color w:val="auto"/>
        </w:rPr>
      </w:pPr>
    </w:p>
    <w:p>
      <w:pPr>
        <w:ind w:left="180" w:right="2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$25.6 million in net earnings of affiliates whose operations are not managed by the Company (after-tax impact of $18.7 million, or $3.72 per share);</w:t>
      </w:r>
    </w:p>
    <w:p>
      <w:pPr>
        <w:spacing w:after="0" w:line="111" w:lineRule="exact"/>
        <w:rPr>
          <w:rFonts w:ascii="Arial" w:cs="Arial" w:eastAsia="Arial" w:hAnsi="Arial"/>
          <w:sz w:val="18"/>
          <w:szCs w:val="18"/>
          <w:color w:val="auto"/>
        </w:rPr>
      </w:pPr>
    </w:p>
    <w:p>
      <w:pPr>
        <w:ind w:left="180" w:right="10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non-operating gain of $10.8 million from the sale, write-up and write-down of cost and equity method investments (after-tax impact of $7.9 million, or $1.58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million in net interest expense to adjust the fair value of the mandatorily redeemable noncontrolling interest ($0.54 per share); and</w:t>
      </w:r>
    </w:p>
    <w:p>
      <w:pPr>
        <w:spacing w:after="0" w:line="157" w:lineRule="exact"/>
        <w:rPr>
          <w:rFonts w:ascii="Arial" w:cs="Arial" w:eastAsia="Arial" w:hAnsi="Arial"/>
          <w:sz w:val="18"/>
          <w:szCs w:val="18"/>
          <w:color w:val="auto"/>
        </w:rPr>
      </w:pPr>
    </w:p>
    <w:p>
      <w:pPr>
        <w:ind w:left="180" w:right="4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$15.7 million deferred tax benefit arising from a change in the estimated deferred state income tax rate related to the Company’s pension and other postretirement plans ($3.14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nine months of 2022 was $2,860.5 million, up 23% from $2,323.0 million in the first nine months of 2021. Revenues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increased at all the Company’s divisions. The Company reported operating income of $138.8 million for the first nine months of 2022, compared to $54.8 million for the first nine months of 2021. Operating results increased at education, television broadcasting, manufacturing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automotive, offset by declines at healthcare and other businesses.</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COVID-19 pandemic and measures taken to prevent its spread significantly impacted the Company’s results for 2021 and, to a lesser extent, the first nine months of 2022, largely from reduced demand for the Company’s products and services. The Company cannot predict</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severity or duration of the pandemic, the extent to which demand for the Company’s products and services will be adversely affected or the degree to which financial and operating results will be negatively impacted.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Education division revenue totaled $355.1 million for the third quarter of 2022, up 6% from $336.0 million for the same period of 2021. Kaplan reported operating income of $18.6 million for the third quarter of 2022, compared to $9.9 million for the third quarter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2022, education division revenue totaled $1,066.1 million, up 6% from $1,005.3 million for the same period of</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2021. Kaplan reported operating income of $57.8 million for the first nine months of 2022, compared to $42.0 million for the first nine months of 2021.</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COVID-19 pandemic adversely impacted Kaplan’s operating results during 2021 and, to a lesser extent, the first nine months of 2022.</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serves a large number of students who travel to other countries to study a second language, prepare for licensure, or pursue a higher education degree. Government-imposed travel restrictions and school closures arising from COVID-19 had a negative impact on the ability of</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certain international students to travel and attend Kaplan’s programs, particularly at Kaplan International’s Language programs (Languages) in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193,085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168,143</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598,469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521,314</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80,684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85,518</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229,467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239,944</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79,566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80,489</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233,416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238,055</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4,927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3,761</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13,726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10,739</w:t>
            </w: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(3,198)</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(8,989)</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355,064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335,999</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1,066,089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1,005,300</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8,503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(999)</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48,130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23,285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9,027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9,525</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16,768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18,152</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9,471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11,769</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17,671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33,079</w:t>
            </w: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(4,579)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(6,426)</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(12,783)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(17,375)</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(3,980)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(3,888)</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(12,190)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(11,967)</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(3,273)</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203</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166</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18,645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9,914</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57,762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41,998</w:t>
            </w: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Kaplan International includes postsecondary education, professional training and language training businesses largely outside the United States. Kaplan International revenue increased 15% for the third quarter and first nine months of 2022 (26% and 23%, respectively, on a constant currency basis). The increase is due largely to growth at Languages, Pathways and UK Professional, partially offset by a decline at Singapore. Kaplan International reported operating income of $8.5 million in the third quarter of 2022, compared to an operating loss of $1.0</w:t>
      </w:r>
    </w:p>
    <w:p>
      <w:pPr>
        <w:spacing w:after="0" w:line="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million in the third quarter of 2021. Operating income increased to $48.1 million in the first nine months of 2022, compared to $23.3 million in the first nine months of 2021. The improved results are due largely to a reduction in losses at Languages, and improved results at Pathways, partially offset by a decline at Singapore. Overall, Kaplan International’s operating results were negatively impacted by $5 million and $31 million in losses, respectively, incurred at Languages from COVID-19 disruptions for the third quarter and first nine months of 2021. The</w:t>
      </w:r>
    </w:p>
    <w:p>
      <w:pPr>
        <w:ind w:right="520"/>
        <w:spacing w:after="0" w:line="237" w:lineRule="auto"/>
        <w:rPr>
          <w:sz w:val="20"/>
          <w:szCs w:val="20"/>
          <w:color w:val="auto"/>
        </w:rPr>
      </w:pPr>
      <w:r>
        <w:rPr>
          <w:rFonts w:ascii="Arial" w:cs="Arial" w:eastAsia="Arial" w:hAnsi="Arial"/>
          <w:sz w:val="18"/>
          <w:szCs w:val="18"/>
          <w:color w:val="auto"/>
        </w:rPr>
        <w:t>losses incurred at Languages for the first nine months of 2022 were substantially lower than the prior year, and Languages reported an operating profit in the third quarter of 2022.</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third quarter and first nine months of 2022, Higher Education revenue declined 6% and 4%, respectively, due largely to lower costs incurred for reimbursement under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Purdue Global agreement. For the third quarter and first nine months of 2022 and 2021, Kaplan recorded a portion of the fee with Purdue Global based on an assessment of its collectability under the TOSA. Enrollments at Purdue Global for the first nine months of 2022 were</w:t>
      </w:r>
    </w:p>
    <w:p>
      <w:pPr>
        <w:spacing w:after="0" w:line="236" w:lineRule="auto"/>
        <w:rPr>
          <w:sz w:val="20"/>
          <w:szCs w:val="20"/>
          <w:color w:val="auto"/>
        </w:rPr>
      </w:pPr>
      <w:r>
        <w:rPr>
          <w:rFonts w:ascii="Arial" w:cs="Arial" w:eastAsia="Arial" w:hAnsi="Arial"/>
          <w:sz w:val="18"/>
          <w:szCs w:val="18"/>
          <w:color w:val="auto"/>
        </w:rPr>
        <w:t>approximately the same as the first nine months of 2021. The Company will continue to assess the collectability of the fee with Purdue Global</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on a quarterly basis to make a determination as to whether to record all or part of the fee in the future and whether to make adjustments to fee amounts recognized in earlier periods. Higher Education results declined in the third quarter and first nine months of 2022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investment costs incurred related to other university agreements, partially offset by an increase in the Purdue Global fee recorded.</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As of September 30, 2022, Kaplan had a total outstanding accounts receivable balance of $88.9 million from Purdue Global related to amounts due for reimbursements for services, fees earned and a deferred fee. Included in this total, Kaplan has a $19.4 million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receivable balance due from Purdue Global at September 30, 2022, related to the advance of $20 million during the initial KU Transaction.</w:t>
      </w:r>
    </w:p>
    <w:p>
      <w:pPr>
        <w:spacing w:after="0" w:line="126"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w:t>
      </w:r>
    </w:p>
    <w:p>
      <w:pPr>
        <w:ind w:right="420"/>
        <w:spacing w:after="0"/>
        <w:rPr>
          <w:sz w:val="20"/>
          <w:szCs w:val="20"/>
          <w:color w:val="auto"/>
        </w:rPr>
      </w:pPr>
      <w:r>
        <w:rPr>
          <w:rFonts w:ascii="Arial" w:cs="Arial" w:eastAsia="Arial" w:hAnsi="Arial"/>
          <w:sz w:val="17"/>
          <w:szCs w:val="17"/>
          <w:color w:val="auto"/>
        </w:rPr>
        <w:t>declined 1% and 2% for the third quarter and first nine months of 2022, respectively, due largely to declines in retail comprehensive test preparation demand, offset in part by growth in demand for professional certifications. Overall, demand for graduate and pre-college test</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preparation programs has declined due to the strength of U.S. employment markets and the decline in test-takers. Operating results declined in the third quarter and first nine months of 2022 due to lower revenues and increased advertising and product development costs.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1" w:name="page32"/>
    <w:bookmarkEnd w:id="31"/>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135,165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126,498</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380,970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360,089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52,331</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40,550</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131,911</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109,131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21</w:t>
            </w:r>
          </w:p>
        </w:tc>
      </w:tr>
    </w:tbl>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users. Revenue at the television broadcasting division increased 7% to $135.2 million in the third quarter of 2022, from $126.5 million in the same period of 2021. The revenue increase is due primarily to a $19.4 million increase in political advertising revenue, partially offset by a</w:t>
      </w:r>
    </w:p>
    <w:p>
      <w:pPr>
        <w:spacing w:after="0" w:line="236" w:lineRule="auto"/>
        <w:rPr>
          <w:sz w:val="20"/>
          <w:szCs w:val="20"/>
          <w:color w:val="auto"/>
        </w:rPr>
      </w:pPr>
      <w:r>
        <w:rPr>
          <w:rFonts w:ascii="Arial" w:cs="Arial" w:eastAsia="Arial" w:hAnsi="Arial"/>
          <w:sz w:val="18"/>
          <w:szCs w:val="18"/>
          <w:color w:val="auto"/>
        </w:rPr>
        <w:t>decline in other categories from fewer available advertising spots, and a small decline in retransmission revenues. Operating income for the</w:t>
      </w:r>
    </w:p>
    <w:p>
      <w:pPr>
        <w:spacing w:after="0" w:line="1"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third quarter of 2022 increased 29% to $52.3 million, from $40.6 million in the same period of 2021, due to increased revenues and a reduction in incentive compensation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increased 6% to $381.0 million in the first nine months of 2022, from $360.1 million in the</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same period of 2021. The revenue increase is due to a $24.4 million increase in political revenue, a $2.8 million increase in retransmission revenues, and increases from winter Olympics and Super Bowl advertising revenue at the Company’s NBC affiliates in the first quarter of</w:t>
      </w:r>
    </w:p>
    <w:p>
      <w:pPr>
        <w:spacing w:after="0" w:line="236" w:lineRule="auto"/>
        <w:rPr>
          <w:sz w:val="20"/>
          <w:szCs w:val="20"/>
          <w:color w:val="auto"/>
        </w:rPr>
      </w:pPr>
      <w:r>
        <w:rPr>
          <w:rFonts w:ascii="Arial" w:cs="Arial" w:eastAsia="Arial" w:hAnsi="Arial"/>
          <w:sz w:val="18"/>
          <w:szCs w:val="18"/>
          <w:color w:val="auto"/>
        </w:rPr>
        <w:t>2022. Operating income for the first nine months of 2022 increased 21% to $131.9 million, from $109.1 million in the same period of 2021,</w:t>
      </w:r>
    </w:p>
    <w:p>
      <w:pPr>
        <w:spacing w:after="0" w:line="1" w:lineRule="exact"/>
        <w:rPr>
          <w:sz w:val="20"/>
          <w:szCs w:val="20"/>
          <w:color w:val="auto"/>
        </w:rPr>
      </w:pPr>
    </w:p>
    <w:p>
      <w:pPr>
        <w:ind w:right="600"/>
        <w:spacing w:after="0" w:line="226" w:lineRule="auto"/>
        <w:rPr>
          <w:sz w:val="20"/>
          <w:szCs w:val="20"/>
          <w:color w:val="auto"/>
        </w:rPr>
      </w:pPr>
      <w:r>
        <w:rPr>
          <w:rFonts w:ascii="Arial" w:cs="Arial" w:eastAsia="Arial" w:hAnsi="Arial"/>
          <w:sz w:val="18"/>
          <w:szCs w:val="18"/>
          <w:color w:val="auto"/>
        </w:rPr>
        <w:t>due to increased revenues and a reduction in incentive compensation costs. While per subscriber rates from cable, satellite and OTT providers have grown, overall subscribers are down due to cord cutting across all platforms, resulting in retransmission revenue net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network fees in 2022 expected to be flat compared with 2021, and this trend is expected to continue in the future.</w:t>
      </w:r>
    </w:p>
    <w:p>
      <w:pPr>
        <w:spacing w:after="0" w:line="12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May 2022, the Company’s television station in Orlando (WKMG) entered into a new network affiliation agreement with CBS that covers the period July 1, 2022 through June 30, 2026.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122,964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99,766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365,966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356,849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9,647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(39,483)</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24,124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(18,148)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Manufacturing revenues increased 23% and 3% in the third quarter and first nine months of 2022, respectively. The revenue growth for the third quarter of 2022 is due primarily to significantly increased revenues at Hoover due to higher wood prices and increased product demand.</w:t>
      </w:r>
    </w:p>
    <w:p>
      <w:pPr>
        <w:ind w:right="40"/>
        <w:spacing w:after="0"/>
        <w:rPr>
          <w:sz w:val="20"/>
          <w:szCs w:val="20"/>
          <w:color w:val="auto"/>
        </w:rPr>
      </w:pPr>
      <w:r>
        <w:rPr>
          <w:rFonts w:ascii="Arial" w:cs="Arial" w:eastAsia="Arial" w:hAnsi="Arial"/>
          <w:sz w:val="17"/>
          <w:szCs w:val="17"/>
          <w:color w:val="auto"/>
        </w:rPr>
        <w:t>The revenue growth for the first nine months of 2022 is due to increased revenues at Dekko, Joyce and Forney, partially offset by a reduction in revenues at Hoover from lower wood prices in the first half of 2022, but overall modestly higher product demand. Wood prices were highly</w:t>
      </w:r>
    </w:p>
    <w:p>
      <w:pPr>
        <w:spacing w:after="0" w:line="235" w:lineRule="auto"/>
        <w:rPr>
          <w:sz w:val="20"/>
          <w:szCs w:val="20"/>
          <w:color w:val="auto"/>
        </w:rPr>
      </w:pPr>
      <w:r>
        <w:rPr>
          <w:rFonts w:ascii="Arial" w:cs="Arial" w:eastAsia="Arial" w:hAnsi="Arial"/>
          <w:sz w:val="18"/>
          <w:szCs w:val="18"/>
          <w:color w:val="auto"/>
        </w:rPr>
        <w:t>volatile in 2021 and the first nine months of 2022. Overall, Hoover results included wood gains on inventory sales for both the first nine</w:t>
      </w:r>
    </w:p>
    <w:p>
      <w:pPr>
        <w:spacing w:after="0" w:line="226" w:lineRule="auto"/>
        <w:rPr>
          <w:sz w:val="20"/>
          <w:szCs w:val="20"/>
          <w:color w:val="auto"/>
        </w:rPr>
      </w:pPr>
      <w:r>
        <w:rPr>
          <w:rFonts w:ascii="Arial" w:cs="Arial" w:eastAsia="Arial" w:hAnsi="Arial"/>
          <w:sz w:val="18"/>
          <w:szCs w:val="18"/>
          <w:color w:val="auto"/>
        </w:rPr>
        <w:t>months of 2022 and 2021; however, wood gains on inventory sales were higher in the first nine months of 2022. For the third quarter of 2022, Hoover results included modest wood losses on inventory sales, compared with significant wood losses on inventory sales in the third quarter</w:t>
      </w:r>
    </w:p>
    <w:p>
      <w:pPr>
        <w:spacing w:after="0" w:line="236" w:lineRule="auto"/>
        <w:rPr>
          <w:sz w:val="20"/>
          <w:szCs w:val="20"/>
          <w:color w:val="auto"/>
        </w:rPr>
      </w:pPr>
      <w:r>
        <w:rPr>
          <w:rFonts w:ascii="Arial" w:cs="Arial" w:eastAsia="Arial" w:hAnsi="Arial"/>
          <w:sz w:val="18"/>
          <w:szCs w:val="18"/>
          <w:color w:val="auto"/>
        </w:rPr>
        <w:t>of 2021. Manufacturing operating results increased significantly in the third quarter and first nine months of 2022. Operating results increased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for the third quarter of 2022 due primarily to a $26.7 million goodwill impairment charge recorded at Dekko during the third quarter of 2021 and significantly improved results at Hoover due to substantial wood losses on inventory sales in the third quarter of 2021. Operating results</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increased for the first nine months of 2022 due primarily to the Dekko goodwill impairment charge in 2021 and improved results at Hoover and Forney. Excluding the impact of wood gains and losses, Hoover results improved in the third quarter and first nine months of 2022.</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manufacturing facilities, which was substantially completed by the end of 2021. In connection with this activity, Dekko implemented a SIP for the affected employees, resulting in $1.1 million in non-operating SIP expense recorded in the second quarter of 2021, which was funded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Company’s pension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87,176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55,445</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57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230,816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160,184</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44</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6,048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5,260</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18,669</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20,995</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Graham Healthcare Group (GHG) provides home health and hospice services in seven states. In December 2021, GHG acquired two small businesses, one of which expanded GHG’s home health operations into Florida. In May 2022, GHG acquired two small businesses, one of</w:t>
      </w:r>
    </w:p>
    <w:p>
      <w:pPr>
        <w:spacing w:after="0" w:line="235" w:lineRule="auto"/>
        <w:rPr>
          <w:sz w:val="20"/>
          <w:szCs w:val="20"/>
          <w:color w:val="auto"/>
        </w:rPr>
      </w:pPr>
      <w:r>
        <w:rPr>
          <w:rFonts w:ascii="Arial" w:cs="Arial" w:eastAsia="Arial" w:hAnsi="Arial"/>
          <w:sz w:val="18"/>
          <w:szCs w:val="18"/>
          <w:color w:val="auto"/>
        </w:rPr>
        <w:t>which expanded GHG’s home health operations into Kansas and Missouri. In July 2022, GHG acquired a 100% interest in a multi-state</w:t>
      </w:r>
    </w:p>
    <w:p>
      <w:pPr>
        <w:ind w:right="460"/>
        <w:spacing w:after="0"/>
        <w:rPr>
          <w:sz w:val="20"/>
          <w:szCs w:val="20"/>
          <w:color w:val="auto"/>
        </w:rPr>
      </w:pPr>
      <w:r>
        <w:rPr>
          <w:rFonts w:ascii="Arial" w:cs="Arial" w:eastAsia="Arial" w:hAnsi="Arial"/>
          <w:sz w:val="17"/>
          <w:szCs w:val="17"/>
          <w:color w:val="auto"/>
        </w:rPr>
        <w:t>provider of Applied Behavior Analysis clinics and in August 2022, GHG acquired two small businesses, which expanded GHG’s hospice services into Missouri and Ohio. GHG provides other healthcare services, including nursing care and prescription services for patients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receiving in-home infusion treatments through its 75% interest in CSI Pharmacy Holdings Company, LLC (CSI).</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Healthcare revenues increased 57% and 44% for the third quarter and first nine months of 2022, respectively, largely due to significant growth at CSI and from businesses acquired in the fourth quarter of 2021 and the first nine months of 2022, along with growth in home health</w:t>
      </w:r>
    </w:p>
    <w:p>
      <w:pPr>
        <w:spacing w:after="0" w:line="235" w:lineRule="auto"/>
        <w:rPr>
          <w:sz w:val="20"/>
          <w:szCs w:val="20"/>
          <w:color w:val="auto"/>
        </w:rPr>
      </w:pPr>
      <w:r>
        <w:rPr>
          <w:rFonts w:ascii="Arial" w:cs="Arial" w:eastAsia="Arial" w:hAnsi="Arial"/>
          <w:sz w:val="18"/>
          <w:szCs w:val="18"/>
          <w:color w:val="auto"/>
        </w:rPr>
        <w:t>and hospice services. The increase in GHG operating results in the third quarter of 2022 is due to improved results at CSI, partially offset by</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net losses from newly acquired businesses and increased marketing, human resources, recruiting and business development costs and overall increased compensation and transportation costs in nursing and clinical staffing. The decline in GHG operating results in the first nine</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months of 2022 is due to net losses from newly acquired businesses, increased marketing, human resources, recruiting and business development costs and overall increased compensation and transportation costs in nursing and clinical staffing, partially offset by improved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at CSI.</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The Company recorded equity in earnings of $1.5 million and</w:t>
      </w:r>
    </w:p>
    <w:p>
      <w:pPr>
        <w:spacing w:after="0" w:line="235" w:lineRule="auto"/>
        <w:rPr>
          <w:sz w:val="20"/>
          <w:szCs w:val="20"/>
          <w:color w:val="auto"/>
        </w:rPr>
      </w:pPr>
      <w:r>
        <w:rPr>
          <w:rFonts w:ascii="Arial" w:cs="Arial" w:eastAsia="Arial" w:hAnsi="Arial"/>
          <w:sz w:val="18"/>
          <w:szCs w:val="18"/>
          <w:color w:val="auto"/>
        </w:rPr>
        <w:t>$2.5 million for the third quarter of 2022 and 2021, respectively, from these joint ventures. The Company recorded equity in earnings of $5.1</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million and $8.0 million for the first nine months of 2022 and 2021, respectively. During the first quarter of 2022, GHG, through its Residential Home Health Illinois and Residential Hospice Illinois affiliates, acquired an interest in the home health and hospice assets of NorthShore</w:t>
      </w:r>
    </w:p>
    <w:p>
      <w:pPr>
        <w:spacing w:after="0" w:line="235" w:lineRule="auto"/>
        <w:rPr>
          <w:sz w:val="20"/>
          <w:szCs w:val="20"/>
          <w:color w:val="auto"/>
        </w:rPr>
      </w:pPr>
      <w:r>
        <w:rPr>
          <w:rFonts w:ascii="Arial" w:cs="Arial" w:eastAsia="Arial" w:hAnsi="Arial"/>
          <w:sz w:val="18"/>
          <w:szCs w:val="18"/>
          <w:color w:val="auto"/>
        </w:rPr>
        <w:t>University HealthSystem, an integrated healthcare delivery system serving patients throughout the Chicago, IL area. The transaction resulted</w:t>
      </w:r>
    </w:p>
    <w:p>
      <w:pPr>
        <w:ind w:right="100"/>
        <w:spacing w:after="0" w:line="237" w:lineRule="auto"/>
        <w:rPr>
          <w:sz w:val="20"/>
          <w:szCs w:val="20"/>
          <w:color w:val="auto"/>
        </w:rPr>
      </w:pPr>
      <w:r>
        <w:rPr>
          <w:rFonts w:ascii="Arial" w:cs="Arial" w:eastAsia="Arial" w:hAnsi="Arial"/>
          <w:sz w:val="18"/>
          <w:szCs w:val="18"/>
          <w:color w:val="auto"/>
        </w:rPr>
        <w:t>in a decrease to GHG’s interest in Residential Hospice Illinois and a $0.6 million non-operating gain was recorded in the first quarter of 2022 related to the change in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5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 Change</w:t>
            </w: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211,396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84,702</w:t>
            </w:r>
          </w:p>
        </w:tc>
        <w:tc>
          <w:tcPr>
            <w:tcW w:w="1560" w:type="dxa"/>
            <w:vAlign w:val="bottom"/>
            <w:gridSpan w:val="2"/>
          </w:tcPr>
          <w:p>
            <w:pPr>
              <w:ind w:left="9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509,965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242,702</w:t>
            </w:r>
          </w:p>
        </w:tc>
        <w:tc>
          <w:tcPr>
            <w:tcW w:w="120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11,050</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4,506</w:t>
            </w:r>
          </w:p>
        </w:tc>
        <w:tc>
          <w:tcPr>
            <w:tcW w:w="156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25,493</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8,815</w:t>
            </w:r>
          </w:p>
        </w:tc>
        <w:tc>
          <w:tcPr>
            <w:tcW w:w="1200" w:type="dxa"/>
            <w:vAlign w:val="bottom"/>
          </w:tcPr>
          <w:p>
            <w:pPr>
              <w:ind w:left="960"/>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six automotive dealerships in the Washington, D.C. metropolitan area: Ourisman Lexus of Rockville, Ourisman Honda of</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Tysons Corner, Ourisman Jeep Bethesda and Ourisman Ford of Manassas, which was acquired on December 28, 2021, from the Battlefield Automotive Group. In addition, on July 5, 2022, the Company acquired a Toyota dealership and a Chrysler-Dodge-Jeep-Ram (CDJR)</w:t>
      </w:r>
    </w:p>
    <w:p>
      <w:pPr>
        <w:spacing w:after="0" w:line="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dealership in Woodbridge, VA from the Lustine Automotive Group. Christopher J. Ourisman, a member of the Ourisman Automotive Group family of dealerships, and his team of industry professionals operate and manage the dealerships; the Company holds a 90% stake.</w:t>
      </w:r>
    </w:p>
    <w:p>
      <w:pPr>
        <w:spacing w:after="0" w:line="8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Revenues for the third quarter and first nine months of 2022 increased significantly due to the acquisitions of the Ford, Toyota and CDJR dealerships and sales growth at the Jeep dealership due to an increase in new vehicle inventory provided by the manufacturer and higher</w:t>
      </w:r>
    </w:p>
    <w:p>
      <w:pPr>
        <w:ind w:right="140"/>
        <w:spacing w:after="0" w:line="237" w:lineRule="auto"/>
        <w:rPr>
          <w:sz w:val="20"/>
          <w:szCs w:val="20"/>
          <w:color w:val="auto"/>
        </w:rPr>
      </w:pPr>
      <w:r>
        <w:rPr>
          <w:rFonts w:ascii="Arial" w:cs="Arial" w:eastAsia="Arial" w:hAnsi="Arial"/>
          <w:sz w:val="18"/>
          <w:szCs w:val="18"/>
          <w:color w:val="auto"/>
        </w:rPr>
        <w:t>average new and used car selling prices at the Jeep, Lexus and Honda dealerships as a result of strong customer demand and new vehicle inventory shortages related to supply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chain disruptions and production delays at vehicle manufacturers, partially offset by decreased revenues at the Honda and Lexus dealerships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due to volume declines as a result of inventory shortages. Operating results for the third quarter and first nine months of 2022 improved significantly due largely to the Ford, Toyota and CDJR acquisitions and improved results at the Jeep dealership due to increased sales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margins, and at the Lexus dealership due to increased margins, offset by declines at the Honda dealership due to inventory shortages.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builds enduring, creator-driven brands that reach passionate audiences in large and growing lifestyle categories, including fitness and wellness (Well+Good, Livestrong.com and MyPlate App), and home, art and design (Saatchi Art, Society6 and Hunker). Leaf has three major</w:t>
      </w:r>
    </w:p>
    <w:p>
      <w:pPr>
        <w:spacing w:after="0" w:line="236" w:lineRule="auto"/>
        <w:rPr>
          <w:sz w:val="20"/>
          <w:szCs w:val="20"/>
          <w:color w:val="auto"/>
        </w:rPr>
      </w:pPr>
      <w:r>
        <w:rPr>
          <w:rFonts w:ascii="Arial" w:cs="Arial" w:eastAsia="Arial" w:hAnsi="Arial"/>
          <w:sz w:val="18"/>
          <w:szCs w:val="18"/>
          <w:color w:val="auto"/>
        </w:rPr>
        <w:t>operating divisions: Society6 Group and Saatchi Art Group (Marketplace businesses) and the Media Group. For the third quarter of 2022,</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revenue for Society6 Group and the Media Group declined, while Saatchi Art Group reported revenue growth. Overall, Leaf reported significant operating losses for the third quarter and first nine months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Clyde’s Restaurant Group (CRG) owns and operates ten restaurants and entertainment venues in the Washington, D.C. metropolitan area, including Old Ebbitt Grill and The Hamilton. As a result of the COVID-19 pandemic, CRG temporarily closed its restaurant dining rooms in</w:t>
      </w:r>
    </w:p>
    <w:p>
      <w:pPr>
        <w:spacing w:after="0" w:line="235" w:lineRule="auto"/>
        <w:rPr>
          <w:sz w:val="20"/>
          <w:szCs w:val="20"/>
          <w:color w:val="auto"/>
        </w:rPr>
      </w:pPr>
      <w:r>
        <w:rPr>
          <w:rFonts w:ascii="Arial" w:cs="Arial" w:eastAsia="Arial" w:hAnsi="Arial"/>
          <w:sz w:val="18"/>
          <w:szCs w:val="18"/>
          <w:color w:val="auto"/>
        </w:rPr>
        <w:t>Maryland and the District of Columbia in December 2020, reopening again for limited indoor dining service in February 2021. Various</w:t>
      </w:r>
    </w:p>
    <w:p>
      <w:pPr>
        <w:ind w:right="160"/>
        <w:spacing w:after="0" w:line="226" w:lineRule="auto"/>
        <w:rPr>
          <w:sz w:val="20"/>
          <w:szCs w:val="20"/>
          <w:color w:val="auto"/>
        </w:rPr>
      </w:pPr>
      <w:r>
        <w:rPr>
          <w:rFonts w:ascii="Arial" w:cs="Arial" w:eastAsia="Arial" w:hAnsi="Arial"/>
          <w:sz w:val="18"/>
          <w:szCs w:val="18"/>
          <w:color w:val="auto"/>
        </w:rPr>
        <w:t>government-ordered dining restrictions continued until the middle of 2021. CRG’s operating results are seasonal with the second and fourth quarters generally stronger than the first and third quarters. CRG incurred an operating loss for the third quarter of 2022, while reporting a</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small operating profit for the first nine months of 2022. Both revenues and operating results improved significantly from the third quarter and first nine months of 2021 due largely to the absence of government-ordered dining restrictions in 2022 and a favorable rent concession</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recorded in the second quarter of 2022. Improvement in both revenue and operating results is expected to continue in the fourth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sixteen retail locations in the Washington, D.C.,</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New York City, Atlanta, GA, Philadelphia, PA, Boston, MA and Chicago, IL areas and two manufacturing facilities in Kentucky and New Jersey. Framebridge opened an additional store in the New York City area in October 2022. Framebridge revenues increased in the third</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quarter and first nine months of 2022 due to operating additional retail stores compared to the same periods in 2021. Framebridge is an investment stage business and reported significant operating losses in the first nine months of 2022 and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creative and commerce. Code3 revenue declined in the third quarter and first nine months of 2022 due to sluggish marketing spending by certain advertising clients. Code3 reported operating losses in each of the first nine months of 2022 and 2021. In the second quarter of 2021,</w:t>
      </w:r>
    </w:p>
    <w:p>
      <w:pPr>
        <w:spacing w:after="0" w:line="2" w:lineRule="exact"/>
        <w:rPr>
          <w:sz w:val="20"/>
          <w:szCs w:val="20"/>
          <w:color w:val="auto"/>
        </w:rPr>
      </w:pPr>
    </w:p>
    <w:p>
      <w:pPr>
        <w:ind w:right="1300"/>
        <w:spacing w:after="0" w:line="404" w:lineRule="auto"/>
        <w:rPr>
          <w:sz w:val="20"/>
          <w:szCs w:val="20"/>
          <w:color w:val="auto"/>
        </w:rPr>
      </w:pPr>
      <w:r>
        <w:rPr>
          <w:rFonts w:ascii="Arial" w:cs="Arial" w:eastAsia="Arial" w:hAnsi="Arial"/>
          <w:sz w:val="18"/>
          <w:szCs w:val="18"/>
          <w:color w:val="auto"/>
        </w:rPr>
        <w:t xml:space="preserve">Code3 recorded a $1.6 million lease impairment charge (including $0.4 million in property, plant and equipment write-downs). </w:t>
      </w:r>
      <w:r>
        <w:rPr>
          <w:rFonts w:ascii="Arial" w:cs="Arial" w:eastAsia="Arial" w:hAnsi="Arial"/>
          <w:sz w:val="18"/>
          <w:szCs w:val="18"/>
          <w:i w:val="1"/>
          <w:iCs w:val="1"/>
          <w:color w:val="auto"/>
        </w:rPr>
        <w:t>Other</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Other businesses also include Slate and Foreign Policy, which publish online and print magazines and websites; and four investment stage businesses, CyberVista, Decile, Pinna and City Cast. Slate, Foreign Policy, CyberVista, Pinna and City Cast reported revenue increases in</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first nine months of 2022. Losses from each of these six businesses in the first nine months of 2022 adversely affected operating results. In October 2022, the Company announced a strategic merger of CyberVista and CyberWire, a B2B cybersecurity audio network to form a</w:t>
      </w:r>
    </w:p>
    <w:p>
      <w:pPr>
        <w:spacing w:after="0" w:line="236" w:lineRule="auto"/>
        <w:rPr>
          <w:sz w:val="20"/>
          <w:szCs w:val="20"/>
          <w:color w:val="auto"/>
        </w:rPr>
      </w:pPr>
      <w:r>
        <w:rPr>
          <w:rFonts w:ascii="Arial" w:cs="Arial" w:eastAsia="Arial" w:hAnsi="Arial"/>
          <w:sz w:val="18"/>
          <w:szCs w:val="18"/>
          <w:color w:val="auto"/>
        </w:rPr>
        <w:t>new parent company, N2K Networks. N2K Networks will focus on expanding its technology platform to enable development of more resilient</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enterprise cyber workforces, to pioneer new markets, and to create original “news to knowledge” audio brands. In conjunction with the merger, a Series A funding round led by the Company also closed. The Company’s investment in N2K Networks will be reported as an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method investment.</w:t>
      </w:r>
    </w:p>
    <w:p>
      <w:pPr>
        <w:spacing w:after="0" w:line="140"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Overall, for the third quarter of 2022, operating revenues for other businesses declined due largely to decreased revenues at Leaf and Code3, partially offset by an increase at CRG. For the first nine months of 2022, operating revenues for other businesses increased due</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largely to the Leaf acquisition and increases at CRG and Framebridge. Operating results declined in the first nine months of 2022 due primarily to increased losses at Leaf and Framebridge, partially offset by improved results at CRG.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w:t>
      </w:r>
      <w:r>
        <w:rPr>
          <w:rFonts w:ascii="Arial" w:cs="Arial" w:eastAsia="Arial" w:hAnsi="Arial"/>
          <w:sz w:val="18"/>
          <w:szCs w:val="18"/>
          <w:b w:val="1"/>
          <w:bCs w:val="1"/>
          <w:u w:val="single" w:color="auto"/>
          <w:color w:val="auto"/>
          <w:highlight w:val="white"/>
        </w:rPr>
        <w:t>Losses)</w:t>
      </w:r>
      <w:r>
        <w:rPr>
          <w:rFonts w:ascii="Arial" w:cs="Arial" w:eastAsia="Arial" w:hAnsi="Arial"/>
          <w:sz w:val="18"/>
          <w:szCs w:val="18"/>
          <w:b w:val="1"/>
          <w:bCs w:val="1"/>
          <w:u w:val="single" w:color="auto"/>
          <w:color w:val="auto"/>
        </w:rPr>
        <w:t xml:space="preserve"> of Affiliates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At September 30, 2022, the Company held an approximate 12% interest in Intersection Holdings, LLC (Intersection), a company that provides digital marketing and advertising services and products for cities, transit systems, airports, and other public and private spaces. The</w:t>
      </w:r>
    </w:p>
    <w:p>
      <w:pPr>
        <w:spacing w:after="0" w:line="235" w:lineRule="auto"/>
        <w:rPr>
          <w:sz w:val="20"/>
          <w:szCs w:val="20"/>
          <w:color w:val="auto"/>
        </w:rPr>
      </w:pPr>
      <w:r>
        <w:rPr>
          <w:rFonts w:ascii="Arial" w:cs="Arial" w:eastAsia="Arial" w:hAnsi="Arial"/>
          <w:sz w:val="18"/>
          <w:szCs w:val="18"/>
          <w:color w:val="auto"/>
        </w:rPr>
        <w:t>Company also holds interests in several other affiliates, including a number of home health and hospice joint ventures managed by GHG and</w:t>
      </w:r>
    </w:p>
    <w:p>
      <w:pPr>
        <w:ind w:right="440"/>
        <w:spacing w:after="0"/>
        <w:rPr>
          <w:sz w:val="20"/>
          <w:szCs w:val="20"/>
          <w:color w:val="auto"/>
        </w:rPr>
      </w:pPr>
      <w:r>
        <w:rPr>
          <w:rFonts w:ascii="Arial" w:cs="Arial" w:eastAsia="Arial" w:hAnsi="Arial"/>
          <w:sz w:val="17"/>
          <w:szCs w:val="17"/>
          <w:color w:val="auto"/>
        </w:rPr>
        <w:t>two joint ventures managed by Kaplan. Overall, the Company recorded equity in losses of affiliates of $1.1 million for the third quarter of 2022, compared to earnings of $13.0 million for the third quarter of 2021. These amounts include $2.7 million in net losses for the third</w:t>
      </w:r>
    </w:p>
    <w:p>
      <w:pPr>
        <w:spacing w:after="0" w:line="235" w:lineRule="auto"/>
        <w:rPr>
          <w:sz w:val="20"/>
          <w:szCs w:val="20"/>
          <w:color w:val="auto"/>
        </w:rPr>
      </w:pPr>
      <w:r>
        <w:rPr>
          <w:rFonts w:ascii="Arial" w:cs="Arial" w:eastAsia="Arial" w:hAnsi="Arial"/>
          <w:sz w:val="18"/>
          <w:szCs w:val="18"/>
          <w:color w:val="auto"/>
        </w:rPr>
        <w:t>quarter of 2022 from affiliates whose operations are not managed by the Company compared to $16.7 million in net earnings for the third</w:t>
      </w:r>
    </w:p>
    <w:p>
      <w:pPr>
        <w:ind w:right="40"/>
        <w:spacing w:after="0" w:line="237" w:lineRule="auto"/>
        <w:rPr>
          <w:sz w:val="20"/>
          <w:szCs w:val="20"/>
          <w:color w:val="auto"/>
        </w:rPr>
      </w:pPr>
      <w:r>
        <w:rPr>
          <w:rFonts w:ascii="Arial" w:cs="Arial" w:eastAsia="Arial" w:hAnsi="Arial"/>
          <w:sz w:val="18"/>
          <w:szCs w:val="18"/>
          <w:color w:val="auto"/>
        </w:rPr>
        <w:t>quarter of 2021; this includes losses from the Company’s investment in Intersection in the third quarter of 2022. The Company recorded $6.4 million in write-downs in equity in earnings of affiliates related to one of its investments in the third quarter of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equity in earnings of affiliates of $2.9 million for the first nine months of 2022, compared to $28.2 million for the first</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nine months of 2021. These amounts include $2.8 million in net losses for the first nine months of 2022 from affiliates whose operations are not managed by the Company compared to $25.6 million in net earnings for the first nine months of 2021; this includes losses from the</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Company’s investment in Intersection in the first nine months of 2022 and 2021. The Company recorded $6.4 million in write-downs in equity in earnings of affiliates related to one of its investments in the third quarter of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connection with the acquisition of the Toyota and CDJR dealerships, in July 2022, the automotive subsidiary of the Company amended its commercial note due January 1, 2032, to increase the aggregate loan amount to $71.6 million. Additionally, the Company borrowed $27.2</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million, comprised of three commercial notes, and entered into an interest rate swap to fix the interest rate on the debts at 4.861% per annum.</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incurred net interest expense of $10.8 million and $36.8 million for the third quarter and first nine months of 2022, respectively; compared to $9.4 million and $22.5 million for the third quarter and first nine months of 2021, respectively. The Company recorded interest</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expense of $1.4 million and $12.8 million in the third quarter and first nine months of 2022, respectively, to adjust the fair value of the mandatorily redeemable noncontrolling interest at GHG. The Company recorded net interest expense of $2.6 million in the third quarter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and $2.7 million in the first nine months of 2021 to adjust the fair value of the mandatorily redeemable noncontrolling interest at GHG.</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At September 30, 2022, the Company had $710.3 million in borrowings outstanding at an average interest rate of 5.2%, and cash, marketable equity securities and other investments of $781.6 million. At September 30, 2022, the Company had $180.7 million outstanding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its $300 million revolving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recorded net non-operating pension and postretirement benefit income of $50.7 million and $ 152.1 million for the third quarter and first nine months of 2022, respectively; compared to $27.6 million and $81.6 million for the third quarter and first nine months of 2021, respectively.</w:t>
      </w:r>
    </w:p>
    <w:p>
      <w:pPr>
        <w:spacing w:after="0" w:line="101" w:lineRule="exact"/>
        <w:rPr>
          <w:sz w:val="20"/>
          <w:szCs w:val="20"/>
          <w:color w:val="auto"/>
        </w:rPr>
      </w:pPr>
    </w:p>
    <w:p>
      <w:pPr>
        <w:ind w:right="1060"/>
        <w:spacing w:after="0" w:line="422" w:lineRule="auto"/>
        <w:rPr>
          <w:sz w:val="20"/>
          <w:szCs w:val="20"/>
          <w:color w:val="auto"/>
        </w:rPr>
      </w:pPr>
      <w:r>
        <w:rPr>
          <w:rFonts w:ascii="Arial" w:cs="Arial" w:eastAsia="Arial" w:hAnsi="Arial"/>
          <w:sz w:val="18"/>
          <w:szCs w:val="18"/>
          <w:color w:val="auto"/>
        </w:rPr>
        <w:t xml:space="preserve">In the second quarter of 2021, the Company recorded $1.1 million in expenses related to a non-operating SIP at manufacturing. </w:t>
      </w:r>
      <w:r>
        <w:rPr>
          <w:rFonts w:ascii="Arial" w:cs="Arial" w:eastAsia="Arial" w:hAnsi="Arial"/>
          <w:sz w:val="18"/>
          <w:szCs w:val="18"/>
          <w:b w:val="1"/>
          <w:bCs w:val="1"/>
          <w:u w:val="single" w:color="auto"/>
          <w:color w:val="auto"/>
        </w:rPr>
        <w:t>(Loss) Gain on Marketable Equity Securities, net</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Overall, the Company recognized $54.3 million and $172.9 million in net losses on marketable equity securities in the third quarter and first nine months of 2022, respectively; compared to $14.1 million and $177.0 million in net gains on marketable equity securities in the third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nine months of 2021,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Company recorded total other non-operating income, net, of $2.4 million for the third quarter of 2022, compared to $5.2 million for the third quarter of 2021. The 2022 amounts included $1.4 million in gains related to the sale of businesses and contingent consideration, a $0.6</w:t>
      </w:r>
    </w:p>
    <w:p>
      <w:pPr>
        <w:ind w:right="140"/>
        <w:spacing w:after="0" w:line="237" w:lineRule="auto"/>
        <w:rPr>
          <w:sz w:val="20"/>
          <w:szCs w:val="20"/>
          <w:color w:val="auto"/>
        </w:rPr>
      </w:pPr>
      <w:r>
        <w:rPr>
          <w:rFonts w:ascii="Arial" w:cs="Arial" w:eastAsia="Arial" w:hAnsi="Arial"/>
          <w:sz w:val="18"/>
          <w:szCs w:val="18"/>
          <w:color w:val="auto"/>
        </w:rPr>
        <w:t>million fair value increase on a cost method investment, and other items; partially offset by $0.4 million in foreign currency losses. The 2021 amounts included $1.3 million in gains related to the sale of businesses and contingent consideration and other items.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The Company recorded total non-operating income, net of $6.4 million for the first nine months of 2022, compared to $27.7 million for the first</w:t>
      </w:r>
    </w:p>
    <w:p>
      <w:pPr>
        <w:spacing w:after="0" w:line="2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nine months of 2021. The 2022 amounts included $3.1 million in gains related to the sale of businesses and contingent consideration, $1.0 million in gains on sales of cost method investments, a $0.6 million gain on sale of an equity affiliate, a $0.6 million fair value increase on a</w:t>
      </w:r>
    </w:p>
    <w:p>
      <w:pPr>
        <w:spacing w:after="0" w:line="236" w:lineRule="auto"/>
        <w:rPr>
          <w:sz w:val="20"/>
          <w:szCs w:val="20"/>
          <w:color w:val="auto"/>
        </w:rPr>
      </w:pPr>
      <w:r>
        <w:rPr>
          <w:rFonts w:ascii="Arial" w:cs="Arial" w:eastAsia="Arial" w:hAnsi="Arial"/>
          <w:sz w:val="18"/>
          <w:szCs w:val="18"/>
          <w:color w:val="auto"/>
        </w:rPr>
        <w:t>cost method investment, and other items; partially offset by $2.0 million in foreign currency losses. The 2021 amounts included $6.8 million in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gains on sales of cost method investments, $10.5 million in fair value increases on cost method investments, $2.7 million in gains related to the sale of businesses and contingent consideration, $0.7 million in foreign currency gains,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Company’s effective tax rate for the first nine months of 2022 and 2021 was 29.6% and 22.6%, respectively. The Company’s effective tax rate for 2021 was favorably impacted by a $15.7 million deferred tax adjustment arising from a change in the estimated deferred state</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income tax rate attributable to the apportionment formula used in the calculation of deferred taxes related to the Company’s pension and other postretirement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third quarter and first nine months of 2022 was based on 4,819,661 and 4,853,267</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weighted average shares outstanding, respectively, compared to 4,976,998 and 4,980,056, respectively, for the third quarter and first nine months of 2021. At September 30, 2022, there were 4,814,182 shares outstanding. On September 10, 2020, the Board of Directors</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authorized the Company to acquire up to 500,000 shares of its Class B common stock; the Company has remaining authorization for 176,634 shares as of September 30,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20" w:type="dxa"/>
            <w:vAlign w:val="bottom"/>
          </w:tcPr>
          <w:p>
            <w:pPr>
              <w:jc w:val="right"/>
              <w:ind w:right="123"/>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149,773</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145,886</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21,082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12,957</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610,756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710,336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667,501</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equity securities, which is considered when assessing the Company’s sources of liquidity. An additional source of liquidity includes the undrawn portion of the Company’s $300 million revolving credit facility, amounting to $119.3 million at September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provide stimulus in the form of financial aid to businesses affected by the COVID-19 pandemic. Under the CARES Act, employers may defer the payment of the employer share of FICA taxes due for the period beginning on March 27, 2020, and ending December 31, 2020. The</w:t>
      </w:r>
    </w:p>
    <w:p>
      <w:pPr>
        <w:spacing w:after="0" w:line="1"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color w:val="auto"/>
        </w:rPr>
        <w:t>Company deferred $21.5 million of FICA payments under this program, with $11.1 million of the deferred payments still payable at September 30, 2022. The remaining deferred balance is due by December 31, 2022.</w:t>
      </w:r>
    </w:p>
    <w:p>
      <w:pPr>
        <w:spacing w:after="0" w:line="10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April 2020, GHG applied for and received $31.5 million under the expanded Medicare Accelerated and Advanced Payment</w:t>
      </w:r>
    </w:p>
    <w:p>
      <w:pPr>
        <w:ind w:right="40"/>
        <w:spacing w:after="0" w:line="226" w:lineRule="auto"/>
        <w:rPr>
          <w:sz w:val="20"/>
          <w:szCs w:val="20"/>
          <w:color w:val="auto"/>
        </w:rPr>
      </w:pPr>
      <w:r>
        <w:rPr>
          <w:rFonts w:ascii="Arial" w:cs="Arial" w:eastAsia="Arial" w:hAnsi="Arial"/>
          <w:sz w:val="18"/>
          <w:szCs w:val="18"/>
          <w:color w:val="auto"/>
        </w:rPr>
        <w:t>Program, modified by the CARES Act. The Department of Health and Human Services (HHS) started to recoup this advance in April 2021 by withholding a portion of the amount reimbursed for claims submitted for services provided after the beginning of the recoupment period.</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During the nine months ended September 30, 2022, an amount of $12.5 million was withheld by HHS. The advance has been recouped in full as of September 30, 2022.</w:t>
      </w:r>
    </w:p>
    <w:p>
      <w:pPr>
        <w:spacing w:after="0" w:line="104" w:lineRule="exact"/>
        <w:rPr>
          <w:sz w:val="20"/>
          <w:szCs w:val="20"/>
          <w:color w:val="auto"/>
        </w:rPr>
      </w:pPr>
    </w:p>
    <w:p>
      <w:pPr>
        <w:ind w:right="560"/>
        <w:spacing w:after="0" w:line="245" w:lineRule="auto"/>
        <w:rPr>
          <w:sz w:val="20"/>
          <w:szCs w:val="20"/>
          <w:color w:val="auto"/>
        </w:rPr>
      </w:pPr>
      <w:r>
        <w:rPr>
          <w:rFonts w:ascii="Arial" w:cs="Arial" w:eastAsia="Arial" w:hAnsi="Arial"/>
          <w:sz w:val="18"/>
          <w:szCs w:val="18"/>
          <w:color w:val="auto"/>
        </w:rPr>
        <w:t>During the first nine months of 2022, the Company’s cash and cash equivalents increased by $3.9 million, due to cash generated from operations, the proceeds from the sale of marketable equity securities and net borrowings, which was offset by acquisitions, additional</w:t>
      </w:r>
    </w:p>
    <w:p>
      <w:pPr>
        <w:ind w:right="120"/>
        <w:spacing w:after="0" w:line="226" w:lineRule="auto"/>
        <w:rPr>
          <w:sz w:val="20"/>
          <w:szCs w:val="20"/>
          <w:color w:val="auto"/>
        </w:rPr>
      </w:pPr>
      <w:r>
        <w:rPr>
          <w:rFonts w:ascii="Arial" w:cs="Arial" w:eastAsia="Arial" w:hAnsi="Arial"/>
          <w:sz w:val="18"/>
          <w:szCs w:val="18"/>
          <w:color w:val="auto"/>
        </w:rPr>
        <w:t>investments in marketable equity securities and equity affiliates, capital expenditures, dividend payments and share repurchases. In the first nine months of 2022, the Company’s borrowings increased by $42.8 million, primarily due to additional borrowings at the Automotive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subsidiary, partially offset by repayments under the revolving credit facility.</w:t>
      </w:r>
    </w:p>
    <w:p>
      <w:pPr>
        <w:spacing w:after="0" w:line="14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At September 30, 2022, the Company held approximately $117 million in cash and cash equivalents in businesses domiciled outside the U.S., of which approximately $7 million is not available for immediate use in operations or for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distribution. Additionally, Kaplan’s business operations outside the U.S. retain cash balances to support ongoing working capital</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requirements, capital expenditures, and regulatory requirements. As 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the fair value of the Company’s investments in marketable equity securities was $597.5 million, which includes</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investments in the common stock of five publicly traded companies. During the first nine months of 2022, the Company purchased $35.1 million of marketable equity securities and sold marketable equity securities that generated proceeds of $74.2 million. At September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the net unrealized gain related to the Company’s investments totaled $324.4 million.</w:t>
      </w:r>
    </w:p>
    <w:p>
      <w:pPr>
        <w:spacing w:after="0" w:line="14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The Company had working capital of $498.3 million and $ 680.8 million at September 30, 2022 and December 31, 2021, respectively. The Company maintains working capital levels consistent with its underlying business requirements and consistently generates cash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in excess of required interest or principal payments.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At September 30, 2022 and December 31, 2021, the Company had borrowings outstanding of $710.3 million and $667.5 million, respectively. The Company’s borrowings at September 30, 2022 were mostly from $400.0 million of 5.75% unsecured notes due June 1, 2026, $180.7</w:t>
      </w:r>
    </w:p>
    <w:p>
      <w:pPr>
        <w:spacing w:after="0" w:line="235" w:lineRule="auto"/>
        <w:rPr>
          <w:sz w:val="20"/>
          <w:szCs w:val="20"/>
          <w:color w:val="auto"/>
        </w:rPr>
      </w:pPr>
      <w:r>
        <w:rPr>
          <w:rFonts w:ascii="Arial" w:cs="Arial" w:eastAsia="Arial" w:hAnsi="Arial"/>
          <w:sz w:val="18"/>
          <w:szCs w:val="18"/>
          <w:color w:val="auto"/>
        </w:rPr>
        <w:t>million in outstanding borrowings under the Company’s revolving credit facility and commercial notes of $120.2 million at the Automotive</w:t>
      </w:r>
    </w:p>
    <w:p>
      <w:pPr>
        <w:ind w:right="80"/>
        <w:spacing w:after="0" w:line="226" w:lineRule="auto"/>
        <w:rPr>
          <w:sz w:val="20"/>
          <w:szCs w:val="20"/>
          <w:color w:val="auto"/>
        </w:rPr>
      </w:pPr>
      <w:r>
        <w:rPr>
          <w:rFonts w:ascii="Arial" w:cs="Arial" w:eastAsia="Arial" w:hAnsi="Arial"/>
          <w:sz w:val="18"/>
          <w:szCs w:val="18"/>
          <w:color w:val="auto"/>
        </w:rPr>
        <w:t>subsidiary. The Company’s borrowings at December 31, 2021 were mostly from $400.0 million of 5.75% unsecured notes due June 1, 2026, $209.6 million in outstanding borrowings under the Company’s revolving credit facility and commercial notes of $47.0 million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Automotive subsidiary. The interest on the $400.0 million of 5.75% unsecured notes is payable semiannually on June 1 and December 1.</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May 3, 2022, the Company amended the revolving credit facility agreement to, among other things, extend the maturity date to May 30, 2027.</w:t>
      </w:r>
    </w:p>
    <w:p>
      <w:pPr>
        <w:spacing w:after="0" w:line="11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nine months ended September 30, 2022 and 2021, the Company had average borrowings outstanding of approximately $676.5 million and $531.3 million, respectively, at average annual interest rates of approximately 4.6% and 4.9%, respectively. During the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2022 and 2021, the Company incurred net interest expense of $36.8 million and $22.5 million, respectively.</w:t>
      </w:r>
    </w:p>
    <w:p>
      <w:pPr>
        <w:spacing w:after="0" w:line="14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August 30, 2022, Moody’s affirmed the Company’s credit rating and maintained the outlook as Stable. On April 12, 2022, Standard &amp; Poor’s affirmed the Company’s credit rating and maintained the outlook as Stable.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September 30, 2022, the Company had $180.7 million outstanding under the</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$300 million revolving credit facility. In management’s opinion, the Company will have sufficient financial resources to meet its business requirements in the next 12 months, including working capital requirements, capital expenditures, interest payments, potential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investments, dividends and stock repurchases.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203,665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197,271</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(171,645)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(420,456)</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(8,184)</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(48,025)</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(11,824)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12,012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(274,118)</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7" w:name="page38"/>
    <w:bookmarkEnd w:id="37"/>
    <w:p>
      <w:pPr>
        <w:ind w:right="30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63,791</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268,244</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102,981</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127,261</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51,344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55,246</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(136,411)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(68,644)</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194,629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(156,326)</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(72,669)</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(28,510)</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203,665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197,271</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For the first nine months of 2022 compared to the first nine months of 2021, the increase in net cash provided by operating activities is primarily driven by higher net income, net of non-cash adjustments, and changes in operating assets and liabilities. Changes in operating</w:t>
      </w:r>
    </w:p>
    <w:p>
      <w:pPr>
        <w:ind w:right="180"/>
        <w:spacing w:after="0" w:line="237" w:lineRule="auto"/>
        <w:rPr>
          <w:sz w:val="20"/>
          <w:szCs w:val="20"/>
          <w:color w:val="auto"/>
        </w:rPr>
      </w:pPr>
      <w:r>
        <w:rPr>
          <w:rFonts w:ascii="Arial" w:cs="Arial" w:eastAsia="Arial" w:hAnsi="Arial"/>
          <w:sz w:val="18"/>
          <w:szCs w:val="18"/>
          <w:color w:val="auto"/>
        </w:rPr>
        <w:t>assets and liabilities were primarily the result of an increase in the collection of cash from customers that were offset by higher purchase of inventories and decreases in accounts payable and accrued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right="2600"/>
        <w:spacing w:after="0" w:line="316" w:lineRule="auto"/>
        <w:rPr>
          <w:sz w:val="20"/>
          <w:szCs w:val="20"/>
          <w:color w:val="auto"/>
        </w:rPr>
      </w:pPr>
      <w:r>
        <w:rPr>
          <w:rFonts w:ascii="Arial" w:cs="Arial" w:eastAsia="Arial" w:hAnsi="Arial"/>
          <w:sz w:val="16"/>
          <w:szCs w:val="16"/>
          <w:color w:val="auto"/>
        </w:rPr>
        <w:t>Net proceeds from sales of (purchases of) marketable equity securities Investments in equity affiliates, cost method and other investments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(130,177)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(272,428)</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(57,097)</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(140,935)</w:t>
            </w:r>
          </w:p>
        </w:tc>
      </w:tr>
      <w:tr>
        <w:trPr>
          <w:trHeight w:val="230"/>
        </w:trPr>
        <w:tc>
          <w:tcPr>
            <w:tcW w:w="3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39,163</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(9,728)</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(30,075)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(6,610)</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6,541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(171,645)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(420,456)</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31" w:right="379" w:bottom="1440" w:gutter="0" w:footer="0" w:header="0"/>
          <w:type w:val="continuous"/>
        </w:sectPr>
      </w:pPr>
    </w:p>
    <w:p>
      <w:pPr>
        <w:spacing w:after="0" w:line="11"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2022, the Company acquired seven businesses: five in healthcare and two in automotive,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$142.8 million in cash and contingent consideration and the assumption of floor plan payables. GHG acquired two small businesses in</w:t>
      </w:r>
    </w:p>
    <w:p>
      <w:pPr>
        <w:ind w:right="60"/>
        <w:spacing w:after="0"/>
        <w:rPr>
          <w:sz w:val="20"/>
          <w:szCs w:val="20"/>
          <w:color w:val="auto"/>
        </w:rPr>
      </w:pPr>
      <w:r>
        <w:rPr>
          <w:rFonts w:ascii="Arial" w:cs="Arial" w:eastAsia="Arial" w:hAnsi="Arial"/>
          <w:sz w:val="17"/>
          <w:szCs w:val="17"/>
          <w:color w:val="auto"/>
        </w:rPr>
        <w:t>August 2022, a 100% interest in a multi-state provider of Applied Behavior Analysis clinics in July 2022, and two small businesses in May 2022. In July 2022, the Company’s automotive subsidiary acquired two automotive dealerships, including the real property for the dealership</w:t>
      </w:r>
    </w:p>
    <w:p>
      <w:pPr>
        <w:spacing w:after="0" w:line="235" w:lineRule="auto"/>
        <w:rPr>
          <w:sz w:val="20"/>
          <w:szCs w:val="20"/>
          <w:color w:val="auto"/>
        </w:rPr>
      </w:pPr>
      <w:r>
        <w:rPr>
          <w:rFonts w:ascii="Arial" w:cs="Arial" w:eastAsia="Arial" w:hAnsi="Arial"/>
          <w:sz w:val="18"/>
          <w:szCs w:val="18"/>
          <w:color w:val="auto"/>
        </w:rPr>
        <w:t>operations. In addition to a cash payment and the assumption of $10.9 million in floor plan payables, the automotive subsidiary borrowed</w:t>
      </w:r>
    </w:p>
    <w:p>
      <w:pPr>
        <w:jc w:val="both"/>
        <w:ind w:right="120"/>
        <w:spacing w:after="0"/>
        <w:rPr>
          <w:sz w:val="20"/>
          <w:szCs w:val="20"/>
          <w:color w:val="auto"/>
        </w:rPr>
      </w:pPr>
      <w:r>
        <w:rPr>
          <w:rFonts w:ascii="Arial" w:cs="Arial" w:eastAsia="Arial" w:hAnsi="Arial"/>
          <w:sz w:val="17"/>
          <w:szCs w:val="17"/>
          <w:color w:val="auto"/>
        </w:rPr>
        <w:t>$77.4 million to finance the acquisition. During the first nine months of 2021, the Company acquired all of the outstanding shares of Leaf for cash and the assumption of $9.2 million in liabilities related to their pre-acquisition stock compensation plan, which will be paid in the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Leaf is included in other businesses.</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nine months of 2022 of $56.8 million</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include assets acquired during the quarter. The Company estimates that its capital expenditures will be in the range of $70 million to $80 million in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proceeds from sale of (purchases of) marketable equity securities. </w:t>
      </w:r>
      <w:r>
        <w:rPr>
          <w:rFonts w:ascii="Arial" w:cs="Arial" w:eastAsia="Arial" w:hAnsi="Arial"/>
          <w:sz w:val="18"/>
          <w:szCs w:val="18"/>
          <w:color w:val="auto"/>
        </w:rPr>
        <w:t>During the first nine months of 2022 and 2021, the Company sold</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marketable equity securities that generated proceeds of $74.2 million and $38.3 million, respectively. The Company purchased $35.1 million and $48.0 million of marketable equity securities during the first nine months of 2022 and 2021, respectively.</w:t>
      </w:r>
    </w:p>
    <w:p>
      <w:pPr>
        <w:spacing w:after="0" w:line="12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the first nine months of 2022, GHG invested an additional $18.5 million in two affiliates to fund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an interest in a health system in Illinois.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77,299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140"/>
              <w:spacing w:after="0"/>
              <w:rPr>
                <w:sz w:val="20"/>
                <w:szCs w:val="20"/>
                <w:color w:val="auto"/>
              </w:rPr>
            </w:pPr>
            <w:r>
              <w:rPr>
                <w:rFonts w:ascii="Arial" w:cs="Arial" w:eastAsia="Arial" w:hAnsi="Arial"/>
                <w:sz w:val="16"/>
                <w:szCs w:val="16"/>
                <w:color w:val="auto"/>
                <w:w w:val="98"/>
              </w:rPr>
              <w:t>22,684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borrowings under revolving credit facility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540" w:type="dxa"/>
            <w:vAlign w:val="bottom"/>
          </w:tcPr>
          <w:p>
            <w:pPr>
              <w:spacing w:after="0"/>
              <w:rPr>
                <w:sz w:val="19"/>
                <w:szCs w:val="19"/>
                <w:color w:val="auto"/>
              </w:rPr>
            </w:pPr>
          </w:p>
        </w:tc>
        <w:tc>
          <w:tcPr>
            <w:tcW w:w="860" w:type="dxa"/>
            <w:vAlign w:val="bottom"/>
          </w:tcPr>
          <w:p>
            <w:pPr>
              <w:jc w:val="center"/>
              <w:ind w:left="140"/>
              <w:spacing w:after="0"/>
              <w:rPr>
                <w:sz w:val="20"/>
                <w:szCs w:val="20"/>
                <w:color w:val="auto"/>
              </w:rPr>
            </w:pPr>
            <w:r>
              <w:rPr>
                <w:rFonts w:ascii="Arial" w:cs="Arial" w:eastAsia="Arial" w:hAnsi="Arial"/>
                <w:sz w:val="16"/>
                <w:szCs w:val="16"/>
                <w:color w:val="auto"/>
                <w:w w:val="98"/>
              </w:rPr>
              <w:t>37,696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(10,564)</w:t>
            </w:r>
          </w:p>
        </w:tc>
        <w:tc>
          <w:tcPr>
            <w:tcW w:w="540" w:type="dxa"/>
            <w:vAlign w:val="bottom"/>
          </w:tcPr>
          <w:p>
            <w:pPr>
              <w:spacing w:after="0"/>
              <w:rPr>
                <w:sz w:val="19"/>
                <w:szCs w:val="19"/>
                <w:color w:val="auto"/>
              </w:rPr>
            </w:pPr>
          </w:p>
        </w:tc>
        <w:tc>
          <w:tcPr>
            <w:tcW w:w="860" w:type="dxa"/>
            <w:vAlign w:val="bottom"/>
          </w:tcPr>
          <w:p>
            <w:pPr>
              <w:jc w:val="center"/>
              <w:ind w:left="120"/>
              <w:spacing w:after="0"/>
              <w:rPr>
                <w:sz w:val="20"/>
                <w:szCs w:val="20"/>
                <w:color w:val="auto"/>
              </w:rPr>
            </w:pPr>
            <w:r>
              <w:rPr>
                <w:rFonts w:ascii="Arial" w:cs="Arial" w:eastAsia="Arial" w:hAnsi="Arial"/>
                <w:sz w:val="16"/>
                <w:szCs w:val="16"/>
                <w:color w:val="auto"/>
              </w:rPr>
              <w:t>(16,878)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11,688</w:t>
            </w:r>
          </w:p>
        </w:tc>
        <w:tc>
          <w:tcPr>
            <w:tcW w:w="540" w:type="dxa"/>
            <w:vAlign w:val="bottom"/>
          </w:tcPr>
          <w:p>
            <w:pPr>
              <w:spacing w:after="0"/>
              <w:rPr>
                <w:sz w:val="19"/>
                <w:szCs w:val="19"/>
                <w:color w:val="auto"/>
              </w:rPr>
            </w:pPr>
          </w:p>
        </w:tc>
        <w:tc>
          <w:tcPr>
            <w:tcW w:w="860" w:type="dxa"/>
            <w:vAlign w:val="bottom"/>
          </w:tcPr>
          <w:p>
            <w:pPr>
              <w:jc w:val="center"/>
              <w:ind w:left="120"/>
              <w:spacing w:after="0"/>
              <w:rPr>
                <w:sz w:val="20"/>
                <w:szCs w:val="20"/>
                <w:color w:val="auto"/>
              </w:rPr>
            </w:pPr>
            <w:r>
              <w:rPr>
                <w:rFonts w:ascii="Arial" w:cs="Arial" w:eastAsia="Arial" w:hAnsi="Arial"/>
                <w:sz w:val="16"/>
                <w:szCs w:val="16"/>
                <w:color w:val="auto"/>
              </w:rPr>
              <w:t>(15,035)</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(54,581)</w:t>
            </w:r>
          </w:p>
        </w:tc>
        <w:tc>
          <w:tcPr>
            <w:tcW w:w="540" w:type="dxa"/>
            <w:vAlign w:val="bottom"/>
          </w:tcPr>
          <w:p>
            <w:pPr>
              <w:spacing w:after="0"/>
              <w:rPr>
                <w:sz w:val="19"/>
                <w:szCs w:val="19"/>
                <w:color w:val="auto"/>
              </w:rPr>
            </w:pPr>
          </w:p>
        </w:tc>
        <w:tc>
          <w:tcPr>
            <w:tcW w:w="860" w:type="dxa"/>
            <w:vAlign w:val="bottom"/>
          </w:tcPr>
          <w:p>
            <w:pPr>
              <w:jc w:val="center"/>
              <w:ind w:left="120"/>
              <w:spacing w:after="0"/>
              <w:rPr>
                <w:sz w:val="20"/>
                <w:szCs w:val="20"/>
                <w:color w:val="auto"/>
              </w:rPr>
            </w:pPr>
            <w:r>
              <w:rPr>
                <w:rFonts w:ascii="Arial" w:cs="Arial" w:eastAsia="Arial" w:hAnsi="Arial"/>
                <w:sz w:val="16"/>
                <w:szCs w:val="16"/>
                <w:color w:val="auto"/>
              </w:rPr>
              <w:t>(21,840)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(23,122)</w:t>
            </w:r>
          </w:p>
        </w:tc>
        <w:tc>
          <w:tcPr>
            <w:tcW w:w="540" w:type="dxa"/>
            <w:vAlign w:val="bottom"/>
          </w:tcPr>
          <w:p>
            <w:pPr>
              <w:spacing w:after="0"/>
              <w:rPr>
                <w:sz w:val="19"/>
                <w:szCs w:val="19"/>
                <w:color w:val="auto"/>
              </w:rPr>
            </w:pPr>
          </w:p>
        </w:tc>
        <w:tc>
          <w:tcPr>
            <w:tcW w:w="860" w:type="dxa"/>
            <w:vAlign w:val="bottom"/>
          </w:tcPr>
          <w:p>
            <w:pPr>
              <w:jc w:val="center"/>
              <w:ind w:left="120"/>
              <w:spacing w:after="0"/>
              <w:rPr>
                <w:sz w:val="20"/>
                <w:szCs w:val="20"/>
                <w:color w:val="auto"/>
              </w:rPr>
            </w:pPr>
            <w:r>
              <w:rPr>
                <w:rFonts w:ascii="Arial" w:cs="Arial" w:eastAsia="Arial" w:hAnsi="Arial"/>
                <w:sz w:val="16"/>
                <w:szCs w:val="16"/>
                <w:color w:val="auto"/>
              </w:rPr>
              <w:t>(22,659)</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2,096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rPr>
              <w:t>(31,993)</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(8,184)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rPr>
              <w:t>(48,025)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July 2022, the Company’s automotive subsidiary amended its commercial note to,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increase the aggregate loan amount to $71.6 million and entered into three commercial notes in an aggregate amount of $27.2</w:t>
      </w:r>
    </w:p>
    <w:p>
      <w:pPr>
        <w:ind w:right="40"/>
        <w:spacing w:after="0" w:line="226" w:lineRule="auto"/>
        <w:rPr>
          <w:sz w:val="20"/>
          <w:szCs w:val="20"/>
          <w:color w:val="auto"/>
        </w:rPr>
      </w:pPr>
      <w:r>
        <w:rPr>
          <w:rFonts w:ascii="Arial" w:cs="Arial" w:eastAsia="Arial" w:hAnsi="Arial"/>
          <w:sz w:val="18"/>
          <w:szCs w:val="18"/>
          <w:color w:val="auto"/>
        </w:rPr>
        <w:t>million. The additional borrowings were used to acquire two automotive dealerships, including the real property for the dealership operations. In the first nine months of 2022, the Company made repayments on the $300 million revolving credit facility. In the first nine months of 2022</w:t>
      </w:r>
    </w:p>
    <w:p>
      <w:pPr>
        <w:spacing w:after="0" w:line="236" w:lineRule="auto"/>
        <w:rPr>
          <w:sz w:val="20"/>
          <w:szCs w:val="20"/>
          <w:color w:val="auto"/>
        </w:rPr>
      </w:pPr>
      <w:r>
        <w:rPr>
          <w:rFonts w:ascii="Arial" w:cs="Arial" w:eastAsia="Arial" w:hAnsi="Arial"/>
          <w:sz w:val="18"/>
          <w:szCs w:val="18"/>
          <w:color w:val="auto"/>
        </w:rPr>
        <w:t>and 2021, the Company used vehicle floor plan financing to fund the purchase of new, used and service loaner vehicles at its automotive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division. The proceeds from (repayments of) the vehicle floor plan payable fluctuates with changes in the amount of vehicle inventory held by the automotive dealerships.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nine months of 2022, the Company purchased a total of 93,548 shares of its Class B common</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stock at a cost of approximately $54.6 million. On September 10, 2020, the Board of Directors authorized the Company to acquire up to 500,000 shares of its Class B common stock. The Company did not announce a ceiling price or time limit for the purchases. At</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September 30, 2022, the Company had remaining authorization from the Board of Directors to purchase up to 176,634 shares of Class B common stock.</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$1.58 and $1.51 for the first nine months of 2022 and 2021,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$6.32 per share in 2022.</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2022, the Company paid $4.7 million related to deferred payments from prior acquisitions.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2021, the Company paid $30.9 million related to contingent consideration and deferred payments from prior acquisitions,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mostly for the 2020 acquisition of Framebridge. During the first nine months of 2022 and 2021, the Company increased the borrowings under its cash overdraft facilities by $4.4 million and $1.1 million, respectively. In March 2021, Hoover’s minority shareholders put their remaining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to the Company, which had a redemption value of $3.5 million.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2021 Annual Report to Stockholders, are “forward-looking</w:t>
      </w:r>
    </w:p>
    <w:p>
      <w:pPr>
        <w:spacing w:after="0" w:line="235" w:lineRule="auto"/>
        <w:rPr>
          <w:sz w:val="20"/>
          <w:szCs w:val="20"/>
          <w:color w:val="auto"/>
        </w:rPr>
      </w:pPr>
      <w:r>
        <w:rPr>
          <w:rFonts w:ascii="Arial" w:cs="Arial" w:eastAsia="Arial" w:hAnsi="Arial"/>
          <w:sz w:val="18"/>
          <w:szCs w:val="18"/>
          <w:color w:val="auto"/>
        </w:rPr>
        <w:t>statements” within the meaning of the Private Securities Litigation Reform Act of 1995. Actual results may differ materially from those</w:t>
      </w:r>
    </w:p>
    <w:p>
      <w:pPr>
        <w:ind w:right="20"/>
        <w:spacing w:after="0" w:line="226" w:lineRule="auto"/>
        <w:rPr>
          <w:sz w:val="20"/>
          <w:szCs w:val="20"/>
          <w:color w:val="auto"/>
        </w:rPr>
      </w:pPr>
      <w:r>
        <w:rPr>
          <w:rFonts w:ascii="Arial" w:cs="Arial" w:eastAsia="Arial" w:hAnsi="Arial"/>
          <w:sz w:val="18"/>
          <w:szCs w:val="18"/>
          <w:color w:val="auto"/>
        </w:rPr>
        <w:t>projected as a result of certain risks and uncertainties, including but not limited to the duration and severity of the COVID-19 pandemic and its effects on the Company’s operations, financial results, liquidity and cash flows. Other forward-looking statements include comments about</w:t>
      </w:r>
    </w:p>
    <w:p>
      <w:pPr>
        <w:spacing w:after="0" w:line="236" w:lineRule="auto"/>
        <w:rPr>
          <w:sz w:val="20"/>
          <w:szCs w:val="20"/>
          <w:color w:val="auto"/>
        </w:rPr>
      </w:pPr>
      <w:r>
        <w:rPr>
          <w:rFonts w:ascii="Arial" w:cs="Arial" w:eastAsia="Arial" w:hAnsi="Arial"/>
          <w:sz w:val="18"/>
          <w:szCs w:val="18"/>
          <w:color w:val="auto"/>
        </w:rPr>
        <w:t>expectations related to acquisitions or dispositions or related business activities, including the TOSA, the Company’s business strategies and</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objectives, anticipated results of license renewal applications, the prospects for growth in the Company’s various business operations and the Company’s future financial performance. As with any projection or forecast, forward-looking statements are subject to various risks and</w:t>
      </w:r>
    </w:p>
    <w:p>
      <w:pPr>
        <w:spacing w:after="0" w:line="235" w:lineRule="auto"/>
        <w:rPr>
          <w:sz w:val="20"/>
          <w:szCs w:val="20"/>
          <w:color w:val="auto"/>
        </w:rPr>
      </w:pPr>
      <w:r>
        <w:rPr>
          <w:rFonts w:ascii="Arial" w:cs="Arial" w:eastAsia="Arial" w:hAnsi="Arial"/>
          <w:sz w:val="18"/>
          <w:szCs w:val="18"/>
          <w:color w:val="auto"/>
        </w:rPr>
        <w:t>uncertainties, including the risks and uncertainties described in Item 1A of the Company’s Annual Report on Form 10-K, that could cause</w:t>
      </w:r>
    </w:p>
    <w:p>
      <w:pPr>
        <w:ind w:right="260"/>
        <w:spacing w:after="0"/>
        <w:rPr>
          <w:sz w:val="20"/>
          <w:szCs w:val="20"/>
          <w:color w:val="auto"/>
        </w:rPr>
      </w:pPr>
      <w:r>
        <w:rPr>
          <w:rFonts w:ascii="Arial" w:cs="Arial" w:eastAsia="Arial" w:hAnsi="Arial"/>
          <w:sz w:val="17"/>
          <w:szCs w:val="17"/>
          <w:color w:val="auto"/>
        </w:rPr>
        <w:t>actual results or events to differ materially from those anticipated in such statements. Accordingly, undue reliance should not be placed on any forward-looking statement made by or on behalf of the Company. The Company assumes no obligation to update any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 after the date on which such statement is made, even if new information subsequently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2021 Annual Report filed on Form 10-K have not otherwise changed significantly.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September 30, 2022. Based on that evaluation,</w:t>
      </w:r>
    </w:p>
    <w:p>
      <w:pPr>
        <w:spacing w:after="0" w:line="23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2022</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0" w:name="page41"/>
    <w:bookmarkEnd w:id="40"/>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During the quarter ended September 30, 2022, the Company purchased shares of its Class B Common Stock as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r>
      <w:tr>
        <w:trPr>
          <w:trHeight w:val="148"/>
        </w:trPr>
        <w:tc>
          <w:tcPr>
            <w:tcW w:w="4660" w:type="dxa"/>
            <w:vAlign w:val="bottom"/>
          </w:tcPr>
          <w:p>
            <w:pPr>
              <w:spacing w:after="0"/>
              <w:rPr>
                <w:sz w:val="12"/>
                <w:szCs w:val="12"/>
                <w:color w:val="auto"/>
              </w:rPr>
            </w:pPr>
          </w:p>
        </w:tc>
        <w:tc>
          <w:tcPr>
            <w:tcW w:w="13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9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r>
      <w:tr>
        <w:trPr>
          <w:trHeight w:val="21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July</w:t>
            </w:r>
          </w:p>
        </w:tc>
        <w:tc>
          <w:tcPr>
            <w:tcW w:w="1320" w:type="dxa"/>
            <w:vAlign w:val="bottom"/>
          </w:tcPr>
          <w:p>
            <w:pPr>
              <w:jc w:val="right"/>
              <w:spacing w:after="0"/>
              <w:rPr>
                <w:sz w:val="20"/>
                <w:szCs w:val="20"/>
                <w:color w:val="auto"/>
              </w:rPr>
            </w:pPr>
            <w:r>
              <w:rPr>
                <w:rFonts w:ascii="Arial" w:cs="Arial" w:eastAsia="Arial" w:hAnsi="Arial"/>
                <w:sz w:val="16"/>
                <w:szCs w:val="16"/>
                <w:color w:val="auto"/>
              </w:rPr>
              <w:t>7,749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570.48</w:t>
            </w:r>
          </w:p>
        </w:tc>
        <w:tc>
          <w:tcPr>
            <w:tcW w:w="1720" w:type="dxa"/>
            <w:vAlign w:val="bottom"/>
          </w:tcPr>
          <w:p>
            <w:pPr>
              <w:jc w:val="right"/>
              <w:spacing w:after="0"/>
              <w:rPr>
                <w:sz w:val="20"/>
                <w:szCs w:val="20"/>
                <w:color w:val="auto"/>
              </w:rPr>
            </w:pPr>
            <w:r>
              <w:rPr>
                <w:rFonts w:ascii="Arial" w:cs="Arial" w:eastAsia="Arial" w:hAnsi="Arial"/>
                <w:sz w:val="16"/>
                <w:szCs w:val="16"/>
                <w:color w:val="auto"/>
              </w:rPr>
              <w:t>7,749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204,724</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August</w:t>
            </w:r>
          </w:p>
        </w:tc>
        <w:tc>
          <w:tcPr>
            <w:tcW w:w="1320" w:type="dxa"/>
            <w:vAlign w:val="bottom"/>
          </w:tcPr>
          <w:p>
            <w:pPr>
              <w:jc w:val="right"/>
              <w:spacing w:after="0"/>
              <w:rPr>
                <w:sz w:val="20"/>
                <w:szCs w:val="20"/>
                <w:color w:val="auto"/>
              </w:rPr>
            </w:pPr>
            <w:r>
              <w:rPr>
                <w:rFonts w:ascii="Arial" w:cs="Arial" w:eastAsia="Arial" w:hAnsi="Arial"/>
                <w:sz w:val="16"/>
                <w:szCs w:val="16"/>
                <w:color w:val="auto"/>
              </w:rPr>
              <w:t>9,261</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591.16</w:t>
            </w:r>
          </w:p>
        </w:tc>
        <w:tc>
          <w:tcPr>
            <w:tcW w:w="1720" w:type="dxa"/>
            <w:vAlign w:val="bottom"/>
          </w:tcPr>
          <w:p>
            <w:pPr>
              <w:jc w:val="right"/>
              <w:spacing w:after="0"/>
              <w:rPr>
                <w:sz w:val="20"/>
                <w:szCs w:val="20"/>
                <w:color w:val="auto"/>
              </w:rPr>
            </w:pPr>
            <w:r>
              <w:rPr>
                <w:rFonts w:ascii="Arial" w:cs="Arial" w:eastAsia="Arial" w:hAnsi="Arial"/>
                <w:sz w:val="16"/>
                <w:szCs w:val="16"/>
                <w:color w:val="auto"/>
              </w:rPr>
              <w:t>9,261</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195,463</w:t>
            </w: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September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18,829</w:t>
            </w:r>
          </w:p>
        </w:tc>
        <w:tc>
          <w:tcPr>
            <w:tcW w:w="24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551.38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176,634</w:t>
            </w: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565.79</w:t>
            </w:r>
          </w:p>
        </w:tc>
        <w:tc>
          <w:tcPr>
            <w:tcW w:w="1720" w:type="dxa"/>
            <w:vAlign w:val="bottom"/>
          </w:tcPr>
          <w:p>
            <w:pPr>
              <w:jc w:val="right"/>
              <w:spacing w:after="0"/>
              <w:rPr>
                <w:sz w:val="20"/>
                <w:szCs w:val="20"/>
                <w:color w:val="auto"/>
              </w:rPr>
            </w:pPr>
            <w:r>
              <w:rPr>
                <w:rFonts w:ascii="Arial" w:cs="Arial" w:eastAsia="Arial" w:hAnsi="Arial"/>
                <w:sz w:val="16"/>
                <w:szCs w:val="16"/>
                <w:color w:val="auto"/>
              </w:rPr>
              <w:t>35,839</w:t>
            </w:r>
          </w:p>
        </w:tc>
        <w:tc>
          <w:tcPr>
            <w:tcW w:w="2300" w:type="dxa"/>
            <w:vAlign w:val="bottom"/>
          </w:tcPr>
          <w:p>
            <w:pPr>
              <w:spacing w:after="0"/>
              <w:rPr>
                <w:sz w:val="18"/>
                <w:szCs w:val="18"/>
                <w:color w:val="auto"/>
              </w:rPr>
            </w:pPr>
          </w:p>
        </w:tc>
      </w:tr>
    </w:tbl>
    <w:p>
      <w:pPr>
        <w:spacing w:after="0" w:line="208"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September 30, 2022 were open market transactions and some of these shares were purchased under a 10b5-1 plan.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6"/>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7"/>
                <w:szCs w:val="17"/>
                <w:color w:val="auto"/>
              </w:rPr>
            </w:pPr>
          </w:p>
        </w:tc>
        <w:tc>
          <w:tcPr>
            <w:tcW w:w="6080" w:type="dxa"/>
            <w:vAlign w:val="bottom"/>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7"/>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17"/>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17"/>
          </w:tcPr>
          <w:p>
            <w:pPr>
              <w:spacing w:after="0"/>
              <w:rPr>
                <w:rFonts w:ascii="Arial" w:cs="Arial" w:eastAsia="Arial" w:hAnsi="Arial"/>
                <w:sz w:val="16"/>
                <w:szCs w:val="16"/>
                <w:color w:val="0000FF"/>
              </w:rPr>
            </w:pPr>
            <w:hyperlink r:id="rId6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17"/>
          </w:tcPr>
          <w:p>
            <w:pPr>
              <w:spacing w:after="0"/>
              <w:rPr>
                <w:rFonts w:ascii="Arial" w:cs="Arial" w:eastAsia="Arial" w:hAnsi="Arial"/>
                <w:sz w:val="16"/>
                <w:szCs w:val="16"/>
                <w:color w:val="0000FF"/>
              </w:rPr>
            </w:pPr>
            <w:hyperlink r:id="rId65">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7"/>
          </w:tcPr>
          <w:p>
            <w:pPr>
              <w:spacing w:after="0"/>
              <w:rPr>
                <w:rFonts w:ascii="Arial" w:cs="Arial" w:eastAsia="Arial" w:hAnsi="Arial"/>
                <w:sz w:val="16"/>
                <w:szCs w:val="16"/>
                <w:color w:val="0000FF"/>
              </w:rPr>
            </w:pPr>
            <w:hyperlink r:id="rId66">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4"/>
          </w:tcPr>
          <w:p>
            <w:pPr>
              <w:spacing w:after="0" w:line="155" w:lineRule="exact"/>
              <w:rPr>
                <w:rFonts w:ascii="Arial" w:cs="Arial" w:eastAsia="Arial" w:hAnsi="Arial"/>
                <w:sz w:val="16"/>
                <w:szCs w:val="16"/>
                <w:color w:val="0000FF"/>
                <w:w w:val="99"/>
              </w:rPr>
            </w:pPr>
            <w:hyperlink r:id="rId66">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Quarterly Report on Form 10-Q for the quarter ended March 31, 2020).</w:t>
              </w:r>
            </w:hyperlink>
          </w:p>
        </w:tc>
        <w:tc>
          <w:tcPr>
            <w:tcW w:w="4960" w:type="dxa"/>
            <w:vAlign w:val="bottom"/>
            <w:gridSpan w:val="1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17"/>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subsidiary of Graham Holdings Company, a Delaware corporation, and The Bank of New York Mellon Trust Company, N.A., as trustee</w:t>
              </w:r>
            </w:hyperlink>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tcPr>
          <w:p>
            <w:pPr>
              <w:jc w:val="right"/>
              <w:spacing w:after="0" w:line="155" w:lineRule="exact"/>
              <w:rPr>
                <w:rFonts w:ascii="Arial" w:cs="Arial" w:eastAsia="Arial" w:hAnsi="Arial"/>
                <w:sz w:val="16"/>
                <w:szCs w:val="16"/>
                <w:color w:val="0000FF"/>
                <w:w w:val="88"/>
              </w:rPr>
            </w:pPr>
            <w:hyperlink r:id="rId67">
              <w:r>
                <w:rPr>
                  <w:rFonts w:ascii="Arial" w:cs="Arial" w:eastAsia="Arial" w:hAnsi="Arial"/>
                  <w:sz w:val="16"/>
                  <w:szCs w:val="16"/>
                  <w:color w:val="0000FF"/>
                  <w:w w:val="88"/>
                </w:rPr>
                <w:t>.</w:t>
              </w:r>
            </w:hyperlink>
          </w:p>
        </w:tc>
        <w:tc>
          <w:tcPr>
            <w:tcW w:w="4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7"/>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100" w:hanging="953"/>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6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46"/>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31" w:lineRule="exact"/>
        <w:rPr>
          <w:sz w:val="20"/>
          <w:szCs w:val="20"/>
          <w:color w:val="auto"/>
        </w:rPr>
      </w:pPr>
    </w:p>
    <w:p>
      <w:pPr>
        <w:ind w:left="1100" w:hanging="953"/>
        <w:spacing w:after="0"/>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720" w:type="dxa"/>
            <w:vAlign w:val="bottom"/>
          </w:tcPr>
          <w:p>
            <w:pPr>
              <w:spacing w:after="0"/>
              <w:rPr>
                <w:sz w:val="20"/>
                <w:szCs w:val="20"/>
                <w:color w:val="auto"/>
              </w:rPr>
            </w:pPr>
            <w:r>
              <w:rPr>
                <w:rFonts w:ascii="Arial" w:cs="Arial" w:eastAsia="Arial" w:hAnsi="Arial"/>
                <w:sz w:val="18"/>
                <w:szCs w:val="18"/>
                <w:color w:val="auto"/>
              </w:rPr>
              <w:t>Date: November 2, 2022</w:t>
            </w:r>
          </w:p>
        </w:tc>
        <w:tc>
          <w:tcPr>
            <w:tcW w:w="34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720" w:type="dxa"/>
            <w:vAlign w:val="bottom"/>
          </w:tcPr>
          <w:p>
            <w:pPr>
              <w:spacing w:after="0"/>
              <w:rPr>
                <w:sz w:val="20"/>
                <w:szCs w:val="20"/>
                <w:color w:val="auto"/>
              </w:rPr>
            </w:pPr>
            <w:r>
              <w:rPr>
                <w:rFonts w:ascii="Arial" w:cs="Arial" w:eastAsia="Arial" w:hAnsi="Arial"/>
                <w:sz w:val="18"/>
                <w:szCs w:val="18"/>
                <w:color w:val="auto"/>
              </w:rPr>
              <w:t>Date: November 2, 2022</w:t>
            </w:r>
          </w:p>
        </w:tc>
        <w:tc>
          <w:tcPr>
            <w:tcW w:w="34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720" w:type="dxa"/>
            <w:vAlign w:val="bottom"/>
          </w:tcPr>
          <w:p>
            <w:pPr>
              <w:spacing w:after="0"/>
              <w:rPr>
                <w:sz w:val="24"/>
                <w:szCs w:val="24"/>
                <w:color w:val="auto"/>
              </w:rPr>
            </w:pPr>
          </w:p>
        </w:tc>
        <w:tc>
          <w:tcPr>
            <w:tcW w:w="3440" w:type="dxa"/>
            <w:vAlign w:val="bottom"/>
          </w:tcPr>
          <w:p>
            <w:pPr>
              <w:jc w:val="right"/>
              <w:ind w:right="1390"/>
              <w:spacing w:after="0"/>
              <w:rPr>
                <w:sz w:val="20"/>
                <w:szCs w:val="20"/>
                <w:color w:val="auto"/>
              </w:rPr>
            </w:pPr>
            <w:r>
              <w:rPr>
                <w:rFonts w:ascii="Arial" w:cs="Arial" w:eastAsia="Arial" w:hAnsi="Arial"/>
                <w:sz w:val="18"/>
                <w:szCs w:val="18"/>
                <w:color w:val="auto"/>
              </w:rPr>
              <w:t>41</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ectPr>
          <w:pgSz w:w="11900" w:h="16838" w:orient="portrait"/>
          <w:cols w:equalWidth="0" w:num="1">
            <w:col w:w="11240"/>
          </w:cols>
          <w:pgMar w:left="320" w:top="114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2022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62" Type="http://schemas.openxmlformats.org/officeDocument/2006/relationships/hyperlink" Target="http://www.sec.gov/Archives/edgar/data/104889/000095013304000785/w94191exv3w1.htm" TargetMode="External"/><Relationship Id="rId63" Type="http://schemas.openxmlformats.org/officeDocument/2006/relationships/hyperlink" Target="http://www.sec.gov/Archives/edgar/data/104889/000095015713000428/ex3-1.htm" TargetMode="External"/><Relationship Id="rId64" Type="http://schemas.openxmlformats.org/officeDocument/2006/relationships/hyperlink" Target="http://www.sec.gov/Archives/edgar/data/104889/000095015713000428/ex3-2.htm" TargetMode="External"/><Relationship Id="rId65" Type="http://schemas.openxmlformats.org/officeDocument/2006/relationships/hyperlink" Target="http://www.sec.gov/Archives/edgar/data/104889/000095015718000572/ex4-1.htm" TargetMode="External"/><Relationship Id="rId66" Type="http://schemas.openxmlformats.org/officeDocument/2006/relationships/hyperlink" Target="http://www.sec.gov/Archives/edgar/data/104889/000010488920000031/dex42.htm" TargetMode="External"/><Relationship Id="rId67" Type="http://schemas.openxmlformats.org/officeDocument/2006/relationships/hyperlink" Target="https://www.sec.gov/Archives/edgar/data/104889/000010488922000011/a2021q410-k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2022-11-02T12:29:25Z</dcterms:created>
  <dcterms:modified xsi:type="dcterms:W3CDTF">2022-11-02T12:29:25Z</dcterms:modified>
</cp:coreProperties>
</file>