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16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514350</wp:posOffset>
            </wp:positionH>
            <wp:positionV relativeFrom="page">
              <wp:posOffset>294005</wp:posOffset>
            </wp:positionV>
            <wp:extent cx="69532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3250" cy="762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333375</wp:posOffset>
            </wp:positionV>
            <wp:extent cx="69532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3250" cy="7620"/>
                    </a:xfrm>
                    <a:prstGeom prst="rect">
                      <a:avLst/>
                    </a:prstGeom>
                    <a:noFill/>
                  </pic:spPr>
                </pic:pic>
              </a:graphicData>
            </a:graphic>
          </wp:anchor>
        </w:drawing>
        <w:t>UNITED STATES</w:t>
      </w:r>
    </w:p>
    <w:p>
      <w:pPr>
        <w:spacing w:after="0" w:line="34"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SECURITIES AND EXCHANGE COMMISSION</w:t>
      </w:r>
    </w:p>
    <w:p>
      <w:pPr>
        <w:jc w:val="center"/>
        <w:ind w:left="116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93980</wp:posOffset>
            </wp:positionV>
            <wp:extent cx="27184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81"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157480</wp:posOffset>
            </wp:positionV>
            <wp:extent cx="27184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85"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CURRENT REPORT</w:t>
      </w:r>
    </w:p>
    <w:p>
      <w:pPr>
        <w:spacing w:after="0" w:line="68"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42"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 xml:space="preserve">Date of Report (Date of earliest event reported) </w:t>
      </w:r>
      <w:r>
        <w:rPr>
          <w:rFonts w:ascii="Arial" w:cs="Arial" w:eastAsia="Arial" w:hAnsi="Arial"/>
          <w:sz w:val="20"/>
          <w:szCs w:val="20"/>
          <w:b w:val="1"/>
          <w:bCs w:val="1"/>
          <w:u w:val="single" w:color="auto"/>
          <w:color w:val="auto"/>
        </w:rPr>
        <w:t>August 3, 2012</w:t>
      </w:r>
    </w:p>
    <w:p>
      <w:pPr>
        <w:spacing w:after="0" w:line="48" w:lineRule="exact"/>
        <w:rPr>
          <w:sz w:val="24"/>
          <w:szCs w:val="24"/>
          <w:color w:val="auto"/>
        </w:rPr>
      </w:pPr>
    </w:p>
    <w:p>
      <w:pPr>
        <w:jc w:val="center"/>
        <w:ind w:left="1160"/>
        <w:spacing w:after="0"/>
        <w:rPr>
          <w:sz w:val="20"/>
          <w:szCs w:val="20"/>
          <w:color w:val="auto"/>
        </w:rPr>
      </w:pPr>
      <w:r>
        <w:rPr>
          <w:rFonts w:ascii="Arial" w:cs="Arial" w:eastAsia="Arial" w:hAnsi="Arial"/>
          <w:sz w:val="40"/>
          <w:szCs w:val="40"/>
          <w:b w:val="1"/>
          <w:bCs w:val="1"/>
          <w:color w:val="auto"/>
        </w:rPr>
        <w:t>THE WASHINGTON POST COMPANY</w:t>
      </w:r>
    </w:p>
    <w:p>
      <w:pPr>
        <w:spacing w:after="0" w:line="48" w:lineRule="exact"/>
        <w:rPr>
          <w:sz w:val="24"/>
          <w:szCs w:val="24"/>
          <w:color w:val="auto"/>
        </w:rPr>
      </w:pPr>
    </w:p>
    <w:p>
      <w:pPr>
        <w:ind w:left="366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97155</wp:posOffset>
            </wp:positionV>
            <wp:extent cx="27184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08" w:lineRule="exact"/>
        <w:rPr>
          <w:sz w:val="24"/>
          <w:szCs w:val="24"/>
          <w:color w:val="auto"/>
        </w:rPr>
      </w:pPr>
    </w:p>
    <w:tbl>
      <w:tblPr>
        <w:tblLayout w:type="fixed"/>
        <w:tblInd w:w="1109" w:type="dxa"/>
        <w:tblCellMar>
          <w:top w:w="0" w:type="dxa"/>
          <w:left w:w="0" w:type="dxa"/>
          <w:bottom w:w="0" w:type="dxa"/>
          <w:right w:w="0" w:type="dxa"/>
        </w:tblCellMar>
      </w:tblPr>
      <w:tr>
        <w:trPr>
          <w:trHeight w:val="195"/>
        </w:trPr>
        <w:tc>
          <w:tcPr>
            <w:tcW w:w="2460" w:type="dxa"/>
            <w:vAlign w:val="bottom"/>
          </w:tcPr>
          <w:p>
            <w:pPr>
              <w:jc w:val="center"/>
              <w:ind w:right="590"/>
              <w:spacing w:after="0"/>
              <w:rPr>
                <w:sz w:val="20"/>
                <w:szCs w:val="20"/>
                <w:color w:val="auto"/>
              </w:rPr>
            </w:pPr>
            <w:r>
              <w:rPr>
                <w:rFonts w:ascii="Arial" w:cs="Arial" w:eastAsia="Arial" w:hAnsi="Arial"/>
                <w:sz w:val="17"/>
                <w:szCs w:val="17"/>
                <w:b w:val="1"/>
                <w:bCs w:val="1"/>
                <w:color w:val="auto"/>
                <w:w w:val="96"/>
              </w:rPr>
              <w:t>Delaware</w:t>
            </w:r>
          </w:p>
        </w:tc>
        <w:tc>
          <w:tcPr>
            <w:tcW w:w="4280" w:type="dxa"/>
            <w:vAlign w:val="bottom"/>
          </w:tcPr>
          <w:p>
            <w:pPr>
              <w:jc w:val="center"/>
              <w:ind w:left="70"/>
              <w:spacing w:after="0"/>
              <w:rPr>
                <w:sz w:val="20"/>
                <w:szCs w:val="20"/>
                <w:color w:val="auto"/>
              </w:rPr>
            </w:pPr>
            <w:r>
              <w:rPr>
                <w:rFonts w:ascii="Arial" w:cs="Arial" w:eastAsia="Arial" w:hAnsi="Arial"/>
                <w:sz w:val="17"/>
                <w:szCs w:val="17"/>
                <w:b w:val="1"/>
                <w:bCs w:val="1"/>
                <w:color w:val="auto"/>
                <w:w w:val="94"/>
              </w:rPr>
              <w:t>1-6714</w:t>
            </w:r>
          </w:p>
        </w:tc>
        <w:tc>
          <w:tcPr>
            <w:tcW w:w="2160" w:type="dxa"/>
            <w:vAlign w:val="bottom"/>
          </w:tcPr>
          <w:p>
            <w:pPr>
              <w:jc w:val="right"/>
              <w:ind w:right="10"/>
              <w:spacing w:after="0"/>
              <w:rPr>
                <w:sz w:val="20"/>
                <w:szCs w:val="20"/>
                <w:color w:val="auto"/>
              </w:rPr>
            </w:pPr>
            <w:r>
              <w:rPr>
                <w:rFonts w:ascii="Arial" w:cs="Arial" w:eastAsia="Arial" w:hAnsi="Arial"/>
                <w:sz w:val="17"/>
                <w:szCs w:val="17"/>
                <w:b w:val="1"/>
                <w:bCs w:val="1"/>
                <w:color w:val="auto"/>
              </w:rPr>
              <w:t>53-0182885</w:t>
            </w:r>
          </w:p>
        </w:tc>
      </w:tr>
      <w:tr>
        <w:trPr>
          <w:trHeight w:val="137"/>
        </w:trPr>
        <w:tc>
          <w:tcPr>
            <w:tcW w:w="2460" w:type="dxa"/>
            <w:vAlign w:val="bottom"/>
          </w:tcPr>
          <w:p>
            <w:pPr>
              <w:jc w:val="center"/>
              <w:ind w:right="610"/>
              <w:spacing w:after="0" w:line="137" w:lineRule="exact"/>
              <w:rPr>
                <w:sz w:val="20"/>
                <w:szCs w:val="20"/>
                <w:color w:val="auto"/>
              </w:rPr>
            </w:pPr>
            <w:r>
              <w:rPr>
                <w:rFonts w:ascii="Arial" w:cs="Arial" w:eastAsia="Arial" w:hAnsi="Arial"/>
                <w:sz w:val="12"/>
                <w:szCs w:val="12"/>
                <w:b w:val="1"/>
                <w:bCs w:val="1"/>
                <w:color w:val="auto"/>
              </w:rPr>
              <w:t>(State or other jurisdiction of</w:t>
            </w:r>
          </w:p>
        </w:tc>
        <w:tc>
          <w:tcPr>
            <w:tcW w:w="4280" w:type="dxa"/>
            <w:vAlign w:val="bottom"/>
          </w:tcPr>
          <w:p>
            <w:pPr>
              <w:jc w:val="center"/>
              <w:ind w:left="70"/>
              <w:spacing w:after="0" w:line="137" w:lineRule="exact"/>
              <w:rPr>
                <w:sz w:val="20"/>
                <w:szCs w:val="20"/>
                <w:color w:val="auto"/>
              </w:rPr>
            </w:pPr>
            <w:r>
              <w:rPr>
                <w:rFonts w:ascii="Arial" w:cs="Arial" w:eastAsia="Arial" w:hAnsi="Arial"/>
                <w:sz w:val="12"/>
                <w:szCs w:val="12"/>
                <w:b w:val="1"/>
                <w:bCs w:val="1"/>
                <w:color w:val="auto"/>
              </w:rPr>
              <w:t>(Commission</w:t>
            </w:r>
          </w:p>
        </w:tc>
        <w:tc>
          <w:tcPr>
            <w:tcW w:w="2160" w:type="dxa"/>
            <w:vAlign w:val="bottom"/>
          </w:tcPr>
          <w:p>
            <w:pPr>
              <w:jc w:val="center"/>
              <w:ind w:left="1050"/>
              <w:spacing w:after="0" w:line="137" w:lineRule="exact"/>
              <w:rPr>
                <w:sz w:val="20"/>
                <w:szCs w:val="20"/>
                <w:color w:val="auto"/>
              </w:rPr>
            </w:pPr>
            <w:r>
              <w:rPr>
                <w:rFonts w:ascii="Arial" w:cs="Arial" w:eastAsia="Arial" w:hAnsi="Arial"/>
                <w:sz w:val="12"/>
                <w:szCs w:val="12"/>
                <w:b w:val="1"/>
                <w:bCs w:val="1"/>
                <w:color w:val="auto"/>
              </w:rPr>
              <w:t>(I.R.S. Employer</w:t>
            </w:r>
          </w:p>
        </w:tc>
      </w:tr>
      <w:tr>
        <w:trPr>
          <w:trHeight w:val="162"/>
        </w:trPr>
        <w:tc>
          <w:tcPr>
            <w:tcW w:w="2460" w:type="dxa"/>
            <w:vAlign w:val="bottom"/>
          </w:tcPr>
          <w:p>
            <w:pPr>
              <w:jc w:val="center"/>
              <w:ind w:right="610"/>
              <w:spacing w:after="0"/>
              <w:rPr>
                <w:sz w:val="20"/>
                <w:szCs w:val="20"/>
                <w:color w:val="auto"/>
              </w:rPr>
            </w:pPr>
            <w:r>
              <w:rPr>
                <w:rFonts w:ascii="Arial" w:cs="Arial" w:eastAsia="Arial" w:hAnsi="Arial"/>
                <w:sz w:val="12"/>
                <w:szCs w:val="12"/>
                <w:b w:val="1"/>
                <w:bCs w:val="1"/>
                <w:color w:val="auto"/>
              </w:rPr>
              <w:t>incorporation or organization)</w:t>
            </w:r>
          </w:p>
        </w:tc>
        <w:tc>
          <w:tcPr>
            <w:tcW w:w="4280" w:type="dxa"/>
            <w:vAlign w:val="bottom"/>
          </w:tcPr>
          <w:p>
            <w:pPr>
              <w:jc w:val="center"/>
              <w:ind w:left="50"/>
              <w:spacing w:after="0"/>
              <w:rPr>
                <w:sz w:val="20"/>
                <w:szCs w:val="20"/>
                <w:color w:val="auto"/>
              </w:rPr>
            </w:pPr>
            <w:r>
              <w:rPr>
                <w:rFonts w:ascii="Arial" w:cs="Arial" w:eastAsia="Arial" w:hAnsi="Arial"/>
                <w:sz w:val="12"/>
                <w:szCs w:val="12"/>
                <w:b w:val="1"/>
                <w:bCs w:val="1"/>
                <w:color w:val="auto"/>
              </w:rPr>
              <w:t>File Number)</w:t>
            </w:r>
          </w:p>
        </w:tc>
        <w:tc>
          <w:tcPr>
            <w:tcW w:w="2160" w:type="dxa"/>
            <w:vAlign w:val="bottom"/>
          </w:tcPr>
          <w:p>
            <w:pPr>
              <w:jc w:val="center"/>
              <w:ind w:left="1050"/>
              <w:spacing w:after="0"/>
              <w:rPr>
                <w:sz w:val="20"/>
                <w:szCs w:val="20"/>
                <w:color w:val="auto"/>
              </w:rPr>
            </w:pPr>
            <w:r>
              <w:rPr>
                <w:rFonts w:ascii="Arial" w:cs="Arial" w:eastAsia="Arial" w:hAnsi="Arial"/>
                <w:sz w:val="12"/>
                <w:szCs w:val="12"/>
                <w:b w:val="1"/>
                <w:bCs w:val="1"/>
                <w:color w:val="auto"/>
              </w:rPr>
              <w:t>Identification No.)</w:t>
            </w:r>
          </w:p>
        </w:tc>
      </w:tr>
      <w:tr>
        <w:trPr>
          <w:trHeight w:val="396"/>
        </w:trPr>
        <w:tc>
          <w:tcPr>
            <w:tcW w:w="6740" w:type="dxa"/>
            <w:vAlign w:val="bottom"/>
            <w:gridSpan w:val="2"/>
          </w:tcPr>
          <w:p>
            <w:pPr>
              <w:jc w:val="center"/>
              <w:ind w:right="1350"/>
              <w:spacing w:after="0"/>
              <w:rPr>
                <w:sz w:val="20"/>
                <w:szCs w:val="20"/>
                <w:color w:val="auto"/>
              </w:rPr>
            </w:pPr>
            <w:r>
              <w:rPr>
                <w:rFonts w:ascii="Arial" w:cs="Arial" w:eastAsia="Arial" w:hAnsi="Arial"/>
                <w:sz w:val="17"/>
                <w:szCs w:val="17"/>
                <w:b w:val="1"/>
                <w:bCs w:val="1"/>
                <w:color w:val="auto"/>
                <w:w w:val="96"/>
              </w:rPr>
              <w:t>1150 15th Street, N.W. Washington, D.C.</w:t>
            </w:r>
          </w:p>
        </w:tc>
        <w:tc>
          <w:tcPr>
            <w:tcW w:w="2160" w:type="dxa"/>
            <w:vAlign w:val="bottom"/>
          </w:tcPr>
          <w:p>
            <w:pPr>
              <w:jc w:val="right"/>
              <w:ind w:right="230"/>
              <w:spacing w:after="0"/>
              <w:rPr>
                <w:sz w:val="20"/>
                <w:szCs w:val="20"/>
                <w:color w:val="auto"/>
              </w:rPr>
            </w:pPr>
            <w:r>
              <w:rPr>
                <w:rFonts w:ascii="Arial" w:cs="Arial" w:eastAsia="Arial" w:hAnsi="Arial"/>
                <w:sz w:val="17"/>
                <w:szCs w:val="17"/>
                <w:b w:val="1"/>
                <w:bCs w:val="1"/>
                <w:color w:val="auto"/>
              </w:rPr>
              <w:t>20071</w:t>
            </w:r>
          </w:p>
        </w:tc>
      </w:tr>
      <w:tr>
        <w:trPr>
          <w:trHeight w:val="162"/>
        </w:trPr>
        <w:tc>
          <w:tcPr>
            <w:tcW w:w="6740" w:type="dxa"/>
            <w:vAlign w:val="bottom"/>
            <w:gridSpan w:val="2"/>
          </w:tcPr>
          <w:p>
            <w:pPr>
              <w:jc w:val="center"/>
              <w:ind w:right="1350"/>
              <w:spacing w:after="0"/>
              <w:rPr>
                <w:sz w:val="20"/>
                <w:szCs w:val="20"/>
                <w:color w:val="auto"/>
              </w:rPr>
            </w:pPr>
            <w:r>
              <w:rPr>
                <w:rFonts w:ascii="Arial" w:cs="Arial" w:eastAsia="Arial" w:hAnsi="Arial"/>
                <w:sz w:val="12"/>
                <w:szCs w:val="12"/>
                <w:b w:val="1"/>
                <w:bCs w:val="1"/>
                <w:color w:val="auto"/>
              </w:rPr>
              <w:t>(Address of principal executive offices)</w:t>
            </w:r>
          </w:p>
        </w:tc>
        <w:tc>
          <w:tcPr>
            <w:tcW w:w="2160" w:type="dxa"/>
            <w:vAlign w:val="bottom"/>
          </w:tcPr>
          <w:p>
            <w:pPr>
              <w:jc w:val="center"/>
              <w:ind w:left="1050"/>
              <w:spacing w:after="0"/>
              <w:rPr>
                <w:sz w:val="20"/>
                <w:szCs w:val="20"/>
                <w:color w:val="auto"/>
              </w:rPr>
            </w:pPr>
            <w:r>
              <w:rPr>
                <w:rFonts w:ascii="Arial" w:cs="Arial" w:eastAsia="Arial" w:hAnsi="Arial"/>
                <w:sz w:val="12"/>
                <w:szCs w:val="12"/>
                <w:b w:val="1"/>
                <w:bCs w:val="1"/>
                <w:color w:val="auto"/>
              </w:rPr>
              <w:t>(Zip Code)</w:t>
            </w:r>
          </w:p>
        </w:tc>
      </w:tr>
      <w:tr>
        <w:trPr>
          <w:trHeight w:val="309"/>
        </w:trPr>
        <w:tc>
          <w:tcPr>
            <w:tcW w:w="2460" w:type="dxa"/>
            <w:vAlign w:val="bottom"/>
          </w:tcPr>
          <w:p>
            <w:pPr>
              <w:spacing w:after="0"/>
              <w:rPr>
                <w:sz w:val="24"/>
                <w:szCs w:val="24"/>
                <w:color w:val="auto"/>
              </w:rPr>
            </w:pPr>
          </w:p>
        </w:tc>
        <w:tc>
          <w:tcPr>
            <w:tcW w:w="4280" w:type="dxa"/>
            <w:vAlign w:val="bottom"/>
          </w:tcPr>
          <w:p>
            <w:pPr>
              <w:jc w:val="right"/>
              <w:ind w:right="1490"/>
              <w:spacing w:after="0"/>
              <w:rPr>
                <w:sz w:val="20"/>
                <w:szCs w:val="20"/>
                <w:color w:val="auto"/>
              </w:rPr>
            </w:pPr>
            <w:r>
              <w:rPr>
                <w:rFonts w:ascii="Arial" w:cs="Arial" w:eastAsia="Arial" w:hAnsi="Arial"/>
                <w:sz w:val="17"/>
                <w:szCs w:val="17"/>
                <w:b w:val="1"/>
                <w:bCs w:val="1"/>
                <w:color w:val="auto"/>
              </w:rPr>
              <w:t>(202) 334-6000</w:t>
            </w:r>
          </w:p>
        </w:tc>
        <w:tc>
          <w:tcPr>
            <w:tcW w:w="2160" w:type="dxa"/>
            <w:vAlign w:val="bottom"/>
          </w:tcPr>
          <w:p>
            <w:pPr>
              <w:spacing w:after="0"/>
              <w:rPr>
                <w:sz w:val="24"/>
                <w:szCs w:val="24"/>
                <w:color w:val="auto"/>
              </w:rPr>
            </w:pPr>
          </w:p>
        </w:tc>
      </w:tr>
      <w:tr>
        <w:trPr>
          <w:trHeight w:val="162"/>
        </w:trPr>
        <w:tc>
          <w:tcPr>
            <w:tcW w:w="2460" w:type="dxa"/>
            <w:vAlign w:val="bottom"/>
          </w:tcPr>
          <w:p>
            <w:pPr>
              <w:spacing w:after="0"/>
              <w:rPr>
                <w:sz w:val="14"/>
                <w:szCs w:val="14"/>
                <w:color w:val="auto"/>
              </w:rPr>
            </w:pPr>
          </w:p>
        </w:tc>
        <w:tc>
          <w:tcPr>
            <w:tcW w:w="4280" w:type="dxa"/>
            <w:vAlign w:val="bottom"/>
          </w:tcPr>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tc>
        <w:tc>
          <w:tcPr>
            <w:tcW w:w="2160" w:type="dxa"/>
            <w:vAlign w:val="bottom"/>
          </w:tcPr>
          <w:p>
            <w:pPr>
              <w:spacing w:after="0"/>
              <w:rPr>
                <w:sz w:val="14"/>
                <w:szCs w:val="14"/>
                <w:color w:val="auto"/>
              </w:rPr>
            </w:pPr>
          </w:p>
        </w:tc>
      </w:tr>
      <w:tr>
        <w:trPr>
          <w:trHeight w:val="138"/>
        </w:trPr>
        <w:tc>
          <w:tcPr>
            <w:tcW w:w="2460" w:type="dxa"/>
            <w:vAlign w:val="bottom"/>
          </w:tcPr>
          <w:p>
            <w:pPr>
              <w:spacing w:after="0"/>
              <w:rPr>
                <w:sz w:val="11"/>
                <w:szCs w:val="11"/>
                <w:color w:val="auto"/>
              </w:rPr>
            </w:pPr>
          </w:p>
        </w:tc>
        <w:tc>
          <w:tcPr>
            <w:tcW w:w="4280" w:type="dxa"/>
            <w:vAlign w:val="bottom"/>
            <w:tcBorders>
              <w:bottom w:val="single" w:sz="8" w:color="auto"/>
            </w:tcBorders>
          </w:tcPr>
          <w:p>
            <w:pPr>
              <w:spacing w:after="0"/>
              <w:rPr>
                <w:sz w:val="11"/>
                <w:szCs w:val="11"/>
                <w:color w:val="auto"/>
              </w:rPr>
            </w:pPr>
          </w:p>
        </w:tc>
        <w:tc>
          <w:tcPr>
            <w:tcW w:w="2160" w:type="dxa"/>
            <w:vAlign w:val="bottom"/>
          </w:tcPr>
          <w:p>
            <w:pPr>
              <w:spacing w:after="0"/>
              <w:rPr>
                <w:sz w:val="11"/>
                <w:szCs w:val="11"/>
                <w:color w:val="auto"/>
              </w:rPr>
            </w:pPr>
          </w:p>
        </w:tc>
      </w:tr>
    </w:tbl>
    <w:p>
      <w:pPr>
        <w:spacing w:after="0" w:line="297" w:lineRule="exact"/>
        <w:rPr>
          <w:sz w:val="24"/>
          <w:szCs w:val="24"/>
          <w:color w:val="auto"/>
        </w:rPr>
      </w:pPr>
    </w:p>
    <w:p>
      <w:pPr>
        <w:ind w:left="9"/>
        <w:spacing w:after="0" w:line="235"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 provisions:</w:t>
      </w:r>
    </w:p>
    <w:p>
      <w:pPr>
        <w:spacing w:after="0" w:line="362" w:lineRule="exact"/>
        <w:rPr>
          <w:sz w:val="24"/>
          <w:szCs w:val="24"/>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Written communications pursuant to Rule 425 under the Securities Act (17 CFR 230.425)</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Soliciting material pursuant to Rule 14a-12 under the Exchange Act (17 CFR 240.14a-12)</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14d-2(b) under the Exchange Act (17 CFR 240.14d-2(b))</w:t>
      </w:r>
    </w:p>
    <w:p>
      <w:pPr>
        <w:spacing w:after="0" w:line="140" w:lineRule="exact"/>
        <w:rPr>
          <w:sz w:val="24"/>
          <w:szCs w:val="24"/>
          <w:color w:val="auto"/>
        </w:rPr>
      </w:pPr>
    </w:p>
    <w:p>
      <w:pPr>
        <w:ind w:left="5669" w:right="2560" w:hanging="5669"/>
        <w:spacing w:after="0" w:line="261" w:lineRule="auto"/>
        <w:tabs>
          <w:tab w:leader="none" w:pos="92" w:val="left"/>
        </w:tabs>
        <w:numPr>
          <w:ilvl w:val="0"/>
          <w:numId w:val="2"/>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13e-4(c) under the Exchange Act (17 CFR 240.13e-4(c))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177165</wp:posOffset>
            </wp:positionV>
            <wp:extent cx="727837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614" w:right="1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498475</wp:posOffset>
            </wp:positionV>
            <wp:extent cx="695325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3250" cy="1587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On August 3, 2012, The Washington Post Company issued a press release announcing the Company’s earnings for the second quarter ended June 3 2012. A copy of this press release is furnished with this report as an exhibit to this Form 8-K.</w:t>
      </w:r>
    </w:p>
    <w:p>
      <w:pPr>
        <w:spacing w:after="0" w:line="200" w:lineRule="exact"/>
        <w:rPr>
          <w:sz w:val="20"/>
          <w:szCs w:val="20"/>
          <w:color w:val="auto"/>
        </w:rPr>
      </w:pPr>
    </w:p>
    <w:p>
      <w:pPr>
        <w:spacing w:after="0" w:line="216"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Exhibit 99.1 The Washington Post Company Earnings Release Dated August 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95325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3250" cy="1587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left="11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20"/>
          </w:cols>
          <w:pgMar w:left="820" w:top="975" w:right="159" w:bottom="1440" w:gutter="0" w:footer="0" w:header="0"/>
        </w:sectPr>
      </w:pPr>
    </w:p>
    <w:bookmarkStart w:id="2" w:name="page3"/>
    <w:bookmarkEnd w:id="2"/>
    <w:p>
      <w:pPr>
        <w:ind w:left="52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498475</wp:posOffset>
            </wp:positionV>
            <wp:extent cx="695325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3250" cy="15875"/>
                    </a:xfrm>
                    <a:prstGeom prst="rect">
                      <a:avLst/>
                    </a:prstGeom>
                    <a:noFill/>
                  </pic:spPr>
                </pic:pic>
              </a:graphicData>
            </a:graphic>
          </wp:anchor>
        </w:drawing>
        <w:t>SIGNATURE</w:t>
      </w:r>
    </w:p>
    <w:p>
      <w:pPr>
        <w:spacing w:after="0" w:line="200" w:lineRule="exact"/>
        <w:rPr>
          <w:sz w:val="20"/>
          <w:szCs w:val="20"/>
          <w:color w:val="auto"/>
        </w:rPr>
      </w:pPr>
    </w:p>
    <w:p>
      <w:pPr>
        <w:spacing w:after="0" w:line="36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The Washington Post Company</w:t>
      </w:r>
    </w:p>
    <w:tbl>
      <w:tblPr>
        <w:tblLayout w:type="fixed"/>
        <w:tblInd w:w="0" w:type="dxa"/>
        <w:tblCellMar>
          <w:top w:w="0" w:type="dxa"/>
          <w:left w:w="0" w:type="dxa"/>
          <w:bottom w:w="0" w:type="dxa"/>
          <w:right w:w="0" w:type="dxa"/>
        </w:tblCellMar>
      </w:tblPr>
      <w:tr>
        <w:trPr>
          <w:trHeight w:val="198"/>
        </w:trPr>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20" w:type="dxa"/>
            <w:vAlign w:val="bottom"/>
          </w:tcPr>
          <w:p>
            <w:pPr>
              <w:ind w:left="140"/>
              <w:spacing w:after="0"/>
              <w:rPr>
                <w:sz w:val="20"/>
                <w:szCs w:val="20"/>
                <w:color w:val="auto"/>
              </w:rPr>
            </w:pPr>
            <w:r>
              <w:rPr>
                <w:rFonts w:ascii="Arial" w:cs="Arial" w:eastAsia="Arial" w:hAnsi="Arial"/>
                <w:sz w:val="17"/>
                <w:szCs w:val="17"/>
                <w:color w:val="auto"/>
              </w:rPr>
              <w:t>(Registrant)</w:t>
            </w:r>
          </w:p>
        </w:tc>
      </w:tr>
      <w:tr>
        <w:trPr>
          <w:trHeight w:val="709"/>
        </w:trPr>
        <w:tc>
          <w:tcPr>
            <w:tcW w:w="1720" w:type="dxa"/>
            <w:vAlign w:val="bottom"/>
            <w:gridSpan w:val="2"/>
          </w:tcPr>
          <w:p>
            <w:pPr>
              <w:spacing w:after="0"/>
              <w:rPr>
                <w:sz w:val="20"/>
                <w:szCs w:val="20"/>
                <w:color w:val="auto"/>
              </w:rPr>
            </w:pPr>
            <w:r>
              <w:rPr>
                <w:rFonts w:ascii="Arial" w:cs="Arial" w:eastAsia="Arial" w:hAnsi="Arial"/>
                <w:sz w:val="17"/>
                <w:szCs w:val="17"/>
                <w:color w:val="auto"/>
              </w:rPr>
              <w:t>Date August 3, 2012</w:t>
            </w:r>
          </w:p>
        </w:tc>
        <w:tc>
          <w:tcPr>
            <w:tcW w:w="1840" w:type="dxa"/>
            <w:vAlign w:val="bottom"/>
          </w:tcPr>
          <w:p>
            <w:pPr>
              <w:spacing w:after="0"/>
              <w:rPr>
                <w:sz w:val="24"/>
                <w:szCs w:val="24"/>
                <w:color w:val="auto"/>
              </w:rPr>
            </w:pPr>
          </w:p>
        </w:tc>
        <w:tc>
          <w:tcPr>
            <w:tcW w:w="700" w:type="dxa"/>
            <w:vAlign w:val="bottom"/>
          </w:tcPr>
          <w:p>
            <w:pPr>
              <w:ind w:left="380"/>
              <w:spacing w:after="0"/>
              <w:rPr>
                <w:sz w:val="20"/>
                <w:szCs w:val="20"/>
                <w:color w:val="auto"/>
              </w:rPr>
            </w:pPr>
            <w:r>
              <w:rPr>
                <w:rFonts w:ascii="Arial" w:cs="Arial" w:eastAsia="Arial" w:hAnsi="Arial"/>
                <w:sz w:val="17"/>
                <w:szCs w:val="17"/>
                <w:color w:val="auto"/>
              </w:rPr>
              <w:t>/s/</w:t>
            </w:r>
          </w:p>
        </w:tc>
        <w:tc>
          <w:tcPr>
            <w:tcW w:w="2620" w:type="dxa"/>
            <w:vAlign w:val="bottom"/>
          </w:tcPr>
          <w:p>
            <w:pPr>
              <w:ind w:left="180"/>
              <w:spacing w:after="0"/>
              <w:rPr>
                <w:sz w:val="20"/>
                <w:szCs w:val="20"/>
                <w:color w:val="auto"/>
              </w:rPr>
            </w:pPr>
            <w:r>
              <w:rPr>
                <w:rFonts w:ascii="Arial" w:cs="Arial" w:eastAsia="Arial" w:hAnsi="Arial"/>
                <w:sz w:val="17"/>
                <w:szCs w:val="17"/>
                <w:color w:val="auto"/>
              </w:rPr>
              <w:t>Hal S. Jones</w:t>
            </w:r>
          </w:p>
        </w:tc>
      </w:tr>
      <w:tr>
        <w:trPr>
          <w:trHeight w:val="20"/>
        </w:trPr>
        <w:tc>
          <w:tcPr>
            <w:tcW w:w="3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r>
    </w:tbl>
    <w:p>
      <w:pPr>
        <w:spacing w:after="0" w:line="2"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Hal S. Jones</w:t>
      </w:r>
    </w:p>
    <w:p>
      <w:pPr>
        <w:ind w:left="3520"/>
        <w:spacing w:after="0" w:line="228" w:lineRule="auto"/>
        <w:rPr>
          <w:sz w:val="20"/>
          <w:szCs w:val="20"/>
          <w:color w:val="auto"/>
        </w:rPr>
      </w:pPr>
      <w:r>
        <w:rPr>
          <w:rFonts w:ascii="Arial" w:cs="Arial" w:eastAsia="Arial" w:hAnsi="Arial"/>
          <w:sz w:val="17"/>
          <w:szCs w:val="17"/>
          <w:color w:val="auto"/>
        </w:rPr>
        <w:t>Senior Vice President - Finance</w:t>
      </w:r>
    </w:p>
    <w:p>
      <w:pPr>
        <w:ind w:left="3720"/>
        <w:spacing w:after="0"/>
        <w:rPr>
          <w:sz w:val="20"/>
          <w:szCs w:val="20"/>
          <w:color w:val="auto"/>
        </w:rPr>
      </w:pPr>
      <w:r>
        <w:rPr>
          <w:rFonts w:ascii="Arial" w:cs="Arial" w:eastAsia="Arial" w:hAnsi="Arial"/>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483235</wp:posOffset>
            </wp:positionV>
            <wp:extent cx="695325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325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540"/>
          </w:cols>
          <w:pgMar w:left="820" w:top="975" w:right="5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498475</wp:posOffset>
            </wp:positionV>
            <wp:extent cx="695325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53250" cy="15875"/>
                    </a:xfrm>
                    <a:prstGeom prst="rect">
                      <a:avLst/>
                    </a:prstGeom>
                    <a:noFill/>
                  </pic:spPr>
                </pic:pic>
              </a:graphicData>
            </a:graphic>
          </wp:anchor>
        </w:drawing>
        <w:t>Exhibit Index</w:t>
      </w:r>
    </w:p>
    <w:p>
      <w:pPr>
        <w:spacing w:after="0" w:line="383"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Exhibit 99.1</w:t>
      </w:r>
      <w:r>
        <w:rPr>
          <w:sz w:val="20"/>
          <w:szCs w:val="20"/>
          <w:color w:val="auto"/>
        </w:rPr>
        <w:tab/>
      </w:r>
      <w:r>
        <w:rPr>
          <w:rFonts w:ascii="Arial" w:cs="Arial" w:eastAsia="Arial" w:hAnsi="Arial"/>
          <w:sz w:val="16"/>
          <w:szCs w:val="16"/>
          <w:color w:val="auto"/>
        </w:rPr>
        <w:t>The Washington Post Company Earnings Release dated August 3, 2012.</w:t>
      </w:r>
    </w:p>
    <w:p>
      <w:pPr>
        <w:spacing w:after="0" w:line="2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9639"/>
          </w:cols>
          <w:pgMar w:left="820" w:top="975"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7"/>
          <w:szCs w:val="17"/>
          <w:b w:val="1"/>
          <w:bCs w:val="1"/>
          <w:color w:val="auto"/>
        </w:rPr>
        <w:t>Exhib</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 w:type="dxa"/>
            <w:vAlign w:val="bottom"/>
          </w:tcPr>
          <w:p>
            <w:pPr>
              <w:spacing w:after="0"/>
              <w:rPr>
                <w:sz w:val="20"/>
                <w:szCs w:val="20"/>
                <w:color w:val="auto"/>
              </w:rPr>
            </w:pPr>
            <w:r>
              <w:rPr>
                <w:rFonts w:ascii="Arial" w:cs="Arial" w:eastAsia="Arial" w:hAnsi="Arial"/>
                <w:sz w:val="17"/>
                <w:szCs w:val="17"/>
                <w:color w:val="auto"/>
              </w:rPr>
              <w:t>Contact:</w:t>
            </w:r>
          </w:p>
        </w:tc>
        <w:tc>
          <w:tcPr>
            <w:tcW w:w="3380" w:type="dxa"/>
            <w:vAlign w:val="bottom"/>
          </w:tcPr>
          <w:p>
            <w:pPr>
              <w:ind w:left="280"/>
              <w:spacing w:after="0"/>
              <w:rPr>
                <w:sz w:val="20"/>
                <w:szCs w:val="20"/>
                <w:color w:val="auto"/>
              </w:rPr>
            </w:pPr>
            <w:r>
              <w:rPr>
                <w:rFonts w:ascii="Arial" w:cs="Arial" w:eastAsia="Arial" w:hAnsi="Arial"/>
                <w:sz w:val="17"/>
                <w:szCs w:val="17"/>
                <w:color w:val="auto"/>
              </w:rPr>
              <w:t>Hal S. Jones</w:t>
            </w:r>
          </w:p>
        </w:tc>
        <w:tc>
          <w:tcPr>
            <w:tcW w:w="3700" w:type="dxa"/>
            <w:vAlign w:val="bottom"/>
            <w:gridSpan w:val="2"/>
          </w:tcPr>
          <w:p>
            <w:pPr>
              <w:ind w:left="1980"/>
              <w:spacing w:after="0"/>
              <w:rPr>
                <w:sz w:val="20"/>
                <w:szCs w:val="20"/>
                <w:color w:val="auto"/>
              </w:rPr>
            </w:pPr>
            <w:r>
              <w:rPr>
                <w:rFonts w:ascii="Arial" w:cs="Arial" w:eastAsia="Arial" w:hAnsi="Arial"/>
                <w:sz w:val="17"/>
                <w:szCs w:val="17"/>
                <w:color w:val="auto"/>
                <w:w w:val="96"/>
              </w:rPr>
              <w:t>For Immediate Release</w:t>
            </w:r>
          </w:p>
        </w:tc>
      </w:tr>
      <w:tr>
        <w:trPr>
          <w:trHeight w:val="202"/>
        </w:trPr>
        <w:tc>
          <w:tcPr>
            <w:tcW w:w="880" w:type="dxa"/>
            <w:vAlign w:val="bottom"/>
          </w:tcPr>
          <w:p>
            <w:pPr>
              <w:spacing w:after="0"/>
              <w:rPr>
                <w:sz w:val="17"/>
                <w:szCs w:val="17"/>
                <w:color w:val="auto"/>
              </w:rPr>
            </w:pPr>
          </w:p>
        </w:tc>
        <w:tc>
          <w:tcPr>
            <w:tcW w:w="3380" w:type="dxa"/>
            <w:vAlign w:val="bottom"/>
          </w:tcPr>
          <w:p>
            <w:pPr>
              <w:ind w:left="260"/>
              <w:spacing w:after="0"/>
              <w:rPr>
                <w:sz w:val="20"/>
                <w:szCs w:val="20"/>
                <w:color w:val="auto"/>
              </w:rPr>
            </w:pPr>
            <w:r>
              <w:rPr>
                <w:rFonts w:ascii="Arial" w:cs="Arial" w:eastAsia="Arial" w:hAnsi="Arial"/>
                <w:sz w:val="17"/>
                <w:szCs w:val="17"/>
                <w:color w:val="auto"/>
              </w:rPr>
              <w:t>(202) 334-6645</w:t>
            </w:r>
          </w:p>
        </w:tc>
        <w:tc>
          <w:tcPr>
            <w:tcW w:w="1980" w:type="dxa"/>
            <w:vAlign w:val="bottom"/>
          </w:tcPr>
          <w:p>
            <w:pPr>
              <w:spacing w:after="0"/>
              <w:rPr>
                <w:sz w:val="17"/>
                <w:szCs w:val="17"/>
                <w:color w:val="auto"/>
              </w:rPr>
            </w:pPr>
          </w:p>
        </w:tc>
        <w:tc>
          <w:tcPr>
            <w:tcW w:w="17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August 3, 2012</w:t>
            </w:r>
          </w:p>
        </w:tc>
      </w:tr>
    </w:tbl>
    <w:p>
      <w:pPr>
        <w:spacing w:after="0" w:line="35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THE WASHINGTON POST COMPANY REPORTS</w:t>
      </w:r>
    </w:p>
    <w:p>
      <w:pPr>
        <w:jc w:val="center"/>
        <w:ind w:left="1160"/>
        <w:spacing w:after="0"/>
        <w:rPr>
          <w:sz w:val="20"/>
          <w:szCs w:val="20"/>
          <w:color w:val="auto"/>
        </w:rPr>
      </w:pPr>
      <w:r>
        <w:rPr>
          <w:rFonts w:ascii="Arial" w:cs="Arial" w:eastAsia="Arial" w:hAnsi="Arial"/>
          <w:sz w:val="17"/>
          <w:szCs w:val="17"/>
          <w:color w:val="auto"/>
        </w:rPr>
        <w:t>SECOND QUARTER EARNINGS</w:t>
      </w:r>
    </w:p>
    <w:p>
      <w:pPr>
        <w:spacing w:after="0" w:line="177"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WASHINGTON – The Washington Post Company (NYSE: WPO) today reported net income attributable to common shares of $51.8 million ($6.84 per share) for the second quarter ended June 30, 2012, compared to $45.6 million ($5.74 per share) for the second quarter of last year. Net income includ $17.8 million ($ 2.36 per share) in income from discontinued operations and $2.0 million ($0.26 per share) in losses from discontinued operations for th second quarter of 2012 and 2011, respectively. Income from continuing operations attributable to common shares was $34.0 million ($4.48 per share) the second quarter of 2012, compared to $47.6 million ($6.00 per share) for the second quarter of 2011.</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second quarter of 2012:</w:t>
      </w:r>
    </w:p>
    <w:p>
      <w:pPr>
        <w:spacing w:after="0" w:line="127" w:lineRule="exact"/>
        <w:rPr>
          <w:sz w:val="20"/>
          <w:szCs w:val="20"/>
          <w:color w:val="auto"/>
        </w:rPr>
      </w:pPr>
    </w:p>
    <w:p>
      <w:pPr>
        <w:ind w:left="300" w:hanging="155"/>
        <w:spacing w:after="0" w:line="246" w:lineRule="auto"/>
        <w:tabs>
          <w:tab w:leader="none" w:pos="257" w:val="left"/>
        </w:tabs>
        <w:numPr>
          <w:ilvl w:val="0"/>
          <w:numId w:val="3"/>
        </w:numPr>
        <w:rPr>
          <w:rFonts w:ascii="Arial" w:cs="Arial" w:eastAsia="Arial" w:hAnsi="Arial"/>
          <w:sz w:val="17"/>
          <w:szCs w:val="17"/>
          <w:color w:val="auto"/>
        </w:rPr>
      </w:pPr>
      <w:r>
        <w:rPr>
          <w:rFonts w:ascii="Arial" w:cs="Arial" w:eastAsia="Arial" w:hAnsi="Arial"/>
          <w:sz w:val="17"/>
          <w:szCs w:val="17"/>
          <w:color w:val="auto"/>
        </w:rPr>
        <w:t>$8.4 million in severance, early retirement and restructuring charges at Kaplan and the newspaper publishing division (after-tax impact of $5.2 milli $0.69 per share); and</w:t>
      </w:r>
    </w:p>
    <w:p>
      <w:pPr>
        <w:spacing w:after="0" w:line="120" w:lineRule="exact"/>
        <w:rPr>
          <w:rFonts w:ascii="Arial" w:cs="Arial" w:eastAsia="Arial" w:hAnsi="Arial"/>
          <w:sz w:val="17"/>
          <w:szCs w:val="17"/>
          <w:color w:val="auto"/>
        </w:rPr>
      </w:pPr>
    </w:p>
    <w:p>
      <w:pPr>
        <w:ind w:left="260" w:hanging="120"/>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$2.6 million in non-operating unrealized foreign currency losses (after-tax impact of $1.6 million, or $0.21 per share).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second quarter of 2011:</w:t>
      </w:r>
    </w:p>
    <w:p>
      <w:pPr>
        <w:spacing w:after="0" w:line="115" w:lineRule="exact"/>
        <w:rPr>
          <w:sz w:val="20"/>
          <w:szCs w:val="20"/>
          <w:color w:val="auto"/>
        </w:rPr>
      </w:pPr>
    </w:p>
    <w:p>
      <w:pPr>
        <w:ind w:left="260" w:hanging="115"/>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$11.7 million in severance and restructuring charges at Kaplan (after-tax impact of $7.3 million, or $0.91 per share); and</w:t>
      </w:r>
    </w:p>
    <w:p>
      <w:pPr>
        <w:spacing w:after="0" w:line="139" w:lineRule="exact"/>
        <w:rPr>
          <w:rFonts w:ascii="Arial" w:cs="Arial" w:eastAsia="Arial" w:hAnsi="Arial"/>
          <w:sz w:val="17"/>
          <w:szCs w:val="17"/>
          <w:color w:val="auto"/>
        </w:rPr>
      </w:pPr>
    </w:p>
    <w:p>
      <w:pPr>
        <w:ind w:left="260" w:hanging="120"/>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$0.3 million in non-operating unrealized foreign currency gains (after-tax impact of $0.2 million, or $0.03 per share).</w:t>
      </w:r>
    </w:p>
    <w:p>
      <w:pPr>
        <w:spacing w:after="0" w:line="15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Excluding these items, the Company’s net income attributable to common shares was $58.6 million ($7.74 per share) for the second quarter ended Ju 2012, compared to $52.6 million ($6.62 per share) for the second quarter of last year. Excluding these items, income from continuing operations attrib to common shares was $40.8 million ($5.38 per share) for the second quarter of 2012, compared to $54.6 million ($6.88 per share) for the second qua 2011. (Non-GAAP measures are discussed below).</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Revenue for the second quarter of 2012 was $1,006.9 million, down 5% from $1,061.3 million in the second quarter of 2011. The Company reported operating income of $60.4 million in the second quarter of 2012, compared to operating income of $82.1 million in the second quarter of 2011. Revenu were down at the education and newspaper publishing divisions, offset by increases at the television broadcasting and cable television divisions. Oper results were down at all of the Company’s divisions, except for the television broadcasting division.</w:t>
      </w:r>
    </w:p>
    <w:p>
      <w:pPr>
        <w:spacing w:after="0" w:line="175"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For the first six months of 2012, the Company reported net income attributable to common shares of $82.9 million ($ 10.87 per share), compared to $6 million ($7.57 per share) for the same period of 2011. Net income includes $38.1 million ($5.02 per share) in income from discontinued operations and million ($0.59 per share) in losses from discontinued operations for the first six months of 2012 and 2011, respectively. Income from continuing operati attributable to common shares was $44.8 million ($5.85 per share) for the first six months of 2012, compared to $65.5 million ($8.16 per share) for the six months of 2011. As a result of the Company’s share repurchases, there were 6% fewer diluted average shares outstanding in the first six months o 2012.</w:t>
      </w:r>
    </w:p>
    <w:p>
      <w:pPr>
        <w:spacing w:after="0" w:line="179"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491" w:right="1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Items included in the Company’s income from continuing operations for the first six months of 2012:</w:t>
      </w:r>
    </w:p>
    <w:p>
      <w:pPr>
        <w:spacing w:after="0" w:line="177" w:lineRule="exact"/>
        <w:rPr>
          <w:sz w:val="20"/>
          <w:szCs w:val="20"/>
          <w:color w:val="auto"/>
        </w:rPr>
      </w:pPr>
    </w:p>
    <w:p>
      <w:pPr>
        <w:ind w:left="300" w:hanging="155"/>
        <w:spacing w:after="0" w:line="246" w:lineRule="auto"/>
        <w:tabs>
          <w:tab w:leader="none" w:pos="257" w:val="left"/>
        </w:tabs>
        <w:numPr>
          <w:ilvl w:val="0"/>
          <w:numId w:val="5"/>
        </w:numPr>
        <w:rPr>
          <w:rFonts w:ascii="Arial" w:cs="Arial" w:eastAsia="Arial" w:hAnsi="Arial"/>
          <w:sz w:val="17"/>
          <w:szCs w:val="17"/>
          <w:color w:val="auto"/>
        </w:rPr>
      </w:pPr>
      <w:r>
        <w:rPr>
          <w:rFonts w:ascii="Arial" w:cs="Arial" w:eastAsia="Arial" w:hAnsi="Arial"/>
          <w:sz w:val="17"/>
          <w:szCs w:val="17"/>
          <w:color w:val="auto"/>
        </w:rPr>
        <w:t>$10.2 million in severance, early retirement and restructuring charges at Kaplan and the newspaper publishing division (after-tax impact of $6.4 mi or $0.84 per share); and</w:t>
      </w:r>
    </w:p>
    <w:p>
      <w:pPr>
        <w:spacing w:after="0" w:line="120" w:lineRule="exact"/>
        <w:rPr>
          <w:rFonts w:ascii="Arial" w:cs="Arial" w:eastAsia="Arial" w:hAnsi="Arial"/>
          <w:sz w:val="17"/>
          <w:szCs w:val="17"/>
          <w:color w:val="auto"/>
        </w:rPr>
      </w:pPr>
    </w:p>
    <w:p>
      <w:pPr>
        <w:ind w:left="260" w:hanging="115"/>
        <w:spacing w:after="0"/>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$5.8 million gain on sales of cost method investments (after-tax impact of $3.7 million, or $0.48 per share).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first six months of 2011:</w:t>
      </w:r>
    </w:p>
    <w:p>
      <w:pPr>
        <w:spacing w:after="0" w:line="177" w:lineRule="exact"/>
        <w:rPr>
          <w:sz w:val="20"/>
          <w:szCs w:val="20"/>
          <w:color w:val="auto"/>
        </w:rPr>
      </w:pPr>
    </w:p>
    <w:p>
      <w:pPr>
        <w:ind w:left="260" w:hanging="115"/>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$14.0 million in severance and restructuring charges at Kaplan (after-tax impact of $8.7 million, or $1.09 per share);</w:t>
      </w:r>
    </w:p>
    <w:p>
      <w:pPr>
        <w:spacing w:after="0" w:line="127" w:lineRule="exact"/>
        <w:rPr>
          <w:rFonts w:ascii="Arial" w:cs="Arial" w:eastAsia="Arial" w:hAnsi="Arial"/>
          <w:sz w:val="17"/>
          <w:szCs w:val="17"/>
          <w:color w:val="auto"/>
        </w:rPr>
      </w:pPr>
    </w:p>
    <w:p>
      <w:pPr>
        <w:ind w:left="260" w:hanging="120"/>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$30.7 million write-down of a marketable equity security (after-tax impact of $19.8 million, or $2.44 per share); and</w:t>
      </w:r>
    </w:p>
    <w:p>
      <w:pPr>
        <w:spacing w:after="0" w:line="189" w:lineRule="exact"/>
        <w:rPr>
          <w:rFonts w:ascii="Arial" w:cs="Arial" w:eastAsia="Arial" w:hAnsi="Arial"/>
          <w:sz w:val="17"/>
          <w:szCs w:val="17"/>
          <w:color w:val="auto"/>
        </w:rPr>
      </w:pPr>
    </w:p>
    <w:p>
      <w:pPr>
        <w:ind w:left="260" w:hanging="120"/>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$3.0 million in non-operating unrealized foreign currency gains (after-tax impact of $1.9 million, or $0.24 per share).</w:t>
      </w:r>
    </w:p>
    <w:p>
      <w:pPr>
        <w:spacing w:after="0" w:line="33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Excluding these items, the Company’s net income attributable to common shares was $85.5 million ($11.22 per share) for the six months ended June 2012, compared to $ 87.3 million ($10.86 per share) for the same period of 2011. Excluding these items, income from continuing operations attributabl common shares was $47.5 million ($6.20 per share) for the first six months of 2012, compared to $92.0 million ($11.45 per share) for the first six mont 2011. (Non-GAAP measures are discussed below).</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Revenue for the first six months of 2012 was $1,979.4 million, down 6% from $2,103.2 million in the first six months of 2011. Revenues were down at education and newspaper publishing divisions, while revenues were up at the television broadcasting and cable television divisions. The Company rep operating income of $77.8 million for the first six months of 2012, compared to $138.7 million for the first six months of 2011. Operating results were d all of the Company’s divisions, except for the television broadcasting division.</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Division Results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Education</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Education division revenue totaled $558.4 million for the second quarter of 2012, a 9% decline from revenue of $617.0 million for the second quarter o 2011. Excluding revenue from acquired businesses, education division revenue declined 11% in the second quarter of 2012. Kaplan reported second quarter 2012 operating income of $3.4 million, down from $21.5 million in the second quarter of 2011.</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For the first six months of 2012, education division revenue totaled $1,111.8 million, a 10% decline from revenue of $ 1,235.9 million for the same perio 2011. Excluding revenue from acquired businesses, education division revenue declined 12% for the first six months of 2012. Kaplan reported an ope loss of $9.8 million for the first six months of 2012, compared to operating income of $41.5 million for the first six months of 2011.</w:t>
      </w:r>
    </w:p>
    <w:p>
      <w:pPr>
        <w:spacing w:after="0" w:line="175"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In light of recent revenue declines and other business challenges, Kaplan has formulated and implemented restructuring plans at its various businesse have resulted in significant costs in 2012 and 2011, with the objective of establishing lower costs levels in future periods. Across all businesses, sever and restructuring costs totaled $5.0 million in the second quarter and first half of 2012, compared to $11.7 million and $14.0 million in the second quar and first six months of 2011, respectively. Kaplan will likely incur additional restructuring costs in the second half of 2012.</w:t>
      </w:r>
    </w:p>
    <w:p>
      <w:pPr>
        <w:spacing w:after="0" w:line="3"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48" w:right="1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A summary of Kaplan’s operating results for the second quarter and the first six months of 2012 compared to 2011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7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3"/>
          </w:tcPr>
          <w:p>
            <w:pPr>
              <w:jc w:val="right"/>
              <w:ind w:right="767"/>
              <w:spacing w:after="0"/>
              <w:rPr>
                <w:sz w:val="20"/>
                <w:szCs w:val="20"/>
                <w:color w:val="auto"/>
              </w:rPr>
            </w:pPr>
            <w:r>
              <w:rPr>
                <w:rFonts w:ascii="Arial" w:cs="Arial" w:eastAsia="Arial" w:hAnsi="Arial"/>
                <w:sz w:val="12"/>
                <w:szCs w:val="12"/>
                <w:b w:val="1"/>
                <w:bCs w:val="1"/>
                <w:color w:val="auto"/>
              </w:rPr>
              <w:t>Three Months Ended</w:t>
            </w:r>
          </w:p>
        </w:tc>
        <w:tc>
          <w:tcPr>
            <w:tcW w:w="1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3"/>
          </w:tcPr>
          <w:p>
            <w:pPr>
              <w:jc w:val="right"/>
              <w:ind w:right="687"/>
              <w:spacing w:after="0"/>
              <w:rPr>
                <w:sz w:val="20"/>
                <w:szCs w:val="20"/>
                <w:color w:val="auto"/>
              </w:rPr>
            </w:pPr>
            <w:r>
              <w:rPr>
                <w:rFonts w:ascii="Arial" w:cs="Arial" w:eastAsia="Arial" w:hAnsi="Arial"/>
                <w:sz w:val="12"/>
                <w:szCs w:val="12"/>
                <w:b w:val="1"/>
                <w:bCs w:val="1"/>
                <w:color w:val="auto"/>
              </w:rPr>
              <w:t>Six Months Ended</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3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jc w:val="right"/>
              <w:ind w:right="488"/>
              <w:spacing w:after="0" w:line="114" w:lineRule="exact"/>
              <w:rPr>
                <w:sz w:val="20"/>
                <w:szCs w:val="20"/>
                <w:color w:val="auto"/>
              </w:rPr>
            </w:pPr>
            <w:r>
              <w:rPr>
                <w:rFonts w:ascii="Arial" w:cs="Arial" w:eastAsia="Arial" w:hAnsi="Arial"/>
                <w:sz w:val="12"/>
                <w:szCs w:val="12"/>
                <w:b w:val="1"/>
                <w:bCs w:val="1"/>
                <w:color w:val="auto"/>
              </w:rPr>
              <w:t>June 30,</w:t>
            </w:r>
          </w:p>
        </w:tc>
        <w:tc>
          <w:tcPr>
            <w:tcW w:w="440" w:type="dxa"/>
            <w:vAlign w:val="bottom"/>
          </w:tcPr>
          <w:p>
            <w:pPr>
              <w:spacing w:after="0"/>
              <w:rPr>
                <w:sz w:val="9"/>
                <w:szCs w:val="9"/>
                <w:color w:val="auto"/>
              </w:rPr>
            </w:pPr>
          </w:p>
        </w:tc>
        <w:tc>
          <w:tcPr>
            <w:tcW w:w="1020" w:type="dxa"/>
            <w:vAlign w:val="bottom"/>
          </w:tcPr>
          <w:p>
            <w:pPr>
              <w:jc w:val="right"/>
              <w:ind w:right="447"/>
              <w:spacing w:after="0" w:line="114" w:lineRule="exact"/>
              <w:rPr>
                <w:sz w:val="20"/>
                <w:szCs w:val="20"/>
                <w:color w:val="auto"/>
              </w:rPr>
            </w:pPr>
            <w:r>
              <w:rPr>
                <w:rFonts w:ascii="Arial" w:cs="Arial" w:eastAsia="Arial" w:hAnsi="Arial"/>
                <w:sz w:val="12"/>
                <w:szCs w:val="12"/>
                <w:color w:val="auto"/>
              </w:rPr>
              <w:t>July 3,</w:t>
            </w:r>
          </w:p>
        </w:tc>
        <w:tc>
          <w:tcPr>
            <w:tcW w:w="1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jc w:val="right"/>
              <w:ind w:right="408"/>
              <w:spacing w:after="0" w:line="114" w:lineRule="exact"/>
              <w:rPr>
                <w:sz w:val="20"/>
                <w:szCs w:val="20"/>
                <w:color w:val="auto"/>
              </w:rPr>
            </w:pPr>
            <w:r>
              <w:rPr>
                <w:rFonts w:ascii="Arial" w:cs="Arial" w:eastAsia="Arial" w:hAnsi="Arial"/>
                <w:sz w:val="12"/>
                <w:szCs w:val="12"/>
                <w:b w:val="1"/>
                <w:bCs w:val="1"/>
                <w:color w:val="auto"/>
              </w:rPr>
              <w:t>June 30,</w:t>
            </w:r>
          </w:p>
        </w:tc>
        <w:tc>
          <w:tcPr>
            <w:tcW w:w="340" w:type="dxa"/>
            <w:vAlign w:val="bottom"/>
          </w:tcPr>
          <w:p>
            <w:pPr>
              <w:spacing w:after="0"/>
              <w:rPr>
                <w:sz w:val="9"/>
                <w:szCs w:val="9"/>
                <w:color w:val="auto"/>
              </w:rPr>
            </w:pPr>
          </w:p>
        </w:tc>
        <w:tc>
          <w:tcPr>
            <w:tcW w:w="900" w:type="dxa"/>
            <w:vAlign w:val="bottom"/>
          </w:tcPr>
          <w:p>
            <w:pPr>
              <w:jc w:val="right"/>
              <w:ind w:right="367"/>
              <w:spacing w:after="0" w:line="114" w:lineRule="exact"/>
              <w:rPr>
                <w:sz w:val="20"/>
                <w:szCs w:val="20"/>
                <w:color w:val="auto"/>
              </w:rPr>
            </w:pPr>
            <w:r>
              <w:rPr>
                <w:rFonts w:ascii="Arial" w:cs="Arial" w:eastAsia="Arial" w:hAnsi="Arial"/>
                <w:sz w:val="12"/>
                <w:szCs w:val="12"/>
                <w:color w:val="auto"/>
              </w:rPr>
              <w:t>July 3,</w:t>
            </w: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2012</w:t>
            </w: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07"/>
              <w:spacing w:after="0"/>
              <w:rPr>
                <w:sz w:val="20"/>
                <w:szCs w:val="20"/>
                <w:color w:val="auto"/>
              </w:rPr>
            </w:pPr>
            <w:r>
              <w:rPr>
                <w:rFonts w:ascii="Arial" w:cs="Arial" w:eastAsia="Arial" w:hAnsi="Arial"/>
                <w:sz w:val="12"/>
                <w:szCs w:val="12"/>
                <w:color w:val="auto"/>
              </w:rPr>
              <w:t>2011</w:t>
            </w:r>
          </w:p>
        </w:tc>
        <w:tc>
          <w:tcPr>
            <w:tcW w:w="1120" w:type="dxa"/>
            <w:vAlign w:val="bottom"/>
            <w:tcBorders>
              <w:bottom w:val="single" w:sz="8" w:color="auto"/>
            </w:tcBorders>
          </w:tcPr>
          <w:p>
            <w:pPr>
              <w:jc w:val="right"/>
              <w:ind w:right="246"/>
              <w:spacing w:after="0"/>
              <w:rPr>
                <w:sz w:val="20"/>
                <w:szCs w:val="20"/>
                <w:color w:val="auto"/>
              </w:rPr>
            </w:pPr>
            <w:r>
              <w:rPr>
                <w:rFonts w:ascii="Arial" w:cs="Arial" w:eastAsia="Arial" w:hAnsi="Arial"/>
                <w:sz w:val="12"/>
                <w:szCs w:val="12"/>
                <w:color w:val="auto"/>
              </w:rPr>
              <w:t>% Change</w:t>
            </w: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28"/>
              <w:spacing w:after="0"/>
              <w:rPr>
                <w:sz w:val="20"/>
                <w:szCs w:val="20"/>
                <w:color w:val="auto"/>
              </w:rPr>
            </w:pPr>
            <w:r>
              <w:rPr>
                <w:rFonts w:ascii="Arial" w:cs="Arial" w:eastAsia="Arial" w:hAnsi="Arial"/>
                <w:sz w:val="12"/>
                <w:szCs w:val="12"/>
                <w:b w:val="1"/>
                <w:bCs w:val="1"/>
                <w:color w:val="auto"/>
              </w:rPr>
              <w:t>2012</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7"/>
              <w:spacing w:after="0"/>
              <w:rPr>
                <w:sz w:val="20"/>
                <w:szCs w:val="20"/>
                <w:color w:val="auto"/>
              </w:rPr>
            </w:pPr>
            <w:r>
              <w:rPr>
                <w:rFonts w:ascii="Arial" w:cs="Arial" w:eastAsia="Arial" w:hAnsi="Arial"/>
                <w:sz w:val="12"/>
                <w:szCs w:val="12"/>
                <w:color w:val="auto"/>
              </w:rPr>
              <w:t>2011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 Ch</w:t>
            </w:r>
          </w:p>
        </w:tc>
        <w:tc>
          <w:tcPr>
            <w:tcW w:w="0" w:type="dxa"/>
            <w:vAlign w:val="bottom"/>
          </w:tcPr>
          <w:p>
            <w:pPr>
              <w:spacing w:after="0"/>
              <w:rPr>
                <w:sz w:val="1"/>
                <w:szCs w:val="1"/>
                <w:color w:val="auto"/>
              </w:rPr>
            </w:pPr>
          </w:p>
        </w:tc>
      </w:tr>
      <w:tr>
        <w:trPr>
          <w:trHeight w:val="168"/>
        </w:trPr>
        <w:tc>
          <w:tcPr>
            <w:tcW w:w="3780" w:type="dxa"/>
            <w:vAlign w:val="bottom"/>
          </w:tcPr>
          <w:p>
            <w:pPr>
              <w:spacing w:after="0" w:line="168" w:lineRule="exact"/>
              <w:rPr>
                <w:sz w:val="20"/>
                <w:szCs w:val="20"/>
                <w:color w:val="auto"/>
              </w:rPr>
            </w:pPr>
            <w:r>
              <w:rPr>
                <w:rFonts w:ascii="Arial" w:cs="Arial" w:eastAsia="Arial" w:hAnsi="Arial"/>
                <w:sz w:val="15"/>
                <w:szCs w:val="15"/>
                <w:b w:val="1"/>
                <w:bCs w:val="1"/>
                <w:color w:val="auto"/>
              </w:rPr>
              <w:t>Revenue</w:t>
            </w:r>
          </w:p>
        </w:tc>
        <w:tc>
          <w:tcPr>
            <w:tcW w:w="32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1120" w:type="dxa"/>
            <w:vAlign w:val="bottom"/>
            <w:vMerge w:val="restart"/>
          </w:tcPr>
          <w:p>
            <w:pPr>
              <w:jc w:val="right"/>
              <w:ind w:right="128"/>
              <w:spacing w:after="0"/>
              <w:rPr>
                <w:sz w:val="20"/>
                <w:szCs w:val="20"/>
                <w:color w:val="auto"/>
              </w:rPr>
            </w:pPr>
            <w:r>
              <w:rPr>
                <w:rFonts w:ascii="Arial" w:cs="Arial" w:eastAsia="Arial" w:hAnsi="Arial"/>
                <w:sz w:val="15"/>
                <w:szCs w:val="15"/>
                <w:b w:val="1"/>
                <w:bCs w:val="1"/>
                <w:color w:val="auto"/>
              </w:rPr>
              <w:t>290,861</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06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599,245</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2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440" w:type="dxa"/>
            <w:vAlign w:val="bottom"/>
          </w:tcPr>
          <w:p>
            <w:pPr>
              <w:jc w:val="right"/>
              <w:ind w:right="66"/>
              <w:spacing w:after="0" w:line="156"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56" w:lineRule="exact"/>
              <w:rPr>
                <w:sz w:val="20"/>
                <w:szCs w:val="20"/>
                <w:color w:val="auto"/>
              </w:rPr>
            </w:pPr>
            <w:r>
              <w:rPr>
                <w:rFonts w:ascii="Arial" w:cs="Arial" w:eastAsia="Arial" w:hAnsi="Arial"/>
                <w:sz w:val="15"/>
                <w:szCs w:val="15"/>
                <w:color w:val="auto"/>
              </w:rPr>
              <w:t>358,312</w:t>
            </w:r>
          </w:p>
        </w:tc>
        <w:tc>
          <w:tcPr>
            <w:tcW w:w="1120" w:type="dxa"/>
            <w:vAlign w:val="bottom"/>
          </w:tcPr>
          <w:p>
            <w:pPr>
              <w:jc w:val="right"/>
              <w:ind w:right="406"/>
              <w:spacing w:after="0" w:line="156" w:lineRule="exact"/>
              <w:rPr>
                <w:sz w:val="20"/>
                <w:szCs w:val="20"/>
                <w:color w:val="auto"/>
              </w:rPr>
            </w:pPr>
            <w:r>
              <w:rPr>
                <w:rFonts w:ascii="Arial" w:cs="Arial" w:eastAsia="Arial" w:hAnsi="Arial"/>
                <w:sz w:val="15"/>
                <w:szCs w:val="15"/>
                <w:color w:val="auto"/>
              </w:rPr>
              <w:t>(19)</w:t>
            </w:r>
          </w:p>
        </w:tc>
        <w:tc>
          <w:tcPr>
            <w:tcW w:w="3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340" w:type="dxa"/>
            <w:vAlign w:val="bottom"/>
          </w:tcPr>
          <w:p>
            <w:pPr>
              <w:jc w:val="right"/>
              <w:ind w:right="46"/>
              <w:spacing w:after="0" w:line="156" w:lineRule="exact"/>
              <w:rPr>
                <w:sz w:val="20"/>
                <w:szCs w:val="20"/>
                <w:color w:val="auto"/>
              </w:rPr>
            </w:pPr>
            <w:r>
              <w:rPr>
                <w:rFonts w:ascii="Arial" w:cs="Arial" w:eastAsia="Arial" w:hAnsi="Arial"/>
                <w:sz w:val="15"/>
                <w:szCs w:val="15"/>
                <w:color w:val="auto"/>
              </w:rPr>
              <w:t>$</w:t>
            </w:r>
          </w:p>
        </w:tc>
        <w:tc>
          <w:tcPr>
            <w:tcW w:w="900" w:type="dxa"/>
            <w:vAlign w:val="bottom"/>
          </w:tcPr>
          <w:p>
            <w:pPr>
              <w:jc w:val="right"/>
              <w:spacing w:after="0" w:line="156" w:lineRule="exact"/>
              <w:rPr>
                <w:sz w:val="20"/>
                <w:szCs w:val="20"/>
                <w:color w:val="auto"/>
              </w:rPr>
            </w:pPr>
            <w:r>
              <w:rPr>
                <w:rFonts w:ascii="Arial" w:cs="Arial" w:eastAsia="Arial" w:hAnsi="Arial"/>
                <w:sz w:val="15"/>
                <w:szCs w:val="15"/>
                <w:color w:val="auto"/>
              </w:rPr>
              <w:t>745,195</w:t>
            </w:r>
          </w:p>
        </w:tc>
        <w:tc>
          <w:tcPr>
            <w:tcW w:w="540" w:type="dxa"/>
            <w:vAlign w:val="bottom"/>
          </w:tcPr>
          <w:p>
            <w:pPr>
              <w:jc w:val="right"/>
              <w:spacing w:after="0" w:line="156"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5"/>
                <w:szCs w:val="15"/>
                <w:b w:val="1"/>
                <w:bCs w:val="1"/>
                <w:color w:val="auto"/>
              </w:rPr>
              <w:t>79,786</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83,197</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(4)</w:t>
            </w:r>
          </w:p>
        </w:tc>
        <w:tc>
          <w:tcPr>
            <w:tcW w:w="30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5"/>
                <w:szCs w:val="15"/>
                <w:b w:val="1"/>
                <w:bCs w:val="1"/>
                <w:color w:val="auto"/>
              </w:rPr>
              <w:t>142,615</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156,562</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5"/>
                <w:szCs w:val="15"/>
                <w:b w:val="1"/>
                <w:bCs w:val="1"/>
                <w:color w:val="auto"/>
              </w:rPr>
              <w:t>181,656</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169,016</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7</w:t>
            </w:r>
          </w:p>
        </w:tc>
        <w:tc>
          <w:tcPr>
            <w:tcW w:w="30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5"/>
                <w:szCs w:val="15"/>
                <w:b w:val="1"/>
                <w:bCs w:val="1"/>
                <w:color w:val="auto"/>
              </w:rPr>
              <w:t>358,041</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321,151</w:t>
            </w:r>
          </w:p>
        </w:tc>
        <w:tc>
          <w:tcPr>
            <w:tcW w:w="54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Kaplan ventures</w:t>
            </w:r>
          </w:p>
        </w:tc>
        <w:tc>
          <w:tcPr>
            <w:tcW w:w="3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5"/>
                <w:szCs w:val="15"/>
                <w:b w:val="1"/>
                <w:bCs w:val="1"/>
                <w:color w:val="auto"/>
              </w:rPr>
              <w:t>6,203</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6,591</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(6)</w:t>
            </w:r>
          </w:p>
        </w:tc>
        <w:tc>
          <w:tcPr>
            <w:tcW w:w="30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5"/>
                <w:szCs w:val="15"/>
                <w:b w:val="1"/>
                <w:bCs w:val="1"/>
                <w:color w:val="auto"/>
              </w:rPr>
              <w:t>12,324</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13,806</w:t>
            </w:r>
          </w:p>
        </w:tc>
        <w:tc>
          <w:tcPr>
            <w:tcW w:w="54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Kaplan corporate</w:t>
            </w:r>
          </w:p>
        </w:tc>
        <w:tc>
          <w:tcPr>
            <w:tcW w:w="3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5"/>
                <w:szCs w:val="15"/>
                <w:b w:val="1"/>
                <w:bCs w:val="1"/>
                <w:color w:val="auto"/>
              </w:rPr>
              <w:t>1,003</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1,065</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(6)</w:t>
            </w:r>
          </w:p>
        </w:tc>
        <w:tc>
          <w:tcPr>
            <w:tcW w:w="30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5"/>
                <w:szCs w:val="15"/>
                <w:b w:val="1"/>
                <w:bCs w:val="1"/>
                <w:color w:val="auto"/>
              </w:rPr>
              <w:t>2,160</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2,182</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378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b w:val="1"/>
                <w:bCs w:val="1"/>
                <w:color w:val="auto"/>
              </w:rPr>
              <w:t>(1,105)</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(1,219)</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(2,580)</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(3,005)</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780" w:type="dxa"/>
            <w:vAlign w:val="bottom"/>
          </w:tcPr>
          <w:p>
            <w:pPr>
              <w:spacing w:after="0"/>
              <w:rPr>
                <w:sz w:val="14"/>
                <w:szCs w:val="14"/>
                <w:color w:val="auto"/>
              </w:rPr>
            </w:pPr>
          </w:p>
        </w:tc>
        <w:tc>
          <w:tcPr>
            <w:tcW w:w="32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tcPr>
          <w:p>
            <w:pPr>
              <w:jc w:val="right"/>
              <w:ind w:right="128"/>
              <w:spacing w:after="0" w:line="167" w:lineRule="exact"/>
              <w:rPr>
                <w:sz w:val="20"/>
                <w:szCs w:val="20"/>
                <w:color w:val="auto"/>
              </w:rPr>
            </w:pPr>
            <w:r>
              <w:rPr>
                <w:rFonts w:ascii="Arial" w:cs="Arial" w:eastAsia="Arial" w:hAnsi="Arial"/>
                <w:sz w:val="15"/>
                <w:szCs w:val="15"/>
                <w:b w:val="1"/>
                <w:bCs w:val="1"/>
                <w:color w:val="auto"/>
              </w:rPr>
              <w:t>558,404</w:t>
            </w:r>
          </w:p>
        </w:tc>
        <w:tc>
          <w:tcPr>
            <w:tcW w:w="4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616,962</w:t>
            </w:r>
          </w:p>
        </w:tc>
        <w:tc>
          <w:tcPr>
            <w:tcW w:w="1120" w:type="dxa"/>
            <w:vAlign w:val="bottom"/>
          </w:tcPr>
          <w:p>
            <w:pPr>
              <w:jc w:val="right"/>
              <w:ind w:right="406"/>
              <w:spacing w:after="0" w:line="167" w:lineRule="exact"/>
              <w:rPr>
                <w:sz w:val="20"/>
                <w:szCs w:val="20"/>
                <w:color w:val="auto"/>
              </w:rPr>
            </w:pPr>
            <w:r>
              <w:rPr>
                <w:rFonts w:ascii="Arial" w:cs="Arial" w:eastAsia="Arial" w:hAnsi="Arial"/>
                <w:sz w:val="15"/>
                <w:szCs w:val="15"/>
                <w:color w:val="auto"/>
              </w:rPr>
              <w:t>(9)</w:t>
            </w:r>
          </w:p>
        </w:tc>
        <w:tc>
          <w:tcPr>
            <w:tcW w:w="3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ind w:right="88"/>
              <w:spacing w:after="0" w:line="167" w:lineRule="exact"/>
              <w:rPr>
                <w:sz w:val="20"/>
                <w:szCs w:val="20"/>
                <w:color w:val="auto"/>
              </w:rPr>
            </w:pPr>
            <w:r>
              <w:rPr>
                <w:rFonts w:ascii="Arial" w:cs="Arial" w:eastAsia="Arial" w:hAnsi="Arial"/>
                <w:sz w:val="15"/>
                <w:szCs w:val="15"/>
                <w:b w:val="1"/>
                <w:bCs w:val="1"/>
                <w:color w:val="auto"/>
              </w:rPr>
              <w:t>1,111,805</w:t>
            </w:r>
          </w:p>
        </w:tc>
        <w:tc>
          <w:tcPr>
            <w:tcW w:w="3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1,235,891</w:t>
            </w:r>
          </w:p>
        </w:tc>
        <w:tc>
          <w:tcPr>
            <w:tcW w:w="540" w:type="dxa"/>
            <w:vAlign w:val="bottom"/>
          </w:tcPr>
          <w:p>
            <w:pPr>
              <w:jc w:val="right"/>
              <w:spacing w:after="0" w:line="167"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5"/>
                <w:szCs w:val="15"/>
                <w:b w:val="1"/>
                <w:bCs w:val="1"/>
                <w:color w:val="auto"/>
              </w:rPr>
              <w:t>Operating Income (Loss)</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780" w:type="dxa"/>
            <w:vAlign w:val="bottom"/>
            <w:vMerge w:val="continue"/>
          </w:tcPr>
          <w:p>
            <w:pPr>
              <w:spacing w:after="0"/>
              <w:rPr>
                <w:sz w:val="13"/>
                <w:szCs w:val="13"/>
                <w:color w:val="auto"/>
              </w:rPr>
            </w:pPr>
          </w:p>
        </w:tc>
        <w:tc>
          <w:tcPr>
            <w:tcW w:w="32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1120" w:type="dxa"/>
            <w:vAlign w:val="bottom"/>
            <w:vMerge w:val="restart"/>
          </w:tcPr>
          <w:p>
            <w:pPr>
              <w:jc w:val="right"/>
              <w:ind w:right="128"/>
              <w:spacing w:after="0"/>
              <w:rPr>
                <w:sz w:val="20"/>
                <w:szCs w:val="20"/>
                <w:color w:val="auto"/>
              </w:rPr>
            </w:pPr>
            <w:r>
              <w:rPr>
                <w:rFonts w:ascii="Arial" w:cs="Arial" w:eastAsia="Arial" w:hAnsi="Arial"/>
                <w:sz w:val="15"/>
                <w:szCs w:val="15"/>
                <w:b w:val="1"/>
                <w:bCs w:val="1"/>
                <w:color w:val="auto"/>
              </w:rPr>
              <w:t>5,858</w:t>
            </w: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06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14,812</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2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440" w:type="dxa"/>
            <w:vAlign w:val="bottom"/>
          </w:tcPr>
          <w:p>
            <w:pPr>
              <w:jc w:val="right"/>
              <w:ind w:right="66"/>
              <w:spacing w:after="0" w:line="156"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56" w:lineRule="exact"/>
              <w:rPr>
                <w:sz w:val="20"/>
                <w:szCs w:val="20"/>
                <w:color w:val="auto"/>
              </w:rPr>
            </w:pPr>
            <w:r>
              <w:rPr>
                <w:rFonts w:ascii="Arial" w:cs="Arial" w:eastAsia="Arial" w:hAnsi="Arial"/>
                <w:sz w:val="15"/>
                <w:szCs w:val="15"/>
                <w:color w:val="auto"/>
              </w:rPr>
              <w:t>45,157</w:t>
            </w:r>
          </w:p>
        </w:tc>
        <w:tc>
          <w:tcPr>
            <w:tcW w:w="1120" w:type="dxa"/>
            <w:vAlign w:val="bottom"/>
          </w:tcPr>
          <w:p>
            <w:pPr>
              <w:jc w:val="right"/>
              <w:ind w:right="406"/>
              <w:spacing w:after="0" w:line="156" w:lineRule="exact"/>
              <w:rPr>
                <w:sz w:val="20"/>
                <w:szCs w:val="20"/>
                <w:color w:val="auto"/>
              </w:rPr>
            </w:pPr>
            <w:r>
              <w:rPr>
                <w:rFonts w:ascii="Arial" w:cs="Arial" w:eastAsia="Arial" w:hAnsi="Arial"/>
                <w:sz w:val="15"/>
                <w:szCs w:val="15"/>
                <w:color w:val="auto"/>
              </w:rPr>
              <w:t>(87)</w:t>
            </w:r>
          </w:p>
        </w:tc>
        <w:tc>
          <w:tcPr>
            <w:tcW w:w="3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340" w:type="dxa"/>
            <w:vAlign w:val="bottom"/>
          </w:tcPr>
          <w:p>
            <w:pPr>
              <w:jc w:val="right"/>
              <w:ind w:right="46"/>
              <w:spacing w:after="0" w:line="156" w:lineRule="exact"/>
              <w:rPr>
                <w:sz w:val="20"/>
                <w:szCs w:val="20"/>
                <w:color w:val="auto"/>
              </w:rPr>
            </w:pPr>
            <w:r>
              <w:rPr>
                <w:rFonts w:ascii="Arial" w:cs="Arial" w:eastAsia="Arial" w:hAnsi="Arial"/>
                <w:sz w:val="15"/>
                <w:szCs w:val="15"/>
                <w:color w:val="auto"/>
              </w:rPr>
              <w:t>$</w:t>
            </w:r>
          </w:p>
        </w:tc>
        <w:tc>
          <w:tcPr>
            <w:tcW w:w="900" w:type="dxa"/>
            <w:vAlign w:val="bottom"/>
          </w:tcPr>
          <w:p>
            <w:pPr>
              <w:jc w:val="right"/>
              <w:spacing w:after="0" w:line="156" w:lineRule="exact"/>
              <w:rPr>
                <w:sz w:val="20"/>
                <w:szCs w:val="20"/>
                <w:color w:val="auto"/>
              </w:rPr>
            </w:pPr>
            <w:r>
              <w:rPr>
                <w:rFonts w:ascii="Arial" w:cs="Arial" w:eastAsia="Arial" w:hAnsi="Arial"/>
                <w:sz w:val="15"/>
                <w:szCs w:val="15"/>
                <w:color w:val="auto"/>
              </w:rPr>
              <w:t>95,807</w:t>
            </w:r>
          </w:p>
        </w:tc>
        <w:tc>
          <w:tcPr>
            <w:tcW w:w="540" w:type="dxa"/>
            <w:vAlign w:val="bottom"/>
          </w:tcPr>
          <w:p>
            <w:pPr>
              <w:jc w:val="right"/>
              <w:spacing w:after="0" w:line="156" w:lineRule="exact"/>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5"/>
                <w:szCs w:val="15"/>
                <w:b w:val="1"/>
                <w:bCs w:val="1"/>
                <w:color w:val="auto"/>
              </w:rPr>
              <w:t>2,706</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(11,597)</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5"/>
                <w:szCs w:val="15"/>
                <w:b w:val="1"/>
                <w:bCs w:val="1"/>
                <w:color w:val="auto"/>
              </w:rPr>
              <w:t>(7,513)</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(24,273)</w:t>
            </w:r>
          </w:p>
        </w:tc>
        <w:tc>
          <w:tcPr>
            <w:tcW w:w="54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5"/>
                <w:szCs w:val="15"/>
                <w:b w:val="1"/>
                <w:bCs w:val="1"/>
                <w:color w:val="auto"/>
              </w:rPr>
              <w:t>9,294</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8,642</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8</w:t>
            </w:r>
          </w:p>
        </w:tc>
        <w:tc>
          <w:tcPr>
            <w:tcW w:w="30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5"/>
                <w:szCs w:val="15"/>
                <w:b w:val="1"/>
                <w:bCs w:val="1"/>
                <w:color w:val="auto"/>
              </w:rPr>
              <w:t>12,717</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7,960</w:t>
            </w:r>
          </w:p>
        </w:tc>
        <w:tc>
          <w:tcPr>
            <w:tcW w:w="54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Kaplan ventures</w:t>
            </w:r>
          </w:p>
        </w:tc>
        <w:tc>
          <w:tcPr>
            <w:tcW w:w="3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5"/>
                <w:szCs w:val="15"/>
                <w:b w:val="1"/>
                <w:bCs w:val="1"/>
                <w:color w:val="auto"/>
              </w:rPr>
              <w:t>(369)</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(2,079)</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82</w:t>
            </w:r>
          </w:p>
        </w:tc>
        <w:tc>
          <w:tcPr>
            <w:tcW w:w="30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5"/>
                <w:szCs w:val="15"/>
                <w:b w:val="1"/>
                <w:bCs w:val="1"/>
                <w:color w:val="auto"/>
              </w:rPr>
              <w:t>(1,630)</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(3,053)</w:t>
            </w:r>
          </w:p>
        </w:tc>
        <w:tc>
          <w:tcPr>
            <w:tcW w:w="54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Kaplan corporate</w:t>
            </w:r>
          </w:p>
        </w:tc>
        <w:tc>
          <w:tcPr>
            <w:tcW w:w="3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5"/>
                <w:szCs w:val="15"/>
                <w:b w:val="1"/>
                <w:bCs w:val="1"/>
                <w:color w:val="auto"/>
              </w:rPr>
              <w:t>(10,489)</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(13,624)</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23</w:t>
            </w:r>
          </w:p>
        </w:tc>
        <w:tc>
          <w:tcPr>
            <w:tcW w:w="30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5"/>
                <w:szCs w:val="15"/>
                <w:b w:val="1"/>
                <w:bCs w:val="1"/>
                <w:color w:val="auto"/>
              </w:rPr>
              <w:t>(21,525)</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(25,242)</w:t>
            </w:r>
          </w:p>
        </w:tc>
        <w:tc>
          <w:tcPr>
            <w:tcW w:w="54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Amortization of intangible assets</w:t>
            </w:r>
          </w:p>
        </w:tc>
        <w:tc>
          <w:tcPr>
            <w:tcW w:w="3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5"/>
                <w:szCs w:val="15"/>
                <w:b w:val="1"/>
                <w:bCs w:val="1"/>
                <w:color w:val="auto"/>
              </w:rPr>
              <w:t>(3,810)</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(5,049)</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25</w:t>
            </w:r>
          </w:p>
        </w:tc>
        <w:tc>
          <w:tcPr>
            <w:tcW w:w="30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5"/>
                <w:szCs w:val="15"/>
                <w:b w:val="1"/>
                <w:bCs w:val="1"/>
                <w:color w:val="auto"/>
              </w:rPr>
              <w:t>(7,053)</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(9,469)</w:t>
            </w:r>
          </w:p>
        </w:tc>
        <w:tc>
          <w:tcPr>
            <w:tcW w:w="5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0"/>
        </w:trPr>
        <w:tc>
          <w:tcPr>
            <w:tcW w:w="378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b w:val="1"/>
                <w:bCs w:val="1"/>
                <w:color w:val="auto"/>
              </w:rPr>
              <w:t>161</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355</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(213)</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780" w:type="dxa"/>
            <w:vAlign w:val="bottom"/>
          </w:tcPr>
          <w:p>
            <w:pPr>
              <w:spacing w:after="0"/>
              <w:rPr>
                <w:sz w:val="14"/>
                <w:szCs w:val="14"/>
                <w:color w:val="auto"/>
              </w:rPr>
            </w:pPr>
          </w:p>
        </w:tc>
        <w:tc>
          <w:tcPr>
            <w:tcW w:w="32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tcPr>
          <w:p>
            <w:pPr>
              <w:jc w:val="right"/>
              <w:ind w:right="128"/>
              <w:spacing w:after="0" w:line="167" w:lineRule="exact"/>
              <w:rPr>
                <w:sz w:val="20"/>
                <w:szCs w:val="20"/>
                <w:color w:val="auto"/>
              </w:rPr>
            </w:pPr>
            <w:r>
              <w:rPr>
                <w:rFonts w:ascii="Arial" w:cs="Arial" w:eastAsia="Arial" w:hAnsi="Arial"/>
                <w:sz w:val="15"/>
                <w:szCs w:val="15"/>
                <w:b w:val="1"/>
                <w:bCs w:val="1"/>
                <w:color w:val="auto"/>
              </w:rPr>
              <w:t>3,351</w:t>
            </w:r>
          </w:p>
        </w:tc>
        <w:tc>
          <w:tcPr>
            <w:tcW w:w="4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21,468</w:t>
            </w:r>
          </w:p>
        </w:tc>
        <w:tc>
          <w:tcPr>
            <w:tcW w:w="1120" w:type="dxa"/>
            <w:vAlign w:val="bottom"/>
          </w:tcPr>
          <w:p>
            <w:pPr>
              <w:jc w:val="right"/>
              <w:ind w:right="406"/>
              <w:spacing w:after="0" w:line="167" w:lineRule="exact"/>
              <w:rPr>
                <w:sz w:val="20"/>
                <w:szCs w:val="20"/>
                <w:color w:val="auto"/>
              </w:rPr>
            </w:pPr>
            <w:r>
              <w:rPr>
                <w:rFonts w:ascii="Arial" w:cs="Arial" w:eastAsia="Arial" w:hAnsi="Arial"/>
                <w:sz w:val="15"/>
                <w:szCs w:val="15"/>
                <w:color w:val="auto"/>
              </w:rPr>
              <w:t>(84)</w:t>
            </w:r>
          </w:p>
        </w:tc>
        <w:tc>
          <w:tcPr>
            <w:tcW w:w="3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ind w:right="88"/>
              <w:spacing w:after="0" w:line="167" w:lineRule="exact"/>
              <w:rPr>
                <w:sz w:val="20"/>
                <w:szCs w:val="20"/>
                <w:color w:val="auto"/>
              </w:rPr>
            </w:pPr>
            <w:r>
              <w:rPr>
                <w:rFonts w:ascii="Arial" w:cs="Arial" w:eastAsia="Arial" w:hAnsi="Arial"/>
                <w:sz w:val="15"/>
                <w:szCs w:val="15"/>
                <w:b w:val="1"/>
                <w:bCs w:val="1"/>
                <w:color w:val="auto"/>
              </w:rPr>
              <w:t>(9,837)</w:t>
            </w:r>
          </w:p>
        </w:tc>
        <w:tc>
          <w:tcPr>
            <w:tcW w:w="3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41,517</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Kaplan sold Kaplan Learning Technologies in February 2012 and EduNeering in April 2012. Consequently, the education division’s operating results e these businesses. Also, Kaplan’s Colloquy and U.S. Pathways businesses moved from Kaplan Ventures to Kaplan International. The comparative divi results presented above reflect this change.</w:t>
      </w:r>
    </w:p>
    <w:p>
      <w:pPr>
        <w:spacing w:after="0" w:line="175"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Kaplan Higher Education (KHE) includes Kaplan’s domestic postsecondary education businesses, made up of fixed-facility colleges and online postsecondary and career programs. KHE also includes the domestic professional training and other continuing education businesses. In the second quarter and first six months of 2012, higher education revenue declined 19% and 20%, respectively, due largely to declines in average enrollments, reflecting weaker market demand over the past year. Operating income decreased 87% and 85% for the second quarter and first six months of 2012, respectively. These declines were due primarily to lower revenue, offset by expense reductions associated with lower enrollments and recent restructu efforts. In the second quarter of 2012, KHE incurred $3.8 million in severance costs, compared to $5.5 million in the second quarter of 2011. KHE will l incur additional restructuring costs in the second half of 2012.</w:t>
      </w:r>
    </w:p>
    <w:p>
      <w:pPr>
        <w:spacing w:after="0" w:line="178"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Although revenues were down substantially compared to the first half of 2011, new student enrollments at Kaplan University and KHE Campuses incr 3% in the first half of 2012. For the second quarter of 2012, new student enrollments declined 1%. Total enrollments at June 30, 2012, were down 14% compared to June 30, 2011, and 11% compared to March 31, 2012.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0" w:type="dxa"/>
            <w:vAlign w:val="bottom"/>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jc w:val="center"/>
              <w:ind w:right="112"/>
              <w:spacing w:after="0"/>
              <w:rPr>
                <w:sz w:val="20"/>
                <w:szCs w:val="20"/>
                <w:color w:val="auto"/>
              </w:rPr>
            </w:pPr>
            <w:r>
              <w:rPr>
                <w:rFonts w:ascii="Arial" w:cs="Arial" w:eastAsia="Arial" w:hAnsi="Arial"/>
                <w:sz w:val="12"/>
                <w:szCs w:val="12"/>
                <w:b w:val="1"/>
                <w:bCs w:val="1"/>
                <w:color w:val="auto"/>
              </w:rPr>
              <w:t>Student Enrollments As of</w:t>
            </w:r>
          </w:p>
        </w:tc>
        <w:tc>
          <w:tcPr>
            <w:tcW w:w="620" w:type="dxa"/>
            <w:vAlign w:val="bottom"/>
            <w:tcBorders>
              <w:bottom w:val="single" w:sz="8" w:color="auto"/>
            </w:tcBorders>
          </w:tcPr>
          <w:p>
            <w:pPr>
              <w:spacing w:after="0"/>
              <w:rPr>
                <w:sz w:val="12"/>
                <w:szCs w:val="12"/>
                <w:color w:val="auto"/>
              </w:rPr>
            </w:pPr>
          </w:p>
        </w:tc>
      </w:tr>
      <w:tr>
        <w:trPr>
          <w:trHeight w:val="114"/>
        </w:trPr>
        <w:tc>
          <w:tcPr>
            <w:tcW w:w="7200" w:type="dxa"/>
            <w:vAlign w:val="bottom"/>
          </w:tcPr>
          <w:p>
            <w:pPr>
              <w:spacing w:after="0"/>
              <w:rPr>
                <w:sz w:val="9"/>
                <w:szCs w:val="9"/>
                <w:color w:val="auto"/>
              </w:rPr>
            </w:pPr>
          </w:p>
        </w:tc>
        <w:tc>
          <w:tcPr>
            <w:tcW w:w="1280" w:type="dxa"/>
            <w:vAlign w:val="bottom"/>
          </w:tcPr>
          <w:p>
            <w:pPr>
              <w:jc w:val="right"/>
              <w:ind w:right="331"/>
              <w:spacing w:after="0" w:line="114" w:lineRule="exact"/>
              <w:rPr>
                <w:sz w:val="20"/>
                <w:szCs w:val="20"/>
                <w:color w:val="auto"/>
              </w:rPr>
            </w:pPr>
            <w:r>
              <w:rPr>
                <w:rFonts w:ascii="Arial" w:cs="Arial" w:eastAsia="Arial" w:hAnsi="Arial"/>
                <w:sz w:val="12"/>
                <w:szCs w:val="12"/>
                <w:b w:val="1"/>
                <w:bCs w:val="1"/>
                <w:color w:val="auto"/>
              </w:rPr>
              <w:t>June 30,</w:t>
            </w:r>
          </w:p>
        </w:tc>
        <w:tc>
          <w:tcPr>
            <w:tcW w:w="1840" w:type="dxa"/>
            <w:vAlign w:val="bottom"/>
          </w:tcPr>
          <w:p>
            <w:pPr>
              <w:jc w:val="center"/>
              <w:ind w:right="92"/>
              <w:spacing w:after="0" w:line="114" w:lineRule="exact"/>
              <w:rPr>
                <w:sz w:val="20"/>
                <w:szCs w:val="20"/>
                <w:color w:val="auto"/>
              </w:rPr>
            </w:pPr>
            <w:r>
              <w:rPr>
                <w:rFonts w:ascii="Arial" w:cs="Arial" w:eastAsia="Arial" w:hAnsi="Arial"/>
                <w:sz w:val="12"/>
                <w:szCs w:val="12"/>
                <w:color w:val="auto"/>
              </w:rPr>
              <w:t>March 31,</w:t>
            </w:r>
          </w:p>
        </w:tc>
        <w:tc>
          <w:tcPr>
            <w:tcW w:w="620" w:type="dxa"/>
            <w:vAlign w:val="bottom"/>
          </w:tcPr>
          <w:p>
            <w:pPr>
              <w:jc w:val="right"/>
              <w:spacing w:after="0" w:line="114" w:lineRule="exact"/>
              <w:rPr>
                <w:sz w:val="20"/>
                <w:szCs w:val="20"/>
                <w:color w:val="auto"/>
              </w:rPr>
            </w:pPr>
            <w:r>
              <w:rPr>
                <w:rFonts w:ascii="Arial" w:cs="Arial" w:eastAsia="Arial" w:hAnsi="Arial"/>
                <w:sz w:val="12"/>
                <w:szCs w:val="12"/>
                <w:color w:val="auto"/>
              </w:rPr>
              <w:t>June 3</w:t>
            </w:r>
          </w:p>
        </w:tc>
      </w:tr>
      <w:tr>
        <w:trPr>
          <w:trHeight w:val="151"/>
        </w:trPr>
        <w:tc>
          <w:tcPr>
            <w:tcW w:w="7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51"/>
              <w:spacing w:after="0"/>
              <w:rPr>
                <w:sz w:val="20"/>
                <w:szCs w:val="20"/>
                <w:color w:val="auto"/>
              </w:rPr>
            </w:pPr>
            <w:r>
              <w:rPr>
                <w:rFonts w:ascii="Arial" w:cs="Arial" w:eastAsia="Arial" w:hAnsi="Arial"/>
                <w:sz w:val="12"/>
                <w:szCs w:val="12"/>
                <w:b w:val="1"/>
                <w:bCs w:val="1"/>
                <w:color w:val="auto"/>
              </w:rPr>
              <w:t>2012</w:t>
            </w:r>
          </w:p>
        </w:tc>
        <w:tc>
          <w:tcPr>
            <w:tcW w:w="1840" w:type="dxa"/>
            <w:vAlign w:val="bottom"/>
            <w:tcBorders>
              <w:bottom w:val="single" w:sz="8" w:color="auto"/>
            </w:tcBorders>
          </w:tcPr>
          <w:p>
            <w:pPr>
              <w:jc w:val="center"/>
              <w:ind w:right="132"/>
              <w:spacing w:after="0"/>
              <w:rPr>
                <w:sz w:val="20"/>
                <w:szCs w:val="20"/>
                <w:color w:val="auto"/>
              </w:rPr>
            </w:pPr>
            <w:r>
              <w:rPr>
                <w:rFonts w:ascii="Arial" w:cs="Arial" w:eastAsia="Arial" w:hAnsi="Arial"/>
                <w:sz w:val="12"/>
                <w:szCs w:val="12"/>
                <w:color w:val="auto"/>
              </w:rPr>
              <w:t>2012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2011</w:t>
            </w:r>
          </w:p>
        </w:tc>
      </w:tr>
      <w:tr>
        <w:trPr>
          <w:trHeight w:val="150"/>
        </w:trPr>
        <w:tc>
          <w:tcPr>
            <w:tcW w:w="7200" w:type="dxa"/>
            <w:vAlign w:val="bottom"/>
          </w:tcPr>
          <w:p>
            <w:pPr>
              <w:spacing w:after="0" w:line="150" w:lineRule="exact"/>
              <w:rPr>
                <w:sz w:val="20"/>
                <w:szCs w:val="20"/>
                <w:color w:val="auto"/>
              </w:rPr>
            </w:pPr>
            <w:r>
              <w:rPr>
                <w:rFonts w:ascii="Arial" w:cs="Arial" w:eastAsia="Arial" w:hAnsi="Arial"/>
                <w:sz w:val="15"/>
                <w:szCs w:val="15"/>
                <w:color w:val="auto"/>
              </w:rPr>
              <w:t>Kaplan University</w:t>
            </w:r>
          </w:p>
        </w:tc>
        <w:tc>
          <w:tcPr>
            <w:tcW w:w="128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44,756</w:t>
            </w:r>
          </w:p>
        </w:tc>
        <w:tc>
          <w:tcPr>
            <w:tcW w:w="1840" w:type="dxa"/>
            <w:vAlign w:val="bottom"/>
          </w:tcPr>
          <w:p>
            <w:pPr>
              <w:jc w:val="right"/>
              <w:ind w:right="352"/>
              <w:spacing w:after="0" w:line="150" w:lineRule="exact"/>
              <w:rPr>
                <w:sz w:val="20"/>
                <w:szCs w:val="20"/>
                <w:color w:val="auto"/>
              </w:rPr>
            </w:pPr>
            <w:r>
              <w:rPr>
                <w:rFonts w:ascii="Arial" w:cs="Arial" w:eastAsia="Arial" w:hAnsi="Arial"/>
                <w:sz w:val="15"/>
                <w:szCs w:val="15"/>
                <w:color w:val="auto"/>
              </w:rPr>
              <w:t>49,481</w:t>
            </w:r>
          </w:p>
        </w:tc>
        <w:tc>
          <w:tcPr>
            <w:tcW w:w="620" w:type="dxa"/>
            <w:vAlign w:val="bottom"/>
          </w:tcPr>
          <w:p>
            <w:pPr>
              <w:spacing w:after="0"/>
              <w:rPr>
                <w:sz w:val="13"/>
                <w:szCs w:val="13"/>
                <w:color w:val="auto"/>
              </w:rPr>
            </w:pPr>
          </w:p>
        </w:tc>
      </w:tr>
      <w:tr>
        <w:trPr>
          <w:trHeight w:val="190"/>
        </w:trPr>
        <w:tc>
          <w:tcPr>
            <w:tcW w:w="7200" w:type="dxa"/>
            <w:vAlign w:val="bottom"/>
          </w:tcPr>
          <w:p>
            <w:pPr>
              <w:spacing w:after="0"/>
              <w:rPr>
                <w:sz w:val="20"/>
                <w:szCs w:val="20"/>
                <w:color w:val="auto"/>
              </w:rPr>
            </w:pPr>
            <w:r>
              <w:rPr>
                <w:rFonts w:ascii="Arial" w:cs="Arial" w:eastAsia="Arial" w:hAnsi="Arial"/>
                <w:sz w:val="15"/>
                <w:szCs w:val="15"/>
                <w:color w:val="auto"/>
              </w:rPr>
              <w:t>KHE Campuses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22,849</w:t>
            </w:r>
          </w:p>
        </w:tc>
        <w:tc>
          <w:tcPr>
            <w:tcW w:w="1840" w:type="dxa"/>
            <w:vAlign w:val="bottom"/>
            <w:tcBorders>
              <w:bottom w:val="single" w:sz="8" w:color="auto"/>
            </w:tcBorders>
          </w:tcPr>
          <w:p>
            <w:pPr>
              <w:jc w:val="right"/>
              <w:ind w:right="352"/>
              <w:spacing w:after="0"/>
              <w:rPr>
                <w:sz w:val="20"/>
                <w:szCs w:val="20"/>
                <w:color w:val="auto"/>
              </w:rPr>
            </w:pPr>
            <w:r>
              <w:rPr>
                <w:rFonts w:ascii="Arial" w:cs="Arial" w:eastAsia="Arial" w:hAnsi="Arial"/>
                <w:sz w:val="15"/>
                <w:szCs w:val="15"/>
                <w:color w:val="auto"/>
              </w:rPr>
              <w:t>26,503</w:t>
            </w:r>
          </w:p>
        </w:tc>
        <w:tc>
          <w:tcPr>
            <w:tcW w:w="620" w:type="dxa"/>
            <w:vAlign w:val="bottom"/>
            <w:tcBorders>
              <w:bottom w:val="single" w:sz="8" w:color="auto"/>
            </w:tcBorders>
          </w:tcPr>
          <w:p>
            <w:pPr>
              <w:spacing w:after="0"/>
              <w:rPr>
                <w:sz w:val="16"/>
                <w:szCs w:val="16"/>
                <w:color w:val="auto"/>
              </w:rPr>
            </w:pPr>
          </w:p>
        </w:tc>
      </w:tr>
      <w:tr>
        <w:trPr>
          <w:trHeight w:val="166"/>
        </w:trPr>
        <w:tc>
          <w:tcPr>
            <w:tcW w:w="7200" w:type="dxa"/>
            <w:vAlign w:val="bottom"/>
          </w:tcPr>
          <w:p>
            <w:pPr>
              <w:spacing w:after="0"/>
              <w:rPr>
                <w:sz w:val="14"/>
                <w:szCs w:val="14"/>
                <w:color w:val="auto"/>
              </w:rPr>
            </w:pPr>
          </w:p>
        </w:tc>
        <w:tc>
          <w:tcPr>
            <w:tcW w:w="1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67,605</w:t>
            </w:r>
          </w:p>
        </w:tc>
        <w:tc>
          <w:tcPr>
            <w:tcW w:w="1840" w:type="dxa"/>
            <w:vAlign w:val="bottom"/>
            <w:tcBorders>
              <w:bottom w:val="single" w:sz="8" w:color="auto"/>
            </w:tcBorders>
          </w:tcPr>
          <w:p>
            <w:pPr>
              <w:jc w:val="right"/>
              <w:ind w:right="352"/>
              <w:spacing w:after="0" w:line="167" w:lineRule="exact"/>
              <w:rPr>
                <w:sz w:val="20"/>
                <w:szCs w:val="20"/>
                <w:color w:val="auto"/>
              </w:rPr>
            </w:pPr>
            <w:r>
              <w:rPr>
                <w:rFonts w:ascii="Arial" w:cs="Arial" w:eastAsia="Arial" w:hAnsi="Arial"/>
                <w:sz w:val="15"/>
                <w:szCs w:val="15"/>
                <w:color w:val="auto"/>
              </w:rPr>
              <w:t>75,984</w:t>
            </w:r>
          </w:p>
        </w:tc>
        <w:tc>
          <w:tcPr>
            <w:tcW w:w="620" w:type="dxa"/>
            <w:vAlign w:val="bottom"/>
            <w:tcBorders>
              <w:bottom w:val="single" w:sz="8" w:color="auto"/>
            </w:tcBorders>
          </w:tcPr>
          <w:p>
            <w:pPr>
              <w:spacing w:after="0"/>
              <w:rPr>
                <w:sz w:val="14"/>
                <w:szCs w:val="14"/>
                <w:color w:val="auto"/>
              </w:rPr>
            </w:pP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300"/>
        <w:spacing w:after="0" w:line="235" w:lineRule="auto"/>
        <w:rPr>
          <w:sz w:val="20"/>
          <w:szCs w:val="20"/>
          <w:color w:val="auto"/>
        </w:rPr>
      </w:pPr>
      <w:r>
        <w:rPr>
          <w:rFonts w:ascii="Arial" w:cs="Arial" w:eastAsia="Arial" w:hAnsi="Arial"/>
          <w:sz w:val="17"/>
          <w:szCs w:val="17"/>
          <w:color w:val="auto"/>
        </w:rPr>
        <w:t>Kaplan University enrollments included 5,681, 5,979 and 5,837 campus-based students as of June 30, 2012, March 31, 2012, and June 30, 2011,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Kaplan University and KHE Campuses enrollments at June 30, 2012, and June 30, 2011, by degree and certificate programs, are as follows:</w:t>
      </w:r>
    </w:p>
    <w:tbl>
      <w:tblPr>
        <w:tblLayout w:type="fixed"/>
        <w:tblInd w:w="0" w:type="dxa"/>
        <w:tblCellMar>
          <w:top w:w="0" w:type="dxa"/>
          <w:left w:w="0" w:type="dxa"/>
          <w:bottom w:w="0" w:type="dxa"/>
          <w:right w:w="0" w:type="dxa"/>
        </w:tblCellMar>
      </w:tblPr>
      <w:tr>
        <w:trPr>
          <w:trHeight w:val="137"/>
        </w:trPr>
        <w:tc>
          <w:tcPr>
            <w:tcW w:w="8460" w:type="dxa"/>
            <w:vAlign w:val="bottom"/>
          </w:tcPr>
          <w:p>
            <w:pPr>
              <w:spacing w:after="0"/>
              <w:rPr>
                <w:sz w:val="11"/>
                <w:szCs w:val="11"/>
                <w:color w:val="auto"/>
              </w:rPr>
            </w:pPr>
          </w:p>
        </w:tc>
        <w:tc>
          <w:tcPr>
            <w:tcW w:w="2080" w:type="dxa"/>
            <w:vAlign w:val="bottom"/>
            <w:tcBorders>
              <w:bottom w:val="single" w:sz="8" w:color="auto"/>
            </w:tcBorders>
          </w:tcPr>
          <w:p>
            <w:pPr>
              <w:jc w:val="right"/>
              <w:ind w:right="109"/>
              <w:spacing w:after="0"/>
              <w:rPr>
                <w:sz w:val="20"/>
                <w:szCs w:val="20"/>
                <w:color w:val="auto"/>
              </w:rPr>
            </w:pPr>
            <w:r>
              <w:rPr>
                <w:rFonts w:ascii="Arial" w:cs="Arial" w:eastAsia="Arial" w:hAnsi="Arial"/>
                <w:sz w:val="12"/>
                <w:szCs w:val="12"/>
                <w:b w:val="1"/>
                <w:bCs w:val="1"/>
                <w:color w:val="auto"/>
              </w:rPr>
              <w:t>As of June 30,</w:t>
            </w:r>
          </w:p>
        </w:tc>
        <w:tc>
          <w:tcPr>
            <w:tcW w:w="400" w:type="dxa"/>
            <w:vAlign w:val="bottom"/>
            <w:tcBorders>
              <w:bottom w:val="single" w:sz="8" w:color="auto"/>
            </w:tcBorders>
          </w:tcPr>
          <w:p>
            <w:pPr>
              <w:spacing w:after="0"/>
              <w:rPr>
                <w:sz w:val="11"/>
                <w:szCs w:val="11"/>
                <w:color w:val="auto"/>
              </w:rPr>
            </w:pPr>
          </w:p>
        </w:tc>
      </w:tr>
      <w:tr>
        <w:trPr>
          <w:trHeight w:val="129"/>
        </w:trPr>
        <w:tc>
          <w:tcPr>
            <w:tcW w:w="846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jc w:val="right"/>
              <w:ind w:right="1249"/>
              <w:spacing w:after="0" w:line="129" w:lineRule="exact"/>
              <w:rPr>
                <w:sz w:val="20"/>
                <w:szCs w:val="20"/>
                <w:color w:val="auto"/>
              </w:rPr>
            </w:pPr>
            <w:r>
              <w:rPr>
                <w:rFonts w:ascii="Arial" w:cs="Arial" w:eastAsia="Arial" w:hAnsi="Arial"/>
                <w:sz w:val="12"/>
                <w:szCs w:val="12"/>
                <w:b w:val="1"/>
                <w:bCs w:val="1"/>
                <w:color w:val="auto"/>
              </w:rPr>
              <w:t>2012</w:t>
            </w: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w:t>
            </w:r>
          </w:p>
        </w:tc>
      </w:tr>
      <w:tr>
        <w:trPr>
          <w:trHeight w:val="150"/>
        </w:trPr>
        <w:tc>
          <w:tcPr>
            <w:tcW w:w="8460" w:type="dxa"/>
            <w:vAlign w:val="bottom"/>
          </w:tcPr>
          <w:p>
            <w:pPr>
              <w:spacing w:after="0" w:line="150" w:lineRule="exact"/>
              <w:rPr>
                <w:sz w:val="20"/>
                <w:szCs w:val="20"/>
                <w:color w:val="auto"/>
              </w:rPr>
            </w:pPr>
            <w:r>
              <w:rPr>
                <w:rFonts w:ascii="Arial" w:cs="Arial" w:eastAsia="Arial" w:hAnsi="Arial"/>
                <w:sz w:val="15"/>
                <w:szCs w:val="15"/>
                <w:color w:val="auto"/>
              </w:rPr>
              <w:t>Certificate</w:t>
            </w:r>
          </w:p>
        </w:tc>
        <w:tc>
          <w:tcPr>
            <w:tcW w:w="2080" w:type="dxa"/>
            <w:vAlign w:val="bottom"/>
          </w:tcPr>
          <w:p>
            <w:pPr>
              <w:jc w:val="right"/>
              <w:ind w:right="849"/>
              <w:spacing w:after="0" w:line="150" w:lineRule="exact"/>
              <w:rPr>
                <w:sz w:val="20"/>
                <w:szCs w:val="20"/>
                <w:color w:val="auto"/>
              </w:rPr>
            </w:pPr>
            <w:r>
              <w:rPr>
                <w:rFonts w:ascii="Arial" w:cs="Arial" w:eastAsia="Arial" w:hAnsi="Arial"/>
                <w:sz w:val="15"/>
                <w:szCs w:val="15"/>
                <w:b w:val="1"/>
                <w:bCs w:val="1"/>
                <w:color w:val="auto"/>
              </w:rPr>
              <w:t>24.8 %</w:t>
            </w:r>
          </w:p>
        </w:tc>
        <w:tc>
          <w:tcPr>
            <w:tcW w:w="400" w:type="dxa"/>
            <w:vAlign w:val="bottom"/>
          </w:tcPr>
          <w:p>
            <w:pPr>
              <w:jc w:val="right"/>
              <w:spacing w:after="0" w:line="150" w:lineRule="exact"/>
              <w:rPr>
                <w:sz w:val="20"/>
                <w:szCs w:val="20"/>
                <w:color w:val="auto"/>
              </w:rPr>
            </w:pPr>
            <w:r>
              <w:rPr>
                <w:rFonts w:ascii="Arial" w:cs="Arial" w:eastAsia="Arial" w:hAnsi="Arial"/>
                <w:sz w:val="15"/>
                <w:szCs w:val="15"/>
                <w:color w:val="auto"/>
              </w:rPr>
              <w:t>2</w:t>
            </w: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Associate’s</w:t>
            </w:r>
          </w:p>
        </w:tc>
        <w:tc>
          <w:tcPr>
            <w:tcW w:w="2080" w:type="dxa"/>
            <w:vAlign w:val="bottom"/>
          </w:tcPr>
          <w:p>
            <w:pPr>
              <w:jc w:val="right"/>
              <w:ind w:right="849"/>
              <w:spacing w:after="0"/>
              <w:rPr>
                <w:sz w:val="20"/>
                <w:szCs w:val="20"/>
                <w:color w:val="auto"/>
              </w:rPr>
            </w:pPr>
            <w:r>
              <w:rPr>
                <w:rFonts w:ascii="Arial" w:cs="Arial" w:eastAsia="Arial" w:hAnsi="Arial"/>
                <w:sz w:val="15"/>
                <w:szCs w:val="15"/>
                <w:b w:val="1"/>
                <w:bCs w:val="1"/>
                <w:color w:val="auto"/>
              </w:rPr>
              <w:t>28.7 %</w:t>
            </w:r>
          </w:p>
        </w:tc>
        <w:tc>
          <w:tcPr>
            <w:tcW w:w="4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Bachelor’s</w:t>
            </w:r>
          </w:p>
        </w:tc>
        <w:tc>
          <w:tcPr>
            <w:tcW w:w="2080" w:type="dxa"/>
            <w:vAlign w:val="bottom"/>
          </w:tcPr>
          <w:p>
            <w:pPr>
              <w:jc w:val="right"/>
              <w:ind w:right="849"/>
              <w:spacing w:after="0"/>
              <w:rPr>
                <w:sz w:val="20"/>
                <w:szCs w:val="20"/>
                <w:color w:val="auto"/>
              </w:rPr>
            </w:pPr>
            <w:r>
              <w:rPr>
                <w:rFonts w:ascii="Arial" w:cs="Arial" w:eastAsia="Arial" w:hAnsi="Arial"/>
                <w:sz w:val="15"/>
                <w:szCs w:val="15"/>
                <w:b w:val="1"/>
                <w:bCs w:val="1"/>
                <w:color w:val="auto"/>
              </w:rPr>
              <w:t>33.7 %</w:t>
            </w:r>
          </w:p>
        </w:tc>
        <w:tc>
          <w:tcPr>
            <w:tcW w:w="4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90"/>
        </w:trPr>
        <w:tc>
          <w:tcPr>
            <w:tcW w:w="8460" w:type="dxa"/>
            <w:vAlign w:val="bottom"/>
          </w:tcPr>
          <w:p>
            <w:pPr>
              <w:spacing w:after="0"/>
              <w:rPr>
                <w:sz w:val="20"/>
                <w:szCs w:val="20"/>
                <w:color w:val="auto"/>
              </w:rPr>
            </w:pPr>
            <w:r>
              <w:rPr>
                <w:rFonts w:ascii="Arial" w:cs="Arial" w:eastAsia="Arial" w:hAnsi="Arial"/>
                <w:sz w:val="15"/>
                <w:szCs w:val="15"/>
                <w:color w:val="auto"/>
              </w:rPr>
              <w:t>Master’s</w:t>
            </w:r>
          </w:p>
        </w:tc>
        <w:tc>
          <w:tcPr>
            <w:tcW w:w="2080" w:type="dxa"/>
            <w:vAlign w:val="bottom"/>
            <w:tcBorders>
              <w:bottom w:val="single" w:sz="8" w:color="auto"/>
            </w:tcBorders>
          </w:tcPr>
          <w:p>
            <w:pPr>
              <w:jc w:val="right"/>
              <w:ind w:right="849"/>
              <w:spacing w:after="0"/>
              <w:rPr>
                <w:sz w:val="20"/>
                <w:szCs w:val="20"/>
                <w:color w:val="auto"/>
              </w:rPr>
            </w:pPr>
            <w:r>
              <w:rPr>
                <w:rFonts w:ascii="Arial" w:cs="Arial" w:eastAsia="Arial" w:hAnsi="Arial"/>
                <w:sz w:val="15"/>
                <w:szCs w:val="15"/>
                <w:b w:val="1"/>
                <w:bCs w:val="1"/>
                <w:color w:val="auto"/>
              </w:rPr>
              <w:t>12.8 %</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89"/>
        </w:trPr>
        <w:tc>
          <w:tcPr>
            <w:tcW w:w="8460" w:type="dxa"/>
            <w:vAlign w:val="bottom"/>
          </w:tcPr>
          <w:p>
            <w:pPr>
              <w:spacing w:after="0"/>
              <w:rPr>
                <w:sz w:val="16"/>
                <w:szCs w:val="16"/>
                <w:color w:val="auto"/>
              </w:rPr>
            </w:pPr>
          </w:p>
        </w:tc>
        <w:tc>
          <w:tcPr>
            <w:tcW w:w="2080" w:type="dxa"/>
            <w:vAlign w:val="bottom"/>
          </w:tcPr>
          <w:p>
            <w:pPr>
              <w:jc w:val="right"/>
              <w:ind w:right="849"/>
              <w:spacing w:after="0"/>
              <w:rPr>
                <w:sz w:val="20"/>
                <w:szCs w:val="20"/>
                <w:color w:val="auto"/>
              </w:rPr>
            </w:pPr>
            <w:r>
              <w:rPr>
                <w:rFonts w:ascii="Arial" w:cs="Arial" w:eastAsia="Arial" w:hAnsi="Arial"/>
                <w:sz w:val="15"/>
                <w:szCs w:val="15"/>
                <w:b w:val="1"/>
                <w:bCs w:val="1"/>
                <w:color w:val="auto"/>
              </w:rPr>
              <w:t>100.0 %</w:t>
            </w:r>
          </w:p>
        </w:tc>
        <w:tc>
          <w:tcPr>
            <w:tcW w:w="400" w:type="dxa"/>
            <w:vAlign w:val="bottom"/>
          </w:tcPr>
          <w:p>
            <w:pPr>
              <w:jc w:val="right"/>
              <w:spacing w:after="0"/>
              <w:rPr>
                <w:sz w:val="20"/>
                <w:szCs w:val="20"/>
                <w:color w:val="auto"/>
              </w:rPr>
            </w:pPr>
            <w:r>
              <w:rPr>
                <w:rFonts w:ascii="Arial" w:cs="Arial" w:eastAsia="Arial" w:hAnsi="Arial"/>
                <w:sz w:val="15"/>
                <w:szCs w:val="15"/>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5375910</wp:posOffset>
            </wp:positionH>
            <wp:positionV relativeFrom="paragraph">
              <wp:posOffset>-13970</wp:posOffset>
            </wp:positionV>
            <wp:extent cx="157099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70990" cy="7620"/>
                    </a:xfrm>
                    <a:prstGeom prst="rect">
                      <a:avLst/>
                    </a:prstGeom>
                    <a:noFill/>
                  </pic:spPr>
                </pic:pic>
              </a:graphicData>
            </a:graphic>
          </wp:anchor>
        </w:drawing>
        <w:drawing>
          <wp:anchor simplePos="0" relativeHeight="251657728" behindDoc="1" locked="0" layoutInCell="0" allowOverlap="1">
            <wp:simplePos x="0" y="0"/>
            <wp:positionH relativeFrom="column">
              <wp:posOffset>5375910</wp:posOffset>
            </wp:positionH>
            <wp:positionV relativeFrom="paragraph">
              <wp:posOffset>1270</wp:posOffset>
            </wp:positionV>
            <wp:extent cx="157099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70990" cy="7620"/>
                    </a:xfrm>
                    <a:prstGeom prst="rect">
                      <a:avLst/>
                    </a:prstGeom>
                    <a:noFill/>
                  </pic:spPr>
                </pic:pic>
              </a:graphicData>
            </a:graphic>
          </wp:anchor>
        </w:drawing>
      </w: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98" w:right="139" w:bottom="1440" w:gutter="0" w:footer="0" w:header="0"/>
        </w:sectPr>
      </w:pPr>
    </w:p>
    <w:bookmarkStart w:id="8" w:name="page9"/>
    <w:bookmarkEnd w:id="8"/>
    <w:p>
      <w:pPr>
        <w:jc w:val="both"/>
        <w:spacing w:after="0" w:line="230" w:lineRule="auto"/>
        <w:rPr>
          <w:sz w:val="20"/>
          <w:szCs w:val="20"/>
          <w:color w:val="auto"/>
        </w:rPr>
      </w:pPr>
      <w:r>
        <w:rPr>
          <w:rFonts w:ascii="Arial" w:cs="Arial" w:eastAsia="Arial" w:hAnsi="Arial"/>
          <w:sz w:val="17"/>
          <w:szCs w:val="17"/>
          <w:color w:val="auto"/>
        </w:rPr>
        <w:t>Kaplan Test preparation (KTP) includes Kaplan’s standardized test preparation and tutoring offerings and other businesses. KTP revenue declined 4% 9% in the second quarter and first six months of 2012, respectively. Enrollment increased 4% and 8% for the second quarter and first six months of 20 respectively, driven by strength in medical and bar review programs. Enrollment increases were offset by competitive pricing pressure and a continued in demand to lower priced online test preparation offerings. Revenues also declined from the prior year as changes in certain programs and the mix of courses resulted in an increase in average course length and related revenue recognition periods. Total sales bookings at KTP during the first half of 2 were down 3% compared to the first half of 2011. The improvement in KTP operating results in the first half of 2012 is largely from lower operating exp due to recent restructuring activities. Also, $6.2 million and $8.5 million in restructuring costs were recorded in the second quarter and first six months 2011, respectively.</w:t>
      </w:r>
    </w:p>
    <w:p>
      <w:pPr>
        <w:spacing w:after="0" w:line="177"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Kaplan International includes professional training and postsecondary education businesses outside the United States and English-language program May 2011, Kaplan Australia acquired Franklyn Scholar and Carrick Education Group, national providers of vocational training and higher education in Australia. In June 2011, Kaplan acquired Structuralia, a provider of e-learning for the engineering and infrastructure sector in Spain. Kaplan Internation revenue increased 7% and 11% in the second quarter and first six months of 2012, respectively. Excluding revenue from acquired businesses, Kaplan International revenue increased slightly in the second quarter of 2012 and increased 3% in the first six months of 2012 due to enrollment growth in the English-language and Singapore higher education programs. Kaplan International operating income increased in the first half of 2012 due largely to st results in Singapore, offset by combined losses from businesses acquired in 2011. In the second quarter of 2012, Kaplan International results also ben from a favorable net $1.9 million adjustment. This resulted from a favorable expense adjustment to reduce certain items recorded in prior years, offset adjustment to increase liabilities assumed in a 2011 acquisition.</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Most of the businesses previously included in Kaplan Ventures have been sold or moved to other Kaplan divisions. Kaplan Ventures is exploring other alternatives with respect to its remaining businesses, including possible sales.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Corporate represents unallocated expenses of Kaplan, Inc.’s corporate office and other minor shared activities.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Cable Television</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Cable television division revenue increased 2% in the second quarter of 2012 to $195.6 million, from $191.2 million for the second quarter of 2011; for first six months of 2012, revenue increased 1% to $385.8 million, from $381.5 million in the same period of 2011. The revenue increase for the first six months of 2012 is due to continued growth of the division’s Internet and telephone service revenues, offset by an increase in promotional discounts a decline in basic video subscribers.</w:t>
      </w:r>
    </w:p>
    <w:p>
      <w:pPr>
        <w:spacing w:after="0" w:line="175"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Cable television division operating income decreased 5% to $38.4 million, from $ 40.4 million in the second quarter of 2011; cable division operating in for the first six months of 2012 decreased 9% to $71.2 million, from $78.1 million for the first six months of 2011. The division’s operating income decli primarily due to increased programming costs.</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At June 30, 2012, Primary Service Units (PSUs) were up 1% from the prior year due to growth in high-speed data and telephony subscribers, offset by decrease in basic video subscribers. A summary of PSUs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680" w:type="dxa"/>
            <w:vAlign w:val="bottom"/>
          </w:tcPr>
          <w:p>
            <w:pPr>
              <w:spacing w:after="0"/>
              <w:rPr>
                <w:sz w:val="13"/>
                <w:szCs w:val="13"/>
                <w:color w:val="auto"/>
              </w:rPr>
            </w:pP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2"/>
                <w:szCs w:val="12"/>
                <w:b w:val="1"/>
                <w:bCs w:val="1"/>
                <w:color w:val="auto"/>
              </w:rPr>
              <w:t>As of June 30,</w:t>
            </w:r>
          </w:p>
        </w:tc>
        <w:tc>
          <w:tcPr>
            <w:tcW w:w="380" w:type="dxa"/>
            <w:vAlign w:val="bottom"/>
            <w:tcBorders>
              <w:bottom w:val="single" w:sz="8" w:color="auto"/>
            </w:tcBorders>
          </w:tcPr>
          <w:p>
            <w:pPr>
              <w:spacing w:after="0"/>
              <w:rPr>
                <w:sz w:val="13"/>
                <w:szCs w:val="13"/>
                <w:color w:val="auto"/>
              </w:rPr>
            </w:pPr>
          </w:p>
        </w:tc>
      </w:tr>
      <w:tr>
        <w:trPr>
          <w:trHeight w:val="129"/>
        </w:trPr>
        <w:tc>
          <w:tcPr>
            <w:tcW w:w="868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jc w:val="right"/>
              <w:ind w:right="1050"/>
              <w:spacing w:after="0" w:line="129" w:lineRule="exact"/>
              <w:rPr>
                <w:sz w:val="20"/>
                <w:szCs w:val="20"/>
                <w:color w:val="auto"/>
              </w:rPr>
            </w:pPr>
            <w:r>
              <w:rPr>
                <w:rFonts w:ascii="Arial" w:cs="Arial" w:eastAsia="Arial" w:hAnsi="Arial"/>
                <w:sz w:val="12"/>
                <w:szCs w:val="12"/>
                <w:b w:val="1"/>
                <w:bCs w:val="1"/>
                <w:color w:val="auto"/>
              </w:rPr>
              <w:t>2012</w:t>
            </w: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2011</w:t>
            </w:r>
          </w:p>
        </w:tc>
      </w:tr>
      <w:tr>
        <w:trPr>
          <w:trHeight w:val="150"/>
        </w:trPr>
        <w:tc>
          <w:tcPr>
            <w:tcW w:w="8680" w:type="dxa"/>
            <w:vAlign w:val="bottom"/>
          </w:tcPr>
          <w:p>
            <w:pPr>
              <w:spacing w:after="0" w:line="150" w:lineRule="exact"/>
              <w:rPr>
                <w:sz w:val="20"/>
                <w:szCs w:val="20"/>
                <w:color w:val="auto"/>
              </w:rPr>
            </w:pPr>
            <w:r>
              <w:rPr>
                <w:rFonts w:ascii="Arial" w:cs="Arial" w:eastAsia="Arial" w:hAnsi="Arial"/>
                <w:sz w:val="15"/>
                <w:szCs w:val="15"/>
                <w:color w:val="auto"/>
              </w:rPr>
              <w:t>Basic video</w:t>
            </w:r>
          </w:p>
        </w:tc>
        <w:tc>
          <w:tcPr>
            <w:tcW w:w="1880" w:type="dxa"/>
            <w:vAlign w:val="bottom"/>
          </w:tcPr>
          <w:p>
            <w:pPr>
              <w:jc w:val="right"/>
              <w:ind w:right="590"/>
              <w:spacing w:after="0" w:line="150" w:lineRule="exact"/>
              <w:rPr>
                <w:sz w:val="20"/>
                <w:szCs w:val="20"/>
                <w:color w:val="auto"/>
              </w:rPr>
            </w:pPr>
            <w:r>
              <w:rPr>
                <w:rFonts w:ascii="Arial" w:cs="Arial" w:eastAsia="Arial" w:hAnsi="Arial"/>
                <w:sz w:val="15"/>
                <w:szCs w:val="15"/>
                <w:b w:val="1"/>
                <w:bCs w:val="1"/>
                <w:color w:val="auto"/>
              </w:rPr>
              <w:t>612,729</w:t>
            </w:r>
          </w:p>
        </w:tc>
        <w:tc>
          <w:tcPr>
            <w:tcW w:w="380" w:type="dxa"/>
            <w:vAlign w:val="bottom"/>
          </w:tcPr>
          <w:p>
            <w:pPr>
              <w:jc w:val="right"/>
              <w:spacing w:after="0" w:line="150" w:lineRule="exact"/>
              <w:rPr>
                <w:sz w:val="20"/>
                <w:szCs w:val="20"/>
                <w:color w:val="auto"/>
              </w:rPr>
            </w:pPr>
            <w:r>
              <w:rPr>
                <w:rFonts w:ascii="Arial" w:cs="Arial" w:eastAsia="Arial" w:hAnsi="Arial"/>
                <w:sz w:val="15"/>
                <w:szCs w:val="15"/>
                <w:color w:val="auto"/>
              </w:rPr>
              <w:t>6</w:t>
            </w: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High-speed data</w:t>
            </w:r>
          </w:p>
        </w:tc>
        <w:tc>
          <w:tcPr>
            <w:tcW w:w="1880" w:type="dxa"/>
            <w:vAlign w:val="bottom"/>
          </w:tcPr>
          <w:p>
            <w:pPr>
              <w:jc w:val="right"/>
              <w:ind w:right="590"/>
              <w:spacing w:after="0"/>
              <w:rPr>
                <w:sz w:val="20"/>
                <w:szCs w:val="20"/>
                <w:color w:val="auto"/>
              </w:rPr>
            </w:pPr>
            <w:r>
              <w:rPr>
                <w:rFonts w:ascii="Arial" w:cs="Arial" w:eastAsia="Arial" w:hAnsi="Arial"/>
                <w:sz w:val="15"/>
                <w:szCs w:val="15"/>
                <w:b w:val="1"/>
                <w:bCs w:val="1"/>
                <w:color w:val="auto"/>
              </w:rPr>
              <w:t>462,426</w:t>
            </w:r>
          </w:p>
        </w:tc>
        <w:tc>
          <w:tcPr>
            <w:tcW w:w="38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90"/>
        </w:trPr>
        <w:tc>
          <w:tcPr>
            <w:tcW w:w="8680" w:type="dxa"/>
            <w:vAlign w:val="bottom"/>
          </w:tcPr>
          <w:p>
            <w:pPr>
              <w:spacing w:after="0"/>
              <w:rPr>
                <w:sz w:val="20"/>
                <w:szCs w:val="20"/>
                <w:color w:val="auto"/>
              </w:rPr>
            </w:pPr>
            <w:r>
              <w:rPr>
                <w:rFonts w:ascii="Arial" w:cs="Arial" w:eastAsia="Arial" w:hAnsi="Arial"/>
                <w:sz w:val="15"/>
                <w:szCs w:val="15"/>
                <w:color w:val="auto"/>
              </w:rPr>
              <w:t>Telephony</w:t>
            </w:r>
          </w:p>
        </w:tc>
        <w:tc>
          <w:tcPr>
            <w:tcW w:w="1880" w:type="dxa"/>
            <w:vAlign w:val="bottom"/>
            <w:tcBorders>
              <w:bottom w:val="single" w:sz="8" w:color="auto"/>
            </w:tcBorders>
          </w:tcPr>
          <w:p>
            <w:pPr>
              <w:jc w:val="right"/>
              <w:ind w:right="590"/>
              <w:spacing w:after="0"/>
              <w:rPr>
                <w:sz w:val="20"/>
                <w:szCs w:val="20"/>
                <w:color w:val="auto"/>
              </w:rPr>
            </w:pPr>
            <w:r>
              <w:rPr>
                <w:rFonts w:ascii="Arial" w:cs="Arial" w:eastAsia="Arial" w:hAnsi="Arial"/>
                <w:sz w:val="15"/>
                <w:szCs w:val="15"/>
                <w:b w:val="1"/>
                <w:bCs w:val="1"/>
                <w:color w:val="auto"/>
              </w:rPr>
              <w:t>187,095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6"/>
        </w:trPr>
        <w:tc>
          <w:tcPr>
            <w:tcW w:w="8680" w:type="dxa"/>
            <w:vAlign w:val="bottom"/>
          </w:tcPr>
          <w:p>
            <w:pPr>
              <w:spacing w:after="0"/>
              <w:rPr>
                <w:sz w:val="14"/>
                <w:szCs w:val="14"/>
                <w:color w:val="auto"/>
              </w:rPr>
            </w:pPr>
          </w:p>
        </w:tc>
        <w:tc>
          <w:tcPr>
            <w:tcW w:w="1880" w:type="dxa"/>
            <w:vAlign w:val="bottom"/>
            <w:tcBorders>
              <w:bottom w:val="single" w:sz="8" w:color="auto"/>
            </w:tcBorders>
          </w:tcPr>
          <w:p>
            <w:pPr>
              <w:jc w:val="right"/>
              <w:ind w:right="590"/>
              <w:spacing w:after="0" w:line="167" w:lineRule="exact"/>
              <w:rPr>
                <w:sz w:val="20"/>
                <w:szCs w:val="20"/>
                <w:color w:val="auto"/>
              </w:rPr>
            </w:pPr>
            <w:r>
              <w:rPr>
                <w:rFonts w:ascii="Arial" w:cs="Arial" w:eastAsia="Arial" w:hAnsi="Arial"/>
                <w:sz w:val="15"/>
                <w:szCs w:val="15"/>
                <w:b w:val="1"/>
                <w:bCs w:val="1"/>
                <w:color w:val="auto"/>
              </w:rPr>
              <w:t>1,262,250</w:t>
            </w:r>
          </w:p>
        </w:tc>
        <w:tc>
          <w:tcPr>
            <w:tcW w:w="3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1,2</w:t>
            </w:r>
          </w:p>
        </w:tc>
      </w:tr>
      <w:tr>
        <w:trPr>
          <w:trHeight w:val="20"/>
        </w:trPr>
        <w:tc>
          <w:tcPr>
            <w:tcW w:w="86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Newspaper Publishing</w:t>
      </w:r>
    </w:p>
    <w:p>
      <w:pPr>
        <w:spacing w:after="0" w:line="197"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Newspaper publishing division revenue totaled $ 151.8 million for the second quarter of 2012, down 7% from revenue of $162.8 million for the second quarter of 2011; division revenue declined 7% to $294.1 million for the first six months of 2012, from $317.8 million for the first six months of 2011. Pri advertising revenue at The Washington Post in the second quarter of 2012 declined 15% to $56.7 million, from $ 66.6 million in the second quarter of 2 and declined 16% to $109.3 million for the first six months of 2012, from $129.8 million for the first six months of 2011. The decline is largely due to reductions in general advertising. Revenue generated by the Company’s newspaper online publishing activities,</w:t>
      </w:r>
    </w:p>
    <w:p>
      <w:pPr>
        <w:spacing w:after="0" w:line="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34" w:right="139" w:bottom="1440" w:gutter="0" w:footer="0" w:header="0"/>
        </w:sectPr>
      </w:pPr>
    </w:p>
    <w:bookmarkStart w:id="9" w:name="page10"/>
    <w:bookmarkEnd w:id="9"/>
    <w:p>
      <w:pPr>
        <w:jc w:val="both"/>
        <w:spacing w:after="0" w:line="232" w:lineRule="auto"/>
        <w:rPr>
          <w:sz w:val="20"/>
          <w:szCs w:val="20"/>
          <w:color w:val="auto"/>
        </w:rPr>
      </w:pPr>
      <w:r>
        <w:rPr>
          <w:rFonts w:ascii="Arial" w:cs="Arial" w:eastAsia="Arial" w:hAnsi="Arial"/>
          <w:sz w:val="17"/>
          <w:szCs w:val="17"/>
          <w:color w:val="auto"/>
        </w:rPr>
        <w:t>primarily washingtonpost.com and Slate, increased 8% to $26.3 million for the second quarter of 2012, versus $24.3 million for the second quarter of 2 newspaper online revenues increased slightly to $50.6 million for the first six months of 2012, versus $ 50.5 million for the first six months of 2011. Dis online advertising revenue increased 14% and 1% for the second quarter and first six months of 2012, respectively. Online classified advertising reven decreased 2% for both the second quarter and the first six months of 2012.</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the first six months of 2012, Post daily and Sunday circulation declined 9.3% and 6.1%, respectively, compared to the same periods of the prior ye For the six months ended June 30, 2012, average daily circulation at The Washington Post totaled 482,100 and average Sunday circulation totaled 69</w:t>
      </w:r>
    </w:p>
    <w:p>
      <w:pPr>
        <w:spacing w:after="0" w:line="160"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The newspaper publishing division reported an operating loss of $15.9 million in the second quarter of 2012, compared to an operating loss of $2.9 mi the second quarter of 2011. For the first six months of 2012, the newspaper publishing division reported an operating loss of $38.4 million, compared t operating loss of $15.7 million for the first six months of 2011. These operating losses include noncash pension expense of $7.8 million and $ 5.3 millio the second quarter of 2012 and 2011, respectively, and $16.4 million and $12.0 million for the first six months of 2012 and 2011, respectively. The dec operating results for the second quarter of 2012 is primarily due to the revenue reductions discussed above and $3.4 million in severance expense, off partially by a decline in other operating expenses. The decline in operating results for the first half of 2012 is primarily due to the revenue reductions discussed above and $5.3 million in severance and early retirement expenses, offset partially by a decline in other operating expenses. Newsprint exp was down 10% and 11% for the second quarter and first six months of 2012, respectively, due to a decline in newsprint consumption.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Television Broadcasting</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Revenue for the television broadcasting division increased 13% in the second quarter of 2012 to $95.6 million, from $84.9 million in the same period o 2011; operating income for the second quarter of 2012 increased 34% to $43.7 million, from $32.6 million in the same period of 2011. For the first six months of 2012, revenue increased 13% to $177.1 million, from $157.1 million in the same period of 2011; operating income for the first six months of increased 43% to $74.7 million, from $52.2 million in the same period of 2011.</w:t>
      </w:r>
    </w:p>
    <w:p>
      <w:pPr>
        <w:spacing w:after="0" w:line="175"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The increase in revenue and operating income for the second quarter and first six months of 2012 reflects improved advertising demand across many product categories, including a $4.4 million and $6.6 million increase in political advertising revenue in the second quarter and first six months of 2012 respectively. Expense reductions from various cost control initiatives also contributed to the improvement in operating results.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Businesses</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Other businesses includes the operating results of Avenue100 Media Solutions and WaPo Labs, a digital team focused on emerging technologies and product development.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As previously announced, the Company divested its interest in Avenue100 Media Solutions on July 31, 2012.</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Office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Corporate office includes the expenses of the Company’s corporate office as well as a net pension credit.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Equity in Earnings (Losses) of Affiliates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Company holds a 49% interest in Bowater Mersey Paper Company, a 16.5% interest in Classified Ventures, LLC and interests in several other aff</w:t>
      </w:r>
    </w:p>
    <w:p>
      <w:pPr>
        <w:spacing w:after="0" w:line="188"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The Company’s equity in earnings of affiliates, net, for the second quarter of 2012 was $3.3 million, compared to $3.1 million for the second quarter of For the first six months of 2012, the Company’s equity in earnings of affiliates, net, totaled $7.2 million, compared to $6.9 million for the same period o 2011.</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Non-Operating Income (Expense)</w:t>
      </w:r>
    </w:p>
    <w:p>
      <w:pPr>
        <w:spacing w:after="0" w:line="197"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The Company recorded other non-operating expense, net, of $1.2 million for the second quarter of 2012, compared to other non-operating expense, n $2.6 million for the second quarter of 2011. The second quarter 2012 non-operating</w:t>
      </w:r>
    </w:p>
    <w:p>
      <w:pPr>
        <w:spacing w:after="0" w:line="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48" w:right="139" w:bottom="1440" w:gutter="0" w:footer="0" w:header="0"/>
        </w:sectPr>
      </w:pPr>
    </w:p>
    <w:bookmarkStart w:id="10" w:name="page11"/>
    <w:bookmarkEnd w:id="10"/>
    <w:p>
      <w:pPr>
        <w:jc w:val="both"/>
        <w:spacing w:after="0" w:line="260" w:lineRule="auto"/>
        <w:rPr>
          <w:sz w:val="20"/>
          <w:szCs w:val="20"/>
          <w:color w:val="auto"/>
        </w:rPr>
      </w:pPr>
      <w:r>
        <w:rPr>
          <w:rFonts w:ascii="Arial" w:cs="Arial" w:eastAsia="Arial" w:hAnsi="Arial"/>
          <w:sz w:val="16"/>
          <w:szCs w:val="16"/>
          <w:color w:val="auto"/>
        </w:rPr>
        <w:t>expense, net, included $2.6 million in unrealized foreign currency losses, offset by other items. The second quarter 2011 non-operating expense, net, included $3.1 million for an impairment write-down on a cost method investment, offset by $0.3 million in unrealized foreign currency gains and other it</w:t>
      </w:r>
    </w:p>
    <w:p>
      <w:pPr>
        <w:spacing w:after="0" w:line="16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Company recorded non-operating income, net, of $7.4 million for the first six months of 2012, compared to other non-operating expense, net, of $ million for the same period of the prior year. The 2012 non-operating income, net, included a $7.3 million gain on sales of cost method investments, $0 million in unrealized foreign currency gains and other items. The 2011 non-operating expense, net, included a $30.7 million write-down of a marketabl equity security (Corinthian Colleges, Inc.), offset by $3.0 million in unrealized foreign currency gains and other items.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Net Interest Expense</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incurred net interest expense of $8.2 million and $16.3 million for the second quarter and first six months of 2012, respectively, compar $7.0 million and $13.9 million for the same periods of 2011. At June 30, 2012, the Company had $455.7 million in borrowings outstanding, at an avera interest rate of 7.0%.</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Provision for Income Taxes</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effective tax rate for income from continuing operations for the first six months of 2012 was 40.2%, compared to 37.0% for the first six months of 2 The higher effective tax rate in 2012 results primarily from losses in Australia for which no tax benefit is recorded.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Discontinued Operations</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Kaplan sold EduNeering in April 2012, Kaplan Learning Technologies in February 2012, Kaplan Compliance Solutions in October 2011 and Kaplan Vir Education in July 2011. Consequently, the Company’s income from continuing operations excludes these businesses, which have been reclassified to discontinued operations, net of tax.</w:t>
      </w:r>
    </w:p>
    <w:p>
      <w:pPr>
        <w:spacing w:after="0" w:line="175"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The sale of Kaplan Learning Technologies resulted in a pre-tax loss of $3.1 million that was recorded in the first quarter of 2012. The sale of EduNeeri resulted in a pre-tax gain of $29.5 million that was recorded in the second quarter of 2012.</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connection with each of the sales of the Company’s stock in EduNeering and Kaplan Learning Technologies, in the first quarter of 2012, the Compa recorded $23.2 million of income tax benefits related to the excess of the outside stock tax basis over the net book value of the net assets disposed.</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Earnings (Loss) Per Share</w:t>
      </w:r>
    </w:p>
    <w:p>
      <w:pPr>
        <w:spacing w:after="0" w:line="1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calculation of diluted earnings per share for the second quarter and first six months of 2012 was based on 7,545,150 and 7,579,888 weighted ave shares outstanding, respectively, compared to 7,933,459 and 8,026,424, respectively, for the second quarter and first six months of 2011. In the first si months of 2012, the Company repurchased 218,282 shares of its Class B common stock at a cost of $74.5 million. At June 30, 2012, there were 7,44 shares outstanding and the Company had remaining authorization from the Board of Directors to purchase up to 275,192 shares of Class B common 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197"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 statements. For more information about these forward-looking statements and related risks, please refer to the section titled “Forward-Looking Statem in Part I of the Company’s Annual Report on Form 10-K.</w:t>
      </w:r>
    </w:p>
    <w:p>
      <w:pPr>
        <w:spacing w:after="0" w:line="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48" w:right="139" w:bottom="1440" w:gutter="0" w:footer="0" w:header="0"/>
        </w:sectPr>
      </w:pPr>
    </w:p>
    <w:bookmarkStart w:id="11" w:name="page12"/>
    <w:bookmarkEnd w:id="11"/>
    <w:p>
      <w:pPr>
        <w:jc w:val="center"/>
        <w:ind w:left="1160"/>
        <w:spacing w:after="0"/>
        <w:rPr>
          <w:sz w:val="20"/>
          <w:szCs w:val="20"/>
          <w:color w:val="auto"/>
        </w:rPr>
      </w:pPr>
      <w:r>
        <w:rPr>
          <w:rFonts w:ascii="Arial" w:cs="Arial" w:eastAsia="Arial" w:hAnsi="Arial"/>
          <w:sz w:val="17"/>
          <w:szCs w:val="17"/>
          <w:color w:val="auto"/>
        </w:rPr>
        <w:t>THE WASHINGTON POST COMPANY</w:t>
      </w:r>
    </w:p>
    <w:p>
      <w:pPr>
        <w:jc w:val="center"/>
        <w:ind w:left="1160"/>
        <w:spacing w:after="0" w:line="228" w:lineRule="auto"/>
        <w:rPr>
          <w:sz w:val="20"/>
          <w:szCs w:val="20"/>
          <w:color w:val="auto"/>
        </w:rPr>
      </w:pPr>
      <w:r>
        <w:rPr>
          <w:rFonts w:ascii="Arial" w:cs="Arial" w:eastAsia="Arial" w:hAnsi="Arial"/>
          <w:sz w:val="17"/>
          <w:szCs w:val="17"/>
          <w:u w:val="single" w:color="auto"/>
          <w:color w:val="auto"/>
        </w:rPr>
        <w:t>CONSOLIDATED STATEMENTS OF OPERATIONS</w:t>
      </w:r>
    </w:p>
    <w:p>
      <w:pPr>
        <w:jc w:val="center"/>
        <w:ind w:left="1160"/>
        <w:spacing w:after="0"/>
        <w:rPr>
          <w:sz w:val="20"/>
          <w:szCs w:val="20"/>
          <w:color w:val="auto"/>
        </w:rPr>
      </w:pPr>
      <w:r>
        <w:rPr>
          <w:rFonts w:ascii="Arial" w:cs="Arial" w:eastAsia="Arial" w:hAnsi="Arial"/>
          <w:sz w:val="17"/>
          <w:szCs w:val="17"/>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8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88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ind w:right="519"/>
              <w:spacing w:after="0"/>
              <w:rPr>
                <w:sz w:val="20"/>
                <w:szCs w:val="20"/>
                <w:color w:val="auto"/>
              </w:rPr>
            </w:pPr>
            <w:r>
              <w:rPr>
                <w:rFonts w:ascii="Arial" w:cs="Arial" w:eastAsia="Arial" w:hAnsi="Arial"/>
                <w:sz w:val="12"/>
                <w:szCs w:val="12"/>
                <w:b w:val="1"/>
                <w:bCs w:val="1"/>
                <w:color w:val="auto"/>
              </w:rPr>
              <w:t>June 30,</w:t>
            </w:r>
          </w:p>
        </w:tc>
        <w:tc>
          <w:tcPr>
            <w:tcW w:w="560" w:type="dxa"/>
            <w:vAlign w:val="bottom"/>
          </w:tcPr>
          <w:p>
            <w:pPr>
              <w:spacing w:after="0"/>
              <w:rPr>
                <w:sz w:val="15"/>
                <w:szCs w:val="15"/>
                <w:color w:val="auto"/>
              </w:rPr>
            </w:pPr>
          </w:p>
        </w:tc>
        <w:tc>
          <w:tcPr>
            <w:tcW w:w="880" w:type="dxa"/>
            <w:vAlign w:val="bottom"/>
          </w:tcPr>
          <w:p>
            <w:pPr>
              <w:jc w:val="right"/>
              <w:ind w:right="439"/>
              <w:spacing w:after="0"/>
              <w:rPr>
                <w:sz w:val="20"/>
                <w:szCs w:val="20"/>
                <w:color w:val="auto"/>
              </w:rPr>
            </w:pPr>
            <w:r>
              <w:rPr>
                <w:rFonts w:ascii="Arial" w:cs="Arial" w:eastAsia="Arial" w:hAnsi="Arial"/>
                <w:sz w:val="12"/>
                <w:szCs w:val="12"/>
                <w:color w:val="auto"/>
                <w:w w:val="97"/>
              </w:rPr>
              <w:t>July 3,</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580" w:type="dxa"/>
            <w:vAlign w:val="bottom"/>
          </w:tcPr>
          <w:p>
            <w:pPr>
              <w:spacing w:after="0"/>
              <w:rPr>
                <w:sz w:val="13"/>
                <w:szCs w:val="13"/>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18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2012</w:t>
            </w: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color w:val="auto"/>
              </w:rPr>
              <w:t>2011</w:t>
            </w:r>
          </w:p>
        </w:tc>
        <w:tc>
          <w:tcPr>
            <w:tcW w:w="640" w:type="dxa"/>
            <w:vAlign w:val="bottom"/>
            <w:tcBorders>
              <w:bottom w:val="single" w:sz="8" w:color="auto"/>
            </w:tcBorders>
            <w:gridSpan w:val="2"/>
          </w:tcPr>
          <w:p>
            <w:pPr>
              <w:ind w:left="500"/>
              <w:spacing w:after="0"/>
              <w:rPr>
                <w:sz w:val="20"/>
                <w:szCs w:val="20"/>
                <w:color w:val="auto"/>
              </w:rPr>
            </w:pPr>
            <w:r>
              <w:rPr>
                <w:rFonts w:ascii="Arial" w:cs="Arial" w:eastAsia="Arial" w:hAnsi="Arial"/>
                <w:sz w:val="12"/>
                <w:szCs w:val="12"/>
                <w:color w:val="auto"/>
                <w:w w:val="77"/>
              </w:rPr>
              <w:t>Ch</w:t>
            </w: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Operating revenues</w:t>
            </w:r>
          </w:p>
        </w:tc>
        <w:tc>
          <w:tcPr>
            <w:tcW w:w="2220" w:type="dxa"/>
            <w:vAlign w:val="bottom"/>
            <w:gridSpan w:val="2"/>
          </w:tcPr>
          <w:p>
            <w:pPr>
              <w:jc w:val="right"/>
              <w:ind w:right="17"/>
              <w:spacing w:after="0" w:line="170" w:lineRule="exact"/>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1,006,919</w:t>
            </w:r>
          </w:p>
        </w:tc>
        <w:tc>
          <w:tcPr>
            <w:tcW w:w="560" w:type="dxa"/>
            <w:vAlign w:val="bottom"/>
          </w:tcPr>
          <w:p>
            <w:pPr>
              <w:jc w:val="right"/>
              <w:ind w:right="197"/>
              <w:spacing w:after="0" w:line="170" w:lineRule="exact"/>
              <w:rPr>
                <w:sz w:val="20"/>
                <w:szCs w:val="20"/>
                <w:color w:val="auto"/>
              </w:rPr>
            </w:pPr>
            <w:r>
              <w:rPr>
                <w:rFonts w:ascii="Arial" w:cs="Arial" w:eastAsia="Arial" w:hAnsi="Arial"/>
                <w:sz w:val="17"/>
                <w:szCs w:val="17"/>
                <w:color w:val="auto"/>
              </w:rPr>
              <w:t>$</w:t>
            </w:r>
          </w:p>
        </w:tc>
        <w:tc>
          <w:tcPr>
            <w:tcW w:w="880" w:type="dxa"/>
            <w:vAlign w:val="bottom"/>
          </w:tcPr>
          <w:p>
            <w:pPr>
              <w:jc w:val="right"/>
              <w:spacing w:after="0" w:line="170" w:lineRule="exact"/>
              <w:rPr>
                <w:sz w:val="20"/>
                <w:szCs w:val="20"/>
                <w:color w:val="auto"/>
              </w:rPr>
            </w:pPr>
            <w:r>
              <w:rPr>
                <w:rFonts w:ascii="Arial" w:cs="Arial" w:eastAsia="Arial" w:hAnsi="Arial"/>
                <w:sz w:val="17"/>
                <w:szCs w:val="17"/>
                <w:color w:val="auto"/>
              </w:rPr>
              <w:t>1,061,258</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Operating expenses</w:t>
            </w: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Arial" w:cs="Arial" w:eastAsia="Arial" w:hAnsi="Arial"/>
                <w:sz w:val="17"/>
                <w:szCs w:val="17"/>
                <w:b w:val="1"/>
                <w:bCs w:val="1"/>
                <w:color w:val="auto"/>
              </w:rPr>
              <w:t>(879,145)</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(909,939)</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Depreciation of property, plant and equipment</w:t>
            </w: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Arial" w:cs="Arial" w:eastAsia="Arial" w:hAnsi="Arial"/>
                <w:sz w:val="17"/>
                <w:szCs w:val="17"/>
                <w:b w:val="1"/>
                <w:bCs w:val="1"/>
                <w:color w:val="auto"/>
              </w:rPr>
              <w:t>(62,978)</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(62,882)</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Amortization of intangible assets</w:t>
            </w:r>
          </w:p>
        </w:tc>
        <w:tc>
          <w:tcPr>
            <w:tcW w:w="1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(4,443)</w:t>
            </w: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(6,338)</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Operating income</w:t>
            </w:r>
          </w:p>
        </w:tc>
        <w:tc>
          <w:tcPr>
            <w:tcW w:w="1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60,353</w:t>
            </w:r>
          </w:p>
        </w:tc>
        <w:tc>
          <w:tcPr>
            <w:tcW w:w="560" w:type="dxa"/>
            <w:vAlign w:val="bottom"/>
          </w:tcPr>
          <w:p>
            <w:pPr>
              <w:spacing w:after="0"/>
              <w:rPr>
                <w:sz w:val="14"/>
                <w:szCs w:val="14"/>
                <w:color w:val="auto"/>
              </w:rPr>
            </w:pPr>
          </w:p>
        </w:tc>
        <w:tc>
          <w:tcPr>
            <w:tcW w:w="880" w:type="dxa"/>
            <w:vAlign w:val="bottom"/>
          </w:tcPr>
          <w:p>
            <w:pPr>
              <w:jc w:val="right"/>
              <w:spacing w:after="0" w:line="170" w:lineRule="exact"/>
              <w:rPr>
                <w:sz w:val="20"/>
                <w:szCs w:val="20"/>
                <w:color w:val="auto"/>
              </w:rPr>
            </w:pPr>
            <w:r>
              <w:rPr>
                <w:rFonts w:ascii="Arial" w:cs="Arial" w:eastAsia="Arial" w:hAnsi="Arial"/>
                <w:sz w:val="17"/>
                <w:szCs w:val="17"/>
                <w:color w:val="auto"/>
              </w:rPr>
              <w:t>82,099</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Equity in earnings of affiliates, net</w:t>
            </w: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Arial" w:cs="Arial" w:eastAsia="Arial" w:hAnsi="Arial"/>
                <w:sz w:val="17"/>
                <w:szCs w:val="17"/>
                <w:b w:val="1"/>
                <w:bCs w:val="1"/>
                <w:color w:val="auto"/>
              </w:rPr>
              <w:t>3,314</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3,138</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Interest income</w:t>
            </w: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Arial" w:cs="Arial" w:eastAsia="Arial" w:hAnsi="Arial"/>
                <w:sz w:val="17"/>
                <w:szCs w:val="17"/>
                <w:b w:val="1"/>
                <w:bCs w:val="1"/>
                <w:color w:val="auto"/>
              </w:rPr>
              <w:t>775</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997</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Interest expense</w:t>
            </w: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Arial" w:cs="Arial" w:eastAsia="Arial" w:hAnsi="Arial"/>
                <w:sz w:val="17"/>
                <w:szCs w:val="17"/>
                <w:b w:val="1"/>
                <w:bCs w:val="1"/>
                <w:color w:val="auto"/>
              </w:rPr>
              <w:t>(8,979)</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(7,960)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Other expense, net</w:t>
            </w:r>
          </w:p>
        </w:tc>
        <w:tc>
          <w:tcPr>
            <w:tcW w:w="1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(1,160)</w:t>
            </w: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(2,591)</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Income from continuing operations before income taxes</w:t>
            </w:r>
          </w:p>
        </w:tc>
        <w:tc>
          <w:tcPr>
            <w:tcW w:w="1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54,303</w:t>
            </w:r>
          </w:p>
        </w:tc>
        <w:tc>
          <w:tcPr>
            <w:tcW w:w="560" w:type="dxa"/>
            <w:vAlign w:val="bottom"/>
          </w:tcPr>
          <w:p>
            <w:pPr>
              <w:spacing w:after="0"/>
              <w:rPr>
                <w:sz w:val="14"/>
                <w:szCs w:val="14"/>
                <w:color w:val="auto"/>
              </w:rPr>
            </w:pPr>
          </w:p>
        </w:tc>
        <w:tc>
          <w:tcPr>
            <w:tcW w:w="880" w:type="dxa"/>
            <w:vAlign w:val="bottom"/>
          </w:tcPr>
          <w:p>
            <w:pPr>
              <w:jc w:val="right"/>
              <w:spacing w:after="0" w:line="170" w:lineRule="exact"/>
              <w:rPr>
                <w:sz w:val="20"/>
                <w:szCs w:val="20"/>
                <w:color w:val="auto"/>
              </w:rPr>
            </w:pPr>
            <w:r>
              <w:rPr>
                <w:rFonts w:ascii="Arial" w:cs="Arial" w:eastAsia="Arial" w:hAnsi="Arial"/>
                <w:sz w:val="17"/>
                <w:szCs w:val="17"/>
                <w:color w:val="auto"/>
              </w:rPr>
              <w:t>75,683</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1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20,100</w:t>
            </w: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27,900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Income from continuing operations</w:t>
            </w:r>
          </w:p>
        </w:tc>
        <w:tc>
          <w:tcPr>
            <w:tcW w:w="1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34,203</w:t>
            </w:r>
          </w:p>
        </w:tc>
        <w:tc>
          <w:tcPr>
            <w:tcW w:w="560" w:type="dxa"/>
            <w:vAlign w:val="bottom"/>
          </w:tcPr>
          <w:p>
            <w:pPr>
              <w:spacing w:after="0"/>
              <w:rPr>
                <w:sz w:val="14"/>
                <w:szCs w:val="14"/>
                <w:color w:val="auto"/>
              </w:rPr>
            </w:pPr>
          </w:p>
        </w:tc>
        <w:tc>
          <w:tcPr>
            <w:tcW w:w="880" w:type="dxa"/>
            <w:vAlign w:val="bottom"/>
          </w:tcPr>
          <w:p>
            <w:pPr>
              <w:jc w:val="right"/>
              <w:spacing w:after="0" w:line="170" w:lineRule="exact"/>
              <w:rPr>
                <w:sz w:val="20"/>
                <w:szCs w:val="20"/>
                <w:color w:val="auto"/>
              </w:rPr>
            </w:pPr>
            <w:r>
              <w:rPr>
                <w:rFonts w:ascii="Arial" w:cs="Arial" w:eastAsia="Arial" w:hAnsi="Arial"/>
                <w:sz w:val="17"/>
                <w:szCs w:val="17"/>
                <w:color w:val="auto"/>
              </w:rPr>
              <w:t>47,783</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Income (loss) from discontinued operations, net of tax</w:t>
            </w:r>
          </w:p>
        </w:tc>
        <w:tc>
          <w:tcPr>
            <w:tcW w:w="1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17,844</w:t>
            </w: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Net income</w:t>
            </w:r>
          </w:p>
        </w:tc>
        <w:tc>
          <w:tcPr>
            <w:tcW w:w="1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52,047</w:t>
            </w:r>
          </w:p>
        </w:tc>
        <w:tc>
          <w:tcPr>
            <w:tcW w:w="560" w:type="dxa"/>
            <w:vAlign w:val="bottom"/>
          </w:tcPr>
          <w:p>
            <w:pPr>
              <w:spacing w:after="0"/>
              <w:rPr>
                <w:sz w:val="14"/>
                <w:szCs w:val="14"/>
                <w:color w:val="auto"/>
              </w:rPr>
            </w:pPr>
          </w:p>
        </w:tc>
        <w:tc>
          <w:tcPr>
            <w:tcW w:w="880" w:type="dxa"/>
            <w:vAlign w:val="bottom"/>
          </w:tcPr>
          <w:p>
            <w:pPr>
              <w:jc w:val="right"/>
              <w:spacing w:after="0" w:line="170" w:lineRule="exact"/>
              <w:rPr>
                <w:sz w:val="20"/>
                <w:szCs w:val="20"/>
                <w:color w:val="auto"/>
              </w:rPr>
            </w:pPr>
            <w:r>
              <w:rPr>
                <w:rFonts w:ascii="Arial" w:cs="Arial" w:eastAsia="Arial" w:hAnsi="Arial"/>
                <w:sz w:val="17"/>
                <w:szCs w:val="17"/>
                <w:color w:val="auto"/>
              </w:rPr>
              <w:t>45,763</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Net (income) loss attributable to noncontrolling interests</w:t>
            </w:r>
          </w:p>
        </w:tc>
        <w:tc>
          <w:tcPr>
            <w:tcW w:w="1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(11)</w:t>
            </w: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Net income attributable to The Washington Post Company</w:t>
            </w:r>
          </w:p>
        </w:tc>
        <w:tc>
          <w:tcPr>
            <w:tcW w:w="1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52,036</w:t>
            </w:r>
          </w:p>
        </w:tc>
        <w:tc>
          <w:tcPr>
            <w:tcW w:w="560" w:type="dxa"/>
            <w:vAlign w:val="bottom"/>
          </w:tcPr>
          <w:p>
            <w:pPr>
              <w:spacing w:after="0"/>
              <w:rPr>
                <w:sz w:val="14"/>
                <w:szCs w:val="14"/>
                <w:color w:val="auto"/>
              </w:rPr>
            </w:pPr>
          </w:p>
        </w:tc>
        <w:tc>
          <w:tcPr>
            <w:tcW w:w="880" w:type="dxa"/>
            <w:vAlign w:val="bottom"/>
          </w:tcPr>
          <w:p>
            <w:pPr>
              <w:jc w:val="right"/>
              <w:spacing w:after="0" w:line="170" w:lineRule="exact"/>
              <w:rPr>
                <w:sz w:val="20"/>
                <w:szCs w:val="20"/>
                <w:color w:val="auto"/>
              </w:rPr>
            </w:pPr>
            <w:r>
              <w:rPr>
                <w:rFonts w:ascii="Arial" w:cs="Arial" w:eastAsia="Arial" w:hAnsi="Arial"/>
                <w:sz w:val="17"/>
                <w:szCs w:val="17"/>
                <w:color w:val="auto"/>
              </w:rPr>
              <w:t>45,803</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Redeemable preferred stock dividends</w:t>
            </w:r>
          </w:p>
        </w:tc>
        <w:tc>
          <w:tcPr>
            <w:tcW w:w="1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(222)</w:t>
            </w: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b w:val="1"/>
                <w:bCs w:val="1"/>
                <w:color w:val="auto"/>
              </w:rPr>
              <w:t>Net Income Attributable to The Washington Post Company</w:t>
            </w:r>
          </w:p>
        </w:tc>
        <w:tc>
          <w:tcPr>
            <w:tcW w:w="2220" w:type="dxa"/>
            <w:vAlign w:val="bottom"/>
            <w:gridSpan w:val="2"/>
            <w:vMerge w:val="restart"/>
          </w:tcPr>
          <w:p>
            <w:pPr>
              <w:jc w:val="right"/>
              <w:ind w:right="17"/>
              <w:spacing w:after="0"/>
              <w:rPr>
                <w:sz w:val="20"/>
                <w:szCs w:val="20"/>
                <w:color w:val="auto"/>
              </w:rPr>
            </w:pPr>
            <w:r>
              <w:rPr>
                <w:rFonts w:ascii="Arial" w:cs="Arial" w:eastAsia="Arial" w:hAnsi="Arial"/>
                <w:sz w:val="17"/>
                <w:szCs w:val="17"/>
                <w:b w:val="1"/>
                <w:bCs w:val="1"/>
                <w:color w:val="auto"/>
              </w:rPr>
              <w:t>$</w:t>
            </w:r>
          </w:p>
        </w:tc>
        <w:tc>
          <w:tcPr>
            <w:tcW w:w="120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51,814</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5440" w:type="dxa"/>
            <w:vAlign w:val="bottom"/>
          </w:tcPr>
          <w:p>
            <w:pPr>
              <w:ind w:left="220"/>
              <w:spacing w:after="0"/>
              <w:rPr>
                <w:sz w:val="20"/>
                <w:szCs w:val="20"/>
                <w:color w:val="auto"/>
              </w:rPr>
            </w:pPr>
            <w:r>
              <w:rPr>
                <w:rFonts w:ascii="Arial" w:cs="Arial" w:eastAsia="Arial" w:hAnsi="Arial"/>
                <w:sz w:val="17"/>
                <w:szCs w:val="17"/>
                <w:b w:val="1"/>
                <w:bCs w:val="1"/>
                <w:color w:val="auto"/>
              </w:rPr>
              <w:t>Common Stockholders</w:t>
            </w:r>
          </w:p>
        </w:tc>
        <w:tc>
          <w:tcPr>
            <w:tcW w:w="222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56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45,573</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vMerge w:val="restart"/>
          </w:tcPr>
          <w:p>
            <w:pPr>
              <w:spacing w:after="0"/>
              <w:rPr>
                <w:sz w:val="20"/>
                <w:szCs w:val="20"/>
                <w:color w:val="auto"/>
              </w:rPr>
            </w:pPr>
            <w:r>
              <w:rPr>
                <w:rFonts w:ascii="Arial" w:cs="Arial" w:eastAsia="Arial" w:hAnsi="Arial"/>
                <w:sz w:val="17"/>
                <w:szCs w:val="17"/>
                <w:b w:val="1"/>
                <w:bCs w:val="1"/>
                <w:color w:val="auto"/>
              </w:rPr>
              <w:t>Amounts Attributable to The Washington Post Company</w:t>
            </w:r>
          </w:p>
        </w:tc>
        <w:tc>
          <w:tcPr>
            <w:tcW w:w="1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8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440" w:type="dxa"/>
            <w:vAlign w:val="bottom"/>
          </w:tcPr>
          <w:p>
            <w:pPr>
              <w:ind w:left="280"/>
              <w:spacing w:after="0"/>
              <w:rPr>
                <w:sz w:val="20"/>
                <w:szCs w:val="20"/>
                <w:color w:val="auto"/>
              </w:rPr>
            </w:pPr>
            <w:r>
              <w:rPr>
                <w:rFonts w:ascii="Arial" w:cs="Arial" w:eastAsia="Arial" w:hAnsi="Arial"/>
                <w:sz w:val="17"/>
                <w:szCs w:val="17"/>
                <w:b w:val="1"/>
                <w:bCs w:val="1"/>
                <w:color w:val="auto"/>
              </w:rPr>
              <w:t>Common Stockholders</w:t>
            </w:r>
          </w:p>
        </w:tc>
        <w:tc>
          <w:tcPr>
            <w:tcW w:w="2220" w:type="dxa"/>
            <w:vAlign w:val="bottom"/>
            <w:gridSpan w:val="2"/>
            <w:vMerge w:val="restart"/>
          </w:tcPr>
          <w:p>
            <w:pPr>
              <w:jc w:val="right"/>
              <w:ind w:right="17"/>
              <w:spacing w:after="0"/>
              <w:rPr>
                <w:sz w:val="20"/>
                <w:szCs w:val="20"/>
                <w:color w:val="auto"/>
              </w:rPr>
            </w:pPr>
            <w:r>
              <w:rPr>
                <w:rFonts w:ascii="Arial" w:cs="Arial" w:eastAsia="Arial" w:hAnsi="Arial"/>
                <w:sz w:val="17"/>
                <w:szCs w:val="17"/>
                <w:b w:val="1"/>
                <w:bCs w:val="1"/>
                <w:color w:val="auto"/>
              </w:rPr>
              <w:t>$</w:t>
            </w:r>
          </w:p>
        </w:tc>
        <w:tc>
          <w:tcPr>
            <w:tcW w:w="120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33,970</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80" w:lineRule="exact"/>
              <w:rPr>
                <w:sz w:val="20"/>
                <w:szCs w:val="20"/>
                <w:color w:val="auto"/>
              </w:rPr>
            </w:pPr>
            <w:r>
              <w:rPr>
                <w:rFonts w:ascii="Arial" w:cs="Arial" w:eastAsia="Arial" w:hAnsi="Arial"/>
                <w:sz w:val="17"/>
                <w:szCs w:val="17"/>
                <w:color w:val="auto"/>
              </w:rPr>
              <w:t>Income from continuing operations</w:t>
            </w:r>
          </w:p>
        </w:tc>
        <w:tc>
          <w:tcPr>
            <w:tcW w:w="222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560" w:type="dxa"/>
            <w:vAlign w:val="bottom"/>
          </w:tcPr>
          <w:p>
            <w:pPr>
              <w:jc w:val="right"/>
              <w:ind w:right="197"/>
              <w:spacing w:after="0" w:line="180" w:lineRule="exact"/>
              <w:rPr>
                <w:sz w:val="20"/>
                <w:szCs w:val="20"/>
                <w:color w:val="auto"/>
              </w:rPr>
            </w:pPr>
            <w:r>
              <w:rPr>
                <w:rFonts w:ascii="Arial" w:cs="Arial" w:eastAsia="Arial" w:hAnsi="Arial"/>
                <w:sz w:val="17"/>
                <w:szCs w:val="17"/>
                <w:color w:val="auto"/>
              </w:rPr>
              <w:t>$</w:t>
            </w:r>
          </w:p>
        </w:tc>
        <w:tc>
          <w:tcPr>
            <w:tcW w:w="880" w:type="dxa"/>
            <w:vAlign w:val="bottom"/>
          </w:tcPr>
          <w:p>
            <w:pPr>
              <w:jc w:val="right"/>
              <w:spacing w:after="0" w:line="180" w:lineRule="exact"/>
              <w:rPr>
                <w:sz w:val="20"/>
                <w:szCs w:val="20"/>
                <w:color w:val="auto"/>
              </w:rPr>
            </w:pPr>
            <w:r>
              <w:rPr>
                <w:rFonts w:ascii="Arial" w:cs="Arial" w:eastAsia="Arial" w:hAnsi="Arial"/>
                <w:sz w:val="17"/>
                <w:szCs w:val="17"/>
                <w:color w:val="auto"/>
              </w:rPr>
              <w:t>47,593</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Income (loss) from discontinued operations, net of tax</w:t>
            </w:r>
          </w:p>
        </w:tc>
        <w:tc>
          <w:tcPr>
            <w:tcW w:w="1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17,844</w:t>
            </w: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Arial" w:cs="Arial" w:eastAsia="Arial" w:hAnsi="Arial"/>
                <w:sz w:val="17"/>
                <w:szCs w:val="17"/>
                <w:color w:val="auto"/>
              </w:rPr>
              <w:t>Net income</w:t>
            </w:r>
          </w:p>
        </w:tc>
        <w:tc>
          <w:tcPr>
            <w:tcW w:w="1880" w:type="dxa"/>
            <w:vAlign w:val="bottom"/>
          </w:tcPr>
          <w:p>
            <w:pPr>
              <w:spacing w:after="0"/>
              <w:rPr>
                <w:sz w:val="15"/>
                <w:szCs w:val="15"/>
                <w:color w:val="auto"/>
              </w:rPr>
            </w:pPr>
          </w:p>
        </w:tc>
        <w:tc>
          <w:tcPr>
            <w:tcW w:w="340" w:type="dxa"/>
            <w:vAlign w:val="bottom"/>
            <w:tcBorders>
              <w:bottom w:val="single" w:sz="8" w:color="auto"/>
            </w:tcBorders>
          </w:tcPr>
          <w:p>
            <w:pPr>
              <w:jc w:val="right"/>
              <w:ind w:right="17"/>
              <w:spacing w:after="0" w:line="179" w:lineRule="exact"/>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51,814</w:t>
            </w:r>
          </w:p>
        </w:tc>
        <w:tc>
          <w:tcPr>
            <w:tcW w:w="560" w:type="dxa"/>
            <w:vAlign w:val="bottom"/>
            <w:tcBorders>
              <w:bottom w:val="single" w:sz="8" w:color="auto"/>
            </w:tcBorders>
          </w:tcPr>
          <w:p>
            <w:pPr>
              <w:jc w:val="right"/>
              <w:ind w:right="197"/>
              <w:spacing w:after="0" w:line="17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45,573</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vMerge w:val="restart"/>
          </w:tcPr>
          <w:p>
            <w:pPr>
              <w:spacing w:after="0"/>
              <w:rPr>
                <w:sz w:val="20"/>
                <w:szCs w:val="20"/>
                <w:color w:val="auto"/>
              </w:rPr>
            </w:pPr>
            <w:r>
              <w:rPr>
                <w:rFonts w:ascii="Arial" w:cs="Arial" w:eastAsia="Arial" w:hAnsi="Arial"/>
                <w:sz w:val="17"/>
                <w:szCs w:val="17"/>
                <w:b w:val="1"/>
                <w:bCs w:val="1"/>
                <w:color w:val="auto"/>
                <w:w w:val="96"/>
              </w:rPr>
              <w:t>Per Share Information Attributable to The Washington Post Company</w:t>
            </w:r>
          </w:p>
        </w:tc>
        <w:tc>
          <w:tcPr>
            <w:tcW w:w="1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8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440" w:type="dxa"/>
            <w:vAlign w:val="bottom"/>
          </w:tcPr>
          <w:p>
            <w:pPr>
              <w:ind w:left="280"/>
              <w:spacing w:after="0"/>
              <w:rPr>
                <w:sz w:val="20"/>
                <w:szCs w:val="20"/>
                <w:color w:val="auto"/>
              </w:rPr>
            </w:pPr>
            <w:r>
              <w:rPr>
                <w:rFonts w:ascii="Arial" w:cs="Arial" w:eastAsia="Arial" w:hAnsi="Arial"/>
                <w:sz w:val="17"/>
                <w:szCs w:val="17"/>
                <w:b w:val="1"/>
                <w:bCs w:val="1"/>
                <w:color w:val="auto"/>
              </w:rPr>
              <w:t>Common Stockholders</w:t>
            </w:r>
          </w:p>
        </w:tc>
        <w:tc>
          <w:tcPr>
            <w:tcW w:w="2220" w:type="dxa"/>
            <w:vAlign w:val="bottom"/>
            <w:gridSpan w:val="2"/>
            <w:vMerge w:val="restart"/>
          </w:tcPr>
          <w:p>
            <w:pPr>
              <w:jc w:val="right"/>
              <w:ind w:right="17"/>
              <w:spacing w:after="0"/>
              <w:rPr>
                <w:sz w:val="20"/>
                <w:szCs w:val="20"/>
                <w:color w:val="auto"/>
              </w:rPr>
            </w:pPr>
            <w:r>
              <w:rPr>
                <w:rFonts w:ascii="Arial" w:cs="Arial" w:eastAsia="Arial" w:hAnsi="Arial"/>
                <w:sz w:val="17"/>
                <w:szCs w:val="17"/>
                <w:b w:val="1"/>
                <w:bCs w:val="1"/>
                <w:color w:val="auto"/>
              </w:rPr>
              <w:t>$</w:t>
            </w:r>
          </w:p>
        </w:tc>
        <w:tc>
          <w:tcPr>
            <w:tcW w:w="120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4.48</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80" w:lineRule="exact"/>
              <w:rPr>
                <w:sz w:val="20"/>
                <w:szCs w:val="20"/>
                <w:color w:val="auto"/>
              </w:rPr>
            </w:pPr>
            <w:r>
              <w:rPr>
                <w:rFonts w:ascii="Arial" w:cs="Arial" w:eastAsia="Arial" w:hAnsi="Arial"/>
                <w:sz w:val="17"/>
                <w:szCs w:val="17"/>
                <w:color w:val="auto"/>
              </w:rPr>
              <w:t>Basic income per common share from continuing operations</w:t>
            </w:r>
          </w:p>
        </w:tc>
        <w:tc>
          <w:tcPr>
            <w:tcW w:w="222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560" w:type="dxa"/>
            <w:vAlign w:val="bottom"/>
          </w:tcPr>
          <w:p>
            <w:pPr>
              <w:jc w:val="right"/>
              <w:ind w:right="197"/>
              <w:spacing w:after="0" w:line="180" w:lineRule="exact"/>
              <w:rPr>
                <w:sz w:val="20"/>
                <w:szCs w:val="20"/>
                <w:color w:val="auto"/>
              </w:rPr>
            </w:pPr>
            <w:r>
              <w:rPr>
                <w:rFonts w:ascii="Arial" w:cs="Arial" w:eastAsia="Arial" w:hAnsi="Arial"/>
                <w:sz w:val="17"/>
                <w:szCs w:val="17"/>
                <w:color w:val="auto"/>
              </w:rPr>
              <w:t>$</w:t>
            </w:r>
          </w:p>
        </w:tc>
        <w:tc>
          <w:tcPr>
            <w:tcW w:w="880" w:type="dxa"/>
            <w:vAlign w:val="bottom"/>
          </w:tcPr>
          <w:p>
            <w:pPr>
              <w:jc w:val="right"/>
              <w:spacing w:after="0" w:line="180" w:lineRule="exact"/>
              <w:rPr>
                <w:sz w:val="20"/>
                <w:szCs w:val="20"/>
                <w:color w:val="auto"/>
              </w:rPr>
            </w:pPr>
            <w:r>
              <w:rPr>
                <w:rFonts w:ascii="Arial" w:cs="Arial" w:eastAsia="Arial" w:hAnsi="Arial"/>
                <w:sz w:val="17"/>
                <w:szCs w:val="17"/>
                <w:color w:val="auto"/>
              </w:rPr>
              <w:t>6.00</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Basic income (loss) per common share from discontinued operations</w:t>
            </w:r>
          </w:p>
        </w:tc>
        <w:tc>
          <w:tcPr>
            <w:tcW w:w="1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2.36</w:t>
            </w: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(0.26)</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Arial" w:cs="Arial" w:eastAsia="Arial" w:hAnsi="Arial"/>
                <w:sz w:val="17"/>
                <w:szCs w:val="17"/>
                <w:color w:val="auto"/>
              </w:rPr>
              <w:t>Basic net income per common share</w:t>
            </w:r>
          </w:p>
        </w:tc>
        <w:tc>
          <w:tcPr>
            <w:tcW w:w="1880" w:type="dxa"/>
            <w:vAlign w:val="bottom"/>
          </w:tcPr>
          <w:p>
            <w:pPr>
              <w:spacing w:after="0"/>
              <w:rPr>
                <w:sz w:val="15"/>
                <w:szCs w:val="15"/>
                <w:color w:val="auto"/>
              </w:rPr>
            </w:pPr>
          </w:p>
        </w:tc>
        <w:tc>
          <w:tcPr>
            <w:tcW w:w="340" w:type="dxa"/>
            <w:vAlign w:val="bottom"/>
            <w:tcBorders>
              <w:bottom w:val="single" w:sz="8" w:color="auto"/>
            </w:tcBorders>
          </w:tcPr>
          <w:p>
            <w:pPr>
              <w:jc w:val="right"/>
              <w:ind w:right="17"/>
              <w:spacing w:after="0" w:line="179" w:lineRule="exact"/>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6.84</w:t>
            </w:r>
          </w:p>
        </w:tc>
        <w:tc>
          <w:tcPr>
            <w:tcW w:w="560" w:type="dxa"/>
            <w:vAlign w:val="bottom"/>
            <w:tcBorders>
              <w:bottom w:val="single" w:sz="8" w:color="auto"/>
            </w:tcBorders>
          </w:tcPr>
          <w:p>
            <w:pPr>
              <w:jc w:val="right"/>
              <w:ind w:right="197"/>
              <w:spacing w:after="0" w:line="17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5.74</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0" w:type="dxa"/>
            <w:vAlign w:val="bottom"/>
          </w:tcPr>
          <w:p>
            <w:pPr>
              <w:spacing w:after="0"/>
              <w:rPr>
                <w:sz w:val="14"/>
                <w:szCs w:val="14"/>
                <w:color w:val="auto"/>
              </w:rPr>
            </w:pPr>
          </w:p>
        </w:tc>
        <w:tc>
          <w:tcPr>
            <w:tcW w:w="5440" w:type="dxa"/>
            <w:vAlign w:val="bottom"/>
          </w:tcPr>
          <w:p>
            <w:pPr>
              <w:spacing w:after="0" w:line="163" w:lineRule="exact"/>
              <w:rPr>
                <w:sz w:val="20"/>
                <w:szCs w:val="20"/>
                <w:color w:val="auto"/>
              </w:rPr>
            </w:pPr>
            <w:r>
              <w:rPr>
                <w:rFonts w:ascii="Arial" w:cs="Arial" w:eastAsia="Arial" w:hAnsi="Arial"/>
                <w:sz w:val="17"/>
                <w:szCs w:val="17"/>
                <w:color w:val="auto"/>
              </w:rPr>
              <w:t>Basic average number of common shares outstanding</w:t>
            </w:r>
          </w:p>
        </w:tc>
        <w:tc>
          <w:tcPr>
            <w:tcW w:w="18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19"/>
              <w:spacing w:after="0" w:line="163" w:lineRule="exact"/>
              <w:rPr>
                <w:sz w:val="20"/>
                <w:szCs w:val="20"/>
                <w:color w:val="auto"/>
              </w:rPr>
            </w:pPr>
            <w:r>
              <w:rPr>
                <w:rFonts w:ascii="Arial" w:cs="Arial" w:eastAsia="Arial" w:hAnsi="Arial"/>
                <w:sz w:val="17"/>
                <w:szCs w:val="17"/>
                <w:b w:val="1"/>
                <w:bCs w:val="1"/>
                <w:color w:val="auto"/>
              </w:rPr>
              <w:t>7,431</w:t>
            </w: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7,852</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8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Diluted income per common share from continuing operations</w:t>
            </w:r>
          </w:p>
        </w:tc>
        <w:tc>
          <w:tcPr>
            <w:tcW w:w="2220" w:type="dxa"/>
            <w:vAlign w:val="bottom"/>
            <w:gridSpan w:val="2"/>
          </w:tcPr>
          <w:p>
            <w:pPr>
              <w:jc w:val="right"/>
              <w:ind w:right="17"/>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119"/>
              <w:spacing w:after="0"/>
              <w:rPr>
                <w:sz w:val="20"/>
                <w:szCs w:val="20"/>
                <w:color w:val="auto"/>
              </w:rPr>
            </w:pPr>
            <w:r>
              <w:rPr>
                <w:rFonts w:ascii="Arial" w:cs="Arial" w:eastAsia="Arial" w:hAnsi="Arial"/>
                <w:sz w:val="17"/>
                <w:szCs w:val="17"/>
                <w:b w:val="1"/>
                <w:bCs w:val="1"/>
                <w:color w:val="auto"/>
              </w:rPr>
              <w:t>4.48</w:t>
            </w:r>
          </w:p>
        </w:tc>
        <w:tc>
          <w:tcPr>
            <w:tcW w:w="56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6.00</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Diluted income (loss) per common share from discontinued operations</w:t>
            </w:r>
          </w:p>
        </w:tc>
        <w:tc>
          <w:tcPr>
            <w:tcW w:w="1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2.36</w:t>
            </w: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(0.26)</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Arial" w:cs="Arial" w:eastAsia="Arial" w:hAnsi="Arial"/>
                <w:sz w:val="17"/>
                <w:szCs w:val="17"/>
                <w:color w:val="auto"/>
              </w:rPr>
              <w:t>Diluted net income per common share</w:t>
            </w:r>
          </w:p>
        </w:tc>
        <w:tc>
          <w:tcPr>
            <w:tcW w:w="1880" w:type="dxa"/>
            <w:vAlign w:val="bottom"/>
          </w:tcPr>
          <w:p>
            <w:pPr>
              <w:spacing w:after="0"/>
              <w:rPr>
                <w:sz w:val="15"/>
                <w:szCs w:val="15"/>
                <w:color w:val="auto"/>
              </w:rPr>
            </w:pPr>
          </w:p>
        </w:tc>
        <w:tc>
          <w:tcPr>
            <w:tcW w:w="340" w:type="dxa"/>
            <w:vAlign w:val="bottom"/>
            <w:tcBorders>
              <w:bottom w:val="single" w:sz="8" w:color="auto"/>
            </w:tcBorders>
          </w:tcPr>
          <w:p>
            <w:pPr>
              <w:jc w:val="right"/>
              <w:ind w:right="17"/>
              <w:spacing w:after="0" w:line="179" w:lineRule="exact"/>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6.84</w:t>
            </w:r>
          </w:p>
        </w:tc>
        <w:tc>
          <w:tcPr>
            <w:tcW w:w="560" w:type="dxa"/>
            <w:vAlign w:val="bottom"/>
            <w:tcBorders>
              <w:bottom w:val="single" w:sz="8" w:color="auto"/>
            </w:tcBorders>
          </w:tcPr>
          <w:p>
            <w:pPr>
              <w:jc w:val="right"/>
              <w:ind w:right="197"/>
              <w:spacing w:after="0" w:line="17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5.74</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0" w:type="dxa"/>
            <w:vAlign w:val="bottom"/>
          </w:tcPr>
          <w:p>
            <w:pPr>
              <w:spacing w:after="0"/>
              <w:rPr>
                <w:sz w:val="14"/>
                <w:szCs w:val="14"/>
                <w:color w:val="auto"/>
              </w:rPr>
            </w:pPr>
          </w:p>
        </w:tc>
        <w:tc>
          <w:tcPr>
            <w:tcW w:w="5440" w:type="dxa"/>
            <w:vAlign w:val="bottom"/>
          </w:tcPr>
          <w:p>
            <w:pPr>
              <w:spacing w:after="0" w:line="163" w:lineRule="exact"/>
              <w:rPr>
                <w:sz w:val="20"/>
                <w:szCs w:val="20"/>
                <w:color w:val="auto"/>
              </w:rPr>
            </w:pPr>
            <w:r>
              <w:rPr>
                <w:rFonts w:ascii="Arial" w:cs="Arial" w:eastAsia="Arial" w:hAnsi="Arial"/>
                <w:sz w:val="17"/>
                <w:szCs w:val="17"/>
                <w:color w:val="auto"/>
              </w:rPr>
              <w:t>Diluted average number of common shares outstanding</w:t>
            </w:r>
          </w:p>
        </w:tc>
        <w:tc>
          <w:tcPr>
            <w:tcW w:w="18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19"/>
              <w:spacing w:after="0" w:line="163" w:lineRule="exact"/>
              <w:rPr>
                <w:sz w:val="20"/>
                <w:szCs w:val="20"/>
                <w:color w:val="auto"/>
              </w:rPr>
            </w:pPr>
            <w:r>
              <w:rPr>
                <w:rFonts w:ascii="Arial" w:cs="Arial" w:eastAsia="Arial" w:hAnsi="Arial"/>
                <w:sz w:val="17"/>
                <w:szCs w:val="17"/>
                <w:b w:val="1"/>
                <w:bCs w:val="1"/>
                <w:color w:val="auto"/>
              </w:rPr>
              <w:t>7,545</w:t>
            </w: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7,933</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880" w:type="dxa"/>
            <w:vAlign w:val="bottom"/>
          </w:tcPr>
          <w:p>
            <w:pPr>
              <w:jc w:val="center"/>
              <w:ind w:right="1277"/>
              <w:spacing w:after="0" w:line="174" w:lineRule="exact"/>
              <w:rPr>
                <w:sz w:val="20"/>
                <w:szCs w:val="20"/>
                <w:color w:val="auto"/>
              </w:rPr>
            </w:pPr>
            <w:r>
              <w:rPr>
                <w:rFonts w:ascii="Arial" w:cs="Arial" w:eastAsia="Arial" w:hAnsi="Arial"/>
                <w:sz w:val="17"/>
                <w:szCs w:val="17"/>
                <w:color w:val="auto"/>
                <w:w w:val="95"/>
              </w:rPr>
              <w:t>-more-</w:t>
            </w:r>
          </w:p>
        </w:tc>
        <w:tc>
          <w:tcPr>
            <w:tcW w:w="3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7"/>
        </w:trPr>
        <w:tc>
          <w:tcPr>
            <w:tcW w:w="5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880" w:type="dxa"/>
            <w:vAlign w:val="bottom"/>
          </w:tcPr>
          <w:p>
            <w:pPr>
              <w:jc w:val="right"/>
              <w:ind w:right="1477"/>
              <w:spacing w:after="0"/>
              <w:rPr>
                <w:sz w:val="20"/>
                <w:szCs w:val="20"/>
                <w:color w:val="auto"/>
              </w:rPr>
            </w:pPr>
            <w:r>
              <w:rPr>
                <w:rFonts w:ascii="Arial" w:cs="Arial" w:eastAsia="Arial" w:hAnsi="Arial"/>
                <w:sz w:val="17"/>
                <w:szCs w:val="17"/>
                <w:color w:val="auto"/>
              </w:rPr>
              <w:t>7</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80" w:type="dxa"/>
            <w:vAlign w:val="bottom"/>
            <w:tcBorders>
              <w:bottom w:val="single" w:sz="8" w:color="808080"/>
            </w:tcBorders>
          </w:tcPr>
          <w:p>
            <w:pPr>
              <w:spacing w:after="0"/>
              <w:rPr>
                <w:sz w:val="24"/>
                <w:szCs w:val="24"/>
                <w:color w:val="auto"/>
              </w:rPr>
            </w:pPr>
          </w:p>
        </w:tc>
        <w:tc>
          <w:tcPr>
            <w:tcW w:w="544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539" w:right="1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7"/>
          <w:szCs w:val="17"/>
          <w:color w:val="auto"/>
        </w:rPr>
        <w:t>THE WASHINGTON POST COMPANY</w:t>
      </w:r>
    </w:p>
    <w:p>
      <w:pPr>
        <w:jc w:val="center"/>
        <w:ind w:right="-39"/>
        <w:spacing w:after="0" w:line="228" w:lineRule="auto"/>
        <w:rPr>
          <w:sz w:val="20"/>
          <w:szCs w:val="20"/>
          <w:color w:val="auto"/>
        </w:rPr>
      </w:pPr>
      <w:r>
        <w:rPr>
          <w:rFonts w:ascii="Arial" w:cs="Arial" w:eastAsia="Arial" w:hAnsi="Arial"/>
          <w:sz w:val="17"/>
          <w:szCs w:val="17"/>
          <w:u w:val="single" w:color="auto"/>
          <w:color w:val="auto"/>
        </w:rPr>
        <w:t>CONSOLIDATED STATEMENTS OF OPERATIONS</w:t>
      </w:r>
    </w:p>
    <w:p>
      <w:pPr>
        <w:jc w:val="center"/>
        <w:ind w:right="-39"/>
        <w:spacing w:after="0"/>
        <w:rPr>
          <w:sz w:val="20"/>
          <w:szCs w:val="20"/>
          <w:color w:val="auto"/>
        </w:rPr>
      </w:pPr>
      <w:r>
        <w:rPr>
          <w:rFonts w:ascii="Arial" w:cs="Arial" w:eastAsia="Arial" w:hAnsi="Arial"/>
          <w:sz w:val="17"/>
          <w:szCs w:val="17"/>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8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Six Months Ended</w:t>
            </w:r>
          </w:p>
        </w:tc>
        <w:tc>
          <w:tcPr>
            <w:tcW w:w="92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ind w:right="519"/>
              <w:spacing w:after="0"/>
              <w:rPr>
                <w:sz w:val="20"/>
                <w:szCs w:val="20"/>
                <w:color w:val="auto"/>
              </w:rPr>
            </w:pPr>
            <w:r>
              <w:rPr>
                <w:rFonts w:ascii="Arial" w:cs="Arial" w:eastAsia="Arial" w:hAnsi="Arial"/>
                <w:sz w:val="12"/>
                <w:szCs w:val="12"/>
                <w:b w:val="1"/>
                <w:bCs w:val="1"/>
                <w:color w:val="auto"/>
              </w:rPr>
              <w:t>June 30,</w:t>
            </w:r>
          </w:p>
        </w:tc>
        <w:tc>
          <w:tcPr>
            <w:tcW w:w="520" w:type="dxa"/>
            <w:vAlign w:val="bottom"/>
          </w:tcPr>
          <w:p>
            <w:pPr>
              <w:spacing w:after="0"/>
              <w:rPr>
                <w:sz w:val="15"/>
                <w:szCs w:val="15"/>
                <w:color w:val="auto"/>
              </w:rPr>
            </w:pPr>
          </w:p>
        </w:tc>
        <w:tc>
          <w:tcPr>
            <w:tcW w:w="920" w:type="dxa"/>
            <w:vAlign w:val="bottom"/>
          </w:tcPr>
          <w:p>
            <w:pPr>
              <w:jc w:val="right"/>
              <w:ind w:right="439"/>
              <w:spacing w:after="0"/>
              <w:rPr>
                <w:sz w:val="20"/>
                <w:szCs w:val="20"/>
                <w:color w:val="auto"/>
              </w:rPr>
            </w:pPr>
            <w:r>
              <w:rPr>
                <w:rFonts w:ascii="Arial" w:cs="Arial" w:eastAsia="Arial" w:hAnsi="Arial"/>
                <w:sz w:val="12"/>
                <w:szCs w:val="12"/>
                <w:color w:val="auto"/>
              </w:rPr>
              <w:t>July 3,</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580" w:type="dxa"/>
            <w:vAlign w:val="bottom"/>
          </w:tcPr>
          <w:p>
            <w:pPr>
              <w:spacing w:after="0"/>
              <w:rPr>
                <w:sz w:val="13"/>
                <w:szCs w:val="13"/>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18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2012</w:t>
            </w: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color w:val="auto"/>
              </w:rPr>
              <w:t>2011</w:t>
            </w:r>
          </w:p>
        </w:tc>
        <w:tc>
          <w:tcPr>
            <w:tcW w:w="640" w:type="dxa"/>
            <w:vAlign w:val="bottom"/>
            <w:tcBorders>
              <w:bottom w:val="single" w:sz="8" w:color="auto"/>
            </w:tcBorders>
            <w:gridSpan w:val="2"/>
          </w:tcPr>
          <w:p>
            <w:pPr>
              <w:ind w:left="500"/>
              <w:spacing w:after="0"/>
              <w:rPr>
                <w:sz w:val="20"/>
                <w:szCs w:val="20"/>
                <w:color w:val="auto"/>
              </w:rPr>
            </w:pPr>
            <w:r>
              <w:rPr>
                <w:rFonts w:ascii="Arial" w:cs="Arial" w:eastAsia="Arial" w:hAnsi="Arial"/>
                <w:sz w:val="12"/>
                <w:szCs w:val="12"/>
                <w:color w:val="auto"/>
                <w:w w:val="77"/>
              </w:rPr>
              <w:t>Ch</w:t>
            </w: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Operating revenues</w:t>
            </w:r>
          </w:p>
        </w:tc>
        <w:tc>
          <w:tcPr>
            <w:tcW w:w="2220" w:type="dxa"/>
            <w:vAlign w:val="bottom"/>
            <w:gridSpan w:val="2"/>
          </w:tcPr>
          <w:p>
            <w:pPr>
              <w:jc w:val="right"/>
              <w:ind w:right="17"/>
              <w:spacing w:after="0" w:line="170" w:lineRule="exact"/>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1,979,395</w:t>
            </w:r>
          </w:p>
        </w:tc>
        <w:tc>
          <w:tcPr>
            <w:tcW w:w="520" w:type="dxa"/>
            <w:vAlign w:val="bottom"/>
          </w:tcPr>
          <w:p>
            <w:pPr>
              <w:jc w:val="right"/>
              <w:ind w:right="157"/>
              <w:spacing w:after="0" w:line="170"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70" w:lineRule="exact"/>
              <w:rPr>
                <w:sz w:val="20"/>
                <w:szCs w:val="20"/>
                <w:color w:val="auto"/>
              </w:rPr>
            </w:pPr>
            <w:r>
              <w:rPr>
                <w:rFonts w:ascii="Arial" w:cs="Arial" w:eastAsia="Arial" w:hAnsi="Arial"/>
                <w:sz w:val="17"/>
                <w:szCs w:val="17"/>
                <w:color w:val="auto"/>
              </w:rPr>
              <w:t>2,103,170</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Operating expenses</w:t>
            </w: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Arial" w:cs="Arial" w:eastAsia="Arial" w:hAnsi="Arial"/>
                <w:sz w:val="17"/>
                <w:szCs w:val="17"/>
                <w:b w:val="1"/>
                <w:bCs w:val="1"/>
                <w:color w:val="auto"/>
              </w:rPr>
              <w:t>(1,767,714)</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w w:val="96"/>
              </w:rPr>
              <w:t>(1,827,386)</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Depreciation of property, plant and equipment</w:t>
            </w: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Arial" w:cs="Arial" w:eastAsia="Arial" w:hAnsi="Arial"/>
                <w:sz w:val="17"/>
                <w:szCs w:val="17"/>
                <w:b w:val="1"/>
                <w:bCs w:val="1"/>
                <w:color w:val="auto"/>
              </w:rPr>
              <w:t>(125,479)</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(125,078)</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Amortization of intangible assets</w:t>
            </w:r>
          </w:p>
        </w:tc>
        <w:tc>
          <w:tcPr>
            <w:tcW w:w="1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(8,380)</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(12,054)</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Operating income</w:t>
            </w:r>
          </w:p>
        </w:tc>
        <w:tc>
          <w:tcPr>
            <w:tcW w:w="1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77,822</w:t>
            </w:r>
          </w:p>
        </w:tc>
        <w:tc>
          <w:tcPr>
            <w:tcW w:w="52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7"/>
                <w:szCs w:val="17"/>
                <w:color w:val="auto"/>
              </w:rPr>
              <w:t>138,652</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Equity in earnings of affiliates, net</w:t>
            </w: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Arial" w:cs="Arial" w:eastAsia="Arial" w:hAnsi="Arial"/>
                <w:sz w:val="17"/>
                <w:szCs w:val="17"/>
                <w:b w:val="1"/>
                <w:bCs w:val="1"/>
                <w:color w:val="auto"/>
              </w:rPr>
              <w:t>7,202</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6,875</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Interest income</w:t>
            </w: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Arial" w:cs="Arial" w:eastAsia="Arial" w:hAnsi="Arial"/>
                <w:sz w:val="17"/>
                <w:szCs w:val="17"/>
                <w:b w:val="1"/>
                <w:bCs w:val="1"/>
                <w:color w:val="auto"/>
              </w:rPr>
              <w:t>1,844</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1,979</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Interest expense</w:t>
            </w: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Arial" w:cs="Arial" w:eastAsia="Arial" w:hAnsi="Arial"/>
                <w:sz w:val="17"/>
                <w:szCs w:val="17"/>
                <w:b w:val="1"/>
                <w:bCs w:val="1"/>
                <w:color w:val="auto"/>
              </w:rPr>
              <w:t>(18,142)</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(15,921)</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7,428</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(26,623)</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Income from continuing operations before income taxes</w:t>
            </w:r>
          </w:p>
        </w:tc>
        <w:tc>
          <w:tcPr>
            <w:tcW w:w="1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76,154</w:t>
            </w:r>
          </w:p>
        </w:tc>
        <w:tc>
          <w:tcPr>
            <w:tcW w:w="52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7"/>
                <w:szCs w:val="17"/>
                <w:color w:val="auto"/>
              </w:rPr>
              <w:t>104,962</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1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30,600</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38,800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Income from continuing operations</w:t>
            </w:r>
          </w:p>
        </w:tc>
        <w:tc>
          <w:tcPr>
            <w:tcW w:w="1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45,554</w:t>
            </w:r>
          </w:p>
        </w:tc>
        <w:tc>
          <w:tcPr>
            <w:tcW w:w="52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7"/>
                <w:szCs w:val="17"/>
                <w:color w:val="auto"/>
              </w:rPr>
              <w:t>66,162</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Income (loss) from discontinued operations, net of tax</w:t>
            </w:r>
          </w:p>
        </w:tc>
        <w:tc>
          <w:tcPr>
            <w:tcW w:w="1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38,061</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Net income</w:t>
            </w:r>
          </w:p>
        </w:tc>
        <w:tc>
          <w:tcPr>
            <w:tcW w:w="1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83,615</w:t>
            </w:r>
          </w:p>
        </w:tc>
        <w:tc>
          <w:tcPr>
            <w:tcW w:w="52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7"/>
                <w:szCs w:val="17"/>
                <w:color w:val="auto"/>
              </w:rPr>
              <w:t>61,392</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Net (income) loss attributable to noncontrolling interests</w:t>
            </w:r>
          </w:p>
        </w:tc>
        <w:tc>
          <w:tcPr>
            <w:tcW w:w="1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(81)</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Net income attributable to The Washington Post Company</w:t>
            </w:r>
          </w:p>
        </w:tc>
        <w:tc>
          <w:tcPr>
            <w:tcW w:w="1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83,534</w:t>
            </w:r>
          </w:p>
        </w:tc>
        <w:tc>
          <w:tcPr>
            <w:tcW w:w="52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7"/>
                <w:szCs w:val="17"/>
                <w:color w:val="auto"/>
              </w:rPr>
              <w:t>61,418</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Redeemable preferred stock dividends</w:t>
            </w:r>
          </w:p>
        </w:tc>
        <w:tc>
          <w:tcPr>
            <w:tcW w:w="1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(673)</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(691)</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b w:val="1"/>
                <w:bCs w:val="1"/>
                <w:color w:val="auto"/>
              </w:rPr>
              <w:t>Net Income Attributable to The Washington Post Company</w:t>
            </w:r>
          </w:p>
        </w:tc>
        <w:tc>
          <w:tcPr>
            <w:tcW w:w="2220" w:type="dxa"/>
            <w:vAlign w:val="bottom"/>
            <w:gridSpan w:val="2"/>
            <w:vMerge w:val="restart"/>
          </w:tcPr>
          <w:p>
            <w:pPr>
              <w:jc w:val="right"/>
              <w:ind w:right="17"/>
              <w:spacing w:after="0"/>
              <w:rPr>
                <w:sz w:val="20"/>
                <w:szCs w:val="20"/>
                <w:color w:val="auto"/>
              </w:rPr>
            </w:pPr>
            <w:r>
              <w:rPr>
                <w:rFonts w:ascii="Arial" w:cs="Arial" w:eastAsia="Arial" w:hAnsi="Arial"/>
                <w:sz w:val="17"/>
                <w:szCs w:val="17"/>
                <w:b w:val="1"/>
                <w:bCs w:val="1"/>
                <w:color w:val="auto"/>
              </w:rPr>
              <w:t>$</w:t>
            </w:r>
          </w:p>
        </w:tc>
        <w:tc>
          <w:tcPr>
            <w:tcW w:w="120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82,861</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5440" w:type="dxa"/>
            <w:vAlign w:val="bottom"/>
          </w:tcPr>
          <w:p>
            <w:pPr>
              <w:ind w:left="220"/>
              <w:spacing w:after="0"/>
              <w:rPr>
                <w:sz w:val="20"/>
                <w:szCs w:val="20"/>
                <w:color w:val="auto"/>
              </w:rPr>
            </w:pPr>
            <w:r>
              <w:rPr>
                <w:rFonts w:ascii="Arial" w:cs="Arial" w:eastAsia="Arial" w:hAnsi="Arial"/>
                <w:sz w:val="17"/>
                <w:szCs w:val="17"/>
                <w:b w:val="1"/>
                <w:bCs w:val="1"/>
                <w:color w:val="auto"/>
              </w:rPr>
              <w:t>Common Stockholders</w:t>
            </w:r>
          </w:p>
        </w:tc>
        <w:tc>
          <w:tcPr>
            <w:tcW w:w="222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52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60,727</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vMerge w:val="restart"/>
          </w:tcPr>
          <w:p>
            <w:pPr>
              <w:spacing w:after="0"/>
              <w:rPr>
                <w:sz w:val="20"/>
                <w:szCs w:val="20"/>
                <w:color w:val="auto"/>
              </w:rPr>
            </w:pPr>
            <w:r>
              <w:rPr>
                <w:rFonts w:ascii="Arial" w:cs="Arial" w:eastAsia="Arial" w:hAnsi="Arial"/>
                <w:sz w:val="17"/>
                <w:szCs w:val="17"/>
                <w:b w:val="1"/>
                <w:bCs w:val="1"/>
                <w:color w:val="auto"/>
              </w:rPr>
              <w:t>Amounts Attributable to The Washington Post Company</w:t>
            </w:r>
          </w:p>
        </w:tc>
        <w:tc>
          <w:tcPr>
            <w:tcW w:w="1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8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440" w:type="dxa"/>
            <w:vAlign w:val="bottom"/>
          </w:tcPr>
          <w:p>
            <w:pPr>
              <w:ind w:left="220"/>
              <w:spacing w:after="0"/>
              <w:rPr>
                <w:sz w:val="20"/>
                <w:szCs w:val="20"/>
                <w:color w:val="auto"/>
              </w:rPr>
            </w:pPr>
            <w:r>
              <w:rPr>
                <w:rFonts w:ascii="Arial" w:cs="Arial" w:eastAsia="Arial" w:hAnsi="Arial"/>
                <w:sz w:val="17"/>
                <w:szCs w:val="17"/>
                <w:b w:val="1"/>
                <w:bCs w:val="1"/>
                <w:color w:val="auto"/>
              </w:rPr>
              <w:t>Common Stockholders</w:t>
            </w:r>
          </w:p>
        </w:tc>
        <w:tc>
          <w:tcPr>
            <w:tcW w:w="2220" w:type="dxa"/>
            <w:vAlign w:val="bottom"/>
            <w:gridSpan w:val="2"/>
            <w:vMerge w:val="restart"/>
          </w:tcPr>
          <w:p>
            <w:pPr>
              <w:jc w:val="right"/>
              <w:ind w:right="17"/>
              <w:spacing w:after="0"/>
              <w:rPr>
                <w:sz w:val="20"/>
                <w:szCs w:val="20"/>
                <w:color w:val="auto"/>
              </w:rPr>
            </w:pPr>
            <w:r>
              <w:rPr>
                <w:rFonts w:ascii="Arial" w:cs="Arial" w:eastAsia="Arial" w:hAnsi="Arial"/>
                <w:sz w:val="17"/>
                <w:szCs w:val="17"/>
                <w:b w:val="1"/>
                <w:bCs w:val="1"/>
                <w:color w:val="auto"/>
              </w:rPr>
              <w:t>$</w:t>
            </w:r>
          </w:p>
        </w:tc>
        <w:tc>
          <w:tcPr>
            <w:tcW w:w="120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44,800</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80" w:lineRule="exact"/>
              <w:rPr>
                <w:sz w:val="20"/>
                <w:szCs w:val="20"/>
                <w:color w:val="auto"/>
              </w:rPr>
            </w:pPr>
            <w:r>
              <w:rPr>
                <w:rFonts w:ascii="Arial" w:cs="Arial" w:eastAsia="Arial" w:hAnsi="Arial"/>
                <w:sz w:val="17"/>
                <w:szCs w:val="17"/>
                <w:color w:val="auto"/>
              </w:rPr>
              <w:t>Income from continuing operations</w:t>
            </w:r>
          </w:p>
        </w:tc>
        <w:tc>
          <w:tcPr>
            <w:tcW w:w="222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520" w:type="dxa"/>
            <w:vAlign w:val="bottom"/>
          </w:tcPr>
          <w:p>
            <w:pPr>
              <w:jc w:val="right"/>
              <w:ind w:right="157"/>
              <w:spacing w:after="0" w:line="180"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80" w:lineRule="exact"/>
              <w:rPr>
                <w:sz w:val="20"/>
                <w:szCs w:val="20"/>
                <w:color w:val="auto"/>
              </w:rPr>
            </w:pPr>
            <w:r>
              <w:rPr>
                <w:rFonts w:ascii="Arial" w:cs="Arial" w:eastAsia="Arial" w:hAnsi="Arial"/>
                <w:sz w:val="17"/>
                <w:szCs w:val="17"/>
                <w:color w:val="auto"/>
              </w:rPr>
              <w:t>65,497</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Income (loss) from discontinued operations, net of tax</w:t>
            </w:r>
          </w:p>
        </w:tc>
        <w:tc>
          <w:tcPr>
            <w:tcW w:w="1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38,061</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Arial" w:cs="Arial" w:eastAsia="Arial" w:hAnsi="Arial"/>
                <w:sz w:val="17"/>
                <w:szCs w:val="17"/>
                <w:color w:val="auto"/>
              </w:rPr>
              <w:t>Net income</w:t>
            </w:r>
          </w:p>
        </w:tc>
        <w:tc>
          <w:tcPr>
            <w:tcW w:w="1880" w:type="dxa"/>
            <w:vAlign w:val="bottom"/>
          </w:tcPr>
          <w:p>
            <w:pPr>
              <w:spacing w:after="0"/>
              <w:rPr>
                <w:sz w:val="15"/>
                <w:szCs w:val="15"/>
                <w:color w:val="auto"/>
              </w:rPr>
            </w:pPr>
          </w:p>
        </w:tc>
        <w:tc>
          <w:tcPr>
            <w:tcW w:w="340" w:type="dxa"/>
            <w:vAlign w:val="bottom"/>
            <w:tcBorders>
              <w:bottom w:val="single" w:sz="8" w:color="auto"/>
            </w:tcBorders>
          </w:tcPr>
          <w:p>
            <w:pPr>
              <w:jc w:val="right"/>
              <w:ind w:right="17"/>
              <w:spacing w:after="0" w:line="179" w:lineRule="exact"/>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82,861</w:t>
            </w:r>
          </w:p>
        </w:tc>
        <w:tc>
          <w:tcPr>
            <w:tcW w:w="520" w:type="dxa"/>
            <w:vAlign w:val="bottom"/>
            <w:tcBorders>
              <w:bottom w:val="single" w:sz="8" w:color="auto"/>
            </w:tcBorders>
          </w:tcPr>
          <w:p>
            <w:pPr>
              <w:jc w:val="right"/>
              <w:ind w:right="157"/>
              <w:spacing w:after="0" w:line="179"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60,727</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vMerge w:val="restart"/>
          </w:tcPr>
          <w:p>
            <w:pPr>
              <w:spacing w:after="0"/>
              <w:rPr>
                <w:sz w:val="20"/>
                <w:szCs w:val="20"/>
                <w:color w:val="auto"/>
              </w:rPr>
            </w:pPr>
            <w:r>
              <w:rPr>
                <w:rFonts w:ascii="Arial" w:cs="Arial" w:eastAsia="Arial" w:hAnsi="Arial"/>
                <w:sz w:val="17"/>
                <w:szCs w:val="17"/>
                <w:b w:val="1"/>
                <w:bCs w:val="1"/>
                <w:color w:val="auto"/>
                <w:w w:val="96"/>
              </w:rPr>
              <w:t>Per Share Information Attributable to The Washington Post Company</w:t>
            </w:r>
          </w:p>
        </w:tc>
        <w:tc>
          <w:tcPr>
            <w:tcW w:w="1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8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440" w:type="dxa"/>
            <w:vAlign w:val="bottom"/>
          </w:tcPr>
          <w:p>
            <w:pPr>
              <w:ind w:left="220"/>
              <w:spacing w:after="0"/>
              <w:rPr>
                <w:sz w:val="20"/>
                <w:szCs w:val="20"/>
                <w:color w:val="auto"/>
              </w:rPr>
            </w:pPr>
            <w:r>
              <w:rPr>
                <w:rFonts w:ascii="Arial" w:cs="Arial" w:eastAsia="Arial" w:hAnsi="Arial"/>
                <w:sz w:val="17"/>
                <w:szCs w:val="17"/>
                <w:b w:val="1"/>
                <w:bCs w:val="1"/>
                <w:color w:val="auto"/>
              </w:rPr>
              <w:t>Common Stockholders</w:t>
            </w:r>
          </w:p>
        </w:tc>
        <w:tc>
          <w:tcPr>
            <w:tcW w:w="2220" w:type="dxa"/>
            <w:vAlign w:val="bottom"/>
            <w:gridSpan w:val="2"/>
            <w:vMerge w:val="restart"/>
          </w:tcPr>
          <w:p>
            <w:pPr>
              <w:jc w:val="right"/>
              <w:ind w:right="17"/>
              <w:spacing w:after="0"/>
              <w:rPr>
                <w:sz w:val="20"/>
                <w:szCs w:val="20"/>
                <w:color w:val="auto"/>
              </w:rPr>
            </w:pPr>
            <w:r>
              <w:rPr>
                <w:rFonts w:ascii="Arial" w:cs="Arial" w:eastAsia="Arial" w:hAnsi="Arial"/>
                <w:sz w:val="17"/>
                <w:szCs w:val="17"/>
                <w:b w:val="1"/>
                <w:bCs w:val="1"/>
                <w:color w:val="auto"/>
              </w:rPr>
              <w:t>$</w:t>
            </w:r>
          </w:p>
        </w:tc>
        <w:tc>
          <w:tcPr>
            <w:tcW w:w="120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5.85</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80" w:lineRule="exact"/>
              <w:rPr>
                <w:sz w:val="20"/>
                <w:szCs w:val="20"/>
                <w:color w:val="auto"/>
              </w:rPr>
            </w:pPr>
            <w:r>
              <w:rPr>
                <w:rFonts w:ascii="Arial" w:cs="Arial" w:eastAsia="Arial" w:hAnsi="Arial"/>
                <w:sz w:val="17"/>
                <w:szCs w:val="17"/>
                <w:color w:val="auto"/>
              </w:rPr>
              <w:t>Basic income per common share from continuing operations</w:t>
            </w:r>
          </w:p>
        </w:tc>
        <w:tc>
          <w:tcPr>
            <w:tcW w:w="222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520" w:type="dxa"/>
            <w:vAlign w:val="bottom"/>
          </w:tcPr>
          <w:p>
            <w:pPr>
              <w:jc w:val="right"/>
              <w:ind w:right="157"/>
              <w:spacing w:after="0" w:line="180"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80" w:lineRule="exact"/>
              <w:rPr>
                <w:sz w:val="20"/>
                <w:szCs w:val="20"/>
                <w:color w:val="auto"/>
              </w:rPr>
            </w:pPr>
            <w:r>
              <w:rPr>
                <w:rFonts w:ascii="Arial" w:cs="Arial" w:eastAsia="Arial" w:hAnsi="Arial"/>
                <w:sz w:val="17"/>
                <w:szCs w:val="17"/>
                <w:color w:val="auto"/>
              </w:rPr>
              <w:t>8.16</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Basic income (loss) per common share from discontinued operations</w:t>
            </w:r>
          </w:p>
        </w:tc>
        <w:tc>
          <w:tcPr>
            <w:tcW w:w="1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5.02</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(0.59)</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Arial" w:cs="Arial" w:eastAsia="Arial" w:hAnsi="Arial"/>
                <w:sz w:val="17"/>
                <w:szCs w:val="17"/>
                <w:color w:val="auto"/>
              </w:rPr>
              <w:t>Basic net income per common share</w:t>
            </w:r>
          </w:p>
        </w:tc>
        <w:tc>
          <w:tcPr>
            <w:tcW w:w="1880" w:type="dxa"/>
            <w:vAlign w:val="bottom"/>
          </w:tcPr>
          <w:p>
            <w:pPr>
              <w:spacing w:after="0"/>
              <w:rPr>
                <w:sz w:val="15"/>
                <w:szCs w:val="15"/>
                <w:color w:val="auto"/>
              </w:rPr>
            </w:pPr>
          </w:p>
        </w:tc>
        <w:tc>
          <w:tcPr>
            <w:tcW w:w="340" w:type="dxa"/>
            <w:vAlign w:val="bottom"/>
            <w:tcBorders>
              <w:bottom w:val="single" w:sz="8" w:color="auto"/>
            </w:tcBorders>
          </w:tcPr>
          <w:p>
            <w:pPr>
              <w:jc w:val="right"/>
              <w:ind w:right="17"/>
              <w:spacing w:after="0" w:line="179" w:lineRule="exact"/>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10.87</w:t>
            </w:r>
          </w:p>
        </w:tc>
        <w:tc>
          <w:tcPr>
            <w:tcW w:w="520" w:type="dxa"/>
            <w:vAlign w:val="bottom"/>
            <w:tcBorders>
              <w:bottom w:val="single" w:sz="8" w:color="auto"/>
            </w:tcBorders>
          </w:tcPr>
          <w:p>
            <w:pPr>
              <w:jc w:val="right"/>
              <w:ind w:right="157"/>
              <w:spacing w:after="0" w:line="179"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7.57</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0" w:type="dxa"/>
            <w:vAlign w:val="bottom"/>
          </w:tcPr>
          <w:p>
            <w:pPr>
              <w:spacing w:after="0"/>
              <w:rPr>
                <w:sz w:val="14"/>
                <w:szCs w:val="14"/>
                <w:color w:val="auto"/>
              </w:rPr>
            </w:pPr>
          </w:p>
        </w:tc>
        <w:tc>
          <w:tcPr>
            <w:tcW w:w="5440" w:type="dxa"/>
            <w:vAlign w:val="bottom"/>
          </w:tcPr>
          <w:p>
            <w:pPr>
              <w:spacing w:after="0" w:line="163" w:lineRule="exact"/>
              <w:rPr>
                <w:sz w:val="20"/>
                <w:szCs w:val="20"/>
                <w:color w:val="auto"/>
              </w:rPr>
            </w:pPr>
            <w:r>
              <w:rPr>
                <w:rFonts w:ascii="Arial" w:cs="Arial" w:eastAsia="Arial" w:hAnsi="Arial"/>
                <w:sz w:val="17"/>
                <w:szCs w:val="17"/>
                <w:color w:val="auto"/>
              </w:rPr>
              <w:t>Basic average number of common shares outstanding</w:t>
            </w:r>
          </w:p>
        </w:tc>
        <w:tc>
          <w:tcPr>
            <w:tcW w:w="18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19"/>
              <w:spacing w:after="0" w:line="163" w:lineRule="exact"/>
              <w:rPr>
                <w:sz w:val="20"/>
                <w:szCs w:val="20"/>
                <w:color w:val="auto"/>
              </w:rPr>
            </w:pPr>
            <w:r>
              <w:rPr>
                <w:rFonts w:ascii="Arial" w:cs="Arial" w:eastAsia="Arial" w:hAnsi="Arial"/>
                <w:sz w:val="17"/>
                <w:szCs w:val="17"/>
                <w:b w:val="1"/>
                <w:bCs w:val="1"/>
                <w:color w:val="auto"/>
              </w:rPr>
              <w:t>7,473</w:t>
            </w: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7,949</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8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Diluted income per common share from continuing operations</w:t>
            </w:r>
          </w:p>
        </w:tc>
        <w:tc>
          <w:tcPr>
            <w:tcW w:w="2220" w:type="dxa"/>
            <w:vAlign w:val="bottom"/>
            <w:gridSpan w:val="2"/>
          </w:tcPr>
          <w:p>
            <w:pPr>
              <w:jc w:val="right"/>
              <w:ind w:right="17"/>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119"/>
              <w:spacing w:after="0"/>
              <w:rPr>
                <w:sz w:val="20"/>
                <w:szCs w:val="20"/>
                <w:color w:val="auto"/>
              </w:rPr>
            </w:pPr>
            <w:r>
              <w:rPr>
                <w:rFonts w:ascii="Arial" w:cs="Arial" w:eastAsia="Arial" w:hAnsi="Arial"/>
                <w:sz w:val="17"/>
                <w:szCs w:val="17"/>
                <w:b w:val="1"/>
                <w:bCs w:val="1"/>
                <w:color w:val="auto"/>
              </w:rPr>
              <w:t>5.85</w:t>
            </w:r>
          </w:p>
        </w:tc>
        <w:tc>
          <w:tcPr>
            <w:tcW w:w="52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8.16</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Diluted income (loss) per common share from discontinued operations</w:t>
            </w:r>
          </w:p>
        </w:tc>
        <w:tc>
          <w:tcPr>
            <w:tcW w:w="1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5.02</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(0.59)</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Arial" w:cs="Arial" w:eastAsia="Arial" w:hAnsi="Arial"/>
                <w:sz w:val="17"/>
                <w:szCs w:val="17"/>
                <w:color w:val="auto"/>
              </w:rPr>
              <w:t>Diluted net income per common share</w:t>
            </w:r>
          </w:p>
        </w:tc>
        <w:tc>
          <w:tcPr>
            <w:tcW w:w="1880" w:type="dxa"/>
            <w:vAlign w:val="bottom"/>
          </w:tcPr>
          <w:p>
            <w:pPr>
              <w:spacing w:after="0"/>
              <w:rPr>
                <w:sz w:val="15"/>
                <w:szCs w:val="15"/>
                <w:color w:val="auto"/>
              </w:rPr>
            </w:pPr>
          </w:p>
        </w:tc>
        <w:tc>
          <w:tcPr>
            <w:tcW w:w="340" w:type="dxa"/>
            <w:vAlign w:val="bottom"/>
            <w:tcBorders>
              <w:bottom w:val="single" w:sz="8" w:color="auto"/>
            </w:tcBorders>
          </w:tcPr>
          <w:p>
            <w:pPr>
              <w:jc w:val="right"/>
              <w:ind w:right="17"/>
              <w:spacing w:after="0" w:line="179" w:lineRule="exact"/>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10.87</w:t>
            </w:r>
          </w:p>
        </w:tc>
        <w:tc>
          <w:tcPr>
            <w:tcW w:w="520" w:type="dxa"/>
            <w:vAlign w:val="bottom"/>
            <w:tcBorders>
              <w:bottom w:val="single" w:sz="8" w:color="auto"/>
            </w:tcBorders>
          </w:tcPr>
          <w:p>
            <w:pPr>
              <w:jc w:val="right"/>
              <w:ind w:right="157"/>
              <w:spacing w:after="0" w:line="179"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7.57</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0" w:type="dxa"/>
            <w:vAlign w:val="bottom"/>
          </w:tcPr>
          <w:p>
            <w:pPr>
              <w:spacing w:after="0"/>
              <w:rPr>
                <w:sz w:val="14"/>
                <w:szCs w:val="14"/>
                <w:color w:val="auto"/>
              </w:rPr>
            </w:pPr>
          </w:p>
        </w:tc>
        <w:tc>
          <w:tcPr>
            <w:tcW w:w="5440" w:type="dxa"/>
            <w:vAlign w:val="bottom"/>
          </w:tcPr>
          <w:p>
            <w:pPr>
              <w:spacing w:after="0" w:line="163" w:lineRule="exact"/>
              <w:rPr>
                <w:sz w:val="20"/>
                <w:szCs w:val="20"/>
                <w:color w:val="auto"/>
              </w:rPr>
            </w:pPr>
            <w:r>
              <w:rPr>
                <w:rFonts w:ascii="Arial" w:cs="Arial" w:eastAsia="Arial" w:hAnsi="Arial"/>
                <w:sz w:val="17"/>
                <w:szCs w:val="17"/>
                <w:color w:val="auto"/>
              </w:rPr>
              <w:t>Diluted average number of common shares outstanding</w:t>
            </w:r>
          </w:p>
        </w:tc>
        <w:tc>
          <w:tcPr>
            <w:tcW w:w="18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19"/>
              <w:spacing w:after="0" w:line="163" w:lineRule="exact"/>
              <w:rPr>
                <w:sz w:val="20"/>
                <w:szCs w:val="20"/>
                <w:color w:val="auto"/>
              </w:rPr>
            </w:pPr>
            <w:r>
              <w:rPr>
                <w:rFonts w:ascii="Arial" w:cs="Arial" w:eastAsia="Arial" w:hAnsi="Arial"/>
                <w:sz w:val="17"/>
                <w:szCs w:val="17"/>
                <w:b w:val="1"/>
                <w:bCs w:val="1"/>
                <w:color w:val="auto"/>
              </w:rPr>
              <w:t>7,580</w:t>
            </w: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8,026</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880" w:type="dxa"/>
            <w:vAlign w:val="bottom"/>
          </w:tcPr>
          <w:p>
            <w:pPr>
              <w:jc w:val="center"/>
              <w:ind w:right="1277"/>
              <w:spacing w:after="0" w:line="174" w:lineRule="exact"/>
              <w:rPr>
                <w:sz w:val="20"/>
                <w:szCs w:val="20"/>
                <w:color w:val="auto"/>
              </w:rPr>
            </w:pPr>
            <w:r>
              <w:rPr>
                <w:rFonts w:ascii="Arial" w:cs="Arial" w:eastAsia="Arial" w:hAnsi="Arial"/>
                <w:sz w:val="17"/>
                <w:szCs w:val="17"/>
                <w:color w:val="auto"/>
                <w:w w:val="95"/>
              </w:rPr>
              <w:t>-more-</w:t>
            </w:r>
          </w:p>
        </w:tc>
        <w:tc>
          <w:tcPr>
            <w:tcW w:w="3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7"/>
        </w:trPr>
        <w:tc>
          <w:tcPr>
            <w:tcW w:w="5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880" w:type="dxa"/>
            <w:vAlign w:val="bottom"/>
          </w:tcPr>
          <w:p>
            <w:pPr>
              <w:jc w:val="right"/>
              <w:ind w:right="1477"/>
              <w:spacing w:after="0"/>
              <w:rPr>
                <w:sz w:val="20"/>
                <w:szCs w:val="20"/>
                <w:color w:val="auto"/>
              </w:rPr>
            </w:pPr>
            <w:r>
              <w:rPr>
                <w:rFonts w:ascii="Arial" w:cs="Arial" w:eastAsia="Arial" w:hAnsi="Arial"/>
                <w:sz w:val="17"/>
                <w:szCs w:val="17"/>
                <w:color w:val="auto"/>
              </w:rPr>
              <w:t>8</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80" w:type="dxa"/>
            <w:vAlign w:val="bottom"/>
            <w:tcBorders>
              <w:bottom w:val="single" w:sz="8" w:color="808080"/>
            </w:tcBorders>
          </w:tcPr>
          <w:p>
            <w:pPr>
              <w:spacing w:after="0"/>
              <w:rPr>
                <w:sz w:val="24"/>
                <w:szCs w:val="24"/>
                <w:color w:val="auto"/>
              </w:rPr>
            </w:pPr>
          </w:p>
        </w:tc>
        <w:tc>
          <w:tcPr>
            <w:tcW w:w="544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589" w:right="139" w:bottom="1440" w:gutter="0" w:footer="0" w:header="0"/>
        </w:sectPr>
      </w:pPr>
    </w:p>
    <w:bookmarkStart w:id="13" w:name="page14"/>
    <w:bookmarkEnd w:id="13"/>
    <w:p>
      <w:pPr>
        <w:jc w:val="center"/>
        <w:ind w:right="-139"/>
        <w:spacing w:after="0"/>
        <w:rPr>
          <w:sz w:val="20"/>
          <w:szCs w:val="20"/>
          <w:color w:val="auto"/>
        </w:rPr>
      </w:pPr>
      <w:r>
        <w:rPr>
          <w:rFonts w:ascii="Arial" w:cs="Arial" w:eastAsia="Arial" w:hAnsi="Arial"/>
          <w:sz w:val="17"/>
          <w:szCs w:val="17"/>
          <w:color w:val="auto"/>
        </w:rPr>
        <w:t>THE WASHINGTON POST COMPANY</w:t>
      </w:r>
    </w:p>
    <w:p>
      <w:pPr>
        <w:jc w:val="center"/>
        <w:ind w:right="-139"/>
        <w:spacing w:after="0" w:line="228" w:lineRule="auto"/>
        <w:rPr>
          <w:sz w:val="20"/>
          <w:szCs w:val="20"/>
          <w:color w:val="auto"/>
        </w:rPr>
      </w:pPr>
      <w:r>
        <w:rPr>
          <w:rFonts w:ascii="Arial" w:cs="Arial" w:eastAsia="Arial" w:hAnsi="Arial"/>
          <w:sz w:val="17"/>
          <w:szCs w:val="17"/>
          <w:u w:val="single" w:color="auto"/>
          <w:color w:val="auto"/>
        </w:rPr>
        <w:t>BUSINESS SEGMENT INFORMATION</w:t>
      </w:r>
    </w:p>
    <w:p>
      <w:pPr>
        <w:jc w:val="center"/>
        <w:ind w:right="-139"/>
        <w:spacing w:after="0"/>
        <w:rPr>
          <w:sz w:val="20"/>
          <w:szCs w:val="20"/>
          <w:color w:val="auto"/>
        </w:rPr>
      </w:pPr>
      <w:r>
        <w:rPr>
          <w:rFonts w:ascii="Arial" w:cs="Arial" w:eastAsia="Arial" w:hAnsi="Arial"/>
          <w:sz w:val="17"/>
          <w:szCs w:val="17"/>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7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2"/>
                <w:szCs w:val="12"/>
                <w:b w:val="1"/>
                <w:bCs w:val="1"/>
                <w:color w:val="auto"/>
              </w:rPr>
              <w:t>Three Months Ended</w:t>
            </w:r>
          </w:p>
        </w:tc>
        <w:tc>
          <w:tcPr>
            <w:tcW w:w="10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Six Months Ended</w:t>
            </w:r>
          </w:p>
        </w:tc>
        <w:tc>
          <w:tcPr>
            <w:tcW w:w="86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r>
      <w:tr>
        <w:trPr>
          <w:trHeight w:val="215"/>
        </w:trPr>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82"/>
              <w:spacing w:after="0"/>
              <w:rPr>
                <w:sz w:val="20"/>
                <w:szCs w:val="20"/>
                <w:color w:val="auto"/>
              </w:rPr>
            </w:pPr>
            <w:r>
              <w:rPr>
                <w:rFonts w:ascii="Arial" w:cs="Arial" w:eastAsia="Arial" w:hAnsi="Arial"/>
                <w:sz w:val="12"/>
                <w:szCs w:val="12"/>
                <w:b w:val="1"/>
                <w:bCs w:val="1"/>
                <w:color w:val="auto"/>
              </w:rPr>
              <w:t>June 30,</w:t>
            </w:r>
          </w:p>
        </w:tc>
        <w:tc>
          <w:tcPr>
            <w:tcW w:w="400" w:type="dxa"/>
            <w:vAlign w:val="bottom"/>
          </w:tcPr>
          <w:p>
            <w:pPr>
              <w:spacing w:after="0"/>
              <w:rPr>
                <w:sz w:val="18"/>
                <w:szCs w:val="18"/>
                <w:color w:val="auto"/>
              </w:rPr>
            </w:pPr>
          </w:p>
        </w:tc>
        <w:tc>
          <w:tcPr>
            <w:tcW w:w="920" w:type="dxa"/>
            <w:vAlign w:val="bottom"/>
          </w:tcPr>
          <w:p>
            <w:pPr>
              <w:jc w:val="right"/>
              <w:ind w:right="382"/>
              <w:spacing w:after="0"/>
              <w:rPr>
                <w:sz w:val="20"/>
                <w:szCs w:val="20"/>
                <w:color w:val="auto"/>
              </w:rPr>
            </w:pPr>
            <w:r>
              <w:rPr>
                <w:rFonts w:ascii="Arial" w:cs="Arial" w:eastAsia="Arial" w:hAnsi="Arial"/>
                <w:sz w:val="12"/>
                <w:szCs w:val="12"/>
                <w:color w:val="auto"/>
              </w:rPr>
              <w:t>July 3,</w:t>
            </w:r>
          </w:p>
        </w:tc>
        <w:tc>
          <w:tcPr>
            <w:tcW w:w="1040" w:type="dxa"/>
            <w:vAlign w:val="bottom"/>
          </w:tcPr>
          <w:p>
            <w:pPr>
              <w:jc w:val="right"/>
              <w:ind w:right="382"/>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8"/>
                <w:szCs w:val="18"/>
                <w:color w:val="auto"/>
              </w:rPr>
            </w:pPr>
          </w:p>
        </w:tc>
        <w:tc>
          <w:tcPr>
            <w:tcW w:w="1100" w:type="dxa"/>
            <w:vAlign w:val="bottom"/>
          </w:tcPr>
          <w:p>
            <w:pPr>
              <w:jc w:val="right"/>
              <w:ind w:right="462"/>
              <w:spacing w:after="0"/>
              <w:rPr>
                <w:sz w:val="20"/>
                <w:szCs w:val="20"/>
                <w:color w:val="auto"/>
              </w:rPr>
            </w:pPr>
            <w:r>
              <w:rPr>
                <w:rFonts w:ascii="Arial" w:cs="Arial" w:eastAsia="Arial" w:hAnsi="Arial"/>
                <w:sz w:val="12"/>
                <w:szCs w:val="12"/>
                <w:b w:val="1"/>
                <w:bCs w:val="1"/>
                <w:color w:val="auto"/>
              </w:rPr>
              <w:t>June 30,</w:t>
            </w:r>
          </w:p>
        </w:tc>
        <w:tc>
          <w:tcPr>
            <w:tcW w:w="560" w:type="dxa"/>
            <w:vAlign w:val="bottom"/>
          </w:tcPr>
          <w:p>
            <w:pPr>
              <w:spacing w:after="0"/>
              <w:rPr>
                <w:sz w:val="18"/>
                <w:szCs w:val="18"/>
                <w:color w:val="auto"/>
              </w:rPr>
            </w:pPr>
          </w:p>
        </w:tc>
        <w:tc>
          <w:tcPr>
            <w:tcW w:w="860" w:type="dxa"/>
            <w:vAlign w:val="bottom"/>
          </w:tcPr>
          <w:p>
            <w:pPr>
              <w:jc w:val="right"/>
              <w:ind w:right="422"/>
              <w:spacing w:after="0"/>
              <w:rPr>
                <w:sz w:val="20"/>
                <w:szCs w:val="20"/>
                <w:color w:val="auto"/>
              </w:rPr>
            </w:pPr>
            <w:r>
              <w:rPr>
                <w:rFonts w:ascii="Arial" w:cs="Arial" w:eastAsia="Arial" w:hAnsi="Arial"/>
                <w:sz w:val="12"/>
                <w:szCs w:val="12"/>
                <w:color w:val="auto"/>
                <w:w w:val="97"/>
              </w:rPr>
              <w:t>July 3,</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37"/>
        </w:trPr>
        <w:tc>
          <w:tcPr>
            <w:tcW w:w="3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22"/>
              <w:spacing w:after="0"/>
              <w:rPr>
                <w:sz w:val="20"/>
                <w:szCs w:val="20"/>
                <w:color w:val="auto"/>
              </w:rPr>
            </w:pPr>
            <w:r>
              <w:rPr>
                <w:rFonts w:ascii="Arial" w:cs="Arial" w:eastAsia="Arial" w:hAnsi="Arial"/>
                <w:sz w:val="12"/>
                <w:szCs w:val="12"/>
                <w:b w:val="1"/>
                <w:bCs w:val="1"/>
                <w:color w:val="auto"/>
              </w:rPr>
              <w:t>2012</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22"/>
              <w:spacing w:after="0"/>
              <w:rPr>
                <w:sz w:val="20"/>
                <w:szCs w:val="20"/>
                <w:color w:val="auto"/>
              </w:rPr>
            </w:pPr>
            <w:r>
              <w:rPr>
                <w:rFonts w:ascii="Arial" w:cs="Arial" w:eastAsia="Arial" w:hAnsi="Arial"/>
                <w:sz w:val="12"/>
                <w:szCs w:val="12"/>
                <w:color w:val="auto"/>
              </w:rPr>
              <w:t>2011</w:t>
            </w:r>
          </w:p>
        </w:tc>
        <w:tc>
          <w:tcPr>
            <w:tcW w:w="104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color w:val="auto"/>
              </w:rPr>
              <w:t>Change</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82"/>
              <w:spacing w:after="0"/>
              <w:rPr>
                <w:sz w:val="20"/>
                <w:szCs w:val="20"/>
                <w:color w:val="auto"/>
              </w:rPr>
            </w:pPr>
            <w:r>
              <w:rPr>
                <w:rFonts w:ascii="Arial" w:cs="Arial" w:eastAsia="Arial" w:hAnsi="Arial"/>
                <w:sz w:val="12"/>
                <w:szCs w:val="12"/>
                <w:b w:val="1"/>
                <w:bCs w:val="1"/>
                <w:color w:val="auto"/>
              </w:rPr>
              <w:t>2012</w:t>
            </w: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82"/>
              <w:spacing w:after="0"/>
              <w:rPr>
                <w:sz w:val="20"/>
                <w:szCs w:val="20"/>
                <w:color w:val="auto"/>
              </w:rPr>
            </w:pPr>
            <w:r>
              <w:rPr>
                <w:rFonts w:ascii="Arial" w:cs="Arial" w:eastAsia="Arial" w:hAnsi="Arial"/>
                <w:sz w:val="12"/>
                <w:szCs w:val="12"/>
                <w:color w:val="auto"/>
              </w:rPr>
              <w:t>2011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Cha</w:t>
            </w:r>
          </w:p>
        </w:tc>
      </w:tr>
      <w:tr>
        <w:trPr>
          <w:trHeight w:val="225"/>
        </w:trPr>
        <w:tc>
          <w:tcPr>
            <w:tcW w:w="3780" w:type="dxa"/>
            <w:vAlign w:val="bottom"/>
          </w:tcPr>
          <w:p>
            <w:pPr>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558,404</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616,962</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(9)</w:t>
            </w:r>
          </w:p>
        </w:tc>
        <w:tc>
          <w:tcPr>
            <w:tcW w:w="3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1,111,805</w:t>
            </w:r>
          </w:p>
        </w:tc>
        <w:tc>
          <w:tcPr>
            <w:tcW w:w="56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1,235,891</w:t>
            </w: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Cable television</w:t>
            </w:r>
          </w:p>
        </w:tc>
        <w:tc>
          <w:tcPr>
            <w:tcW w:w="300" w:type="dxa"/>
            <w:vAlign w:val="bottom"/>
          </w:tcPr>
          <w:p>
            <w:pPr>
              <w:spacing w:after="0"/>
              <w:rPr>
                <w:sz w:val="19"/>
                <w:szCs w:val="19"/>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195,579</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191,231</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9"/>
                <w:szCs w:val="19"/>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385,789</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381,511</w:t>
            </w:r>
          </w:p>
        </w:tc>
        <w:tc>
          <w:tcPr>
            <w:tcW w:w="540" w:type="dxa"/>
            <w:vAlign w:val="bottom"/>
          </w:tcPr>
          <w:p>
            <w:pPr>
              <w:spacing w:after="0"/>
              <w:rPr>
                <w:sz w:val="19"/>
                <w:szCs w:val="19"/>
                <w:color w:val="auto"/>
              </w:rPr>
            </w:pP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Newspaper publishing</w:t>
            </w:r>
          </w:p>
        </w:tc>
        <w:tc>
          <w:tcPr>
            <w:tcW w:w="300" w:type="dxa"/>
            <w:vAlign w:val="bottom"/>
          </w:tcPr>
          <w:p>
            <w:pPr>
              <w:spacing w:after="0"/>
              <w:rPr>
                <w:sz w:val="19"/>
                <w:szCs w:val="19"/>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151,814</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162,772</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19"/>
                <w:szCs w:val="19"/>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294,135</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317,769</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19"/>
                <w:szCs w:val="19"/>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95,591</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84,940</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13</w:t>
            </w:r>
          </w:p>
        </w:tc>
        <w:tc>
          <w:tcPr>
            <w:tcW w:w="300" w:type="dxa"/>
            <w:vAlign w:val="bottom"/>
          </w:tcPr>
          <w:p>
            <w:pPr>
              <w:spacing w:after="0"/>
              <w:rPr>
                <w:sz w:val="19"/>
                <w:szCs w:val="19"/>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177,088</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157,123</w:t>
            </w: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19"/>
                <w:szCs w:val="19"/>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6,680</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6,095</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9"/>
                <w:szCs w:val="19"/>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12,695</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12,757</w:t>
            </w:r>
          </w:p>
        </w:tc>
        <w:tc>
          <w:tcPr>
            <w:tcW w:w="540" w:type="dxa"/>
            <w:vAlign w:val="bottom"/>
          </w:tcPr>
          <w:p>
            <w:pPr>
              <w:spacing w:after="0"/>
              <w:rPr>
                <w:sz w:val="19"/>
                <w:szCs w:val="19"/>
                <w:color w:val="auto"/>
              </w:rPr>
            </w:pP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00" w:type="dxa"/>
            <w:vAlign w:val="bottom"/>
          </w:tcPr>
          <w:p>
            <w:pPr>
              <w:spacing w:after="0"/>
              <w:rPr>
                <w:sz w:val="19"/>
                <w:szCs w:val="19"/>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9"/>
                <w:szCs w:val="19"/>
                <w:color w:val="auto"/>
              </w:rPr>
            </w:pPr>
          </w:p>
        </w:tc>
      </w:tr>
      <w:tr>
        <w:trPr>
          <w:trHeight w:val="215"/>
        </w:trPr>
        <w:tc>
          <w:tcPr>
            <w:tcW w:w="37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(1,149)</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(2,117)</w:t>
            </w: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(1,881)</w:t>
            </w:r>
          </w:p>
        </w:tc>
        <w:tc>
          <w:tcPr>
            <w:tcW w:w="540" w:type="dxa"/>
            <w:vAlign w:val="bottom"/>
          </w:tcPr>
          <w:p>
            <w:pPr>
              <w:spacing w:after="0"/>
              <w:rPr>
                <w:sz w:val="18"/>
                <w:szCs w:val="18"/>
                <w:color w:val="auto"/>
              </w:rPr>
            </w:pPr>
          </w:p>
        </w:tc>
      </w:tr>
      <w:tr>
        <w:trPr>
          <w:trHeight w:val="203"/>
        </w:trPr>
        <w:tc>
          <w:tcPr>
            <w:tcW w:w="3780" w:type="dxa"/>
            <w:vAlign w:val="bottom"/>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1,006,919</w:t>
            </w:r>
          </w:p>
        </w:tc>
        <w:tc>
          <w:tcPr>
            <w:tcW w:w="4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1,061,258</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1,979,395</w:t>
            </w:r>
          </w:p>
        </w:tc>
        <w:tc>
          <w:tcPr>
            <w:tcW w:w="5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2,103,170</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378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555,053</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595,494</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(7)</w:t>
            </w:r>
          </w:p>
        </w:tc>
        <w:tc>
          <w:tcPr>
            <w:tcW w:w="3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1,121,642</w:t>
            </w:r>
          </w:p>
        </w:tc>
        <w:tc>
          <w:tcPr>
            <w:tcW w:w="56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1,194,374</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Cable television</w:t>
            </w:r>
          </w:p>
        </w:tc>
        <w:tc>
          <w:tcPr>
            <w:tcW w:w="300" w:type="dxa"/>
            <w:vAlign w:val="bottom"/>
          </w:tcPr>
          <w:p>
            <w:pPr>
              <w:spacing w:after="0"/>
              <w:rPr>
                <w:sz w:val="19"/>
                <w:szCs w:val="19"/>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157,133</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150,806</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9"/>
                <w:szCs w:val="19"/>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314,566</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303,379</w:t>
            </w:r>
          </w:p>
        </w:tc>
        <w:tc>
          <w:tcPr>
            <w:tcW w:w="540" w:type="dxa"/>
            <w:vAlign w:val="bottom"/>
          </w:tcPr>
          <w:p>
            <w:pPr>
              <w:spacing w:after="0"/>
              <w:rPr>
                <w:sz w:val="19"/>
                <w:szCs w:val="19"/>
                <w:color w:val="auto"/>
              </w:rPr>
            </w:pP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Newspaper publishing</w:t>
            </w:r>
          </w:p>
        </w:tc>
        <w:tc>
          <w:tcPr>
            <w:tcW w:w="300" w:type="dxa"/>
            <w:vAlign w:val="bottom"/>
          </w:tcPr>
          <w:p>
            <w:pPr>
              <w:spacing w:after="0"/>
              <w:rPr>
                <w:sz w:val="19"/>
                <w:szCs w:val="19"/>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167,690</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165,690</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9"/>
                <w:szCs w:val="19"/>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332,571</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333,514</w:t>
            </w:r>
          </w:p>
        </w:tc>
        <w:tc>
          <w:tcPr>
            <w:tcW w:w="540" w:type="dxa"/>
            <w:vAlign w:val="bottom"/>
          </w:tcPr>
          <w:p>
            <w:pPr>
              <w:spacing w:after="0"/>
              <w:rPr>
                <w:sz w:val="19"/>
                <w:szCs w:val="19"/>
                <w:color w:val="auto"/>
              </w:rPr>
            </w:pP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19"/>
                <w:szCs w:val="19"/>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51,863</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52,369</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9"/>
                <w:szCs w:val="19"/>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102,361</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104,961</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19"/>
                <w:szCs w:val="19"/>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12,484</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11,109</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12</w:t>
            </w:r>
          </w:p>
        </w:tc>
        <w:tc>
          <w:tcPr>
            <w:tcW w:w="300" w:type="dxa"/>
            <w:vAlign w:val="bottom"/>
          </w:tcPr>
          <w:p>
            <w:pPr>
              <w:spacing w:after="0"/>
              <w:rPr>
                <w:sz w:val="19"/>
                <w:szCs w:val="19"/>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23,750</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22,810</w:t>
            </w:r>
          </w:p>
        </w:tc>
        <w:tc>
          <w:tcPr>
            <w:tcW w:w="540" w:type="dxa"/>
            <w:vAlign w:val="bottom"/>
          </w:tcPr>
          <w:p>
            <w:pPr>
              <w:spacing w:after="0"/>
              <w:rPr>
                <w:sz w:val="19"/>
                <w:szCs w:val="19"/>
                <w:color w:val="auto"/>
              </w:rPr>
            </w:pP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00" w:type="dxa"/>
            <w:vAlign w:val="bottom"/>
          </w:tcPr>
          <w:p>
            <w:pPr>
              <w:spacing w:after="0"/>
              <w:rPr>
                <w:sz w:val="19"/>
                <w:szCs w:val="19"/>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3,492</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4,433</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(21)</w:t>
            </w:r>
          </w:p>
        </w:tc>
        <w:tc>
          <w:tcPr>
            <w:tcW w:w="300" w:type="dxa"/>
            <w:vAlign w:val="bottom"/>
          </w:tcPr>
          <w:p>
            <w:pPr>
              <w:spacing w:after="0"/>
              <w:rPr>
                <w:sz w:val="19"/>
                <w:szCs w:val="19"/>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8,800</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7,361</w:t>
            </w: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37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(1,149)</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(2,117)</w:t>
            </w: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(1,881)</w:t>
            </w:r>
          </w:p>
        </w:tc>
        <w:tc>
          <w:tcPr>
            <w:tcW w:w="540" w:type="dxa"/>
            <w:vAlign w:val="bottom"/>
          </w:tcPr>
          <w:p>
            <w:pPr>
              <w:spacing w:after="0"/>
              <w:rPr>
                <w:sz w:val="18"/>
                <w:szCs w:val="18"/>
                <w:color w:val="auto"/>
              </w:rPr>
            </w:pPr>
          </w:p>
        </w:tc>
      </w:tr>
      <w:tr>
        <w:trPr>
          <w:trHeight w:val="203"/>
        </w:trPr>
        <w:tc>
          <w:tcPr>
            <w:tcW w:w="3780" w:type="dxa"/>
            <w:vAlign w:val="bottom"/>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946,566</w:t>
            </w:r>
          </w:p>
        </w:tc>
        <w:tc>
          <w:tcPr>
            <w:tcW w:w="4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979,159</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1,901,573</w:t>
            </w:r>
          </w:p>
        </w:tc>
        <w:tc>
          <w:tcPr>
            <w:tcW w:w="5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1,964,518</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3780" w:type="dxa"/>
            <w:vAlign w:val="bottom"/>
          </w:tcPr>
          <w:p>
            <w:pPr>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3,351</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21,468</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(84)</w:t>
            </w:r>
          </w:p>
        </w:tc>
        <w:tc>
          <w:tcPr>
            <w:tcW w:w="3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(9,837)</w:t>
            </w:r>
          </w:p>
        </w:tc>
        <w:tc>
          <w:tcPr>
            <w:tcW w:w="56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41,517</w:t>
            </w:r>
          </w:p>
        </w:tc>
        <w:tc>
          <w:tcPr>
            <w:tcW w:w="540" w:type="dxa"/>
            <w:vAlign w:val="bottom"/>
          </w:tcPr>
          <w:p>
            <w:pPr>
              <w:spacing w:after="0"/>
              <w:rPr>
                <w:sz w:val="19"/>
                <w:szCs w:val="19"/>
                <w:color w:val="auto"/>
              </w:rPr>
            </w:pP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Cable television</w:t>
            </w:r>
          </w:p>
        </w:tc>
        <w:tc>
          <w:tcPr>
            <w:tcW w:w="300" w:type="dxa"/>
            <w:vAlign w:val="bottom"/>
          </w:tcPr>
          <w:p>
            <w:pPr>
              <w:spacing w:after="0"/>
              <w:rPr>
                <w:sz w:val="19"/>
                <w:szCs w:val="19"/>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38,446</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40,425</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9"/>
                <w:szCs w:val="19"/>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71,223</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78,132</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Newspaper publishing</w:t>
            </w:r>
          </w:p>
        </w:tc>
        <w:tc>
          <w:tcPr>
            <w:tcW w:w="300" w:type="dxa"/>
            <w:vAlign w:val="bottom"/>
          </w:tcPr>
          <w:p>
            <w:pPr>
              <w:spacing w:after="0"/>
              <w:rPr>
                <w:sz w:val="19"/>
                <w:szCs w:val="19"/>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(15,876)</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(2,918)</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(38,436)</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(15,745)</w:t>
            </w:r>
          </w:p>
        </w:tc>
        <w:tc>
          <w:tcPr>
            <w:tcW w:w="540" w:type="dxa"/>
            <w:vAlign w:val="bottom"/>
          </w:tcPr>
          <w:p>
            <w:pPr>
              <w:spacing w:after="0"/>
              <w:rPr>
                <w:sz w:val="19"/>
                <w:szCs w:val="19"/>
                <w:color w:val="auto"/>
              </w:rPr>
            </w:pP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19"/>
                <w:szCs w:val="19"/>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43,728</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32,571</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34</w:t>
            </w:r>
          </w:p>
        </w:tc>
        <w:tc>
          <w:tcPr>
            <w:tcW w:w="300" w:type="dxa"/>
            <w:vAlign w:val="bottom"/>
          </w:tcPr>
          <w:p>
            <w:pPr>
              <w:spacing w:after="0"/>
              <w:rPr>
                <w:sz w:val="19"/>
                <w:szCs w:val="19"/>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74,727</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52,162</w:t>
            </w:r>
          </w:p>
        </w:tc>
        <w:tc>
          <w:tcPr>
            <w:tcW w:w="5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19"/>
                <w:szCs w:val="19"/>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(5,804)</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(5,014)</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19"/>
                <w:szCs w:val="19"/>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(11,055)</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(10,053)</w:t>
            </w: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378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(3,492)</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(4,433)</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21</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(8,800)</w:t>
            </w: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(7,361)</w:t>
            </w: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03"/>
        </w:trPr>
        <w:tc>
          <w:tcPr>
            <w:tcW w:w="3780" w:type="dxa"/>
            <w:vAlign w:val="bottom"/>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60,353</w:t>
            </w:r>
          </w:p>
        </w:tc>
        <w:tc>
          <w:tcPr>
            <w:tcW w:w="4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82,099</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(26)</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77,822</w:t>
            </w:r>
          </w:p>
        </w:tc>
        <w:tc>
          <w:tcPr>
            <w:tcW w:w="5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138,652</w:t>
            </w:r>
          </w:p>
        </w:tc>
        <w:tc>
          <w:tcPr>
            <w:tcW w:w="5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2"/>
        </w:trPr>
        <w:tc>
          <w:tcPr>
            <w:tcW w:w="3780" w:type="dxa"/>
            <w:vAlign w:val="bottom"/>
          </w:tcPr>
          <w:p>
            <w:pPr>
              <w:spacing w:after="0"/>
              <w:rPr>
                <w:sz w:val="20"/>
                <w:szCs w:val="20"/>
                <w:color w:val="auto"/>
              </w:rPr>
            </w:pPr>
            <w:r>
              <w:rPr>
                <w:rFonts w:ascii="Arial" w:cs="Arial" w:eastAsia="Arial" w:hAnsi="Arial"/>
                <w:sz w:val="16"/>
                <w:szCs w:val="16"/>
                <w:b w:val="1"/>
                <w:bCs w:val="1"/>
                <w:color w:val="auto"/>
              </w:rPr>
              <w:t>Depreciation:</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21,159</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21,491</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(2)</w:t>
            </w:r>
          </w:p>
        </w:tc>
        <w:tc>
          <w:tcPr>
            <w:tcW w:w="3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42,021</w:t>
            </w:r>
          </w:p>
        </w:tc>
        <w:tc>
          <w:tcPr>
            <w:tcW w:w="56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41,666</w:t>
            </w:r>
          </w:p>
        </w:tc>
        <w:tc>
          <w:tcPr>
            <w:tcW w:w="540" w:type="dxa"/>
            <w:vAlign w:val="bottom"/>
          </w:tcPr>
          <w:p>
            <w:pPr>
              <w:spacing w:after="0"/>
              <w:rPr>
                <w:sz w:val="19"/>
                <w:szCs w:val="19"/>
                <w:color w:val="auto"/>
              </w:rPr>
            </w:pP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Cable television</w:t>
            </w:r>
          </w:p>
        </w:tc>
        <w:tc>
          <w:tcPr>
            <w:tcW w:w="300" w:type="dxa"/>
            <w:vAlign w:val="bottom"/>
          </w:tcPr>
          <w:p>
            <w:pPr>
              <w:spacing w:after="0"/>
              <w:rPr>
                <w:sz w:val="19"/>
                <w:szCs w:val="19"/>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32,234</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31,533</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9"/>
                <w:szCs w:val="19"/>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64,431</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63,319</w:t>
            </w:r>
          </w:p>
        </w:tc>
        <w:tc>
          <w:tcPr>
            <w:tcW w:w="540" w:type="dxa"/>
            <w:vAlign w:val="bottom"/>
          </w:tcPr>
          <w:p>
            <w:pPr>
              <w:spacing w:after="0"/>
              <w:rPr>
                <w:sz w:val="19"/>
                <w:szCs w:val="19"/>
                <w:color w:val="auto"/>
              </w:rPr>
            </w:pP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Newspaper publishing</w:t>
            </w:r>
          </w:p>
        </w:tc>
        <w:tc>
          <w:tcPr>
            <w:tcW w:w="300" w:type="dxa"/>
            <w:vAlign w:val="bottom"/>
          </w:tcPr>
          <w:p>
            <w:pPr>
              <w:spacing w:after="0"/>
              <w:rPr>
                <w:sz w:val="19"/>
                <w:szCs w:val="19"/>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6,282</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6,540</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9"/>
                <w:szCs w:val="19"/>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12,518</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13,440</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19"/>
                <w:szCs w:val="19"/>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3,222</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3,134</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9"/>
                <w:szCs w:val="19"/>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6,347</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6,244</w:t>
            </w:r>
          </w:p>
        </w:tc>
        <w:tc>
          <w:tcPr>
            <w:tcW w:w="540" w:type="dxa"/>
            <w:vAlign w:val="bottom"/>
          </w:tcPr>
          <w:p>
            <w:pPr>
              <w:spacing w:after="0"/>
              <w:rPr>
                <w:sz w:val="19"/>
                <w:szCs w:val="19"/>
                <w:color w:val="auto"/>
              </w:rPr>
            </w:pP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19"/>
                <w:szCs w:val="19"/>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81</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9"/>
                <w:szCs w:val="19"/>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162</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165</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378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540" w:type="dxa"/>
            <w:vAlign w:val="bottom"/>
          </w:tcPr>
          <w:p>
            <w:pPr>
              <w:spacing w:after="0"/>
              <w:rPr>
                <w:sz w:val="18"/>
                <w:szCs w:val="18"/>
                <w:color w:val="auto"/>
              </w:rPr>
            </w:pPr>
          </w:p>
        </w:tc>
      </w:tr>
      <w:tr>
        <w:trPr>
          <w:trHeight w:val="203"/>
        </w:trPr>
        <w:tc>
          <w:tcPr>
            <w:tcW w:w="3780" w:type="dxa"/>
            <w:vAlign w:val="bottom"/>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62,978</w:t>
            </w:r>
          </w:p>
        </w:tc>
        <w:tc>
          <w:tcPr>
            <w:tcW w:w="4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62,882</w:t>
            </w:r>
          </w:p>
        </w:tc>
        <w:tc>
          <w:tcPr>
            <w:tcW w:w="1040" w:type="dxa"/>
            <w:vAlign w:val="bottom"/>
          </w:tcPr>
          <w:p>
            <w:pPr>
              <w:jc w:val="right"/>
              <w:ind w:right="262"/>
              <w:spacing w:after="0"/>
              <w:rPr>
                <w:sz w:val="20"/>
                <w:szCs w:val="20"/>
                <w:color w:val="auto"/>
              </w:rPr>
            </w:pPr>
            <w:r>
              <w:rPr>
                <w:rFonts w:ascii="Arial" w:cs="Arial" w:eastAsia="Arial" w:hAnsi="Arial"/>
                <w:sz w:val="16"/>
                <w:szCs w:val="16"/>
                <w:color w:val="auto"/>
              </w:rPr>
              <w:t>0</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125,479</w:t>
            </w:r>
          </w:p>
        </w:tc>
        <w:tc>
          <w:tcPr>
            <w:tcW w:w="5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125,078</w:t>
            </w:r>
          </w:p>
        </w:tc>
        <w:tc>
          <w:tcPr>
            <w:tcW w:w="540" w:type="dxa"/>
            <w:vAlign w:val="bottom"/>
          </w:tcPr>
          <w:p>
            <w:pPr>
              <w:spacing w:after="0"/>
              <w:rPr>
                <w:sz w:val="17"/>
                <w:szCs w:val="17"/>
                <w:color w:val="auto"/>
              </w:rPr>
            </w:pPr>
          </w:p>
        </w:tc>
      </w:tr>
      <w:tr>
        <w:trPr>
          <w:trHeight w:val="212"/>
        </w:trPr>
        <w:tc>
          <w:tcPr>
            <w:tcW w:w="3780" w:type="dxa"/>
            <w:vAlign w:val="bottom"/>
          </w:tcPr>
          <w:p>
            <w:pPr>
              <w:spacing w:after="0"/>
              <w:rPr>
                <w:sz w:val="20"/>
                <w:szCs w:val="20"/>
                <w:color w:val="auto"/>
              </w:rPr>
            </w:pPr>
            <w:r>
              <w:rPr>
                <w:rFonts w:ascii="Arial" w:cs="Arial" w:eastAsia="Arial" w:hAnsi="Arial"/>
                <w:sz w:val="16"/>
                <w:szCs w:val="16"/>
                <w:b w:val="1"/>
                <w:bCs w:val="1"/>
                <w:color w:val="auto"/>
              </w:rPr>
              <w:t>Amortization of Intangible Assets: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3,810</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5,049</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(25)</w:t>
            </w:r>
          </w:p>
        </w:tc>
        <w:tc>
          <w:tcPr>
            <w:tcW w:w="3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7,053</w:t>
            </w:r>
          </w:p>
        </w:tc>
        <w:tc>
          <w:tcPr>
            <w:tcW w:w="56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9,469</w:t>
            </w: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Cable television</w:t>
            </w:r>
          </w:p>
        </w:tc>
        <w:tc>
          <w:tcPr>
            <w:tcW w:w="300" w:type="dxa"/>
            <w:vAlign w:val="bottom"/>
          </w:tcPr>
          <w:p>
            <w:pPr>
              <w:spacing w:after="0"/>
              <w:rPr>
                <w:sz w:val="19"/>
                <w:szCs w:val="19"/>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53</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(20)</w:t>
            </w:r>
          </w:p>
        </w:tc>
        <w:tc>
          <w:tcPr>
            <w:tcW w:w="300" w:type="dxa"/>
            <w:vAlign w:val="bottom"/>
          </w:tcPr>
          <w:p>
            <w:pPr>
              <w:spacing w:after="0"/>
              <w:rPr>
                <w:sz w:val="19"/>
                <w:szCs w:val="19"/>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107</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139</w:t>
            </w: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Newspaper publishing</w:t>
            </w:r>
          </w:p>
        </w:tc>
        <w:tc>
          <w:tcPr>
            <w:tcW w:w="300" w:type="dxa"/>
            <w:vAlign w:val="bottom"/>
          </w:tcPr>
          <w:p>
            <w:pPr>
              <w:spacing w:after="0"/>
              <w:rPr>
                <w:sz w:val="19"/>
                <w:szCs w:val="19"/>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172</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289</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(40)</w:t>
            </w:r>
          </w:p>
        </w:tc>
        <w:tc>
          <w:tcPr>
            <w:tcW w:w="300" w:type="dxa"/>
            <w:vAlign w:val="bottom"/>
          </w:tcPr>
          <w:p>
            <w:pPr>
              <w:spacing w:after="0"/>
              <w:rPr>
                <w:sz w:val="19"/>
                <w:szCs w:val="19"/>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355</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579</w:t>
            </w: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19"/>
                <w:szCs w:val="19"/>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9"/>
                <w:szCs w:val="19"/>
                <w:color w:val="auto"/>
              </w:rPr>
            </w:pP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19"/>
                <w:szCs w:val="19"/>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408</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934</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(56)</w:t>
            </w:r>
          </w:p>
        </w:tc>
        <w:tc>
          <w:tcPr>
            <w:tcW w:w="300" w:type="dxa"/>
            <w:vAlign w:val="bottom"/>
          </w:tcPr>
          <w:p>
            <w:pPr>
              <w:spacing w:after="0"/>
              <w:rPr>
                <w:sz w:val="19"/>
                <w:szCs w:val="19"/>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865</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1,867</w:t>
            </w:r>
          </w:p>
        </w:tc>
        <w:tc>
          <w:tcPr>
            <w:tcW w:w="5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378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r>
      <w:tr>
        <w:trPr>
          <w:trHeight w:val="203"/>
        </w:trPr>
        <w:tc>
          <w:tcPr>
            <w:tcW w:w="3780" w:type="dxa"/>
            <w:vAlign w:val="bottom"/>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4,443</w:t>
            </w:r>
          </w:p>
        </w:tc>
        <w:tc>
          <w:tcPr>
            <w:tcW w:w="4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6,338</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(30)</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8,380</w:t>
            </w:r>
          </w:p>
        </w:tc>
        <w:tc>
          <w:tcPr>
            <w:tcW w:w="5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12,054</w:t>
            </w: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2"/>
        </w:trPr>
        <w:tc>
          <w:tcPr>
            <w:tcW w:w="3780" w:type="dxa"/>
            <w:vAlign w:val="bottom"/>
          </w:tcPr>
          <w:p>
            <w:pPr>
              <w:spacing w:after="0"/>
              <w:rPr>
                <w:sz w:val="20"/>
                <w:szCs w:val="20"/>
                <w:color w:val="auto"/>
              </w:rPr>
            </w:pPr>
            <w:r>
              <w:rPr>
                <w:rFonts w:ascii="Arial" w:cs="Arial" w:eastAsia="Arial" w:hAnsi="Arial"/>
                <w:sz w:val="16"/>
                <w:szCs w:val="16"/>
                <w:b w:val="1"/>
                <w:bCs w:val="1"/>
                <w:color w:val="auto"/>
              </w:rPr>
              <w:t>Pension Expense (Credit):</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1,969</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1,652</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19</w:t>
            </w:r>
          </w:p>
        </w:tc>
        <w:tc>
          <w:tcPr>
            <w:tcW w:w="3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4,361</w:t>
            </w:r>
          </w:p>
        </w:tc>
        <w:tc>
          <w:tcPr>
            <w:tcW w:w="56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3,204</w:t>
            </w: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Cable television</w:t>
            </w:r>
          </w:p>
        </w:tc>
        <w:tc>
          <w:tcPr>
            <w:tcW w:w="300" w:type="dxa"/>
            <w:vAlign w:val="bottom"/>
          </w:tcPr>
          <w:p>
            <w:pPr>
              <w:spacing w:after="0"/>
              <w:rPr>
                <w:sz w:val="19"/>
                <w:szCs w:val="19"/>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514</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497</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9"/>
                <w:szCs w:val="19"/>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1,044</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1,015</w:t>
            </w:r>
          </w:p>
        </w:tc>
        <w:tc>
          <w:tcPr>
            <w:tcW w:w="540" w:type="dxa"/>
            <w:vAlign w:val="bottom"/>
          </w:tcPr>
          <w:p>
            <w:pPr>
              <w:spacing w:after="0"/>
              <w:rPr>
                <w:sz w:val="19"/>
                <w:szCs w:val="19"/>
                <w:color w:val="auto"/>
              </w:rPr>
            </w:pP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Newspaper publishing</w:t>
            </w:r>
          </w:p>
        </w:tc>
        <w:tc>
          <w:tcPr>
            <w:tcW w:w="300" w:type="dxa"/>
            <w:vAlign w:val="bottom"/>
          </w:tcPr>
          <w:p>
            <w:pPr>
              <w:spacing w:after="0"/>
              <w:rPr>
                <w:sz w:val="19"/>
                <w:szCs w:val="19"/>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7,781</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5,288</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47</w:t>
            </w:r>
          </w:p>
        </w:tc>
        <w:tc>
          <w:tcPr>
            <w:tcW w:w="300" w:type="dxa"/>
            <w:vAlign w:val="bottom"/>
          </w:tcPr>
          <w:p>
            <w:pPr>
              <w:spacing w:after="0"/>
              <w:rPr>
                <w:sz w:val="19"/>
                <w:szCs w:val="19"/>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16,392</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11,993</w:t>
            </w: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19"/>
                <w:szCs w:val="19"/>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1,055</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335</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2,015</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981</w:t>
            </w:r>
          </w:p>
        </w:tc>
        <w:tc>
          <w:tcPr>
            <w:tcW w:w="540" w:type="dxa"/>
            <w:vAlign w:val="bottom"/>
          </w:tcPr>
          <w:p>
            <w:pPr>
              <w:spacing w:after="0"/>
              <w:rPr>
                <w:sz w:val="19"/>
                <w:szCs w:val="19"/>
                <w:color w:val="auto"/>
              </w:rPr>
            </w:pPr>
          </w:p>
        </w:tc>
      </w:tr>
      <w:tr>
        <w:trPr>
          <w:trHeight w:val="223"/>
        </w:trPr>
        <w:tc>
          <w:tcPr>
            <w:tcW w:w="378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19"/>
                <w:szCs w:val="19"/>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19</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12</w:t>
            </w:r>
          </w:p>
        </w:tc>
        <w:tc>
          <w:tcPr>
            <w:tcW w:w="300" w:type="dxa"/>
            <w:vAlign w:val="bottom"/>
          </w:tcPr>
          <w:p>
            <w:pPr>
              <w:spacing w:after="0"/>
              <w:rPr>
                <w:sz w:val="19"/>
                <w:szCs w:val="19"/>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38</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w:t>
            </w: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378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(8,896)</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(9,247)</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(4)</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(18,194)</w:t>
            </w: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(18,544)</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37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2,442</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(1,458)</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5,656</w:t>
            </w:r>
          </w:p>
        </w:tc>
        <w:tc>
          <w:tcPr>
            <w:tcW w:w="56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(1,317)</w:t>
            </w:r>
          </w:p>
        </w:tc>
        <w:tc>
          <w:tcPr>
            <w:tcW w:w="5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2397125</wp:posOffset>
            </wp:positionH>
            <wp:positionV relativeFrom="paragraph">
              <wp:posOffset>-5080</wp:posOffset>
            </wp:positionV>
            <wp:extent cx="420814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08145" cy="7620"/>
                    </a:xfrm>
                    <a:prstGeom prst="rect">
                      <a:avLst/>
                    </a:prstGeom>
                    <a:noFill/>
                  </pic:spPr>
                </pic:pic>
              </a:graphicData>
            </a:graphic>
          </wp:anchor>
        </w:drawing>
      </w: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39" w:right="1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NON-GAAP FINANCIAL INFORMATION</w:t>
      </w:r>
    </w:p>
    <w:p>
      <w:pPr>
        <w:spacing w:after="0" w:line="228" w:lineRule="auto"/>
        <w:rPr>
          <w:sz w:val="20"/>
          <w:szCs w:val="20"/>
          <w:color w:val="auto"/>
        </w:rPr>
      </w:pPr>
      <w:r>
        <w:rPr>
          <w:rFonts w:ascii="Arial" w:cs="Arial" w:eastAsia="Arial" w:hAnsi="Arial"/>
          <w:sz w:val="17"/>
          <w:szCs w:val="17"/>
          <w:color w:val="auto"/>
        </w:rPr>
        <w:t>THE WASHINGTON POST COMPANY</w:t>
      </w:r>
    </w:p>
    <w:p>
      <w:pPr>
        <w:spacing w:after="0"/>
        <w:rPr>
          <w:sz w:val="20"/>
          <w:szCs w:val="20"/>
          <w:color w:val="auto"/>
        </w:rPr>
      </w:pPr>
      <w:r>
        <w:rPr>
          <w:rFonts w:ascii="Arial" w:cs="Arial" w:eastAsia="Arial" w:hAnsi="Arial"/>
          <w:sz w:val="17"/>
          <w:szCs w:val="17"/>
          <w:color w:val="auto"/>
        </w:rPr>
        <w:t>(Unaudited)</w:t>
      </w:r>
    </w:p>
    <w:p>
      <w:pPr>
        <w:spacing w:after="0" w:line="15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In addition to the results reported in accordance with accounting principles generally accepted in the United States (“GAAP”) included in this press rele the Company has provided information regarding income from continuing operations and net income excluding certain items described below reconcil the most directly comparable GAAP measures. Management believes these non-GAAP measures, when read in conjunction with the company‘s GAA financials, provide useful information to investors by offering:</w:t>
      </w:r>
    </w:p>
    <w:p>
      <w:pPr>
        <w:spacing w:after="0" w:line="88" w:lineRule="exact"/>
        <w:rPr>
          <w:sz w:val="20"/>
          <w:szCs w:val="20"/>
          <w:color w:val="auto"/>
        </w:rPr>
      </w:pPr>
    </w:p>
    <w:p>
      <w:pPr>
        <w:ind w:left="420" w:hanging="131"/>
        <w:spacing w:after="0"/>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ability to make meaningful period-to-period comparisons of the Company’s ongoing results;</w:t>
      </w:r>
    </w:p>
    <w:p>
      <w:pPr>
        <w:spacing w:after="0" w:line="102" w:lineRule="exact"/>
        <w:rPr>
          <w:rFonts w:ascii="Arial" w:cs="Arial" w:eastAsia="Arial" w:hAnsi="Arial"/>
          <w:sz w:val="17"/>
          <w:szCs w:val="17"/>
          <w:color w:val="auto"/>
        </w:rPr>
      </w:pPr>
    </w:p>
    <w:p>
      <w:pPr>
        <w:ind w:left="420" w:hanging="131"/>
        <w:spacing w:after="0"/>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ability to identify trends in the Company’s underlying business; and</w:t>
      </w:r>
    </w:p>
    <w:p>
      <w:pPr>
        <w:spacing w:after="0" w:line="102" w:lineRule="exact"/>
        <w:rPr>
          <w:rFonts w:ascii="Arial" w:cs="Arial" w:eastAsia="Arial" w:hAnsi="Arial"/>
          <w:sz w:val="17"/>
          <w:szCs w:val="17"/>
          <w:color w:val="auto"/>
        </w:rPr>
      </w:pPr>
    </w:p>
    <w:p>
      <w:pPr>
        <w:ind w:left="420" w:hanging="131"/>
        <w:spacing w:after="0"/>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better understanding of how management plans and measures the Company’s underlying business.</w:t>
      </w:r>
    </w:p>
    <w:p>
      <w:pPr>
        <w:spacing w:after="0" w:line="17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Income from continuing operations excluding certain items and net income excluding certain items should not be considered substitutes or alternatives computations calculated in accordance with and required by GAAP. These non-GAAP financial measures should be read only in conjunction with finan information presented on a GAAP basis.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non-GAAP financial measures to the most directly comparable GAAP measures: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540" w:type="dxa"/>
            <w:vAlign w:val="bottom"/>
          </w:tcPr>
          <w:p>
            <w:pPr>
              <w:spacing w:after="0"/>
              <w:rPr>
                <w:sz w:val="13"/>
                <w:szCs w:val="13"/>
                <w:color w:val="auto"/>
              </w:rPr>
            </w:pPr>
          </w:p>
        </w:tc>
        <w:tc>
          <w:tcPr>
            <w:tcW w:w="2640" w:type="dxa"/>
            <w:vAlign w:val="bottom"/>
            <w:tcBorders>
              <w:bottom w:val="single" w:sz="8" w:color="auto"/>
            </w:tcBorders>
            <w:gridSpan w:val="2"/>
          </w:tcPr>
          <w:p>
            <w:pPr>
              <w:jc w:val="right"/>
              <w:ind w:right="767"/>
              <w:spacing w:after="0"/>
              <w:rPr>
                <w:sz w:val="20"/>
                <w:szCs w:val="20"/>
                <w:color w:val="auto"/>
              </w:rPr>
            </w:pPr>
            <w:r>
              <w:rPr>
                <w:rFonts w:ascii="Arial" w:cs="Arial" w:eastAsia="Arial" w:hAnsi="Arial"/>
                <w:sz w:val="12"/>
                <w:szCs w:val="12"/>
                <w:b w:val="1"/>
                <w:bCs w:val="1"/>
                <w:color w:val="auto"/>
              </w:rPr>
              <w:t>Three Months Ended</w:t>
            </w:r>
          </w:p>
        </w:tc>
        <w:tc>
          <w:tcPr>
            <w:tcW w:w="176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2"/>
                <w:szCs w:val="12"/>
                <w:b w:val="1"/>
                <w:bCs w:val="1"/>
                <w:color w:val="auto"/>
              </w:rPr>
              <w:t>Six Months Ended</w:t>
            </w:r>
          </w:p>
        </w:tc>
        <w:tc>
          <w:tcPr>
            <w:tcW w:w="0" w:type="dxa"/>
            <w:vAlign w:val="bottom"/>
          </w:tcPr>
          <w:p>
            <w:pPr>
              <w:spacing w:after="0"/>
              <w:rPr>
                <w:sz w:val="1"/>
                <w:szCs w:val="1"/>
                <w:color w:val="auto"/>
              </w:rPr>
            </w:pPr>
          </w:p>
        </w:tc>
      </w:tr>
      <w:tr>
        <w:trPr>
          <w:trHeight w:val="176"/>
        </w:trPr>
        <w:tc>
          <w:tcPr>
            <w:tcW w:w="6540" w:type="dxa"/>
            <w:vAlign w:val="bottom"/>
          </w:tcPr>
          <w:p>
            <w:pPr>
              <w:spacing w:after="0"/>
              <w:rPr>
                <w:sz w:val="15"/>
                <w:szCs w:val="15"/>
                <w:color w:val="auto"/>
              </w:rPr>
            </w:pPr>
          </w:p>
        </w:tc>
        <w:tc>
          <w:tcPr>
            <w:tcW w:w="1420" w:type="dxa"/>
            <w:vAlign w:val="bottom"/>
          </w:tcPr>
          <w:p>
            <w:pPr>
              <w:jc w:val="right"/>
              <w:ind w:right="528"/>
              <w:spacing w:after="0"/>
              <w:rPr>
                <w:sz w:val="20"/>
                <w:szCs w:val="20"/>
                <w:color w:val="auto"/>
              </w:rPr>
            </w:pPr>
            <w:r>
              <w:rPr>
                <w:rFonts w:ascii="Arial" w:cs="Arial" w:eastAsia="Arial" w:hAnsi="Arial"/>
                <w:sz w:val="12"/>
                <w:szCs w:val="12"/>
                <w:b w:val="1"/>
                <w:bCs w:val="1"/>
                <w:color w:val="auto"/>
              </w:rPr>
              <w:t>June 30,</w:t>
            </w:r>
          </w:p>
        </w:tc>
        <w:tc>
          <w:tcPr>
            <w:tcW w:w="1220" w:type="dxa"/>
            <w:vAlign w:val="bottom"/>
          </w:tcPr>
          <w:p>
            <w:pPr>
              <w:jc w:val="right"/>
              <w:ind w:right="507"/>
              <w:spacing w:after="0"/>
              <w:rPr>
                <w:sz w:val="20"/>
                <w:szCs w:val="20"/>
                <w:color w:val="auto"/>
              </w:rPr>
            </w:pPr>
            <w:r>
              <w:rPr>
                <w:rFonts w:ascii="Arial" w:cs="Arial" w:eastAsia="Arial" w:hAnsi="Arial"/>
                <w:sz w:val="12"/>
                <w:szCs w:val="12"/>
                <w:color w:val="auto"/>
              </w:rPr>
              <w:t>July 3,</w:t>
            </w:r>
          </w:p>
        </w:tc>
        <w:tc>
          <w:tcPr>
            <w:tcW w:w="1280" w:type="dxa"/>
            <w:vAlign w:val="bottom"/>
          </w:tcPr>
          <w:p>
            <w:pPr>
              <w:jc w:val="right"/>
              <w:ind w:right="468"/>
              <w:spacing w:after="0"/>
              <w:rPr>
                <w:sz w:val="20"/>
                <w:szCs w:val="20"/>
                <w:color w:val="auto"/>
              </w:rPr>
            </w:pPr>
            <w:r>
              <w:rPr>
                <w:rFonts w:ascii="Arial" w:cs="Arial" w:eastAsia="Arial" w:hAnsi="Arial"/>
                <w:sz w:val="12"/>
                <w:szCs w:val="12"/>
                <w:b w:val="1"/>
                <w:bCs w:val="1"/>
                <w:color w:val="auto"/>
              </w:rPr>
              <w:t>June 30,</w:t>
            </w:r>
          </w:p>
        </w:tc>
        <w:tc>
          <w:tcPr>
            <w:tcW w:w="480" w:type="dxa"/>
            <w:vAlign w:val="bottom"/>
          </w:tcPr>
          <w:p>
            <w:pPr>
              <w:jc w:val="right"/>
              <w:spacing w:after="0"/>
              <w:rPr>
                <w:sz w:val="20"/>
                <w:szCs w:val="20"/>
                <w:color w:val="auto"/>
              </w:rPr>
            </w:pPr>
            <w:r>
              <w:rPr>
                <w:rFonts w:ascii="Arial" w:cs="Arial" w:eastAsia="Arial" w:hAnsi="Arial"/>
                <w:sz w:val="12"/>
                <w:szCs w:val="12"/>
                <w:color w:val="auto"/>
              </w:rPr>
              <w:t>July</w:t>
            </w:r>
          </w:p>
        </w:tc>
        <w:tc>
          <w:tcPr>
            <w:tcW w:w="0" w:type="dxa"/>
            <w:vAlign w:val="bottom"/>
          </w:tcPr>
          <w:p>
            <w:pPr>
              <w:spacing w:after="0"/>
              <w:rPr>
                <w:sz w:val="1"/>
                <w:szCs w:val="1"/>
                <w:color w:val="auto"/>
              </w:rPr>
            </w:pPr>
          </w:p>
        </w:tc>
      </w:tr>
      <w:tr>
        <w:trPr>
          <w:trHeight w:val="151"/>
        </w:trPr>
        <w:tc>
          <w:tcPr>
            <w:tcW w:w="6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1420" w:type="dxa"/>
            <w:vAlign w:val="bottom"/>
            <w:tcBorders>
              <w:bottom w:val="single" w:sz="8" w:color="auto"/>
            </w:tcBorders>
          </w:tcPr>
          <w:p>
            <w:pPr>
              <w:jc w:val="right"/>
              <w:ind w:right="668"/>
              <w:spacing w:after="0"/>
              <w:rPr>
                <w:sz w:val="20"/>
                <w:szCs w:val="20"/>
                <w:color w:val="auto"/>
              </w:rPr>
            </w:pPr>
            <w:r>
              <w:rPr>
                <w:rFonts w:ascii="Arial" w:cs="Arial" w:eastAsia="Arial" w:hAnsi="Arial"/>
                <w:sz w:val="12"/>
                <w:szCs w:val="12"/>
                <w:b w:val="1"/>
                <w:bCs w:val="1"/>
                <w:color w:val="auto"/>
              </w:rPr>
              <w:t>2012</w:t>
            </w:r>
          </w:p>
        </w:tc>
        <w:tc>
          <w:tcPr>
            <w:tcW w:w="1220" w:type="dxa"/>
            <w:vAlign w:val="bottom"/>
            <w:tcBorders>
              <w:bottom w:val="single" w:sz="8" w:color="auto"/>
            </w:tcBorders>
          </w:tcPr>
          <w:p>
            <w:pPr>
              <w:jc w:val="right"/>
              <w:ind w:right="547"/>
              <w:spacing w:after="0"/>
              <w:rPr>
                <w:sz w:val="20"/>
                <w:szCs w:val="20"/>
                <w:color w:val="auto"/>
              </w:rPr>
            </w:pPr>
            <w:r>
              <w:rPr>
                <w:rFonts w:ascii="Arial" w:cs="Arial" w:eastAsia="Arial" w:hAnsi="Arial"/>
                <w:sz w:val="12"/>
                <w:szCs w:val="12"/>
                <w:color w:val="auto"/>
              </w:rPr>
              <w:t>2011</w:t>
            </w: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2"/>
                <w:szCs w:val="12"/>
                <w:b w:val="1"/>
                <w:bCs w:val="1"/>
                <w:color w:val="auto"/>
              </w:rPr>
              <w:t>2012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75"/>
        </w:trPr>
        <w:tc>
          <w:tcPr>
            <w:tcW w:w="6540" w:type="dxa"/>
            <w:vAlign w:val="bottom"/>
          </w:tcPr>
          <w:p>
            <w:pPr>
              <w:spacing w:after="0"/>
              <w:rPr>
                <w:sz w:val="20"/>
                <w:szCs w:val="20"/>
                <w:color w:val="auto"/>
              </w:rPr>
            </w:pPr>
            <w:r>
              <w:rPr>
                <w:rFonts w:ascii="Arial" w:cs="Arial" w:eastAsia="Arial" w:hAnsi="Arial"/>
                <w:sz w:val="15"/>
                <w:szCs w:val="15"/>
                <w:b w:val="1"/>
                <w:bCs w:val="1"/>
                <w:color w:val="auto"/>
              </w:rPr>
              <w:t>Amounts attributable to The Washington Post Company</w:t>
            </w: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540" w:type="dxa"/>
            <w:vAlign w:val="bottom"/>
          </w:tcPr>
          <w:p>
            <w:pPr>
              <w:ind w:left="220"/>
              <w:spacing w:after="0"/>
              <w:rPr>
                <w:sz w:val="20"/>
                <w:szCs w:val="20"/>
                <w:color w:val="auto"/>
              </w:rPr>
            </w:pPr>
            <w:r>
              <w:rPr>
                <w:rFonts w:ascii="Arial" w:cs="Arial" w:eastAsia="Arial" w:hAnsi="Arial"/>
                <w:sz w:val="15"/>
                <w:szCs w:val="15"/>
                <w:b w:val="1"/>
                <w:bCs w:val="1"/>
                <w:color w:val="auto"/>
              </w:rPr>
              <w:t>common stockholders</w:t>
            </w:r>
          </w:p>
        </w:tc>
        <w:tc>
          <w:tcPr>
            <w:tcW w:w="1420" w:type="dxa"/>
            <w:vAlign w:val="bottom"/>
            <w:vMerge w:val="restart"/>
          </w:tcPr>
          <w:p>
            <w:pPr>
              <w:jc w:val="right"/>
              <w:ind w:right="208"/>
              <w:spacing w:after="0"/>
              <w:rPr>
                <w:sz w:val="20"/>
                <w:szCs w:val="20"/>
                <w:color w:val="auto"/>
              </w:rPr>
            </w:pPr>
            <w:r>
              <w:rPr>
                <w:rFonts w:ascii="Arial" w:cs="Arial" w:eastAsia="Arial" w:hAnsi="Arial"/>
                <w:sz w:val="15"/>
                <w:szCs w:val="15"/>
                <w:b w:val="1"/>
                <w:bCs w:val="1"/>
                <w:color w:val="auto"/>
              </w:rPr>
              <w:t>$ 33,970</w:t>
            </w:r>
          </w:p>
        </w:tc>
        <w:tc>
          <w:tcPr>
            <w:tcW w:w="1220" w:type="dxa"/>
            <w:vAlign w:val="bottom"/>
          </w:tcPr>
          <w:p>
            <w:pPr>
              <w:spacing w:after="0"/>
              <w:rPr>
                <w:sz w:val="16"/>
                <w:szCs w:val="16"/>
                <w:color w:val="auto"/>
              </w:rPr>
            </w:pPr>
          </w:p>
        </w:tc>
        <w:tc>
          <w:tcPr>
            <w:tcW w:w="1280" w:type="dxa"/>
            <w:vAlign w:val="bottom"/>
            <w:vMerge w:val="restart"/>
          </w:tcPr>
          <w:p>
            <w:pPr>
              <w:jc w:val="right"/>
              <w:ind w:right="208"/>
              <w:spacing w:after="0"/>
              <w:rPr>
                <w:sz w:val="20"/>
                <w:szCs w:val="20"/>
                <w:color w:val="auto"/>
              </w:rPr>
            </w:pPr>
            <w:r>
              <w:rPr>
                <w:rFonts w:ascii="Arial" w:cs="Arial" w:eastAsia="Arial" w:hAnsi="Arial"/>
                <w:sz w:val="15"/>
                <w:szCs w:val="15"/>
                <w:b w:val="1"/>
                <w:bCs w:val="1"/>
                <w:color w:val="auto"/>
              </w:rPr>
              <w:t>$ 44,800</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540" w:type="dxa"/>
            <w:vAlign w:val="bottom"/>
          </w:tcPr>
          <w:p>
            <w:pPr>
              <w:spacing w:after="0"/>
              <w:rPr>
                <w:sz w:val="20"/>
                <w:szCs w:val="20"/>
                <w:color w:val="auto"/>
              </w:rPr>
            </w:pPr>
            <w:r>
              <w:rPr>
                <w:rFonts w:ascii="Arial" w:cs="Arial" w:eastAsia="Arial" w:hAnsi="Arial"/>
                <w:sz w:val="15"/>
                <w:szCs w:val="15"/>
                <w:color w:val="auto"/>
              </w:rPr>
              <w:t>Income from continuing operations, as reported</w:t>
            </w:r>
          </w:p>
        </w:tc>
        <w:tc>
          <w:tcPr>
            <w:tcW w:w="142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rPr>
              <w:t>$ 47,593</w:t>
            </w:r>
          </w:p>
        </w:tc>
        <w:tc>
          <w:tcPr>
            <w:tcW w:w="128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6540" w:type="dxa"/>
            <w:vAlign w:val="bottom"/>
          </w:tcPr>
          <w:p>
            <w:pPr>
              <w:spacing w:after="0" w:line="167" w:lineRule="exact"/>
              <w:rPr>
                <w:sz w:val="20"/>
                <w:szCs w:val="20"/>
                <w:color w:val="auto"/>
              </w:rPr>
            </w:pPr>
            <w:r>
              <w:rPr>
                <w:rFonts w:ascii="Arial" w:cs="Arial" w:eastAsia="Arial" w:hAnsi="Arial"/>
                <w:sz w:val="15"/>
                <w:szCs w:val="15"/>
                <w:color w:val="auto"/>
              </w:rPr>
              <w:t>Net income, as reported</w:t>
            </w:r>
          </w:p>
        </w:tc>
        <w:tc>
          <w:tcPr>
            <w:tcW w:w="1420" w:type="dxa"/>
            <w:vAlign w:val="bottom"/>
            <w:tcBorders>
              <w:bottom w:val="single" w:sz="8" w:color="auto"/>
            </w:tcBorders>
          </w:tcPr>
          <w:p>
            <w:pPr>
              <w:jc w:val="right"/>
              <w:ind w:right="208"/>
              <w:spacing w:after="0" w:line="167" w:lineRule="exact"/>
              <w:rPr>
                <w:sz w:val="20"/>
                <w:szCs w:val="20"/>
                <w:color w:val="auto"/>
              </w:rPr>
            </w:pPr>
            <w:r>
              <w:rPr>
                <w:rFonts w:ascii="Arial" w:cs="Arial" w:eastAsia="Arial" w:hAnsi="Arial"/>
                <w:sz w:val="15"/>
                <w:szCs w:val="15"/>
                <w:b w:val="1"/>
                <w:bCs w:val="1"/>
                <w:color w:val="auto"/>
              </w:rPr>
              <w:t>$ 51,814</w:t>
            </w:r>
          </w:p>
        </w:tc>
        <w:tc>
          <w:tcPr>
            <w:tcW w:w="1220" w:type="dxa"/>
            <w:vAlign w:val="bottom"/>
            <w:tcBorders>
              <w:bottom w:val="single" w:sz="8" w:color="auto"/>
            </w:tcBorders>
          </w:tcPr>
          <w:p>
            <w:pPr>
              <w:jc w:val="right"/>
              <w:ind w:right="167"/>
              <w:spacing w:after="0" w:line="167" w:lineRule="exact"/>
              <w:rPr>
                <w:sz w:val="20"/>
                <w:szCs w:val="20"/>
                <w:color w:val="auto"/>
              </w:rPr>
            </w:pPr>
            <w:r>
              <w:rPr>
                <w:rFonts w:ascii="Arial" w:cs="Arial" w:eastAsia="Arial" w:hAnsi="Arial"/>
                <w:sz w:val="15"/>
                <w:szCs w:val="15"/>
                <w:color w:val="auto"/>
              </w:rPr>
              <w:t>$ 45,573</w:t>
            </w:r>
          </w:p>
        </w:tc>
        <w:tc>
          <w:tcPr>
            <w:tcW w:w="1280" w:type="dxa"/>
            <w:vAlign w:val="bottom"/>
            <w:tcBorders>
              <w:bottom w:val="single" w:sz="8" w:color="auto"/>
            </w:tcBorders>
          </w:tcPr>
          <w:p>
            <w:pPr>
              <w:jc w:val="right"/>
              <w:ind w:right="208"/>
              <w:spacing w:after="0" w:line="167" w:lineRule="exact"/>
              <w:rPr>
                <w:sz w:val="20"/>
                <w:szCs w:val="20"/>
                <w:color w:val="auto"/>
              </w:rPr>
            </w:pPr>
            <w:r>
              <w:rPr>
                <w:rFonts w:ascii="Arial" w:cs="Arial" w:eastAsia="Arial" w:hAnsi="Arial"/>
                <w:sz w:val="15"/>
                <w:szCs w:val="15"/>
                <w:b w:val="1"/>
                <w:bCs w:val="1"/>
                <w:color w:val="auto"/>
              </w:rPr>
              <w:t>$ 82,861</w:t>
            </w:r>
          </w:p>
        </w:tc>
        <w:tc>
          <w:tcPr>
            <w:tcW w:w="4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6540" w:type="dxa"/>
            <w:vAlign w:val="bottom"/>
          </w:tcPr>
          <w:p>
            <w:pPr>
              <w:ind w:left="220"/>
              <w:spacing w:after="0"/>
              <w:rPr>
                <w:sz w:val="20"/>
                <w:szCs w:val="20"/>
                <w:color w:val="auto"/>
              </w:rPr>
            </w:pPr>
            <w:r>
              <w:rPr>
                <w:rFonts w:ascii="Arial" w:cs="Arial" w:eastAsia="Arial" w:hAnsi="Arial"/>
                <w:sz w:val="15"/>
                <w:szCs w:val="15"/>
                <w:color w:val="auto"/>
              </w:rPr>
              <w:t>Adjustments:</w:t>
            </w:r>
          </w:p>
        </w:tc>
        <w:tc>
          <w:tcPr>
            <w:tcW w:w="1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540" w:type="dxa"/>
            <w:vAlign w:val="bottom"/>
          </w:tcPr>
          <w:p>
            <w:pPr>
              <w:ind w:left="460"/>
              <w:spacing w:after="0"/>
              <w:rPr>
                <w:sz w:val="20"/>
                <w:szCs w:val="20"/>
                <w:color w:val="auto"/>
              </w:rPr>
            </w:pPr>
            <w:r>
              <w:rPr>
                <w:rFonts w:ascii="Arial" w:cs="Arial" w:eastAsia="Arial" w:hAnsi="Arial"/>
                <w:sz w:val="15"/>
                <w:szCs w:val="15"/>
                <w:color w:val="auto"/>
              </w:rPr>
              <w:t>Severance and restructuring charges</w:t>
            </w:r>
          </w:p>
        </w:tc>
        <w:tc>
          <w:tcPr>
            <w:tcW w:w="1420" w:type="dxa"/>
            <w:vAlign w:val="bottom"/>
          </w:tcPr>
          <w:p>
            <w:pPr>
              <w:jc w:val="right"/>
              <w:ind w:right="248"/>
              <w:spacing w:after="0"/>
              <w:rPr>
                <w:sz w:val="20"/>
                <w:szCs w:val="20"/>
                <w:color w:val="auto"/>
              </w:rPr>
            </w:pPr>
            <w:r>
              <w:rPr>
                <w:rFonts w:ascii="Arial" w:cs="Arial" w:eastAsia="Arial" w:hAnsi="Arial"/>
                <w:sz w:val="15"/>
                <w:szCs w:val="15"/>
                <w:b w:val="1"/>
                <w:bCs w:val="1"/>
                <w:color w:val="auto"/>
              </w:rPr>
              <w:t>5,178</w:t>
            </w:r>
          </w:p>
        </w:tc>
        <w:tc>
          <w:tcPr>
            <w:tcW w:w="1220" w:type="dxa"/>
            <w:vAlign w:val="bottom"/>
          </w:tcPr>
          <w:p>
            <w:pPr>
              <w:jc w:val="right"/>
              <w:ind w:right="207"/>
              <w:spacing w:after="0"/>
              <w:rPr>
                <w:sz w:val="20"/>
                <w:szCs w:val="20"/>
                <w:color w:val="auto"/>
              </w:rPr>
            </w:pPr>
            <w:r>
              <w:rPr>
                <w:rFonts w:ascii="Arial" w:cs="Arial" w:eastAsia="Arial" w:hAnsi="Arial"/>
                <w:sz w:val="15"/>
                <w:szCs w:val="15"/>
                <w:color w:val="auto"/>
              </w:rPr>
              <w:t>7,254</w:t>
            </w:r>
          </w:p>
        </w:tc>
        <w:tc>
          <w:tcPr>
            <w:tcW w:w="1280" w:type="dxa"/>
            <w:vAlign w:val="bottom"/>
          </w:tcPr>
          <w:p>
            <w:pPr>
              <w:jc w:val="right"/>
              <w:ind w:right="248"/>
              <w:spacing w:after="0"/>
              <w:rPr>
                <w:sz w:val="20"/>
                <w:szCs w:val="20"/>
                <w:color w:val="auto"/>
              </w:rPr>
            </w:pPr>
            <w:r>
              <w:rPr>
                <w:rFonts w:ascii="Arial" w:cs="Arial" w:eastAsia="Arial" w:hAnsi="Arial"/>
                <w:sz w:val="15"/>
                <w:szCs w:val="15"/>
                <w:b w:val="1"/>
                <w:bCs w:val="1"/>
                <w:color w:val="auto"/>
              </w:rPr>
              <w:t>6,352</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540" w:type="dxa"/>
            <w:vAlign w:val="bottom"/>
          </w:tcPr>
          <w:p>
            <w:pPr>
              <w:ind w:left="460"/>
              <w:spacing w:after="0"/>
              <w:rPr>
                <w:sz w:val="20"/>
                <w:szCs w:val="20"/>
                <w:color w:val="auto"/>
              </w:rPr>
            </w:pPr>
            <w:r>
              <w:rPr>
                <w:rFonts w:ascii="Arial" w:cs="Arial" w:eastAsia="Arial" w:hAnsi="Arial"/>
                <w:sz w:val="15"/>
                <w:szCs w:val="15"/>
                <w:color w:val="auto"/>
              </w:rPr>
              <w:t>Gain on sales of cost method investments</w:t>
            </w:r>
          </w:p>
        </w:tc>
        <w:tc>
          <w:tcPr>
            <w:tcW w:w="1420" w:type="dxa"/>
            <w:vAlign w:val="bottom"/>
          </w:tcPr>
          <w:p>
            <w:pPr>
              <w:jc w:val="right"/>
              <w:ind w:right="248"/>
              <w:spacing w:after="0"/>
              <w:rPr>
                <w:sz w:val="20"/>
                <w:szCs w:val="20"/>
                <w:color w:val="auto"/>
              </w:rPr>
            </w:pPr>
            <w:r>
              <w:rPr>
                <w:rFonts w:ascii="Arial" w:cs="Arial" w:eastAsia="Arial" w:hAnsi="Arial"/>
                <w:sz w:val="15"/>
                <w:szCs w:val="15"/>
                <w:b w:val="1"/>
                <w:bCs w:val="1"/>
                <w:color w:val="auto"/>
              </w:rPr>
              <w:t>―</w:t>
            </w:r>
          </w:p>
        </w:tc>
        <w:tc>
          <w:tcPr>
            <w:tcW w:w="1220" w:type="dxa"/>
            <w:vAlign w:val="bottom"/>
          </w:tcPr>
          <w:p>
            <w:pPr>
              <w:jc w:val="right"/>
              <w:ind w:right="207"/>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48"/>
              <w:spacing w:after="0"/>
              <w:rPr>
                <w:sz w:val="20"/>
                <w:szCs w:val="20"/>
                <w:color w:val="auto"/>
              </w:rPr>
            </w:pPr>
            <w:r>
              <w:rPr>
                <w:rFonts w:ascii="Arial" w:cs="Arial" w:eastAsia="Arial" w:hAnsi="Arial"/>
                <w:sz w:val="15"/>
                <w:szCs w:val="15"/>
                <w:b w:val="1"/>
                <w:bCs w:val="1"/>
                <w:color w:val="auto"/>
              </w:rPr>
              <w:t>(3,657)</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540" w:type="dxa"/>
            <w:vAlign w:val="bottom"/>
          </w:tcPr>
          <w:p>
            <w:pPr>
              <w:ind w:left="460"/>
              <w:spacing w:after="0"/>
              <w:rPr>
                <w:sz w:val="20"/>
                <w:szCs w:val="20"/>
                <w:color w:val="auto"/>
              </w:rPr>
            </w:pPr>
            <w:r>
              <w:rPr>
                <w:rFonts w:ascii="Arial" w:cs="Arial" w:eastAsia="Arial" w:hAnsi="Arial"/>
                <w:sz w:val="15"/>
                <w:szCs w:val="15"/>
                <w:color w:val="auto"/>
              </w:rPr>
              <w:t>Marketable equity securities write-down</w:t>
            </w:r>
          </w:p>
        </w:tc>
        <w:tc>
          <w:tcPr>
            <w:tcW w:w="1420" w:type="dxa"/>
            <w:vAlign w:val="bottom"/>
          </w:tcPr>
          <w:p>
            <w:pPr>
              <w:jc w:val="right"/>
              <w:ind w:right="248"/>
              <w:spacing w:after="0"/>
              <w:rPr>
                <w:sz w:val="20"/>
                <w:szCs w:val="20"/>
                <w:color w:val="auto"/>
              </w:rPr>
            </w:pPr>
            <w:r>
              <w:rPr>
                <w:rFonts w:ascii="Arial" w:cs="Arial" w:eastAsia="Arial" w:hAnsi="Arial"/>
                <w:sz w:val="15"/>
                <w:szCs w:val="15"/>
                <w:b w:val="1"/>
                <w:bCs w:val="1"/>
                <w:color w:val="auto"/>
              </w:rPr>
              <w:t>―</w:t>
            </w:r>
          </w:p>
        </w:tc>
        <w:tc>
          <w:tcPr>
            <w:tcW w:w="1220" w:type="dxa"/>
            <w:vAlign w:val="bottom"/>
          </w:tcPr>
          <w:p>
            <w:pPr>
              <w:jc w:val="right"/>
              <w:ind w:right="207"/>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48"/>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540" w:type="dxa"/>
            <w:vAlign w:val="bottom"/>
          </w:tcPr>
          <w:p>
            <w:pPr>
              <w:ind w:left="460"/>
              <w:spacing w:after="0"/>
              <w:rPr>
                <w:sz w:val="20"/>
                <w:szCs w:val="20"/>
                <w:color w:val="auto"/>
              </w:rPr>
            </w:pPr>
            <w:r>
              <w:rPr>
                <w:rFonts w:ascii="Arial" w:cs="Arial" w:eastAsia="Arial" w:hAnsi="Arial"/>
                <w:sz w:val="15"/>
                <w:szCs w:val="15"/>
                <w:color w:val="auto"/>
              </w:rPr>
              <w:t>Foreign currency loss (gain)</w:t>
            </w:r>
          </w:p>
        </w:tc>
        <w:tc>
          <w:tcPr>
            <w:tcW w:w="1420" w:type="dxa"/>
            <w:vAlign w:val="bottom"/>
            <w:tcBorders>
              <w:bottom w:val="single" w:sz="8" w:color="auto"/>
            </w:tcBorders>
          </w:tcPr>
          <w:p>
            <w:pPr>
              <w:jc w:val="right"/>
              <w:ind w:right="248"/>
              <w:spacing w:after="0"/>
              <w:rPr>
                <w:sz w:val="20"/>
                <w:szCs w:val="20"/>
                <w:color w:val="auto"/>
              </w:rPr>
            </w:pPr>
            <w:r>
              <w:rPr>
                <w:rFonts w:ascii="Arial" w:cs="Arial" w:eastAsia="Arial" w:hAnsi="Arial"/>
                <w:sz w:val="15"/>
                <w:szCs w:val="15"/>
                <w:b w:val="1"/>
                <w:bCs w:val="1"/>
                <w:color w:val="auto"/>
              </w:rPr>
              <w:t>1,607</w:t>
            </w:r>
          </w:p>
        </w:tc>
        <w:tc>
          <w:tcPr>
            <w:tcW w:w="122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rPr>
              <w:t>(210)</w:t>
            </w: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5"/>
                <w:szCs w:val="15"/>
                <w:b w:val="1"/>
                <w:bCs w:val="1"/>
                <w:color w:val="auto"/>
              </w:rPr>
              <w:t>(42)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6540" w:type="dxa"/>
            <w:vAlign w:val="bottom"/>
          </w:tcPr>
          <w:p>
            <w:pPr>
              <w:spacing w:after="0" w:line="167" w:lineRule="exact"/>
              <w:rPr>
                <w:sz w:val="20"/>
                <w:szCs w:val="20"/>
                <w:color w:val="auto"/>
              </w:rPr>
            </w:pPr>
            <w:r>
              <w:rPr>
                <w:rFonts w:ascii="Arial" w:cs="Arial" w:eastAsia="Arial" w:hAnsi="Arial"/>
                <w:sz w:val="15"/>
                <w:szCs w:val="15"/>
                <w:color w:val="auto"/>
              </w:rPr>
              <w:t>Income from continuing operations, adjusted (non-GAAP)</w:t>
            </w:r>
          </w:p>
        </w:tc>
        <w:tc>
          <w:tcPr>
            <w:tcW w:w="1420" w:type="dxa"/>
            <w:vAlign w:val="bottom"/>
            <w:tcBorders>
              <w:bottom w:val="single" w:sz="8" w:color="auto"/>
            </w:tcBorders>
          </w:tcPr>
          <w:p>
            <w:pPr>
              <w:jc w:val="right"/>
              <w:ind w:right="208"/>
              <w:spacing w:after="0" w:line="167" w:lineRule="exact"/>
              <w:rPr>
                <w:sz w:val="20"/>
                <w:szCs w:val="20"/>
                <w:color w:val="auto"/>
              </w:rPr>
            </w:pPr>
            <w:r>
              <w:rPr>
                <w:rFonts w:ascii="Arial" w:cs="Arial" w:eastAsia="Arial" w:hAnsi="Arial"/>
                <w:sz w:val="15"/>
                <w:szCs w:val="15"/>
                <w:b w:val="1"/>
                <w:bCs w:val="1"/>
                <w:color w:val="auto"/>
              </w:rPr>
              <w:t>$ 40,755</w:t>
            </w:r>
          </w:p>
        </w:tc>
        <w:tc>
          <w:tcPr>
            <w:tcW w:w="1220" w:type="dxa"/>
            <w:vAlign w:val="bottom"/>
            <w:tcBorders>
              <w:bottom w:val="single" w:sz="8" w:color="auto"/>
            </w:tcBorders>
          </w:tcPr>
          <w:p>
            <w:pPr>
              <w:jc w:val="right"/>
              <w:ind w:right="167"/>
              <w:spacing w:after="0" w:line="167" w:lineRule="exact"/>
              <w:rPr>
                <w:sz w:val="20"/>
                <w:szCs w:val="20"/>
                <w:color w:val="auto"/>
              </w:rPr>
            </w:pPr>
            <w:r>
              <w:rPr>
                <w:rFonts w:ascii="Arial" w:cs="Arial" w:eastAsia="Arial" w:hAnsi="Arial"/>
                <w:sz w:val="15"/>
                <w:szCs w:val="15"/>
                <w:color w:val="auto"/>
              </w:rPr>
              <w:t>$ 54,637</w:t>
            </w:r>
          </w:p>
        </w:tc>
        <w:tc>
          <w:tcPr>
            <w:tcW w:w="1280" w:type="dxa"/>
            <w:vAlign w:val="bottom"/>
            <w:tcBorders>
              <w:bottom w:val="single" w:sz="8" w:color="auto"/>
            </w:tcBorders>
          </w:tcPr>
          <w:p>
            <w:pPr>
              <w:jc w:val="right"/>
              <w:ind w:right="208"/>
              <w:spacing w:after="0" w:line="167" w:lineRule="exact"/>
              <w:rPr>
                <w:sz w:val="20"/>
                <w:szCs w:val="20"/>
                <w:color w:val="auto"/>
              </w:rPr>
            </w:pPr>
            <w:r>
              <w:rPr>
                <w:rFonts w:ascii="Arial" w:cs="Arial" w:eastAsia="Arial" w:hAnsi="Arial"/>
                <w:sz w:val="15"/>
                <w:szCs w:val="15"/>
                <w:b w:val="1"/>
                <w:bCs w:val="1"/>
                <w:color w:val="auto"/>
              </w:rPr>
              <w:t>$ 47,453</w:t>
            </w:r>
          </w:p>
        </w:tc>
        <w:tc>
          <w:tcPr>
            <w:tcW w:w="4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6540" w:type="dxa"/>
            <w:vAlign w:val="bottom"/>
          </w:tcPr>
          <w:p>
            <w:pPr>
              <w:spacing w:after="0" w:line="167" w:lineRule="exact"/>
              <w:rPr>
                <w:sz w:val="20"/>
                <w:szCs w:val="20"/>
                <w:color w:val="auto"/>
              </w:rPr>
            </w:pPr>
            <w:r>
              <w:rPr>
                <w:rFonts w:ascii="Arial" w:cs="Arial" w:eastAsia="Arial" w:hAnsi="Arial"/>
                <w:sz w:val="15"/>
                <w:szCs w:val="15"/>
                <w:color w:val="auto"/>
              </w:rPr>
              <w:t>Net income, adjusted (non-GAAP)</w:t>
            </w:r>
          </w:p>
        </w:tc>
        <w:tc>
          <w:tcPr>
            <w:tcW w:w="1420" w:type="dxa"/>
            <w:vAlign w:val="bottom"/>
            <w:tcBorders>
              <w:bottom w:val="single" w:sz="8" w:color="auto"/>
            </w:tcBorders>
          </w:tcPr>
          <w:p>
            <w:pPr>
              <w:jc w:val="right"/>
              <w:ind w:right="208"/>
              <w:spacing w:after="0" w:line="167" w:lineRule="exact"/>
              <w:rPr>
                <w:sz w:val="20"/>
                <w:szCs w:val="20"/>
                <w:color w:val="auto"/>
              </w:rPr>
            </w:pPr>
            <w:r>
              <w:rPr>
                <w:rFonts w:ascii="Arial" w:cs="Arial" w:eastAsia="Arial" w:hAnsi="Arial"/>
                <w:sz w:val="15"/>
                <w:szCs w:val="15"/>
                <w:b w:val="1"/>
                <w:bCs w:val="1"/>
                <w:color w:val="auto"/>
              </w:rPr>
              <w:t>$ 58,599</w:t>
            </w:r>
          </w:p>
        </w:tc>
        <w:tc>
          <w:tcPr>
            <w:tcW w:w="1220" w:type="dxa"/>
            <w:vAlign w:val="bottom"/>
            <w:tcBorders>
              <w:bottom w:val="single" w:sz="8" w:color="auto"/>
            </w:tcBorders>
          </w:tcPr>
          <w:p>
            <w:pPr>
              <w:jc w:val="right"/>
              <w:ind w:right="167"/>
              <w:spacing w:after="0" w:line="167" w:lineRule="exact"/>
              <w:rPr>
                <w:sz w:val="20"/>
                <w:szCs w:val="20"/>
                <w:color w:val="auto"/>
              </w:rPr>
            </w:pPr>
            <w:r>
              <w:rPr>
                <w:rFonts w:ascii="Arial" w:cs="Arial" w:eastAsia="Arial" w:hAnsi="Arial"/>
                <w:sz w:val="15"/>
                <w:szCs w:val="15"/>
                <w:color w:val="auto"/>
              </w:rPr>
              <w:t>$ 52,617</w:t>
            </w:r>
          </w:p>
        </w:tc>
        <w:tc>
          <w:tcPr>
            <w:tcW w:w="1280" w:type="dxa"/>
            <w:vAlign w:val="bottom"/>
            <w:tcBorders>
              <w:bottom w:val="single" w:sz="8" w:color="auto"/>
            </w:tcBorders>
          </w:tcPr>
          <w:p>
            <w:pPr>
              <w:jc w:val="right"/>
              <w:ind w:right="208"/>
              <w:spacing w:after="0" w:line="167" w:lineRule="exact"/>
              <w:rPr>
                <w:sz w:val="20"/>
                <w:szCs w:val="20"/>
                <w:color w:val="auto"/>
              </w:rPr>
            </w:pPr>
            <w:r>
              <w:rPr>
                <w:rFonts w:ascii="Arial" w:cs="Arial" w:eastAsia="Arial" w:hAnsi="Arial"/>
                <w:sz w:val="15"/>
                <w:szCs w:val="15"/>
                <w:b w:val="1"/>
                <w:bCs w:val="1"/>
                <w:color w:val="auto"/>
              </w:rPr>
              <w:t>$ 85,514</w:t>
            </w:r>
          </w:p>
        </w:tc>
        <w:tc>
          <w:tcPr>
            <w:tcW w:w="4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71"/>
        </w:trPr>
        <w:tc>
          <w:tcPr>
            <w:tcW w:w="6540" w:type="dxa"/>
            <w:vAlign w:val="bottom"/>
          </w:tcPr>
          <w:p>
            <w:pPr>
              <w:spacing w:after="0"/>
              <w:rPr>
                <w:sz w:val="20"/>
                <w:szCs w:val="20"/>
                <w:color w:val="auto"/>
              </w:rPr>
            </w:pPr>
            <w:r>
              <w:rPr>
                <w:rFonts w:ascii="Arial" w:cs="Arial" w:eastAsia="Arial" w:hAnsi="Arial"/>
                <w:sz w:val="15"/>
                <w:szCs w:val="15"/>
                <w:b w:val="1"/>
                <w:bCs w:val="1"/>
                <w:color w:val="auto"/>
              </w:rPr>
              <w:t>Per share information attributable to The Washington</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540" w:type="dxa"/>
            <w:vAlign w:val="bottom"/>
          </w:tcPr>
          <w:p>
            <w:pPr>
              <w:ind w:left="220"/>
              <w:spacing w:after="0"/>
              <w:rPr>
                <w:sz w:val="20"/>
                <w:szCs w:val="20"/>
                <w:color w:val="auto"/>
              </w:rPr>
            </w:pPr>
            <w:r>
              <w:rPr>
                <w:rFonts w:ascii="Arial" w:cs="Arial" w:eastAsia="Arial" w:hAnsi="Arial"/>
                <w:sz w:val="15"/>
                <w:szCs w:val="15"/>
                <w:b w:val="1"/>
                <w:bCs w:val="1"/>
                <w:color w:val="auto"/>
              </w:rPr>
              <w:t>Post Company common stockholders</w:t>
            </w:r>
          </w:p>
        </w:tc>
        <w:tc>
          <w:tcPr>
            <w:tcW w:w="1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540" w:type="dxa"/>
            <w:vAlign w:val="bottom"/>
          </w:tcPr>
          <w:p>
            <w:pPr>
              <w:spacing w:after="0"/>
              <w:rPr>
                <w:sz w:val="20"/>
                <w:szCs w:val="20"/>
                <w:color w:val="auto"/>
              </w:rPr>
            </w:pPr>
            <w:r>
              <w:rPr>
                <w:rFonts w:ascii="Arial" w:cs="Arial" w:eastAsia="Arial" w:hAnsi="Arial"/>
                <w:sz w:val="15"/>
                <w:szCs w:val="15"/>
                <w:color w:val="auto"/>
              </w:rPr>
              <w:t>Diluted income per common share from continuing operations,</w:t>
            </w: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540" w:type="dxa"/>
            <w:vAlign w:val="bottom"/>
          </w:tcPr>
          <w:p>
            <w:pPr>
              <w:ind w:left="220"/>
              <w:spacing w:after="0"/>
              <w:rPr>
                <w:sz w:val="20"/>
                <w:szCs w:val="20"/>
                <w:color w:val="auto"/>
              </w:rPr>
            </w:pPr>
            <w:r>
              <w:rPr>
                <w:rFonts w:ascii="Arial" w:cs="Arial" w:eastAsia="Arial" w:hAnsi="Arial"/>
                <w:sz w:val="15"/>
                <w:szCs w:val="15"/>
                <w:color w:val="auto"/>
              </w:rPr>
              <w:t>as reported</w:t>
            </w:r>
          </w:p>
        </w:tc>
        <w:tc>
          <w:tcPr>
            <w:tcW w:w="1420" w:type="dxa"/>
            <w:vAlign w:val="bottom"/>
            <w:tcBorders>
              <w:bottom w:val="single" w:sz="8" w:color="auto"/>
            </w:tcBorders>
          </w:tcPr>
          <w:p>
            <w:pPr>
              <w:jc w:val="right"/>
              <w:ind w:right="208"/>
              <w:spacing w:after="0"/>
              <w:rPr>
                <w:sz w:val="20"/>
                <w:szCs w:val="20"/>
                <w:color w:val="auto"/>
              </w:rPr>
            </w:pPr>
            <w:r>
              <w:rPr>
                <w:rFonts w:ascii="Arial" w:cs="Arial" w:eastAsia="Arial" w:hAnsi="Arial"/>
                <w:sz w:val="15"/>
                <w:szCs w:val="15"/>
                <w:b w:val="1"/>
                <w:bCs w:val="1"/>
                <w:color w:val="auto"/>
              </w:rPr>
              <w:t>$ 4.48</w:t>
            </w:r>
          </w:p>
        </w:tc>
        <w:tc>
          <w:tcPr>
            <w:tcW w:w="12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rPr>
              <w:t>$ 6.00</w:t>
            </w: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5"/>
                <w:szCs w:val="15"/>
                <w:b w:val="1"/>
                <w:bCs w:val="1"/>
                <w:color w:val="auto"/>
              </w:rPr>
              <w:t>$ 5.85</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6540" w:type="dxa"/>
            <w:vAlign w:val="bottom"/>
          </w:tcPr>
          <w:p>
            <w:pPr>
              <w:spacing w:after="0" w:line="167" w:lineRule="exact"/>
              <w:rPr>
                <w:sz w:val="20"/>
                <w:szCs w:val="20"/>
                <w:color w:val="auto"/>
              </w:rPr>
            </w:pPr>
            <w:r>
              <w:rPr>
                <w:rFonts w:ascii="Arial" w:cs="Arial" w:eastAsia="Arial" w:hAnsi="Arial"/>
                <w:sz w:val="15"/>
                <w:szCs w:val="15"/>
                <w:color w:val="auto"/>
              </w:rPr>
              <w:t>Diluted net income per common share, as reported</w:t>
            </w:r>
          </w:p>
        </w:tc>
        <w:tc>
          <w:tcPr>
            <w:tcW w:w="1420" w:type="dxa"/>
            <w:vAlign w:val="bottom"/>
            <w:tcBorders>
              <w:bottom w:val="single" w:sz="8" w:color="auto"/>
            </w:tcBorders>
          </w:tcPr>
          <w:p>
            <w:pPr>
              <w:jc w:val="right"/>
              <w:ind w:right="208"/>
              <w:spacing w:after="0" w:line="167" w:lineRule="exact"/>
              <w:rPr>
                <w:sz w:val="20"/>
                <w:szCs w:val="20"/>
                <w:color w:val="auto"/>
              </w:rPr>
            </w:pPr>
            <w:r>
              <w:rPr>
                <w:rFonts w:ascii="Arial" w:cs="Arial" w:eastAsia="Arial" w:hAnsi="Arial"/>
                <w:sz w:val="15"/>
                <w:szCs w:val="15"/>
                <w:b w:val="1"/>
                <w:bCs w:val="1"/>
                <w:color w:val="auto"/>
              </w:rPr>
              <w:t>$ 6.84</w:t>
            </w:r>
          </w:p>
        </w:tc>
        <w:tc>
          <w:tcPr>
            <w:tcW w:w="1220" w:type="dxa"/>
            <w:vAlign w:val="bottom"/>
            <w:tcBorders>
              <w:bottom w:val="single" w:sz="8" w:color="auto"/>
            </w:tcBorders>
          </w:tcPr>
          <w:p>
            <w:pPr>
              <w:jc w:val="right"/>
              <w:ind w:right="167"/>
              <w:spacing w:after="0" w:line="167" w:lineRule="exact"/>
              <w:rPr>
                <w:sz w:val="20"/>
                <w:szCs w:val="20"/>
                <w:color w:val="auto"/>
              </w:rPr>
            </w:pPr>
            <w:r>
              <w:rPr>
                <w:rFonts w:ascii="Arial" w:cs="Arial" w:eastAsia="Arial" w:hAnsi="Arial"/>
                <w:sz w:val="15"/>
                <w:szCs w:val="15"/>
                <w:color w:val="auto"/>
              </w:rPr>
              <w:t>$ 5.74</w:t>
            </w:r>
          </w:p>
        </w:tc>
        <w:tc>
          <w:tcPr>
            <w:tcW w:w="1280" w:type="dxa"/>
            <w:vAlign w:val="bottom"/>
            <w:tcBorders>
              <w:bottom w:val="single" w:sz="8" w:color="auto"/>
            </w:tcBorders>
          </w:tcPr>
          <w:p>
            <w:pPr>
              <w:jc w:val="right"/>
              <w:ind w:right="208"/>
              <w:spacing w:after="0" w:line="167" w:lineRule="exact"/>
              <w:rPr>
                <w:sz w:val="20"/>
                <w:szCs w:val="20"/>
                <w:color w:val="auto"/>
              </w:rPr>
            </w:pPr>
            <w:r>
              <w:rPr>
                <w:rFonts w:ascii="Arial" w:cs="Arial" w:eastAsia="Arial" w:hAnsi="Arial"/>
                <w:sz w:val="15"/>
                <w:szCs w:val="15"/>
                <w:b w:val="1"/>
                <w:bCs w:val="1"/>
                <w:color w:val="auto"/>
              </w:rPr>
              <w:t>$ 10.87</w:t>
            </w: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540" w:type="dxa"/>
            <w:vAlign w:val="bottom"/>
          </w:tcPr>
          <w:p>
            <w:pPr>
              <w:ind w:left="220"/>
              <w:spacing w:after="0"/>
              <w:rPr>
                <w:sz w:val="20"/>
                <w:szCs w:val="20"/>
                <w:color w:val="auto"/>
              </w:rPr>
            </w:pPr>
            <w:r>
              <w:rPr>
                <w:rFonts w:ascii="Arial" w:cs="Arial" w:eastAsia="Arial" w:hAnsi="Arial"/>
                <w:sz w:val="15"/>
                <w:szCs w:val="15"/>
                <w:color w:val="auto"/>
              </w:rPr>
              <w:t>Adjustments:</w:t>
            </w:r>
          </w:p>
        </w:tc>
        <w:tc>
          <w:tcPr>
            <w:tcW w:w="1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540" w:type="dxa"/>
            <w:vAlign w:val="bottom"/>
          </w:tcPr>
          <w:p>
            <w:pPr>
              <w:ind w:left="460"/>
              <w:spacing w:after="0"/>
              <w:rPr>
                <w:sz w:val="20"/>
                <w:szCs w:val="20"/>
                <w:color w:val="auto"/>
              </w:rPr>
            </w:pPr>
            <w:r>
              <w:rPr>
                <w:rFonts w:ascii="Arial" w:cs="Arial" w:eastAsia="Arial" w:hAnsi="Arial"/>
                <w:sz w:val="15"/>
                <w:szCs w:val="15"/>
                <w:color w:val="auto"/>
              </w:rPr>
              <w:t>Severance and restructuring charges</w:t>
            </w:r>
          </w:p>
        </w:tc>
        <w:tc>
          <w:tcPr>
            <w:tcW w:w="1420" w:type="dxa"/>
            <w:vAlign w:val="bottom"/>
          </w:tcPr>
          <w:p>
            <w:pPr>
              <w:jc w:val="right"/>
              <w:ind w:right="248"/>
              <w:spacing w:after="0"/>
              <w:rPr>
                <w:sz w:val="20"/>
                <w:szCs w:val="20"/>
                <w:color w:val="auto"/>
              </w:rPr>
            </w:pPr>
            <w:r>
              <w:rPr>
                <w:rFonts w:ascii="Arial" w:cs="Arial" w:eastAsia="Arial" w:hAnsi="Arial"/>
                <w:sz w:val="15"/>
                <w:szCs w:val="15"/>
                <w:b w:val="1"/>
                <w:bCs w:val="1"/>
                <w:color w:val="auto"/>
              </w:rPr>
              <w:t>0.69</w:t>
            </w:r>
          </w:p>
        </w:tc>
        <w:tc>
          <w:tcPr>
            <w:tcW w:w="1220" w:type="dxa"/>
            <w:vAlign w:val="bottom"/>
          </w:tcPr>
          <w:p>
            <w:pPr>
              <w:jc w:val="right"/>
              <w:ind w:right="207"/>
              <w:spacing w:after="0"/>
              <w:rPr>
                <w:sz w:val="20"/>
                <w:szCs w:val="20"/>
                <w:color w:val="auto"/>
              </w:rPr>
            </w:pPr>
            <w:r>
              <w:rPr>
                <w:rFonts w:ascii="Arial" w:cs="Arial" w:eastAsia="Arial" w:hAnsi="Arial"/>
                <w:sz w:val="15"/>
                <w:szCs w:val="15"/>
                <w:color w:val="auto"/>
              </w:rPr>
              <w:t>0.91</w:t>
            </w:r>
          </w:p>
        </w:tc>
        <w:tc>
          <w:tcPr>
            <w:tcW w:w="1280" w:type="dxa"/>
            <w:vAlign w:val="bottom"/>
          </w:tcPr>
          <w:p>
            <w:pPr>
              <w:jc w:val="right"/>
              <w:ind w:right="248"/>
              <w:spacing w:after="0"/>
              <w:rPr>
                <w:sz w:val="20"/>
                <w:szCs w:val="20"/>
                <w:color w:val="auto"/>
              </w:rPr>
            </w:pPr>
            <w:r>
              <w:rPr>
                <w:rFonts w:ascii="Arial" w:cs="Arial" w:eastAsia="Arial" w:hAnsi="Arial"/>
                <w:sz w:val="15"/>
                <w:szCs w:val="15"/>
                <w:b w:val="1"/>
                <w:bCs w:val="1"/>
                <w:color w:val="auto"/>
              </w:rPr>
              <w:t>0.84</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540" w:type="dxa"/>
            <w:vAlign w:val="bottom"/>
          </w:tcPr>
          <w:p>
            <w:pPr>
              <w:ind w:left="460"/>
              <w:spacing w:after="0"/>
              <w:rPr>
                <w:sz w:val="20"/>
                <w:szCs w:val="20"/>
                <w:color w:val="auto"/>
              </w:rPr>
            </w:pPr>
            <w:r>
              <w:rPr>
                <w:rFonts w:ascii="Arial" w:cs="Arial" w:eastAsia="Arial" w:hAnsi="Arial"/>
                <w:sz w:val="15"/>
                <w:szCs w:val="15"/>
                <w:color w:val="auto"/>
              </w:rPr>
              <w:t>Gain on sales of cost method investments</w:t>
            </w:r>
          </w:p>
        </w:tc>
        <w:tc>
          <w:tcPr>
            <w:tcW w:w="1420" w:type="dxa"/>
            <w:vAlign w:val="bottom"/>
          </w:tcPr>
          <w:p>
            <w:pPr>
              <w:jc w:val="right"/>
              <w:ind w:right="248"/>
              <w:spacing w:after="0"/>
              <w:rPr>
                <w:sz w:val="20"/>
                <w:szCs w:val="20"/>
                <w:color w:val="auto"/>
              </w:rPr>
            </w:pPr>
            <w:r>
              <w:rPr>
                <w:rFonts w:ascii="Arial" w:cs="Arial" w:eastAsia="Arial" w:hAnsi="Arial"/>
                <w:sz w:val="15"/>
                <w:szCs w:val="15"/>
                <w:b w:val="1"/>
                <w:bCs w:val="1"/>
                <w:color w:val="auto"/>
              </w:rPr>
              <w:t>―</w:t>
            </w:r>
          </w:p>
        </w:tc>
        <w:tc>
          <w:tcPr>
            <w:tcW w:w="1220" w:type="dxa"/>
            <w:vAlign w:val="bottom"/>
          </w:tcPr>
          <w:p>
            <w:pPr>
              <w:jc w:val="right"/>
              <w:ind w:right="207"/>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48"/>
              <w:spacing w:after="0"/>
              <w:rPr>
                <w:sz w:val="20"/>
                <w:szCs w:val="20"/>
                <w:color w:val="auto"/>
              </w:rPr>
            </w:pPr>
            <w:r>
              <w:rPr>
                <w:rFonts w:ascii="Arial" w:cs="Arial" w:eastAsia="Arial" w:hAnsi="Arial"/>
                <w:sz w:val="15"/>
                <w:szCs w:val="15"/>
                <w:b w:val="1"/>
                <w:bCs w:val="1"/>
                <w:color w:val="auto"/>
              </w:rPr>
              <w:t>(0.48)</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540" w:type="dxa"/>
            <w:vAlign w:val="bottom"/>
          </w:tcPr>
          <w:p>
            <w:pPr>
              <w:ind w:left="460"/>
              <w:spacing w:after="0"/>
              <w:rPr>
                <w:sz w:val="20"/>
                <w:szCs w:val="20"/>
                <w:color w:val="auto"/>
              </w:rPr>
            </w:pPr>
            <w:r>
              <w:rPr>
                <w:rFonts w:ascii="Arial" w:cs="Arial" w:eastAsia="Arial" w:hAnsi="Arial"/>
                <w:sz w:val="15"/>
                <w:szCs w:val="15"/>
                <w:color w:val="auto"/>
              </w:rPr>
              <w:t>Marketable equity securities write-down</w:t>
            </w:r>
          </w:p>
        </w:tc>
        <w:tc>
          <w:tcPr>
            <w:tcW w:w="1420" w:type="dxa"/>
            <w:vAlign w:val="bottom"/>
          </w:tcPr>
          <w:p>
            <w:pPr>
              <w:jc w:val="right"/>
              <w:ind w:right="248"/>
              <w:spacing w:after="0"/>
              <w:rPr>
                <w:sz w:val="20"/>
                <w:szCs w:val="20"/>
                <w:color w:val="auto"/>
              </w:rPr>
            </w:pPr>
            <w:r>
              <w:rPr>
                <w:rFonts w:ascii="Arial" w:cs="Arial" w:eastAsia="Arial" w:hAnsi="Arial"/>
                <w:sz w:val="15"/>
                <w:szCs w:val="15"/>
                <w:b w:val="1"/>
                <w:bCs w:val="1"/>
                <w:color w:val="auto"/>
              </w:rPr>
              <w:t>―</w:t>
            </w:r>
          </w:p>
        </w:tc>
        <w:tc>
          <w:tcPr>
            <w:tcW w:w="1220" w:type="dxa"/>
            <w:vAlign w:val="bottom"/>
          </w:tcPr>
          <w:p>
            <w:pPr>
              <w:jc w:val="right"/>
              <w:ind w:right="207"/>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48"/>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540" w:type="dxa"/>
            <w:vAlign w:val="bottom"/>
          </w:tcPr>
          <w:p>
            <w:pPr>
              <w:ind w:left="460"/>
              <w:spacing w:after="0"/>
              <w:rPr>
                <w:sz w:val="20"/>
                <w:szCs w:val="20"/>
                <w:color w:val="auto"/>
              </w:rPr>
            </w:pPr>
            <w:r>
              <w:rPr>
                <w:rFonts w:ascii="Arial" w:cs="Arial" w:eastAsia="Arial" w:hAnsi="Arial"/>
                <w:sz w:val="15"/>
                <w:szCs w:val="15"/>
                <w:color w:val="auto"/>
              </w:rPr>
              <w:t>Foreign currency loss (gain)</w:t>
            </w:r>
          </w:p>
        </w:tc>
        <w:tc>
          <w:tcPr>
            <w:tcW w:w="1420" w:type="dxa"/>
            <w:vAlign w:val="bottom"/>
            <w:tcBorders>
              <w:bottom w:val="single" w:sz="8" w:color="auto"/>
            </w:tcBorders>
          </w:tcPr>
          <w:p>
            <w:pPr>
              <w:jc w:val="right"/>
              <w:ind w:right="248"/>
              <w:spacing w:after="0"/>
              <w:rPr>
                <w:sz w:val="20"/>
                <w:szCs w:val="20"/>
                <w:color w:val="auto"/>
              </w:rPr>
            </w:pPr>
            <w:r>
              <w:rPr>
                <w:rFonts w:ascii="Arial" w:cs="Arial" w:eastAsia="Arial" w:hAnsi="Arial"/>
                <w:sz w:val="15"/>
                <w:szCs w:val="15"/>
                <w:b w:val="1"/>
                <w:bCs w:val="1"/>
                <w:color w:val="auto"/>
              </w:rPr>
              <w:t>0.21</w:t>
            </w:r>
          </w:p>
        </w:tc>
        <w:tc>
          <w:tcPr>
            <w:tcW w:w="122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rPr>
              <w:t>(0.03)</w:t>
            </w: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5"/>
                <w:szCs w:val="15"/>
                <w:b w:val="1"/>
                <w:bCs w:val="1"/>
                <w:color w:val="auto"/>
              </w:rPr>
              <w:t>(0.01)</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540" w:type="dxa"/>
            <w:vAlign w:val="bottom"/>
          </w:tcPr>
          <w:p>
            <w:pPr>
              <w:spacing w:after="0"/>
              <w:rPr>
                <w:sz w:val="20"/>
                <w:szCs w:val="20"/>
                <w:color w:val="auto"/>
              </w:rPr>
            </w:pPr>
            <w:r>
              <w:rPr>
                <w:rFonts w:ascii="Arial" w:cs="Arial" w:eastAsia="Arial" w:hAnsi="Arial"/>
                <w:sz w:val="15"/>
                <w:szCs w:val="15"/>
                <w:color w:val="auto"/>
              </w:rPr>
              <w:t>Diluted income per common share from continuing operations,</w:t>
            </w: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540" w:type="dxa"/>
            <w:vAlign w:val="bottom"/>
          </w:tcPr>
          <w:p>
            <w:pPr>
              <w:ind w:left="220"/>
              <w:spacing w:after="0"/>
              <w:rPr>
                <w:sz w:val="20"/>
                <w:szCs w:val="20"/>
                <w:color w:val="auto"/>
              </w:rPr>
            </w:pPr>
            <w:r>
              <w:rPr>
                <w:rFonts w:ascii="Arial" w:cs="Arial" w:eastAsia="Arial" w:hAnsi="Arial"/>
                <w:sz w:val="15"/>
                <w:szCs w:val="15"/>
                <w:color w:val="auto"/>
              </w:rPr>
              <w:t>adjusted (non-GAAP)</w:t>
            </w:r>
          </w:p>
        </w:tc>
        <w:tc>
          <w:tcPr>
            <w:tcW w:w="1420" w:type="dxa"/>
            <w:vAlign w:val="bottom"/>
            <w:tcBorders>
              <w:bottom w:val="single" w:sz="8" w:color="auto"/>
            </w:tcBorders>
          </w:tcPr>
          <w:p>
            <w:pPr>
              <w:jc w:val="right"/>
              <w:ind w:right="208"/>
              <w:spacing w:after="0"/>
              <w:rPr>
                <w:sz w:val="20"/>
                <w:szCs w:val="20"/>
                <w:color w:val="auto"/>
              </w:rPr>
            </w:pPr>
            <w:r>
              <w:rPr>
                <w:rFonts w:ascii="Arial" w:cs="Arial" w:eastAsia="Arial" w:hAnsi="Arial"/>
                <w:sz w:val="15"/>
                <w:szCs w:val="15"/>
                <w:b w:val="1"/>
                <w:bCs w:val="1"/>
                <w:color w:val="auto"/>
              </w:rPr>
              <w:t>$ 5.38</w:t>
            </w:r>
          </w:p>
        </w:tc>
        <w:tc>
          <w:tcPr>
            <w:tcW w:w="12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rPr>
              <w:t>$ 6.88</w:t>
            </w: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5"/>
                <w:szCs w:val="15"/>
                <w:b w:val="1"/>
                <w:bCs w:val="1"/>
                <w:color w:val="auto"/>
              </w:rPr>
              <w:t>$ 6.20</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6540" w:type="dxa"/>
            <w:vAlign w:val="bottom"/>
          </w:tcPr>
          <w:p>
            <w:pPr>
              <w:spacing w:after="0" w:line="167" w:lineRule="exact"/>
              <w:rPr>
                <w:sz w:val="20"/>
                <w:szCs w:val="20"/>
                <w:color w:val="auto"/>
              </w:rPr>
            </w:pPr>
            <w:r>
              <w:rPr>
                <w:rFonts w:ascii="Arial" w:cs="Arial" w:eastAsia="Arial" w:hAnsi="Arial"/>
                <w:sz w:val="15"/>
                <w:szCs w:val="15"/>
                <w:color w:val="auto"/>
              </w:rPr>
              <w:t>Diluted net income per common share, adjusted (non-GAAP)</w:t>
            </w:r>
          </w:p>
        </w:tc>
        <w:tc>
          <w:tcPr>
            <w:tcW w:w="1420" w:type="dxa"/>
            <w:vAlign w:val="bottom"/>
            <w:tcBorders>
              <w:bottom w:val="single" w:sz="8" w:color="auto"/>
            </w:tcBorders>
          </w:tcPr>
          <w:p>
            <w:pPr>
              <w:jc w:val="right"/>
              <w:ind w:right="208"/>
              <w:spacing w:after="0" w:line="167" w:lineRule="exact"/>
              <w:rPr>
                <w:sz w:val="20"/>
                <w:szCs w:val="20"/>
                <w:color w:val="auto"/>
              </w:rPr>
            </w:pPr>
            <w:r>
              <w:rPr>
                <w:rFonts w:ascii="Arial" w:cs="Arial" w:eastAsia="Arial" w:hAnsi="Arial"/>
                <w:sz w:val="15"/>
                <w:szCs w:val="15"/>
                <w:b w:val="1"/>
                <w:bCs w:val="1"/>
                <w:color w:val="auto"/>
              </w:rPr>
              <w:t>$ 7.74</w:t>
            </w:r>
          </w:p>
        </w:tc>
        <w:tc>
          <w:tcPr>
            <w:tcW w:w="1220" w:type="dxa"/>
            <w:vAlign w:val="bottom"/>
            <w:tcBorders>
              <w:bottom w:val="single" w:sz="8" w:color="auto"/>
            </w:tcBorders>
          </w:tcPr>
          <w:p>
            <w:pPr>
              <w:jc w:val="right"/>
              <w:ind w:right="167"/>
              <w:spacing w:after="0" w:line="167" w:lineRule="exact"/>
              <w:rPr>
                <w:sz w:val="20"/>
                <w:szCs w:val="20"/>
                <w:color w:val="auto"/>
              </w:rPr>
            </w:pPr>
            <w:r>
              <w:rPr>
                <w:rFonts w:ascii="Arial" w:cs="Arial" w:eastAsia="Arial" w:hAnsi="Arial"/>
                <w:sz w:val="15"/>
                <w:szCs w:val="15"/>
                <w:color w:val="auto"/>
              </w:rPr>
              <w:t>$ 6.62</w:t>
            </w:r>
          </w:p>
        </w:tc>
        <w:tc>
          <w:tcPr>
            <w:tcW w:w="1280" w:type="dxa"/>
            <w:vAlign w:val="bottom"/>
            <w:tcBorders>
              <w:bottom w:val="single" w:sz="8" w:color="auto"/>
            </w:tcBorders>
          </w:tcPr>
          <w:p>
            <w:pPr>
              <w:jc w:val="right"/>
              <w:ind w:right="208"/>
              <w:spacing w:after="0" w:line="167" w:lineRule="exact"/>
              <w:rPr>
                <w:sz w:val="20"/>
                <w:szCs w:val="20"/>
                <w:color w:val="auto"/>
              </w:rPr>
            </w:pPr>
            <w:r>
              <w:rPr>
                <w:rFonts w:ascii="Arial" w:cs="Arial" w:eastAsia="Arial" w:hAnsi="Arial"/>
                <w:sz w:val="15"/>
                <w:szCs w:val="15"/>
                <w:b w:val="1"/>
                <w:bCs w:val="1"/>
                <w:color w:val="auto"/>
              </w:rPr>
              <w:t>$ 11.22</w:t>
            </w: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33" w:lineRule="exact"/>
        <w:rPr>
          <w:sz w:val="20"/>
          <w:szCs w:val="20"/>
          <w:color w:val="auto"/>
        </w:rPr>
      </w:pPr>
    </w:p>
    <w:p>
      <w:pPr>
        <w:jc w:val="center"/>
        <w:ind w:left="1160"/>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183515</wp:posOffset>
            </wp:positionV>
            <wp:extent cx="727837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39" w:right="13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2019-12-09T08:28:10Z</dcterms:created>
  <dcterms:modified xsi:type="dcterms:W3CDTF">2019-12-09T08:28:10Z</dcterms:modified>
</cp:coreProperties>
</file>