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732155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83820</wp:posOffset>
            </wp:positionV>
            <wp:extent cx="59664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19" w:lineRule="exact"/>
        <w:rPr>
          <w:sz w:val="24"/>
          <w:szCs w:val="24"/>
          <w:color w:val="auto"/>
        </w:rPr>
      </w:pPr>
    </w:p>
    <w:p>
      <w:pPr>
        <w:ind w:left="360" w:hanging="208"/>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2024</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301" w:lineRule="exact"/>
        <w:rPr>
          <w:sz w:val="24"/>
          <w:szCs w:val="24"/>
          <w:color w:val="auto"/>
        </w:rPr>
      </w:pPr>
    </w:p>
    <w:p>
      <w:pPr>
        <w:ind w:left="360" w:hanging="208"/>
        <w:spacing w:after="0"/>
        <w:tabs>
          <w:tab w:leader="none" w:pos="36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001-06714</w:t>
      </w:r>
    </w:p>
    <w:p>
      <w:pPr>
        <w:spacing w:after="0" w:line="11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GRAHAM HOLDINGS COMPANY</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33" w:lineRule="exact"/>
        <w:rPr>
          <w:sz w:val="24"/>
          <w:szCs w:val="24"/>
          <w:color w:val="auto"/>
        </w:rPr>
      </w:pPr>
    </w:p>
    <w:tbl>
      <w:tblPr>
        <w:tblLayout w:type="fixed"/>
        <w:tblInd w:w="0" w:type="dxa"/>
        <w:tblCellMar>
          <w:top w:w="0" w:type="dxa"/>
          <w:left w:w="0" w:type="dxa"/>
          <w:bottom w:w="0" w:type="dxa"/>
          <w:right w:w="0" w:type="dxa"/>
        </w:tblCellMar>
      </w:tblPr>
      <w:tr>
        <w:trPr>
          <w:trHeight w:val="247"/>
        </w:trPr>
        <w:tc>
          <w:tcPr>
            <w:tcW w:w="4920" w:type="dxa"/>
            <w:vAlign w:val="bottom"/>
            <w:gridSpan w:val="2"/>
          </w:tcPr>
          <w:p>
            <w:pPr>
              <w:jc w:val="center"/>
              <w:ind w:left="100"/>
              <w:spacing w:after="0"/>
              <w:rPr>
                <w:sz w:val="20"/>
                <w:szCs w:val="20"/>
                <w:color w:val="auto"/>
              </w:rPr>
            </w:pPr>
            <w:r>
              <w:rPr>
                <w:rFonts w:ascii="Arial" w:cs="Arial" w:eastAsia="Arial" w:hAnsi="Arial"/>
                <w:sz w:val="18"/>
                <w:szCs w:val="18"/>
                <w:b w:val="1"/>
                <w:bCs w:val="1"/>
                <w:color w:val="auto"/>
                <w:w w:val="98"/>
              </w:rPr>
              <w:t>Delaware</w:t>
            </w:r>
          </w:p>
        </w:tc>
        <w:tc>
          <w:tcPr>
            <w:tcW w:w="1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760" w:type="dxa"/>
            <w:vAlign w:val="bottom"/>
          </w:tcPr>
          <w:p>
            <w:pPr>
              <w:jc w:val="right"/>
              <w:ind w:right="1660"/>
              <w:spacing w:after="0"/>
              <w:rPr>
                <w:sz w:val="20"/>
                <w:szCs w:val="20"/>
                <w:color w:val="auto"/>
              </w:rPr>
            </w:pPr>
            <w:r>
              <w:rPr>
                <w:rFonts w:ascii="Arial" w:cs="Arial" w:eastAsia="Arial" w:hAnsi="Arial"/>
                <w:sz w:val="18"/>
                <w:szCs w:val="18"/>
                <w:b w:val="1"/>
                <w:bCs w:val="1"/>
                <w:color w:val="auto"/>
              </w:rPr>
              <w:t>53-0182885</w:t>
            </w:r>
          </w:p>
        </w:tc>
      </w:tr>
      <w:tr>
        <w:trPr>
          <w:trHeight w:val="181"/>
        </w:trPr>
        <w:tc>
          <w:tcPr>
            <w:tcW w:w="4920" w:type="dxa"/>
            <w:vAlign w:val="bottom"/>
            <w:gridSpan w:val="2"/>
          </w:tcPr>
          <w:p>
            <w:pPr>
              <w:jc w:val="center"/>
              <w:ind w:left="120"/>
              <w:spacing w:after="0"/>
              <w:rPr>
                <w:sz w:val="20"/>
                <w:szCs w:val="20"/>
                <w:color w:val="auto"/>
              </w:rPr>
            </w:pPr>
            <w:r>
              <w:rPr>
                <w:rFonts w:ascii="Arial" w:cs="Arial" w:eastAsia="Arial" w:hAnsi="Arial"/>
                <w:sz w:val="14"/>
                <w:szCs w:val="14"/>
                <w:color w:val="auto"/>
              </w:rPr>
              <w:t>(State or other jurisdiction of</w:t>
            </w:r>
          </w:p>
        </w:tc>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760" w:type="dxa"/>
            <w:vAlign w:val="bottom"/>
          </w:tcPr>
          <w:p>
            <w:pPr>
              <w:jc w:val="center"/>
              <w:ind w:right="580"/>
              <w:spacing w:after="0"/>
              <w:rPr>
                <w:sz w:val="20"/>
                <w:szCs w:val="20"/>
                <w:color w:val="auto"/>
              </w:rPr>
            </w:pPr>
            <w:r>
              <w:rPr>
                <w:rFonts w:ascii="Arial" w:cs="Arial" w:eastAsia="Arial" w:hAnsi="Arial"/>
                <w:sz w:val="14"/>
                <w:szCs w:val="14"/>
                <w:color w:val="auto"/>
              </w:rPr>
              <w:t>(I.R.S. Employer</w:t>
            </w:r>
          </w:p>
        </w:tc>
      </w:tr>
      <w:tr>
        <w:trPr>
          <w:trHeight w:val="190"/>
        </w:trPr>
        <w:tc>
          <w:tcPr>
            <w:tcW w:w="4920" w:type="dxa"/>
            <w:vAlign w:val="bottom"/>
            <w:gridSpan w:val="2"/>
          </w:tcPr>
          <w:p>
            <w:pPr>
              <w:jc w:val="center"/>
              <w:ind w:left="100"/>
              <w:spacing w:after="0"/>
              <w:rPr>
                <w:sz w:val="20"/>
                <w:szCs w:val="20"/>
                <w:color w:val="auto"/>
              </w:rPr>
            </w:pPr>
            <w:r>
              <w:rPr>
                <w:rFonts w:ascii="Arial" w:cs="Arial" w:eastAsia="Arial" w:hAnsi="Arial"/>
                <w:sz w:val="14"/>
                <w:szCs w:val="14"/>
                <w:color w:val="auto"/>
              </w:rPr>
              <w:t>incorporation or organization)</w:t>
            </w:r>
          </w:p>
        </w:tc>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760" w:type="dxa"/>
            <w:vAlign w:val="bottom"/>
          </w:tcPr>
          <w:p>
            <w:pPr>
              <w:jc w:val="center"/>
              <w:ind w:right="600"/>
              <w:spacing w:after="0"/>
              <w:rPr>
                <w:sz w:val="20"/>
                <w:szCs w:val="20"/>
                <w:color w:val="auto"/>
              </w:rPr>
            </w:pPr>
            <w:r>
              <w:rPr>
                <w:rFonts w:ascii="Arial" w:cs="Arial" w:eastAsia="Arial" w:hAnsi="Arial"/>
                <w:sz w:val="14"/>
                <w:szCs w:val="14"/>
                <w:color w:val="auto"/>
              </w:rPr>
              <w:t>Identification No.)</w:t>
            </w:r>
          </w:p>
        </w:tc>
      </w:tr>
      <w:tr>
        <w:trPr>
          <w:trHeight w:val="304"/>
        </w:trPr>
        <w:tc>
          <w:tcPr>
            <w:tcW w:w="4920" w:type="dxa"/>
            <w:vAlign w:val="bottom"/>
            <w:gridSpan w:val="2"/>
          </w:tcPr>
          <w:p>
            <w:pPr>
              <w:jc w:val="center"/>
              <w:ind w:left="100"/>
              <w:spacing w:after="0"/>
              <w:rPr>
                <w:sz w:val="20"/>
                <w:szCs w:val="20"/>
                <w:color w:val="auto"/>
              </w:rPr>
            </w:pPr>
            <w:r>
              <w:rPr>
                <w:rFonts w:ascii="Arial" w:cs="Arial" w:eastAsia="Arial" w:hAnsi="Arial"/>
                <w:sz w:val="18"/>
                <w:szCs w:val="18"/>
                <w:b w:val="1"/>
                <w:bCs w:val="1"/>
                <w:color w:val="auto"/>
              </w:rPr>
              <w:t>1300 North 17th Street, Arlington, Virginia</w:t>
            </w: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60" w:type="dxa"/>
            <w:vAlign w:val="bottom"/>
          </w:tcPr>
          <w:p>
            <w:pPr>
              <w:jc w:val="right"/>
              <w:ind w:right="1880"/>
              <w:spacing w:after="0"/>
              <w:rPr>
                <w:sz w:val="20"/>
                <w:szCs w:val="20"/>
                <w:color w:val="auto"/>
              </w:rPr>
            </w:pPr>
            <w:r>
              <w:rPr>
                <w:rFonts w:ascii="Arial" w:cs="Arial" w:eastAsia="Arial" w:hAnsi="Arial"/>
                <w:sz w:val="18"/>
                <w:szCs w:val="18"/>
                <w:b w:val="1"/>
                <w:bCs w:val="1"/>
                <w:color w:val="auto"/>
              </w:rPr>
              <w:t>22209</w:t>
            </w:r>
          </w:p>
        </w:tc>
      </w:tr>
      <w:tr>
        <w:trPr>
          <w:trHeight w:val="209"/>
        </w:trPr>
        <w:tc>
          <w:tcPr>
            <w:tcW w:w="4920" w:type="dxa"/>
            <w:vAlign w:val="bottom"/>
            <w:gridSpan w:val="2"/>
          </w:tcPr>
          <w:p>
            <w:pPr>
              <w:jc w:val="center"/>
              <w:ind w:left="100"/>
              <w:spacing w:after="0"/>
              <w:rPr>
                <w:sz w:val="20"/>
                <w:szCs w:val="20"/>
                <w:color w:val="auto"/>
              </w:rPr>
            </w:pPr>
            <w:r>
              <w:rPr>
                <w:rFonts w:ascii="Arial" w:cs="Arial" w:eastAsia="Arial" w:hAnsi="Arial"/>
                <w:sz w:val="14"/>
                <w:szCs w:val="14"/>
                <w:color w:val="auto"/>
              </w:rPr>
              <w:t>(Address of principal executive offices)</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60" w:type="dxa"/>
            <w:vAlign w:val="bottom"/>
          </w:tcPr>
          <w:p>
            <w:pPr>
              <w:jc w:val="center"/>
              <w:ind w:right="600"/>
              <w:spacing w:after="0"/>
              <w:rPr>
                <w:sz w:val="20"/>
                <w:szCs w:val="20"/>
                <w:color w:val="auto"/>
              </w:rPr>
            </w:pPr>
            <w:r>
              <w:rPr>
                <w:rFonts w:ascii="Arial" w:cs="Arial" w:eastAsia="Arial" w:hAnsi="Arial"/>
                <w:sz w:val="14"/>
                <w:szCs w:val="14"/>
                <w:color w:val="auto"/>
              </w:rPr>
              <w:t>(Zip Code)</w:t>
            </w:r>
          </w:p>
        </w:tc>
      </w:tr>
      <w:tr>
        <w:trPr>
          <w:trHeight w:val="465"/>
        </w:trPr>
        <w:tc>
          <w:tcPr>
            <w:tcW w:w="4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jc w:val="right"/>
              <w:ind w:right="556"/>
              <w:spacing w:after="0"/>
              <w:rPr>
                <w:sz w:val="20"/>
                <w:szCs w:val="20"/>
                <w:color w:val="auto"/>
              </w:rPr>
            </w:pPr>
            <w:r>
              <w:rPr>
                <w:rFonts w:ascii="Arial" w:cs="Arial" w:eastAsia="Arial" w:hAnsi="Arial"/>
                <w:sz w:val="18"/>
                <w:szCs w:val="18"/>
                <w:b w:val="1"/>
                <w:bCs w:val="1"/>
                <w:color w:val="auto"/>
              </w:rPr>
              <w:t>(703) 345-6300</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23"/>
        </w:trPr>
        <w:tc>
          <w:tcPr>
            <w:tcW w:w="7440" w:type="dxa"/>
            <w:vAlign w:val="bottom"/>
            <w:gridSpan w:val="5"/>
          </w:tcPr>
          <w:p>
            <w:pPr>
              <w:jc w:val="center"/>
              <w:ind w:left="3740"/>
              <w:spacing w:after="0"/>
              <w:rPr>
                <w:sz w:val="20"/>
                <w:szCs w:val="20"/>
                <w:color w:val="auto"/>
              </w:rPr>
            </w:pPr>
            <w:r>
              <w:rPr>
                <w:rFonts w:ascii="Arial" w:cs="Arial" w:eastAsia="Arial" w:hAnsi="Arial"/>
                <w:sz w:val="14"/>
                <w:szCs w:val="14"/>
                <w:color w:val="auto"/>
              </w:rPr>
              <w:t>(Registrant’s telephone number, including area code)</w:t>
            </w:r>
          </w:p>
        </w:tc>
        <w:tc>
          <w:tcPr>
            <w:tcW w:w="3760" w:type="dxa"/>
            <w:vAlign w:val="bottom"/>
          </w:tcPr>
          <w:p>
            <w:pPr>
              <w:spacing w:after="0"/>
              <w:rPr>
                <w:sz w:val="19"/>
                <w:szCs w:val="19"/>
                <w:color w:val="auto"/>
              </w:rPr>
            </w:pPr>
          </w:p>
        </w:tc>
      </w:tr>
      <w:tr>
        <w:trPr>
          <w:trHeight w:val="363"/>
        </w:trPr>
        <w:tc>
          <w:tcPr>
            <w:tcW w:w="492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327"/>
        </w:trPr>
        <w:tc>
          <w:tcPr>
            <w:tcW w:w="4920" w:type="dxa"/>
            <w:vAlign w:val="bottom"/>
            <w:gridSpan w:val="2"/>
          </w:tcPr>
          <w:p>
            <w:pPr>
              <w:jc w:val="center"/>
              <w:ind w:right="240"/>
              <w:spacing w:after="0"/>
              <w:rPr>
                <w:sz w:val="20"/>
                <w:szCs w:val="20"/>
                <w:color w:val="auto"/>
              </w:rPr>
            </w:pPr>
            <w:r>
              <w:rPr>
                <w:rFonts w:ascii="Arial" w:cs="Arial" w:eastAsia="Arial" w:hAnsi="Arial"/>
                <w:sz w:val="16"/>
                <w:szCs w:val="16"/>
                <w:color w:val="auto"/>
                <w:w w:val="99"/>
              </w:rPr>
              <w:t>Title of each class</w:t>
            </w:r>
          </w:p>
        </w:tc>
        <w:tc>
          <w:tcPr>
            <w:tcW w:w="2520" w:type="dxa"/>
            <w:vAlign w:val="bottom"/>
            <w:gridSpan w:val="3"/>
          </w:tcPr>
          <w:p>
            <w:pPr>
              <w:jc w:val="center"/>
              <w:ind w:right="560"/>
              <w:spacing w:after="0"/>
              <w:rPr>
                <w:sz w:val="20"/>
                <w:szCs w:val="20"/>
                <w:color w:val="auto"/>
              </w:rPr>
            </w:pPr>
            <w:r>
              <w:rPr>
                <w:rFonts w:ascii="Arial" w:cs="Arial" w:eastAsia="Arial" w:hAnsi="Arial"/>
                <w:sz w:val="16"/>
                <w:szCs w:val="16"/>
                <w:color w:val="auto"/>
              </w:rPr>
              <w:t>Trading Symbol(s)</w:t>
            </w:r>
          </w:p>
        </w:tc>
        <w:tc>
          <w:tcPr>
            <w:tcW w:w="3760" w:type="dxa"/>
            <w:vAlign w:val="bottom"/>
          </w:tcPr>
          <w:p>
            <w:pPr>
              <w:jc w:val="center"/>
              <w:ind w:right="240"/>
              <w:spacing w:after="0"/>
              <w:rPr>
                <w:sz w:val="20"/>
                <w:szCs w:val="20"/>
                <w:color w:val="auto"/>
              </w:rPr>
            </w:pPr>
            <w:r>
              <w:rPr>
                <w:rFonts w:ascii="Arial" w:cs="Arial" w:eastAsia="Arial" w:hAnsi="Arial"/>
                <w:sz w:val="16"/>
                <w:szCs w:val="16"/>
                <w:color w:val="auto"/>
              </w:rPr>
              <w:t>Name of each exchange on which registered</w:t>
            </w:r>
          </w:p>
        </w:tc>
      </w:tr>
      <w:tr>
        <w:trPr>
          <w:trHeight w:val="215"/>
        </w:trPr>
        <w:tc>
          <w:tcPr>
            <w:tcW w:w="46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Class B Common Stock, par value $1.00 per share</w:t>
            </w:r>
          </w:p>
        </w:tc>
        <w:tc>
          <w:tcPr>
            <w:tcW w:w="240" w:type="dxa"/>
            <w:vAlign w:val="bottom"/>
          </w:tcPr>
          <w:p>
            <w:pPr>
              <w:spacing w:after="0"/>
              <w:rPr>
                <w:sz w:val="18"/>
                <w:szCs w:val="18"/>
                <w:color w:val="auto"/>
              </w:rPr>
            </w:pP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GHC</w:t>
            </w: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760" w:type="dxa"/>
            <w:vAlign w:val="bottom"/>
            <w:tcBorders>
              <w:top w:val="single" w:sz="8" w:color="auto"/>
            </w:tcBorders>
          </w:tcPr>
          <w:p>
            <w:pPr>
              <w:jc w:val="center"/>
              <w:ind w:right="240"/>
              <w:spacing w:after="0"/>
              <w:rPr>
                <w:sz w:val="20"/>
                <w:szCs w:val="20"/>
                <w:color w:val="auto"/>
              </w:rPr>
            </w:pPr>
            <w:r>
              <w:rPr>
                <w:rFonts w:ascii="Arial" w:cs="Arial" w:eastAsia="Arial" w:hAnsi="Arial"/>
                <w:sz w:val="16"/>
                <w:szCs w:val="16"/>
                <w:color w:val="auto"/>
              </w:rPr>
              <w:t>New York Stock Exchange</w:t>
            </w:r>
          </w:p>
        </w:tc>
      </w:tr>
    </w:tbl>
    <w:p>
      <w:pPr>
        <w:spacing w:after="0" w:line="19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w:t>
      </w:r>
    </w:p>
    <w:p>
      <w:pPr>
        <w:spacing w:after="0" w:line="14" w:lineRule="exact"/>
        <w:rPr>
          <w:sz w:val="24"/>
          <w:szCs w:val="24"/>
          <w:color w:val="auto"/>
        </w:rPr>
      </w:pPr>
    </w:p>
    <w:p>
      <w:pPr>
        <w:jc w:val="both"/>
        <w:ind w:right="40"/>
        <w:spacing w:after="0" w:line="217" w:lineRule="exact"/>
        <w:rPr>
          <w:sz w:val="20"/>
          <w:szCs w:val="20"/>
          <w:color w:val="auto"/>
        </w:rPr>
      </w:pPr>
      <w:r>
        <w:rPr>
          <w:rFonts w:ascii="Arial" w:cs="Arial" w:eastAsia="Arial" w:hAnsi="Arial"/>
          <w:sz w:val="18"/>
          <w:szCs w:val="18"/>
          <w:color w:val="auto"/>
        </w:rPr>
        <w:t xml:space="preserve">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w:t>
      </w:r>
    </w:p>
    <w:p>
      <w:pPr>
        <w:spacing w:after="0" w:line="7" w:lineRule="exact"/>
        <w:rPr>
          <w:sz w:val="24"/>
          <w:szCs w:val="24"/>
          <w:color w:val="auto"/>
        </w:rPr>
      </w:pPr>
    </w:p>
    <w:p>
      <w:pPr>
        <w:ind w:right="420"/>
        <w:spacing w:after="0" w:line="217" w:lineRule="exact"/>
        <w:rPr>
          <w:sz w:val="20"/>
          <w:szCs w:val="20"/>
          <w:color w:val="auto"/>
        </w:rPr>
      </w:pPr>
      <w:r>
        <w:rPr>
          <w:rFonts w:ascii="Arial" w:cs="Arial" w:eastAsia="Arial" w:hAnsi="Arial"/>
          <w:sz w:val="18"/>
          <w:szCs w:val="18"/>
          <w:color w:val="auto"/>
        </w:rPr>
        <w:t xml:space="preserve">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 w:lineRule="exact"/>
        <w:rPr>
          <w:sz w:val="24"/>
          <w:szCs w:val="24"/>
          <w:color w:val="auto"/>
        </w:rPr>
      </w:pPr>
    </w:p>
    <w:p>
      <w:pPr>
        <w:spacing w:after="0" w:line="247"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in Rule 12b-2 of the Exchange Act.</w:t>
      </w:r>
    </w:p>
    <w:p>
      <w:pPr>
        <w:spacing w:after="0" w:line="171" w:lineRule="exact"/>
        <w:rPr>
          <w:sz w:val="24"/>
          <w:szCs w:val="24"/>
          <w:color w:val="auto"/>
        </w:rPr>
      </w:pPr>
    </w:p>
    <w:tbl>
      <w:tblPr>
        <w:tblLayout w:type="fixed"/>
        <w:tblInd w:w="80" w:type="dxa"/>
        <w:tblCellMar>
          <w:top w:w="0" w:type="dxa"/>
          <w:left w:w="0" w:type="dxa"/>
          <w:bottom w:w="0" w:type="dxa"/>
          <w:right w:w="0" w:type="dxa"/>
        </w:tblCellMar>
      </w:tblPr>
      <w:tr>
        <w:trPr>
          <w:trHeight w:val="189"/>
        </w:trPr>
        <w:tc>
          <w:tcPr>
            <w:tcW w:w="2320" w:type="dxa"/>
            <w:vAlign w:val="bottom"/>
            <w:vMerge w:val="restart"/>
          </w:tcPr>
          <w:p>
            <w:pPr>
              <w:spacing w:after="0" w:line="403"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35"/>
                <w:szCs w:val="35"/>
                <w:color w:val="auto"/>
                <w:vertAlign w:val="superscript"/>
              </w:rPr>
              <w:t>☒</w:t>
            </w:r>
          </w:p>
        </w:tc>
        <w:tc>
          <w:tcPr>
            <w:tcW w:w="1460" w:type="dxa"/>
            <w:vAlign w:val="bottom"/>
          </w:tcPr>
          <w:p>
            <w:pPr>
              <w:jc w:val="center"/>
              <w:spacing w:after="0"/>
              <w:rPr>
                <w:sz w:val="20"/>
                <w:szCs w:val="20"/>
                <w:color w:val="auto"/>
              </w:rPr>
            </w:pPr>
            <w:r>
              <w:rPr>
                <w:rFonts w:ascii="Arial" w:cs="Arial" w:eastAsia="Arial" w:hAnsi="Arial"/>
                <w:sz w:val="16"/>
                <w:szCs w:val="16"/>
                <w:color w:val="auto"/>
              </w:rPr>
              <w:t>Accelerated</w:t>
            </w:r>
          </w:p>
        </w:tc>
        <w:tc>
          <w:tcPr>
            <w:tcW w:w="700" w:type="dxa"/>
            <w:vAlign w:val="bottom"/>
            <w:vMerge w:val="restart"/>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1620" w:type="dxa"/>
            <w:vAlign w:val="bottom"/>
          </w:tcPr>
          <w:p>
            <w:pPr>
              <w:jc w:val="center"/>
              <w:spacing w:after="0"/>
              <w:rPr>
                <w:sz w:val="20"/>
                <w:szCs w:val="20"/>
                <w:color w:val="auto"/>
              </w:rPr>
            </w:pPr>
            <w:r>
              <w:rPr>
                <w:rFonts w:ascii="Arial" w:cs="Arial" w:eastAsia="Arial" w:hAnsi="Arial"/>
                <w:sz w:val="16"/>
                <w:szCs w:val="16"/>
                <w:color w:val="auto"/>
              </w:rPr>
              <w:t>Non-accelerated</w:t>
            </w:r>
          </w:p>
        </w:tc>
        <w:tc>
          <w:tcPr>
            <w:tcW w:w="60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Smaller reporting</w:t>
            </w:r>
          </w:p>
        </w:tc>
        <w:tc>
          <w:tcPr>
            <w:tcW w:w="58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Emerging growth</w:t>
            </w:r>
          </w:p>
        </w:tc>
        <w:tc>
          <w:tcPr>
            <w:tcW w:w="40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4"/>
        </w:trPr>
        <w:tc>
          <w:tcPr>
            <w:tcW w:w="2320" w:type="dxa"/>
            <w:vAlign w:val="bottom"/>
            <w:vMerge w:val="continue"/>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rPr>
              <w:t>filer</w:t>
            </w:r>
          </w:p>
        </w:tc>
        <w:tc>
          <w:tcPr>
            <w:tcW w:w="700" w:type="dxa"/>
            <w:vAlign w:val="bottom"/>
            <w:vMerge w:val="continue"/>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filer</w:t>
            </w:r>
          </w:p>
        </w:tc>
        <w:tc>
          <w:tcPr>
            <w:tcW w:w="600" w:type="dxa"/>
            <w:vAlign w:val="bottom"/>
            <w:vMerge w:val="continue"/>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company</w:t>
            </w:r>
          </w:p>
        </w:tc>
        <w:tc>
          <w:tcPr>
            <w:tcW w:w="580" w:type="dxa"/>
            <w:vAlign w:val="bottom"/>
            <w:vMerge w:val="continue"/>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company</w:t>
            </w:r>
          </w:p>
        </w:tc>
        <w:tc>
          <w:tcPr>
            <w:tcW w:w="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right="18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tabs>
          <w:tab w:leader="none" w:pos="9840" w:val="left"/>
        </w:tabs>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Shares outstanding at July 26, 2024:</w:t>
      </w:r>
    </w:p>
    <w:p>
      <w:pPr>
        <w:spacing w:after="0" w:line="117"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A Common Stock – 964,001 Shares</w:t>
      </w:r>
    </w:p>
    <w:p>
      <w:pPr>
        <w:spacing w:after="0" w:line="27"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B Common Stock – 3,435,811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109220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1" w:name="page2"/>
    <w:bookmarkEnd w:id="1"/>
    <w:p>
      <w:pPr>
        <w:jc w:val="center"/>
        <w:ind w:left="920"/>
        <w:spacing w:after="0"/>
        <w:rPr>
          <w:sz w:val="20"/>
          <w:szCs w:val="20"/>
          <w:color w:val="auto"/>
        </w:rPr>
      </w:pPr>
      <w:r>
        <w:rPr>
          <w:rFonts w:ascii="Arial" w:cs="Arial" w:eastAsia="Arial" w:hAnsi="Arial"/>
          <w:sz w:val="18"/>
          <w:szCs w:val="18"/>
          <w:b w:val="1"/>
          <w:bCs w:val="1"/>
          <w:color w:val="auto"/>
        </w:rPr>
        <w:t>GRAHAM HOLDINGS COMPANY</w:t>
      </w:r>
    </w:p>
    <w:p>
      <w:pPr>
        <w:spacing w:after="0" w:line="104" w:lineRule="exact"/>
        <w:rPr>
          <w:sz w:val="20"/>
          <w:szCs w:val="20"/>
          <w:color w:val="auto"/>
        </w:rPr>
      </w:pPr>
    </w:p>
    <w:p>
      <w:pPr>
        <w:jc w:val="center"/>
        <w:ind w:left="920"/>
        <w:spacing w:after="0"/>
        <w:rPr>
          <w:sz w:val="20"/>
          <w:szCs w:val="20"/>
          <w:color w:val="auto"/>
        </w:rPr>
      </w:pPr>
      <w:r>
        <w:rPr>
          <w:rFonts w:ascii="Arial" w:cs="Arial" w:eastAsia="Arial" w:hAnsi="Arial"/>
          <w:sz w:val="18"/>
          <w:szCs w:val="18"/>
          <w:b w:val="1"/>
          <w:bCs w:val="1"/>
          <w:color w:val="auto"/>
        </w:rPr>
        <w:t>Index to Form 10-Q</w:t>
      </w: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PART I. FINANCIAL INFORMATION</w:t>
      </w:r>
    </w:p>
    <w:p>
      <w:pPr>
        <w:spacing w:after="0" w:line="194"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1.</w:t>
      </w:r>
      <w:r>
        <w:rPr>
          <w:sz w:val="20"/>
          <w:szCs w:val="20"/>
          <w:color w:val="auto"/>
        </w:rPr>
        <w:tab/>
      </w:r>
      <w:r>
        <w:rPr>
          <w:rFonts w:ascii="Arial" w:cs="Arial" w:eastAsia="Arial" w:hAnsi="Arial"/>
          <w:sz w:val="16"/>
          <w:szCs w:val="16"/>
          <w:u w:val="single" w:color="auto"/>
          <w:color w:val="0000FF"/>
        </w:rPr>
        <w:t>Financial Statements</w:t>
      </w:r>
    </w:p>
    <w:p>
      <w:pPr>
        <w:spacing w:after="0" w:line="194"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0000FF"/>
        </w:rPr>
        <w:t>Condensed Consolidated Statements of Operations</w:t>
      </w:r>
    </w:p>
    <w:p>
      <w:pPr>
        <w:spacing w:after="0" w:line="200" w:lineRule="exact"/>
        <w:rPr>
          <w:sz w:val="20"/>
          <w:szCs w:val="20"/>
          <w:color w:val="auto"/>
        </w:rPr>
      </w:pPr>
    </w:p>
    <w:p>
      <w:pPr>
        <w:spacing w:after="0" w:line="237"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0000FF"/>
        </w:rPr>
        <w:t>Condensed Consolidated Statements of Comprehensive (Loss) Income</w:t>
      </w:r>
    </w:p>
    <w:p>
      <w:pPr>
        <w:spacing w:after="0" w:line="200" w:lineRule="exact"/>
        <w:rPr>
          <w:sz w:val="20"/>
          <w:szCs w:val="20"/>
          <w:color w:val="auto"/>
        </w:rPr>
      </w:pPr>
    </w:p>
    <w:p>
      <w:pPr>
        <w:spacing w:after="0" w:line="237"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0000FF"/>
        </w:rPr>
        <w:t>Condensed Consolidated Balance Sheets</w:t>
      </w:r>
    </w:p>
    <w:p>
      <w:pPr>
        <w:spacing w:after="0" w:line="200" w:lineRule="exact"/>
        <w:rPr>
          <w:sz w:val="20"/>
          <w:szCs w:val="20"/>
          <w:color w:val="auto"/>
        </w:rPr>
      </w:pPr>
    </w:p>
    <w:p>
      <w:pPr>
        <w:spacing w:after="0" w:line="237"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0000FF"/>
        </w:rPr>
        <w:t>Condensed Consolidated Statements of Cash Flows</w:t>
      </w:r>
    </w:p>
    <w:p>
      <w:pPr>
        <w:spacing w:after="0" w:line="200" w:lineRule="exact"/>
        <w:rPr>
          <w:sz w:val="20"/>
          <w:szCs w:val="20"/>
          <w:color w:val="auto"/>
        </w:rPr>
      </w:pPr>
    </w:p>
    <w:p>
      <w:pPr>
        <w:spacing w:after="0" w:line="224"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0000FF"/>
        </w:rPr>
        <w:t>Condensed Consolidated Statements of Changes in Common Stockholders' Equity</w:t>
      </w:r>
    </w:p>
    <w:p>
      <w:pPr>
        <w:spacing w:after="0" w:line="200" w:lineRule="exact"/>
        <w:rPr>
          <w:sz w:val="20"/>
          <w:szCs w:val="20"/>
          <w:color w:val="auto"/>
        </w:rPr>
      </w:pPr>
    </w:p>
    <w:p>
      <w:pPr>
        <w:spacing w:after="0" w:line="237"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0000FF"/>
        </w:rPr>
        <w:t>Notes to Condensed Consolidated Financial Statements</w:t>
      </w:r>
    </w:p>
    <w:p>
      <w:pPr>
        <w:spacing w:after="0" w:line="208"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Organization, Basis of Presentation and Recent Accounting Pronouncements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Acquisitions and Dispositions of Businesses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Investments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Accounts Receivable, Accounts Payable, Vehicle Floor Plan Payable and Accrued Liabilities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Inventories and Contracts in Progress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Goodwill and Other Intangible Assets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Debt</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Fair Value Measurements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Revenue From Contracts With Customers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(Loss) Earnings Per Share</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Pension and Postretirement Plans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Other Non-Operating Income</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Accumulated Other Comprehensive Income (Loss)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Contingencies</w:t>
      </w:r>
    </w:p>
    <w:p>
      <w:pPr>
        <w:spacing w:after="0" w:line="86"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Business Segments</w:t>
      </w:r>
    </w:p>
    <w:p>
      <w:pPr>
        <w:spacing w:after="0" w:line="262"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2.</w:t>
      </w:r>
      <w:r>
        <w:rPr>
          <w:sz w:val="20"/>
          <w:szCs w:val="20"/>
          <w:color w:val="auto"/>
        </w:rPr>
        <w:tab/>
      </w:r>
      <w:r>
        <w:rPr>
          <w:rFonts w:ascii="Arial" w:cs="Arial" w:eastAsia="Arial" w:hAnsi="Arial"/>
          <w:sz w:val="16"/>
          <w:szCs w:val="16"/>
          <w:u w:val="single" w:color="auto"/>
          <w:color w:val="0000FF"/>
        </w:rPr>
        <w:t>Management’s Discussion and Analysis of Results of Operations and Financial Condition</w:t>
      </w:r>
    </w:p>
    <w:p>
      <w:pPr>
        <w:spacing w:after="0" w:line="275"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3.</w:t>
      </w:r>
      <w:r>
        <w:rPr>
          <w:sz w:val="20"/>
          <w:szCs w:val="20"/>
          <w:color w:val="auto"/>
        </w:rPr>
        <w:tab/>
      </w:r>
      <w:r>
        <w:rPr>
          <w:rFonts w:ascii="Arial" w:cs="Arial" w:eastAsia="Arial" w:hAnsi="Arial"/>
          <w:sz w:val="16"/>
          <w:szCs w:val="16"/>
          <w:u w:val="single" w:color="auto"/>
          <w:color w:val="0000FF"/>
        </w:rPr>
        <w:t>Quantitative and Qualitative Disclosures about Market Risk</w:t>
      </w:r>
    </w:p>
    <w:p>
      <w:pPr>
        <w:spacing w:after="0" w:line="275"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4.</w:t>
      </w:r>
      <w:r>
        <w:rPr>
          <w:sz w:val="20"/>
          <w:szCs w:val="20"/>
          <w:color w:val="auto"/>
        </w:rPr>
        <w:tab/>
      </w:r>
      <w:r>
        <w:rPr>
          <w:rFonts w:ascii="Arial" w:cs="Arial" w:eastAsia="Arial" w:hAnsi="Arial"/>
          <w:sz w:val="16"/>
          <w:szCs w:val="16"/>
          <w:u w:val="single" w:color="auto"/>
          <w:color w:val="0000FF"/>
        </w:rPr>
        <w:t>Controls and Procedures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PART II. OTHER INFORMATION</w:t>
      </w:r>
    </w:p>
    <w:p>
      <w:pPr>
        <w:spacing w:after="0" w:line="194"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2.</w:t>
      </w:r>
      <w:r>
        <w:rPr>
          <w:sz w:val="20"/>
          <w:szCs w:val="20"/>
          <w:color w:val="auto"/>
        </w:rPr>
        <w:tab/>
      </w:r>
      <w:r>
        <w:rPr>
          <w:rFonts w:ascii="Arial" w:cs="Arial" w:eastAsia="Arial" w:hAnsi="Arial"/>
          <w:sz w:val="16"/>
          <w:szCs w:val="16"/>
          <w:u w:val="single" w:color="auto"/>
          <w:color w:val="0000FF"/>
        </w:rPr>
        <w:t>Unregistered Sales of Equity Securities and Use of Proceeds</w:t>
      </w:r>
    </w:p>
    <w:p>
      <w:pPr>
        <w:spacing w:after="0" w:line="262"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5.</w:t>
      </w:r>
      <w:r>
        <w:rPr>
          <w:sz w:val="20"/>
          <w:szCs w:val="20"/>
          <w:color w:val="auto"/>
        </w:rPr>
        <w:tab/>
      </w:r>
      <w:r>
        <w:rPr>
          <w:rFonts w:ascii="Arial" w:cs="Arial" w:eastAsia="Arial" w:hAnsi="Arial"/>
          <w:sz w:val="16"/>
          <w:szCs w:val="16"/>
          <w:u w:val="single" w:color="auto"/>
          <w:color w:val="0000FF"/>
        </w:rPr>
        <w:t>Other Information</w:t>
      </w:r>
    </w:p>
    <w:p>
      <w:pPr>
        <w:spacing w:after="0" w:line="262"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6.</w:t>
      </w:r>
      <w:r>
        <w:rPr>
          <w:sz w:val="20"/>
          <w:szCs w:val="20"/>
          <w:color w:val="auto"/>
        </w:rPr>
        <w:tab/>
      </w:r>
      <w:r>
        <w:rPr>
          <w:rFonts w:ascii="Arial" w:cs="Arial" w:eastAsia="Arial" w:hAnsi="Arial"/>
          <w:sz w:val="15"/>
          <w:szCs w:val="15"/>
          <w:u w:val="single" w:color="auto"/>
          <w:color w:val="0000FF"/>
        </w:rPr>
        <w:t>Exhibits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625475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1</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2</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3</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4</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5</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7</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7</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8</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9</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11</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14</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15</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16</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17</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19</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20</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21</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22</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26</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37</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37</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38</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38</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39</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40</w:t>
      </w:r>
    </w:p>
    <w:p>
      <w:pPr>
        <w:sectPr>
          <w:pgSz w:w="11900" w:h="16838" w:orient="portrait"/>
          <w:cols w:equalWidth="0" w:num="2">
            <w:col w:w="10280" w:space="720"/>
            <w:col w:w="180"/>
          </w:cols>
          <w:pgMar w:left="340" w:top="944" w:right="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3"/>
          </w:tcPr>
          <w:p>
            <w:pPr>
              <w:jc w:val="right"/>
              <w:ind w:right="559"/>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260" w:type="dxa"/>
            <w:vAlign w:val="bottom"/>
            <w:gridSpan w:val="3"/>
          </w:tcPr>
          <w:p>
            <w:pPr>
              <w:jc w:val="right"/>
              <w:ind w:right="57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60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rPr>
              <w:t>2023</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6"/>
                <w:szCs w:val="16"/>
                <w:color w:val="auto"/>
              </w:rPr>
              <w:t>Sales of services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657,124</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625,219</w:t>
            </w:r>
          </w:p>
        </w:tc>
        <w:tc>
          <w:tcPr>
            <w:tcW w:w="3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1,303,534</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1,212,082</w:t>
            </w:r>
          </w:p>
        </w:tc>
        <w:tc>
          <w:tcPr>
            <w:tcW w:w="0" w:type="dxa"/>
            <w:vAlign w:val="bottom"/>
          </w:tcPr>
          <w:p>
            <w:pPr>
              <w:spacing w:after="0"/>
              <w:rPr>
                <w:sz w:val="1"/>
                <w:szCs w:val="1"/>
                <w:color w:val="auto"/>
              </w:rPr>
            </w:pPr>
          </w:p>
        </w:tc>
      </w:tr>
      <w:tr>
        <w:trPr>
          <w:trHeight w:val="233"/>
        </w:trPr>
        <w:tc>
          <w:tcPr>
            <w:tcW w:w="6020" w:type="dxa"/>
            <w:vAlign w:val="bottom"/>
          </w:tcPr>
          <w:p>
            <w:pPr>
              <w:ind w:left="220"/>
              <w:spacing w:after="0"/>
              <w:rPr>
                <w:sz w:val="20"/>
                <w:szCs w:val="20"/>
                <w:color w:val="auto"/>
              </w:rPr>
            </w:pPr>
            <w:r>
              <w:rPr>
                <w:rFonts w:ascii="Arial" w:cs="Arial" w:eastAsia="Arial" w:hAnsi="Arial"/>
                <w:sz w:val="16"/>
                <w:szCs w:val="16"/>
                <w:color w:val="auto"/>
              </w:rPr>
              <w:t>Sales of goods</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528,156</w:t>
            </w: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479,780</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1,034,408</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924,463</w:t>
            </w:r>
          </w:p>
        </w:tc>
        <w:tc>
          <w:tcPr>
            <w:tcW w:w="0" w:type="dxa"/>
            <w:vAlign w:val="bottom"/>
          </w:tcPr>
          <w:p>
            <w:pPr>
              <w:spacing w:after="0"/>
              <w:rPr>
                <w:sz w:val="1"/>
                <w:szCs w:val="1"/>
                <w:color w:val="auto"/>
              </w:rPr>
            </w:pPr>
          </w:p>
        </w:tc>
      </w:tr>
      <w:tr>
        <w:trPr>
          <w:trHeight w:val="220"/>
        </w:trPr>
        <w:tc>
          <w:tcPr>
            <w:tcW w:w="60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1,185,280</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1,104,999</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2,337,942</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2,136,545</w:t>
            </w:r>
          </w:p>
        </w:tc>
        <w:tc>
          <w:tcPr>
            <w:tcW w:w="0" w:type="dxa"/>
            <w:vAlign w:val="bottom"/>
          </w:tcPr>
          <w:p>
            <w:pPr>
              <w:spacing w:after="0"/>
              <w:rPr>
                <w:sz w:val="1"/>
                <w:szCs w:val="1"/>
                <w:color w:val="auto"/>
              </w:rPr>
            </w:pPr>
          </w:p>
        </w:tc>
      </w:tr>
      <w:tr>
        <w:trPr>
          <w:trHeight w:val="222"/>
        </w:trPr>
        <w:tc>
          <w:tcPr>
            <w:tcW w:w="6020" w:type="dxa"/>
            <w:vAlign w:val="bottom"/>
          </w:tcPr>
          <w:p>
            <w:pPr>
              <w:ind w:left="20"/>
              <w:spacing w:after="0"/>
              <w:rPr>
                <w:sz w:val="20"/>
                <w:szCs w:val="20"/>
                <w:color w:val="auto"/>
              </w:rPr>
            </w:pPr>
            <w:r>
              <w:rPr>
                <w:rFonts w:ascii="Arial" w:cs="Arial" w:eastAsia="Arial" w:hAnsi="Arial"/>
                <w:sz w:val="16"/>
                <w:szCs w:val="16"/>
                <w:b w:val="1"/>
                <w:bCs w:val="1"/>
                <w:color w:val="auto"/>
              </w:rPr>
              <w:t>Operating Costs and Expenses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6"/>
                <w:szCs w:val="16"/>
                <w:color w:val="auto"/>
              </w:rPr>
              <w:t>Cost of services sold (exclusive of items shown below)</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384,293</w:t>
            </w:r>
          </w:p>
        </w:tc>
        <w:tc>
          <w:tcPr>
            <w:tcW w:w="40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363,030</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772,036</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719,972</w:t>
            </w: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6"/>
                <w:szCs w:val="16"/>
                <w:color w:val="auto"/>
              </w:rPr>
              <w:t>Cost of goods sold (exclusive of items shown below)</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447,571</w:t>
            </w:r>
          </w:p>
        </w:tc>
        <w:tc>
          <w:tcPr>
            <w:tcW w:w="40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404,824</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879,791</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775,096</w:t>
            </w: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268,987</w:t>
            </w:r>
          </w:p>
        </w:tc>
        <w:tc>
          <w:tcPr>
            <w:tcW w:w="40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244,683</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532,966</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486,645</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6"/>
                <w:szCs w:val="16"/>
                <w:color w:val="auto"/>
              </w:rPr>
              <w:t>Depreciation of property, plant and equipment</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22,173</w:t>
            </w:r>
          </w:p>
        </w:tc>
        <w:tc>
          <w:tcPr>
            <w:tcW w:w="40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21,103</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44,700</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41,128</w:t>
            </w: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10,058</w:t>
            </w:r>
          </w:p>
        </w:tc>
        <w:tc>
          <w:tcPr>
            <w:tcW w:w="40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13,304</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20,809</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27,248</w:t>
            </w:r>
          </w:p>
        </w:tc>
        <w:tc>
          <w:tcPr>
            <w:tcW w:w="0" w:type="dxa"/>
            <w:vAlign w:val="bottom"/>
          </w:tcPr>
          <w:p>
            <w:pPr>
              <w:spacing w:after="0"/>
              <w:rPr>
                <w:sz w:val="1"/>
                <w:szCs w:val="1"/>
                <w:color w:val="auto"/>
              </w:rPr>
            </w:pPr>
          </w:p>
        </w:tc>
      </w:tr>
      <w:tr>
        <w:trPr>
          <w:trHeight w:val="233"/>
        </w:trPr>
        <w:tc>
          <w:tcPr>
            <w:tcW w:w="6020" w:type="dxa"/>
            <w:vAlign w:val="bottom"/>
          </w:tcPr>
          <w:p>
            <w:pPr>
              <w:ind w:left="220"/>
              <w:spacing w:after="0"/>
              <w:rPr>
                <w:sz w:val="20"/>
                <w:szCs w:val="20"/>
                <w:color w:val="auto"/>
              </w:rPr>
            </w:pPr>
            <w:r>
              <w:rPr>
                <w:rFonts w:ascii="Arial" w:cs="Arial" w:eastAsia="Arial" w:hAnsi="Arial"/>
                <w:sz w:val="16"/>
                <w:szCs w:val="16"/>
                <w:color w:val="auto"/>
              </w:rPr>
              <w:t>Impairment of goodwill and other long-lived assets</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26,287</w:t>
            </w: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26,287</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w:t>
            </w:r>
          </w:p>
        </w:tc>
        <w:tc>
          <w:tcPr>
            <w:tcW w:w="0" w:type="dxa"/>
            <w:vAlign w:val="bottom"/>
          </w:tcPr>
          <w:p>
            <w:pPr>
              <w:spacing w:after="0"/>
              <w:rPr>
                <w:sz w:val="1"/>
                <w:szCs w:val="1"/>
                <w:color w:val="auto"/>
              </w:rPr>
            </w:pPr>
          </w:p>
        </w:tc>
      </w:tr>
      <w:tr>
        <w:trPr>
          <w:trHeight w:val="220"/>
        </w:trPr>
        <w:tc>
          <w:tcPr>
            <w:tcW w:w="60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1,159,369</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1,046,944</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2,276,589</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2,050,834</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6"/>
                <w:szCs w:val="16"/>
                <w:b w:val="1"/>
                <w:bCs w:val="1"/>
                <w:color w:val="auto"/>
              </w:rPr>
              <w:t>Income from Operations</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25,911</w:t>
            </w:r>
          </w:p>
        </w:tc>
        <w:tc>
          <w:tcPr>
            <w:tcW w:w="40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58,055</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61,353</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85,711</w:t>
            </w: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6"/>
                <w:szCs w:val="16"/>
                <w:color w:val="auto"/>
              </w:rPr>
              <w:t>Equity in earnings (losses) of affiliates, net</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2,560</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(6,115)</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4,891</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(1,454)</w:t>
            </w: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2,111</w:t>
            </w:r>
          </w:p>
        </w:tc>
        <w:tc>
          <w:tcPr>
            <w:tcW w:w="40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1,548</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4,289</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2,752</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(91,383)</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(11,774)</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(110,711)</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(26,068)</w:t>
            </w: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6"/>
                <w:szCs w:val="16"/>
                <w:color w:val="auto"/>
              </w:rPr>
              <w:t>Non-operating pension and postretirement benefit income, net</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24,655</w:t>
            </w:r>
          </w:p>
        </w:tc>
        <w:tc>
          <w:tcPr>
            <w:tcW w:w="40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29,815</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67,072</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61,660</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6"/>
                <w:szCs w:val="16"/>
                <w:color w:val="auto"/>
              </w:rPr>
              <w:t>Gain on marketable equity securities, net</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19,628</w:t>
            </w:r>
          </w:p>
        </w:tc>
        <w:tc>
          <w:tcPr>
            <w:tcW w:w="40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78,648</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123,780</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96,670</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6"/>
                <w:szCs w:val="16"/>
                <w:color w:val="auto"/>
              </w:rPr>
              <w:t>Other income, net</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1,791</w:t>
            </w: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15,794</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3,438</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18,877</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6"/>
                <w:szCs w:val="16"/>
                <w:b w:val="1"/>
                <w:bCs w:val="1"/>
                <w:color w:val="auto"/>
              </w:rPr>
              <w:t>(Loss) Income Before Income Taxes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(14,727)</w:t>
            </w:r>
          </w:p>
        </w:tc>
        <w:tc>
          <w:tcPr>
            <w:tcW w:w="40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165,971</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154,112</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238,148</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4,100</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41,800</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47,600</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61,000</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6"/>
                <w:szCs w:val="16"/>
                <w:b w:val="1"/>
                <w:bCs w:val="1"/>
                <w:color w:val="auto"/>
              </w:rPr>
              <w:t>Net (Loss) Income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(18,827)</w:t>
            </w:r>
          </w:p>
        </w:tc>
        <w:tc>
          <w:tcPr>
            <w:tcW w:w="40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124,171</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106,512</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177,148</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(2,213)</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(1,383)</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(3,172)</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(2,088)</w:t>
            </w:r>
          </w:p>
        </w:tc>
        <w:tc>
          <w:tcPr>
            <w:tcW w:w="0" w:type="dxa"/>
            <w:vAlign w:val="bottom"/>
          </w:tcPr>
          <w:p>
            <w:pPr>
              <w:spacing w:after="0"/>
              <w:rPr>
                <w:sz w:val="1"/>
                <w:szCs w:val="1"/>
                <w:color w:val="auto"/>
              </w:rPr>
            </w:pPr>
          </w:p>
        </w:tc>
      </w:tr>
      <w:tr>
        <w:trPr>
          <w:trHeight w:val="161"/>
        </w:trPr>
        <w:tc>
          <w:tcPr>
            <w:tcW w:w="602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Net (Loss) Income Attributable to Graham Holdings Company Common</w:t>
            </w: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(21,040)</w:t>
            </w:r>
          </w:p>
        </w:tc>
        <w:tc>
          <w:tcPr>
            <w:tcW w:w="40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ind w:right="59"/>
              <w:spacing w:after="0"/>
              <w:rPr>
                <w:sz w:val="20"/>
                <w:szCs w:val="20"/>
                <w:color w:val="auto"/>
              </w:rPr>
            </w:pPr>
            <w:r>
              <w:rPr>
                <w:rFonts w:ascii="Arial" w:cs="Arial" w:eastAsia="Arial" w:hAnsi="Arial"/>
                <w:sz w:val="16"/>
                <w:szCs w:val="16"/>
                <w:color w:val="auto"/>
              </w:rPr>
              <w:t>122,788</w:t>
            </w:r>
          </w:p>
        </w:tc>
        <w:tc>
          <w:tcPr>
            <w:tcW w:w="3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103,340</w:t>
            </w:r>
          </w:p>
        </w:tc>
        <w:tc>
          <w:tcPr>
            <w:tcW w:w="38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175,060</w:t>
            </w:r>
          </w:p>
        </w:tc>
        <w:tc>
          <w:tcPr>
            <w:tcW w:w="0" w:type="dxa"/>
            <w:vAlign w:val="bottom"/>
          </w:tcPr>
          <w:p>
            <w:pPr>
              <w:spacing w:after="0"/>
              <w:rPr>
                <w:sz w:val="1"/>
                <w:szCs w:val="1"/>
                <w:color w:val="auto"/>
              </w:rPr>
            </w:pPr>
          </w:p>
        </w:tc>
      </w:tr>
      <w:tr>
        <w:trPr>
          <w:trHeight w:val="208"/>
        </w:trPr>
        <w:tc>
          <w:tcPr>
            <w:tcW w:w="6020" w:type="dxa"/>
            <w:vAlign w:val="bottom"/>
          </w:tcPr>
          <w:p>
            <w:pPr>
              <w:ind w:left="180"/>
              <w:spacing w:after="0"/>
              <w:rPr>
                <w:sz w:val="20"/>
                <w:szCs w:val="20"/>
                <w:color w:val="auto"/>
              </w:rPr>
            </w:pPr>
            <w:r>
              <w:rPr>
                <w:rFonts w:ascii="Arial" w:cs="Arial" w:eastAsia="Arial" w:hAnsi="Arial"/>
                <w:sz w:val="16"/>
                <w:szCs w:val="16"/>
                <w:b w:val="1"/>
                <w:bCs w:val="1"/>
                <w:color w:val="auto"/>
              </w:rPr>
              <w:t>Stockholders</w:t>
            </w:r>
          </w:p>
        </w:tc>
        <w:tc>
          <w:tcPr>
            <w:tcW w:w="26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60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020" w:type="dxa"/>
            <w:vAlign w:val="bottom"/>
          </w:tcPr>
          <w:p>
            <w:pPr>
              <w:ind w:left="180"/>
              <w:spacing w:after="0"/>
              <w:rPr>
                <w:sz w:val="20"/>
                <w:szCs w:val="20"/>
                <w:color w:val="auto"/>
              </w:rPr>
            </w:pPr>
            <w:r>
              <w:rPr>
                <w:rFonts w:ascii="Arial" w:cs="Arial" w:eastAsia="Arial" w:hAnsi="Arial"/>
                <w:sz w:val="16"/>
                <w:szCs w:val="16"/>
                <w:b w:val="1"/>
                <w:bCs w:val="1"/>
                <w:color w:val="auto"/>
              </w:rPr>
              <w:t>Stockholders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6"/>
                <w:szCs w:val="16"/>
                <w:color w:val="auto"/>
              </w:rPr>
              <w:t>Basic net (loss) income per common share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(4.79)</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25.96</w:t>
            </w:r>
          </w:p>
        </w:tc>
        <w:tc>
          <w:tcPr>
            <w:tcW w:w="3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23.24</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36.78</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6"/>
                <w:szCs w:val="16"/>
                <w:color w:val="auto"/>
              </w:rPr>
              <w:t>Basic average number of common shares outstanding</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4,401</w:t>
            </w:r>
          </w:p>
        </w:tc>
        <w:tc>
          <w:tcPr>
            <w:tcW w:w="40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4,700</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4,416</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4,729</w:t>
            </w: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6"/>
                <w:szCs w:val="16"/>
                <w:color w:val="auto"/>
              </w:rPr>
              <w:t>Diluted net (loss) income per common share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(4.79)</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25.89</w:t>
            </w:r>
          </w:p>
        </w:tc>
        <w:tc>
          <w:tcPr>
            <w:tcW w:w="3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23.11</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36.67</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6"/>
                <w:szCs w:val="16"/>
                <w:color w:val="auto"/>
              </w:rPr>
              <w:t>Diluted average number of common shares outstanding</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4,401</w:t>
            </w:r>
          </w:p>
        </w:tc>
        <w:tc>
          <w:tcPr>
            <w:tcW w:w="40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4,713</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4,442</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4,744</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INCOME (UNAUDITED)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212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Three Months Ended</w:t>
            </w:r>
          </w:p>
        </w:tc>
        <w:tc>
          <w:tcPr>
            <w:tcW w:w="214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Six Months Ended</w:t>
            </w:r>
          </w:p>
        </w:tc>
      </w:tr>
      <w:tr>
        <w:trPr>
          <w:trHeight w:val="205"/>
        </w:trPr>
        <w:tc>
          <w:tcPr>
            <w:tcW w:w="696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June 30</w:t>
            </w:r>
          </w:p>
        </w:tc>
      </w:tr>
      <w:tr>
        <w:trPr>
          <w:trHeight w:val="200"/>
        </w:trPr>
        <w:tc>
          <w:tcPr>
            <w:tcW w:w="6960" w:type="dxa"/>
            <w:vAlign w:val="bottom"/>
          </w:tcPr>
          <w:p>
            <w:pPr>
              <w:spacing w:after="0"/>
              <w:rPr>
                <w:sz w:val="20"/>
                <w:szCs w:val="20"/>
                <w:color w:val="auto"/>
              </w:rPr>
            </w:pPr>
            <w:r>
              <w:rPr>
                <w:rFonts w:ascii="Arial" w:cs="Arial" w:eastAsia="Arial" w:hAnsi="Arial"/>
                <w:sz w:val="14"/>
                <w:szCs w:val="14"/>
                <w:color w:val="auto"/>
              </w:rPr>
              <w:t>(in thousands)</w:t>
            </w: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auto"/>
              </w:rPr>
              <w:t>2024</w:t>
            </w:r>
          </w:p>
        </w:tc>
        <w:tc>
          <w:tcPr>
            <w:tcW w:w="1400" w:type="dxa"/>
            <w:vAlign w:val="bottom"/>
          </w:tcPr>
          <w:p>
            <w:pPr>
              <w:jc w:val="right"/>
              <w:ind w:right="308"/>
              <w:spacing w:after="0"/>
              <w:rPr>
                <w:sz w:val="20"/>
                <w:szCs w:val="20"/>
                <w:color w:val="auto"/>
              </w:rPr>
            </w:pPr>
            <w:r>
              <w:rPr>
                <w:rFonts w:ascii="Arial" w:cs="Arial" w:eastAsia="Arial" w:hAnsi="Arial"/>
                <w:sz w:val="14"/>
                <w:szCs w:val="14"/>
                <w:color w:val="auto"/>
              </w:rPr>
              <w:t>2023</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2024</w:t>
            </w:r>
          </w:p>
        </w:tc>
        <w:tc>
          <w:tcPr>
            <w:tcW w:w="1360" w:type="dxa"/>
            <w:vAlign w:val="bottom"/>
          </w:tcPr>
          <w:p>
            <w:pPr>
              <w:jc w:val="right"/>
              <w:ind w:right="268"/>
              <w:spacing w:after="0"/>
              <w:rPr>
                <w:sz w:val="20"/>
                <w:szCs w:val="20"/>
                <w:color w:val="auto"/>
              </w:rPr>
            </w:pPr>
            <w:r>
              <w:rPr>
                <w:rFonts w:ascii="Arial" w:cs="Arial" w:eastAsia="Arial" w:hAnsi="Arial"/>
                <w:sz w:val="14"/>
                <w:szCs w:val="14"/>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(Loss) Income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Loss, Before Tax</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Foreign currency translation adjustments: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Translation adjustments arising during the period</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Pension and other postretirement plans:</w:t>
      </w:r>
    </w:p>
    <w:p>
      <w:pPr>
        <w:spacing w:after="0" w:line="46" w:lineRule="exact"/>
        <w:rPr>
          <w:sz w:val="20"/>
          <w:szCs w:val="20"/>
          <w:color w:val="auto"/>
        </w:rPr>
      </w:pPr>
    </w:p>
    <w:p>
      <w:pPr>
        <w:ind w:left="220" w:right="1200"/>
        <w:spacing w:after="0" w:line="339" w:lineRule="auto"/>
        <w:rPr>
          <w:sz w:val="20"/>
          <w:szCs w:val="20"/>
          <w:color w:val="auto"/>
        </w:rPr>
      </w:pPr>
      <w:r>
        <w:rPr>
          <w:rFonts w:ascii="Arial" w:cs="Arial" w:eastAsia="Arial" w:hAnsi="Arial"/>
          <w:sz w:val="16"/>
          <w:szCs w:val="16"/>
          <w:color w:val="auto"/>
        </w:rPr>
        <w:t>Amortization of net prior service (credit) cost included in net income Amortization of net actuarial gain included in net income</w:t>
      </w:r>
    </w:p>
    <w:p>
      <w:pPr>
        <w:spacing w:after="0" w:line="18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Cash flow hedges gain</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Loss, Before Tax</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Income tax benefit related to items of other comprehensive loss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Loss, Net of Tax</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Comprehensive (Loss) Income</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Comprehensive income attributable to noncontrolling interests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Comprehensive (Loss) Income Attributable to Graham Holdings Company</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left="340" w:hanging="328"/>
        <w:spacing w:after="0"/>
        <w:tabs>
          <w:tab w:leader="none" w:pos="34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(18,827)  </w:t>
      </w:r>
      <w:r>
        <w:rPr>
          <w:rFonts w:ascii="Arial" w:cs="Arial" w:eastAsia="Arial" w:hAnsi="Arial"/>
          <w:sz w:val="16"/>
          <w:szCs w:val="16"/>
          <w:color w:val="auto"/>
        </w:rPr>
        <w:t>$   124,171</w:t>
      </w:r>
      <w:r>
        <w:rPr>
          <w:rFonts w:ascii="Arial" w:cs="Arial" w:eastAsia="Arial" w:hAnsi="Arial"/>
          <w:sz w:val="16"/>
          <w:szCs w:val="16"/>
          <w:b w:val="1"/>
          <w:bCs w:val="1"/>
          <w:color w:val="auto"/>
        </w:rPr>
        <w:t xml:space="preserve">   $   106,512  </w:t>
      </w:r>
      <w:r>
        <w:rPr>
          <w:rFonts w:ascii="Arial" w:cs="Arial" w:eastAsia="Arial" w:hAnsi="Arial"/>
          <w:sz w:val="16"/>
          <w:szCs w:val="16"/>
          <w:color w:val="auto"/>
        </w:rPr>
        <w:t>$   177,148</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3,517</w:t>
            </w:r>
          </w:p>
        </w:tc>
        <w:tc>
          <w:tcPr>
            <w:tcW w:w="28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2,384</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(9,767)</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11,378</w:t>
            </w:r>
          </w:p>
        </w:tc>
      </w:tr>
      <w:tr>
        <w:trPr>
          <w:trHeight w:val="459"/>
        </w:trPr>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(482)</w:t>
            </w:r>
          </w:p>
        </w:tc>
        <w:tc>
          <w:tcPr>
            <w:tcW w:w="280" w:type="dxa"/>
            <w:vAlign w:val="bottom"/>
          </w:tcPr>
          <w:p>
            <w:pPr>
              <w:spacing w:after="0"/>
              <w:rPr>
                <w:sz w:val="24"/>
                <w:szCs w:val="24"/>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411</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(976)</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820</w:t>
            </w:r>
          </w:p>
        </w:tc>
      </w:tr>
      <w:tr>
        <w:trPr>
          <w:trHeight w:val="233"/>
        </w:trPr>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(11,733)</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(10,434)</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(24,720)</w:t>
            </w: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(21,200)</w:t>
            </w:r>
          </w:p>
        </w:tc>
      </w:tr>
      <w:tr>
        <w:trPr>
          <w:trHeight w:val="220"/>
        </w:trPr>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(12,215)</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(10,023)</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(25,696)</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(20,380)</w:t>
            </w:r>
          </w:p>
        </w:tc>
      </w:tr>
      <w:tr>
        <w:trPr>
          <w:trHeight w:val="233"/>
        </w:trPr>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346</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1,188</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1,457</w:t>
            </w: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w:t>
            </w:r>
          </w:p>
        </w:tc>
      </w:tr>
      <w:tr>
        <w:trPr>
          <w:trHeight w:val="220"/>
        </w:trPr>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(8,352)</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(6,451)</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(34,006)</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(8,744)</w:t>
            </w:r>
          </w:p>
        </w:tc>
      </w:tr>
      <w:tr>
        <w:trPr>
          <w:trHeight w:val="233"/>
        </w:trPr>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3,037</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2,305</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6,199</w:t>
            </w: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5,183</w:t>
            </w:r>
          </w:p>
        </w:tc>
      </w:tr>
      <w:tr>
        <w:trPr>
          <w:trHeight w:val="223"/>
        </w:trPr>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(5,315)</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(4,146)</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(27,807)</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(3,561)</w:t>
            </w:r>
          </w:p>
        </w:tc>
      </w:tr>
      <w:tr>
        <w:trPr>
          <w:trHeight w:val="220"/>
        </w:trPr>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(24,142)</w:t>
            </w:r>
          </w:p>
        </w:tc>
        <w:tc>
          <w:tcPr>
            <w:tcW w:w="28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120,025</w:t>
            </w:r>
          </w:p>
        </w:tc>
        <w:tc>
          <w:tcPr>
            <w:tcW w:w="30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78,705</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173,587</w:t>
            </w:r>
          </w:p>
        </w:tc>
      </w:tr>
      <w:tr>
        <w:trPr>
          <w:trHeight w:val="233"/>
        </w:trPr>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(2,213)</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(1,383)</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(3,172)</w:t>
            </w: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(2,088)</w:t>
            </w:r>
          </w:p>
        </w:tc>
      </w:tr>
      <w:tr>
        <w:trPr>
          <w:trHeight w:val="223"/>
        </w:trPr>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(26,355)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118,642</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75,533</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171,499</w:t>
            </w:r>
          </w:p>
        </w:tc>
      </w:tr>
      <w:tr>
        <w:trPr>
          <w:trHeight w:val="24"/>
        </w:trPr>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6260" w:space="720"/>
            <w:col w:w="4260"/>
          </w:cols>
          <w:pgMar w:left="320" w:top="944" w:right="33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8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2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4"/>
                <w:szCs w:val="14"/>
                <w:color w:val="auto"/>
              </w:rPr>
            </w:pPr>
          </w:p>
        </w:tc>
        <w:tc>
          <w:tcPr>
            <w:tcW w:w="1280" w:type="dxa"/>
            <w:vAlign w:val="bottom"/>
          </w:tcPr>
          <w:p>
            <w:pPr>
              <w:jc w:val="center"/>
              <w:ind w:right="18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240" w:type="dxa"/>
            <w:vAlign w:val="bottom"/>
          </w:tcPr>
          <w:p>
            <w:pPr>
              <w:jc w:val="right"/>
              <w:ind w:right="179"/>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82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195"/>
        </w:trPr>
        <w:tc>
          <w:tcPr>
            <w:tcW w:w="8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center"/>
              <w:ind w:right="160"/>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140,717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169,897</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46,898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31,994</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822,034</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697,028</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466,019</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525,087</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Inventories and contracts in progress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323,542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297,211</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Prepaid expenses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131,688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119,933</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Income taxes receivable</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3,869</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6,848</w:t>
            </w:r>
          </w:p>
        </w:tc>
        <w:tc>
          <w:tcPr>
            <w:tcW w:w="0" w:type="dxa"/>
            <w:vAlign w:val="bottom"/>
          </w:tcPr>
          <w:p>
            <w:pPr>
              <w:spacing w:after="0"/>
              <w:rPr>
                <w:sz w:val="1"/>
                <w:szCs w:val="1"/>
                <w:color w:val="auto"/>
              </w:rPr>
            </w:pPr>
          </w:p>
        </w:tc>
      </w:tr>
      <w:tr>
        <w:trPr>
          <w:trHeight w:val="231"/>
        </w:trPr>
        <w:tc>
          <w:tcPr>
            <w:tcW w:w="8200" w:type="dxa"/>
            <w:vAlign w:val="bottom"/>
          </w:tcPr>
          <w:p>
            <w:pPr>
              <w:ind w:left="220"/>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4,499</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1,298</w:t>
            </w:r>
          </w:p>
        </w:tc>
        <w:tc>
          <w:tcPr>
            <w:tcW w:w="0" w:type="dxa"/>
            <w:vAlign w:val="bottom"/>
          </w:tcPr>
          <w:p>
            <w:pPr>
              <w:spacing w:after="0"/>
              <w:rPr>
                <w:sz w:val="1"/>
                <w:szCs w:val="1"/>
                <w:color w:val="auto"/>
              </w:rPr>
            </w:pPr>
          </w:p>
        </w:tc>
      </w:tr>
      <w:tr>
        <w:trPr>
          <w:trHeight w:val="223"/>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Current Assets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1,939,266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1,849,296</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544,398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560,314</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Lease Right-of-Use Assets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405,354</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409,183</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Investments in Affiliates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185,500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186,480</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Goodwill, Net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1,512,447</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1,525,194</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187,379</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187,862</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 Net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73,008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112,194</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Prepaid Pension Cost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2,129,196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2,113,638</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10,750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10,578</w:t>
            </w:r>
          </w:p>
        </w:tc>
        <w:tc>
          <w:tcPr>
            <w:tcW w:w="0" w:type="dxa"/>
            <w:vAlign w:val="bottom"/>
          </w:tcPr>
          <w:p>
            <w:pPr>
              <w:spacing w:after="0"/>
              <w:rPr>
                <w:sz w:val="1"/>
                <w:szCs w:val="1"/>
                <w:color w:val="auto"/>
              </w:rPr>
            </w:pPr>
          </w:p>
        </w:tc>
      </w:tr>
      <w:tr>
        <w:trPr>
          <w:trHeight w:val="23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Deferred Charges and Other Assets</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246,755</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232,991</w:t>
            </w:r>
          </w:p>
        </w:tc>
        <w:tc>
          <w:tcPr>
            <w:tcW w:w="0" w:type="dxa"/>
            <w:vAlign w:val="bottom"/>
          </w:tcPr>
          <w:p>
            <w:pPr>
              <w:spacing w:after="0"/>
              <w:rPr>
                <w:sz w:val="1"/>
                <w:szCs w:val="1"/>
                <w:color w:val="auto"/>
              </w:rPr>
            </w:pPr>
          </w:p>
        </w:tc>
      </w:tr>
      <w:tr>
        <w:trPr>
          <w:trHeight w:val="227"/>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7,234,053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7,187,730</w:t>
            </w:r>
          </w:p>
        </w:tc>
        <w:tc>
          <w:tcPr>
            <w:tcW w:w="0" w:type="dxa"/>
            <w:vAlign w:val="bottom"/>
          </w:tcPr>
          <w:p>
            <w:pPr>
              <w:spacing w:after="0"/>
              <w:rPr>
                <w:sz w:val="1"/>
                <w:szCs w:val="1"/>
                <w:color w:val="auto"/>
              </w:rPr>
            </w:pPr>
          </w:p>
        </w:tc>
      </w:tr>
      <w:tr>
        <w:trPr>
          <w:trHeight w:val="21"/>
        </w:trPr>
        <w:tc>
          <w:tcPr>
            <w:tcW w:w="82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6"/>
        </w:trPr>
        <w:tc>
          <w:tcPr>
            <w:tcW w:w="82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Accounts payable, vehicle floor plan payable and accrued liabilities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696,699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694,521</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326,225</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396,754</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Income taxes payable</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15,376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7,406</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Current portion of lease liabilities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60,291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64,247</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Current portion of long-term debt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101,874</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66,751</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Dividends declared</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7,574</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Current Liabilities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1,208,039</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1,229,679</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Accrued Compensation and Related Benefits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128,511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137,275</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35,092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32,076</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602,664</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600,124</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Mandatorily Redeemable Noncontrolling Interest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115,895</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40,764</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Lease Liabilities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377,428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376,677</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Long-Term Debt</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732,898</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745,082</w:t>
            </w:r>
          </w:p>
        </w:tc>
        <w:tc>
          <w:tcPr>
            <w:tcW w:w="0" w:type="dxa"/>
            <w:vAlign w:val="bottom"/>
          </w:tcPr>
          <w:p>
            <w:pPr>
              <w:spacing w:after="0"/>
              <w:rPr>
                <w:sz w:val="1"/>
                <w:szCs w:val="1"/>
                <w:color w:val="auto"/>
              </w:rPr>
            </w:pPr>
          </w:p>
        </w:tc>
      </w:tr>
      <w:tr>
        <w:trPr>
          <w:trHeight w:val="223"/>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Liabilities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3,200,527</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3,161,677</w:t>
            </w:r>
          </w:p>
        </w:tc>
        <w:tc>
          <w:tcPr>
            <w:tcW w:w="0" w:type="dxa"/>
            <w:vAlign w:val="bottom"/>
          </w:tcPr>
          <w:p>
            <w:pPr>
              <w:spacing w:after="0"/>
              <w:rPr>
                <w:sz w:val="1"/>
                <w:szCs w:val="1"/>
                <w:color w:val="auto"/>
              </w:rPr>
            </w:pPr>
          </w:p>
        </w:tc>
      </w:tr>
      <w:tr>
        <w:trPr>
          <w:trHeight w:val="208"/>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color w:val="auto"/>
              </w:rPr>
              <w:t>(Note 14)</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Redeemable Noncontrolling Interests</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38,006</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24,185</w:t>
            </w: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Preferred Stock</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Common Stockholders’ Equity</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Common stock</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20,000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Capital in excess of par value</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361,637</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372,040</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Retained earnings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7,417,877</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7,337,463</w:t>
            </w:r>
          </w:p>
        </w:tc>
        <w:tc>
          <w:tcPr>
            <w:tcW w:w="0" w:type="dxa"/>
            <w:vAlign w:val="bottom"/>
          </w:tcPr>
          <w:p>
            <w:pPr>
              <w:spacing w:after="0"/>
              <w:rPr>
                <w:sz w:val="1"/>
                <w:szCs w:val="1"/>
                <w:color w:val="auto"/>
              </w:rPr>
            </w:pPr>
          </w:p>
        </w:tc>
      </w:tr>
      <w:tr>
        <w:trPr>
          <w:trHeight w:val="221"/>
        </w:trPr>
        <w:tc>
          <w:tcPr>
            <w:tcW w:w="8200" w:type="dxa"/>
            <w:vAlign w:val="bottom"/>
          </w:tcPr>
          <w:p>
            <w:pPr>
              <w:ind w:left="220"/>
              <w:spacing w:after="0"/>
              <w:rPr>
                <w:sz w:val="20"/>
                <w:szCs w:val="20"/>
                <w:color w:val="auto"/>
              </w:rPr>
            </w:pPr>
            <w:r>
              <w:rPr>
                <w:rFonts w:ascii="Arial" w:cs="Arial" w:eastAsia="Arial" w:hAnsi="Arial"/>
                <w:sz w:val="16"/>
                <w:szCs w:val="16"/>
                <w:color w:val="auto"/>
              </w:rPr>
              <w:t>Accumulated other comprehensive income, net of taxes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200" w:type="dxa"/>
            <w:vAlign w:val="bottom"/>
          </w:tcPr>
          <w:p>
            <w:pPr>
              <w:ind w:left="460"/>
              <w:spacing w:after="0"/>
              <w:rPr>
                <w:sz w:val="20"/>
                <w:szCs w:val="20"/>
                <w:color w:val="auto"/>
              </w:rPr>
            </w:pPr>
            <w:r>
              <w:rPr>
                <w:rFonts w:ascii="Arial" w:cs="Arial" w:eastAsia="Arial" w:hAnsi="Arial"/>
                <w:sz w:val="16"/>
                <w:szCs w:val="16"/>
                <w:color w:val="auto"/>
              </w:rPr>
              <w:t>Cumulative foreign currency translation adjustment</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(42,478)</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(32,711)</w:t>
            </w:r>
          </w:p>
        </w:tc>
        <w:tc>
          <w:tcPr>
            <w:tcW w:w="0" w:type="dxa"/>
            <w:vAlign w:val="bottom"/>
          </w:tcPr>
          <w:p>
            <w:pPr>
              <w:spacing w:after="0"/>
              <w:rPr>
                <w:sz w:val="1"/>
                <w:szCs w:val="1"/>
                <w:color w:val="auto"/>
              </w:rPr>
            </w:pPr>
          </w:p>
        </w:tc>
      </w:tr>
      <w:tr>
        <w:trPr>
          <w:trHeight w:val="229"/>
        </w:trPr>
        <w:tc>
          <w:tcPr>
            <w:tcW w:w="8200" w:type="dxa"/>
            <w:vAlign w:val="bottom"/>
          </w:tcPr>
          <w:p>
            <w:pPr>
              <w:ind w:left="460"/>
              <w:spacing w:after="0"/>
              <w:rPr>
                <w:sz w:val="20"/>
                <w:szCs w:val="20"/>
                <w:color w:val="auto"/>
              </w:rPr>
            </w:pPr>
            <w:r>
              <w:rPr>
                <w:rFonts w:ascii="Arial" w:cs="Arial" w:eastAsia="Arial" w:hAnsi="Arial"/>
                <w:sz w:val="16"/>
                <w:szCs w:val="16"/>
                <w:color w:val="auto"/>
              </w:rPr>
              <w:t>Unrealized gain on pensions and other postretirement plans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630,068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649,185</w:t>
            </w:r>
          </w:p>
        </w:tc>
        <w:tc>
          <w:tcPr>
            <w:tcW w:w="0" w:type="dxa"/>
            <w:vAlign w:val="bottom"/>
          </w:tcPr>
          <w:p>
            <w:pPr>
              <w:spacing w:after="0"/>
              <w:rPr>
                <w:sz w:val="1"/>
                <w:szCs w:val="1"/>
                <w:color w:val="auto"/>
              </w:rPr>
            </w:pPr>
          </w:p>
        </w:tc>
      </w:tr>
      <w:tr>
        <w:trPr>
          <w:trHeight w:val="230"/>
        </w:trPr>
        <w:tc>
          <w:tcPr>
            <w:tcW w:w="8200" w:type="dxa"/>
            <w:vAlign w:val="bottom"/>
          </w:tcPr>
          <w:p>
            <w:pPr>
              <w:ind w:left="460"/>
              <w:spacing w:after="0"/>
              <w:rPr>
                <w:sz w:val="20"/>
                <w:szCs w:val="20"/>
                <w:color w:val="auto"/>
              </w:rPr>
            </w:pPr>
            <w:r>
              <w:rPr>
                <w:rFonts w:ascii="Arial" w:cs="Arial" w:eastAsia="Arial" w:hAnsi="Arial"/>
                <w:sz w:val="16"/>
                <w:szCs w:val="16"/>
                <w:color w:val="auto"/>
              </w:rPr>
              <w:t>Cash flow hedges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(1,060)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(2,137)</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Cost of Class B common stock held in treasury</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(4,417,957)</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(4,368,103)</w:t>
            </w:r>
          </w:p>
        </w:tc>
        <w:tc>
          <w:tcPr>
            <w:tcW w:w="0" w:type="dxa"/>
            <w:vAlign w:val="bottom"/>
          </w:tcPr>
          <w:p>
            <w:pPr>
              <w:spacing w:after="0"/>
              <w:rPr>
                <w:sz w:val="1"/>
                <w:szCs w:val="1"/>
                <w:color w:val="auto"/>
              </w:rPr>
            </w:pPr>
          </w:p>
        </w:tc>
      </w:tr>
      <w:tr>
        <w:trPr>
          <w:trHeight w:val="223"/>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Common Stockholders’ Equity</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3,968,087</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3,975,737</w:t>
            </w: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Noncontrolling Interests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27,433</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26,131</w:t>
            </w:r>
          </w:p>
        </w:tc>
        <w:tc>
          <w:tcPr>
            <w:tcW w:w="0" w:type="dxa"/>
            <w:vAlign w:val="bottom"/>
          </w:tcPr>
          <w:p>
            <w:pPr>
              <w:spacing w:after="0"/>
              <w:rPr>
                <w:sz w:val="1"/>
                <w:szCs w:val="1"/>
                <w:color w:val="auto"/>
              </w:rPr>
            </w:pPr>
          </w:p>
        </w:tc>
      </w:tr>
      <w:tr>
        <w:trPr>
          <w:trHeight w:val="226"/>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Equity</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3,995,520</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4,001,868</w:t>
            </w:r>
          </w:p>
        </w:tc>
        <w:tc>
          <w:tcPr>
            <w:tcW w:w="0" w:type="dxa"/>
            <w:vAlign w:val="bottom"/>
          </w:tcPr>
          <w:p>
            <w:pPr>
              <w:spacing w:after="0"/>
              <w:rPr>
                <w:sz w:val="1"/>
                <w:szCs w:val="1"/>
                <w:color w:val="auto"/>
              </w:rPr>
            </w:pPr>
          </w:p>
        </w:tc>
      </w:tr>
      <w:tr>
        <w:trPr>
          <w:trHeight w:val="226"/>
        </w:trPr>
        <w:tc>
          <w:tcPr>
            <w:tcW w:w="8200" w:type="dxa"/>
            <w:vAlign w:val="bottom"/>
          </w:tcPr>
          <w:p>
            <w:pPr>
              <w:ind w:left="660"/>
              <w:spacing w:after="0"/>
              <w:rPr>
                <w:sz w:val="20"/>
                <w:szCs w:val="20"/>
                <w:color w:val="auto"/>
              </w:rPr>
            </w:pPr>
            <w:r>
              <w:rPr>
                <w:rFonts w:ascii="Arial" w:cs="Arial" w:eastAsia="Arial" w:hAnsi="Arial"/>
                <w:sz w:val="16"/>
                <w:szCs w:val="16"/>
                <w:b w:val="1"/>
                <w:bCs w:val="1"/>
                <w:color w:val="auto"/>
              </w:rPr>
              <w:t>Total Liabilities and Equity</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7,234,053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7,187,730</w:t>
            </w:r>
          </w:p>
        </w:tc>
        <w:tc>
          <w:tcPr>
            <w:tcW w:w="0" w:type="dxa"/>
            <w:vAlign w:val="bottom"/>
          </w:tcPr>
          <w:p>
            <w:pPr>
              <w:spacing w:after="0"/>
              <w:rPr>
                <w:sz w:val="1"/>
                <w:szCs w:val="1"/>
                <w:color w:val="auto"/>
              </w:rPr>
            </w:pPr>
          </w:p>
        </w:tc>
      </w:tr>
      <w:tr>
        <w:trPr>
          <w:trHeight w:val="21"/>
        </w:trPr>
        <w:tc>
          <w:tcPr>
            <w:tcW w:w="8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220"/>
          </w:cols>
          <w:pgMar w:left="320" w:top="971" w:right="359" w:bottom="189"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1" w:right="359" w:bottom="189"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36"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Six Months Ended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r>
      <w:tr>
        <w:trPr>
          <w:trHeight w:val="205"/>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2023</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106,512</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177,148</w:t>
            </w:r>
          </w:p>
        </w:tc>
      </w:tr>
      <w:tr>
        <w:trPr>
          <w:trHeight w:val="222"/>
        </w:trPr>
        <w:tc>
          <w:tcPr>
            <w:tcW w:w="886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8"/>
        </w:trPr>
        <w:tc>
          <w:tcPr>
            <w:tcW w:w="8860" w:type="dxa"/>
            <w:vAlign w:val="bottom"/>
          </w:tcPr>
          <w:p>
            <w:pPr>
              <w:ind w:left="220"/>
              <w:spacing w:after="0"/>
              <w:rPr>
                <w:sz w:val="20"/>
                <w:szCs w:val="20"/>
                <w:color w:val="auto"/>
              </w:rPr>
            </w:pPr>
            <w:r>
              <w:rPr>
                <w:rFonts w:ascii="Arial" w:cs="Arial" w:eastAsia="Arial" w:hAnsi="Arial"/>
                <w:sz w:val="16"/>
                <w:szCs w:val="16"/>
                <w:color w:val="auto"/>
              </w:rPr>
              <w:t>Depreciation, amortization and goodwill and other long-lived asset impairments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91,796</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69,121</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Amortization of lease right-of-use asset</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32,614</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33,245</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Net pension benefit, early retirement program and special separation benefit expense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(40,313)</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(46,074)</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Gain on marketable equity securities and cost method investments,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(123,036)</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(99,774)</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Gain on disposition of a business, property, plant and equipment and investments,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(3,481)</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(11,755)</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Credit loss expense and provision for other receivables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1,632</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1,909</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Stock-based compensation expense, net of forfeitures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3,092</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3,334</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Foreign exchange loss (gain)</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1,083</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Equity in (earnings) losses of affiliates, net of distributions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1,551</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8,386</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Provision for deferred income taxes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8,526</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26,224</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Accretion expense and change in fair value of contingent consideration liabilities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(69)</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(4,466)</w:t>
            </w:r>
          </w:p>
        </w:tc>
      </w:tr>
      <w:tr>
        <w:trPr>
          <w:trHeight w:val="221"/>
        </w:trPr>
        <w:tc>
          <w:tcPr>
            <w:tcW w:w="8860" w:type="dxa"/>
            <w:vAlign w:val="bottom"/>
          </w:tcPr>
          <w:p>
            <w:pPr>
              <w:ind w:left="220"/>
              <w:spacing w:after="0"/>
              <w:rPr>
                <w:sz w:val="20"/>
                <w:szCs w:val="20"/>
                <w:color w:val="auto"/>
              </w:rPr>
            </w:pPr>
            <w:r>
              <w:rPr>
                <w:rFonts w:ascii="Arial" w:cs="Arial" w:eastAsia="Arial" w:hAnsi="Arial"/>
                <w:sz w:val="16"/>
                <w:szCs w:val="16"/>
                <w:color w:val="auto"/>
              </w:rPr>
              <w:t>Change in operating assets and liabilities: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8"/>
        </w:trPr>
        <w:tc>
          <w:tcPr>
            <w:tcW w:w="8860" w:type="dxa"/>
            <w:vAlign w:val="bottom"/>
          </w:tcPr>
          <w:p>
            <w:pPr>
              <w:ind w:left="46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60,708</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83,226</w:t>
            </w:r>
          </w:p>
        </w:tc>
      </w:tr>
      <w:tr>
        <w:trPr>
          <w:trHeight w:val="229"/>
        </w:trPr>
        <w:tc>
          <w:tcPr>
            <w:tcW w:w="8860" w:type="dxa"/>
            <w:vAlign w:val="bottom"/>
          </w:tcPr>
          <w:p>
            <w:pPr>
              <w:ind w:left="46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(25,380)</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(32,276)</w:t>
            </w:r>
          </w:p>
        </w:tc>
      </w:tr>
      <w:tr>
        <w:trPr>
          <w:trHeight w:val="229"/>
        </w:trPr>
        <w:tc>
          <w:tcPr>
            <w:tcW w:w="8860" w:type="dxa"/>
            <w:vAlign w:val="bottom"/>
          </w:tcPr>
          <w:p>
            <w:pPr>
              <w:ind w:left="46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(28,510)</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(50,664)</w:t>
            </w:r>
          </w:p>
        </w:tc>
      </w:tr>
      <w:tr>
        <w:trPr>
          <w:trHeight w:val="230"/>
        </w:trPr>
        <w:tc>
          <w:tcPr>
            <w:tcW w:w="8860" w:type="dxa"/>
            <w:vAlign w:val="bottom"/>
          </w:tcPr>
          <w:p>
            <w:pPr>
              <w:ind w:left="46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(68,344)</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(48,235)</w:t>
            </w:r>
          </w:p>
        </w:tc>
      </w:tr>
      <w:tr>
        <w:trPr>
          <w:trHeight w:val="230"/>
        </w:trPr>
        <w:tc>
          <w:tcPr>
            <w:tcW w:w="8860" w:type="dxa"/>
            <w:vAlign w:val="bottom"/>
          </w:tcPr>
          <w:p>
            <w:pPr>
              <w:ind w:left="460"/>
              <w:spacing w:after="0"/>
              <w:rPr>
                <w:sz w:val="20"/>
                <w:szCs w:val="20"/>
                <w:color w:val="auto"/>
              </w:rPr>
            </w:pPr>
            <w:r>
              <w:rPr>
                <w:rFonts w:ascii="Arial" w:cs="Arial" w:eastAsia="Arial" w:hAnsi="Arial"/>
                <w:sz w:val="16"/>
                <w:szCs w:val="16"/>
                <w:color w:val="auto"/>
              </w:rPr>
              <w:t>Income taxes receivable/payable</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11,125</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13,908</w:t>
            </w:r>
          </w:p>
        </w:tc>
      </w:tr>
      <w:tr>
        <w:trPr>
          <w:trHeight w:val="229"/>
        </w:trPr>
        <w:tc>
          <w:tcPr>
            <w:tcW w:w="8860" w:type="dxa"/>
            <w:vAlign w:val="bottom"/>
          </w:tcPr>
          <w:p>
            <w:pPr>
              <w:ind w:left="460"/>
              <w:spacing w:after="0"/>
              <w:rPr>
                <w:sz w:val="20"/>
                <w:szCs w:val="20"/>
                <w:color w:val="auto"/>
              </w:rPr>
            </w:pPr>
            <w:r>
              <w:rPr>
                <w:rFonts w:ascii="Arial" w:cs="Arial" w:eastAsia="Arial" w:hAnsi="Arial"/>
                <w:sz w:val="16"/>
                <w:szCs w:val="16"/>
                <w:color w:val="auto"/>
              </w:rPr>
              <w:t>Lease liabilities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(31,850)</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(34,878)</w:t>
            </w:r>
          </w:p>
        </w:tc>
      </w:tr>
      <w:tr>
        <w:trPr>
          <w:trHeight w:val="230"/>
        </w:trPr>
        <w:tc>
          <w:tcPr>
            <w:tcW w:w="8860" w:type="dxa"/>
            <w:vAlign w:val="bottom"/>
          </w:tcPr>
          <w:p>
            <w:pPr>
              <w:ind w:left="460"/>
              <w:spacing w:after="0"/>
              <w:rPr>
                <w:sz w:val="20"/>
                <w:szCs w:val="20"/>
                <w:color w:val="auto"/>
              </w:rPr>
            </w:pPr>
            <w:r>
              <w:rPr>
                <w:rFonts w:ascii="Arial" w:cs="Arial" w:eastAsia="Arial" w:hAnsi="Arial"/>
                <w:sz w:val="16"/>
                <w:szCs w:val="16"/>
                <w:color w:val="auto"/>
              </w:rPr>
              <w:t>Other assets and other liabilities, net</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54,297</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(26,009)</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1,155</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r>
      <w:tr>
        <w:trPr>
          <w:trHeight w:val="223"/>
        </w:trPr>
        <w:tc>
          <w:tcPr>
            <w:tcW w:w="8860" w:type="dxa"/>
            <w:vAlign w:val="bottom"/>
          </w:tcPr>
          <w:p>
            <w:pPr>
              <w:ind w:left="46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53,108</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62,239</w:t>
            </w:r>
          </w:p>
        </w:tc>
      </w:tr>
      <w:tr>
        <w:trPr>
          <w:trHeight w:val="222"/>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Purchases of property, plant and equipment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(39,560)</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(40,909)</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Investments in certain businesses, net of cash acquired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(3,828)</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(237)</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Net proceeds from disposition of a business, property, plant and equipment and investments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3,700</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3,234</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Investments in equity affiliates and cost method investments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(1,759)</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(11,982)</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Loan to related party</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(2,000)</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(30,000)</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Proceeds from sales of marketable equity securities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61,979</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Purchases of marketable equity securities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(6,162)</w:t>
            </w:r>
          </w:p>
        </w:tc>
      </w:tr>
      <w:tr>
        <w:trPr>
          <w:trHeight w:val="231"/>
        </w:trPr>
        <w:tc>
          <w:tcPr>
            <w:tcW w:w="8860" w:type="dxa"/>
            <w:vAlign w:val="bottom"/>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1,663</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1,105</w:t>
            </w:r>
          </w:p>
        </w:tc>
      </w:tr>
      <w:tr>
        <w:trPr>
          <w:trHeight w:val="223"/>
        </w:trPr>
        <w:tc>
          <w:tcPr>
            <w:tcW w:w="8860" w:type="dxa"/>
            <w:vAlign w:val="bottom"/>
          </w:tcPr>
          <w:p>
            <w:pPr>
              <w:ind w:left="46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(41,784)</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(22,972)</w:t>
            </w:r>
          </w:p>
        </w:tc>
      </w:tr>
      <w:tr>
        <w:trPr>
          <w:trHeight w:val="222"/>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Common shares repurchased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(49,514)</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(69,082)</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Net borrowings (payments) under revolving credit facilities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33,245</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(15,000)</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Net proceeds from vehicle floor plan payable</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26,612</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28,982</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Dividends paid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(15,352)</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(15,746)</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Repayments of borrowings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(9,883)</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(7,983)</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Proceeds from bank overdrafts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204</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3,656</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(6,573)</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(2,707)</w:t>
            </w:r>
          </w:p>
        </w:tc>
      </w:tr>
      <w:tr>
        <w:trPr>
          <w:trHeight w:val="223"/>
        </w:trPr>
        <w:tc>
          <w:tcPr>
            <w:tcW w:w="8860" w:type="dxa"/>
            <w:vAlign w:val="bottom"/>
          </w:tcPr>
          <w:p>
            <w:pPr>
              <w:ind w:left="46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(21,261)</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(77,880)</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Effect of Currency Exchange Rate Change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(4,339)</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Net Decrease in Cash and Cash Equivalents and Restricted Cash</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(14,276)</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(38,052)</w:t>
            </w:r>
          </w:p>
        </w:tc>
      </w:tr>
      <w:tr>
        <w:trPr>
          <w:trHeight w:val="23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Beginning Cash and Cash Equivalents and Restricted Cash</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201,891</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190,432</w:t>
            </w:r>
          </w:p>
        </w:tc>
      </w:tr>
      <w:tr>
        <w:trPr>
          <w:trHeight w:val="227"/>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Ending Cash and Cash Equivalents and Restricted Cash</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187,615</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152,380</w:t>
            </w:r>
          </w:p>
        </w:tc>
      </w:tr>
      <w:tr>
        <w:trPr>
          <w:trHeight w:val="21"/>
        </w:trPr>
        <w:tc>
          <w:tcPr>
            <w:tcW w:w="8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220"/>
          </w:cols>
          <w:pgMar w:left="320" w:top="944" w:right="359" w:bottom="1440" w:gutter="0" w:footer="0" w:header="0"/>
        </w:sect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4" w:right="359" w:bottom="1440" w:gutter="0" w:footer="0" w:header="0"/>
          <w:type w:val="continuous"/>
        </w:sectPr>
      </w:pPr>
    </w:p>
    <w:bookmarkStart w:id="6" w:name="page7"/>
    <w:bookmarkEnd w:id="6"/>
    <w:p>
      <w:pPr>
        <w:ind w:left="4520"/>
        <w:spacing w:after="0"/>
        <w:rPr>
          <w:sz w:val="20"/>
          <w:szCs w:val="20"/>
          <w:color w:val="auto"/>
        </w:rPr>
      </w:pPr>
      <w:r>
        <w:rPr>
          <w:rFonts w:ascii="Arial" w:cs="Arial" w:eastAsia="Arial" w:hAnsi="Arial"/>
          <w:sz w:val="18"/>
          <w:szCs w:val="18"/>
          <w:b w:val="1"/>
          <w:bCs w:val="1"/>
          <w:color w:val="auto"/>
        </w:rPr>
        <w:t>GRAHAM HOLDINGS COMPANY</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CONDENSED CONSOLIDATED STATEMENTS OF CHANGES IN COMMON STOCKHOLDERS’ EQUITY (UNAUDITED)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Arial" w:cs="Arial" w:eastAsia="Arial" w:hAnsi="Arial"/>
                <w:sz w:val="11"/>
                <w:szCs w:val="11"/>
                <w:color w:val="auto"/>
              </w:rPr>
              <w:t>Common</w:t>
            </w:r>
          </w:p>
        </w:tc>
        <w:tc>
          <w:tcPr>
            <w:tcW w:w="160" w:type="dxa"/>
            <w:vAlign w:val="bottom"/>
          </w:tcPr>
          <w:p>
            <w:pPr>
              <w:spacing w:after="0"/>
              <w:rPr>
                <w:sz w:val="10"/>
                <w:szCs w:val="10"/>
                <w:color w:val="auto"/>
              </w:rPr>
            </w:pPr>
          </w:p>
        </w:tc>
        <w:tc>
          <w:tcPr>
            <w:tcW w:w="720" w:type="dxa"/>
            <w:vAlign w:val="bottom"/>
          </w:tcPr>
          <w:p>
            <w:pPr>
              <w:ind w:left="40"/>
              <w:spacing w:after="0"/>
              <w:rPr>
                <w:sz w:val="20"/>
                <w:szCs w:val="20"/>
                <w:color w:val="auto"/>
              </w:rPr>
            </w:pPr>
            <w:r>
              <w:rPr>
                <w:rFonts w:ascii="Arial" w:cs="Arial" w:eastAsia="Arial" w:hAnsi="Arial"/>
                <w:sz w:val="11"/>
                <w:szCs w:val="11"/>
                <w:color w:val="auto"/>
              </w:rPr>
              <w:t>Capital in</w:t>
            </w:r>
          </w:p>
        </w:tc>
        <w:tc>
          <w:tcPr>
            <w:tcW w:w="160" w:type="dxa"/>
            <w:vAlign w:val="bottom"/>
          </w:tcPr>
          <w:p>
            <w:pPr>
              <w:spacing w:after="0"/>
              <w:rPr>
                <w:sz w:val="10"/>
                <w:szCs w:val="10"/>
                <w:color w:val="auto"/>
              </w:rPr>
            </w:pPr>
          </w:p>
        </w:tc>
        <w:tc>
          <w:tcPr>
            <w:tcW w:w="780" w:type="dxa"/>
            <w:vAlign w:val="bottom"/>
            <w:vMerge w:val="restart"/>
          </w:tcPr>
          <w:p>
            <w:pPr>
              <w:jc w:val="right"/>
              <w:ind w:right="195"/>
              <w:spacing w:after="0"/>
              <w:rPr>
                <w:sz w:val="20"/>
                <w:szCs w:val="20"/>
                <w:color w:val="auto"/>
              </w:rPr>
            </w:pPr>
            <w:r>
              <w:rPr>
                <w:rFonts w:ascii="Arial" w:cs="Arial" w:eastAsia="Arial" w:hAnsi="Arial"/>
                <w:sz w:val="11"/>
                <w:szCs w:val="11"/>
                <w:color w:val="auto"/>
              </w:rPr>
              <w:t>Retained</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Accumulated Other</w:t>
            </w:r>
          </w:p>
        </w:tc>
        <w:tc>
          <w:tcPr>
            <w:tcW w:w="180" w:type="dxa"/>
            <w:vAlign w:val="bottom"/>
          </w:tcPr>
          <w:p>
            <w:pPr>
              <w:spacing w:after="0"/>
              <w:rPr>
                <w:sz w:val="10"/>
                <w:szCs w:val="10"/>
                <w:color w:val="auto"/>
              </w:rPr>
            </w:pPr>
          </w:p>
        </w:tc>
        <w:tc>
          <w:tcPr>
            <w:tcW w:w="860" w:type="dxa"/>
            <w:vAlign w:val="bottom"/>
            <w:vMerge w:val="restart"/>
          </w:tcPr>
          <w:p>
            <w:pPr>
              <w:jc w:val="right"/>
              <w:ind w:right="256"/>
              <w:spacing w:after="0"/>
              <w:rPr>
                <w:sz w:val="20"/>
                <w:szCs w:val="20"/>
                <w:color w:val="auto"/>
              </w:rPr>
            </w:pPr>
            <w:r>
              <w:rPr>
                <w:rFonts w:ascii="Arial" w:cs="Arial" w:eastAsia="Arial" w:hAnsi="Arial"/>
                <w:sz w:val="11"/>
                <w:szCs w:val="11"/>
                <w:color w:val="auto"/>
              </w:rPr>
              <w:t>Treasury</w:t>
            </w:r>
          </w:p>
        </w:tc>
        <w:tc>
          <w:tcPr>
            <w:tcW w:w="100" w:type="dxa"/>
            <w:vAlign w:val="bottom"/>
          </w:tcPr>
          <w:p>
            <w:pPr>
              <w:spacing w:after="0"/>
              <w:rPr>
                <w:sz w:val="10"/>
                <w:szCs w:val="10"/>
                <w:color w:val="auto"/>
              </w:rPr>
            </w:pPr>
          </w:p>
        </w:tc>
        <w:tc>
          <w:tcPr>
            <w:tcW w:w="880" w:type="dxa"/>
            <w:vAlign w:val="bottom"/>
            <w:vMerge w:val="restart"/>
          </w:tcPr>
          <w:p>
            <w:pPr>
              <w:jc w:val="right"/>
              <w:ind w:right="95"/>
              <w:spacing w:after="0"/>
              <w:rPr>
                <w:sz w:val="20"/>
                <w:szCs w:val="20"/>
                <w:color w:val="auto"/>
              </w:rPr>
            </w:pPr>
            <w:r>
              <w:rPr>
                <w:rFonts w:ascii="Arial" w:cs="Arial" w:eastAsia="Arial" w:hAnsi="Arial"/>
                <w:sz w:val="11"/>
                <w:szCs w:val="11"/>
                <w:color w:val="auto"/>
                <w:w w:val="99"/>
              </w:rPr>
              <w:t>Noncontrolling</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center"/>
              <w:ind w:right="76"/>
              <w:spacing w:after="0"/>
              <w:rPr>
                <w:sz w:val="20"/>
                <w:szCs w:val="20"/>
                <w:color w:val="auto"/>
              </w:rPr>
            </w:pPr>
            <w:r>
              <w:rPr>
                <w:rFonts w:ascii="Arial" w:cs="Arial" w:eastAsia="Arial" w:hAnsi="Arial"/>
                <w:sz w:val="11"/>
                <w:szCs w:val="11"/>
                <w:color w:val="auto"/>
                <w:w w:val="96"/>
              </w:rPr>
              <w:t>Redeemable</w:t>
            </w:r>
          </w:p>
        </w:tc>
        <w:tc>
          <w:tcPr>
            <w:tcW w:w="0" w:type="dxa"/>
            <w:vAlign w:val="bottom"/>
          </w:tcPr>
          <w:p>
            <w:pPr>
              <w:spacing w:after="0"/>
              <w:rPr>
                <w:sz w:val="1"/>
                <w:szCs w:val="1"/>
                <w:color w:val="auto"/>
              </w:rPr>
            </w:pPr>
          </w:p>
        </w:tc>
      </w:tr>
      <w:tr>
        <w:trPr>
          <w:trHeight w:val="108"/>
        </w:trPr>
        <w:tc>
          <w:tcPr>
            <w:tcW w:w="3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ind w:left="40"/>
              <w:spacing w:after="0" w:line="108" w:lineRule="exact"/>
              <w:rPr>
                <w:sz w:val="20"/>
                <w:szCs w:val="20"/>
                <w:color w:val="auto"/>
              </w:rPr>
            </w:pPr>
            <w:r>
              <w:rPr>
                <w:rFonts w:ascii="Arial" w:cs="Arial" w:eastAsia="Arial" w:hAnsi="Arial"/>
                <w:sz w:val="11"/>
                <w:szCs w:val="11"/>
                <w:color w:val="auto"/>
              </w:rPr>
              <w:t>Excess of</w:t>
            </w:r>
          </w:p>
        </w:tc>
        <w:tc>
          <w:tcPr>
            <w:tcW w:w="1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jc w:val="right"/>
              <w:ind w:right="96"/>
              <w:spacing w:after="0" w:line="108" w:lineRule="exact"/>
              <w:rPr>
                <w:sz w:val="20"/>
                <w:szCs w:val="20"/>
                <w:color w:val="auto"/>
              </w:rPr>
            </w:pPr>
            <w:r>
              <w:rPr>
                <w:rFonts w:ascii="Arial" w:cs="Arial" w:eastAsia="Arial" w:hAnsi="Arial"/>
                <w:sz w:val="11"/>
                <w:szCs w:val="11"/>
                <w:color w:val="auto"/>
                <w:w w:val="98"/>
              </w:rPr>
              <w:t>Comprehensive</w:t>
            </w:r>
          </w:p>
        </w:tc>
        <w:tc>
          <w:tcPr>
            <w:tcW w:w="1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jc w:val="center"/>
              <w:ind w:right="76"/>
              <w:spacing w:after="0" w:line="108" w:lineRule="exact"/>
              <w:rPr>
                <w:sz w:val="20"/>
                <w:szCs w:val="20"/>
                <w:color w:val="auto"/>
              </w:rPr>
            </w:pPr>
            <w:r>
              <w:rPr>
                <w:rFonts w:ascii="Arial" w:cs="Arial" w:eastAsia="Arial" w:hAnsi="Arial"/>
                <w:sz w:val="11"/>
                <w:szCs w:val="11"/>
                <w:color w:val="auto"/>
                <w:w w:val="96"/>
              </w:rPr>
              <w:t>Noncontrolling</w:t>
            </w:r>
          </w:p>
        </w:tc>
        <w:tc>
          <w:tcPr>
            <w:tcW w:w="0" w:type="dxa"/>
            <w:vAlign w:val="bottom"/>
          </w:tcPr>
          <w:p>
            <w:pPr>
              <w:spacing w:after="0"/>
              <w:rPr>
                <w:sz w:val="1"/>
                <w:szCs w:val="1"/>
                <w:color w:val="auto"/>
              </w:rPr>
            </w:pPr>
          </w:p>
        </w:tc>
      </w:tr>
      <w:tr>
        <w:trPr>
          <w:trHeight w:val="155"/>
        </w:trPr>
        <w:tc>
          <w:tcPr>
            <w:tcW w:w="3460" w:type="dxa"/>
            <w:vAlign w:val="bottom"/>
          </w:tcPr>
          <w:p>
            <w:pPr>
              <w:spacing w:after="0"/>
              <w:rPr>
                <w:sz w:val="20"/>
                <w:szCs w:val="20"/>
                <w:color w:val="auto"/>
              </w:rPr>
            </w:pPr>
            <w:r>
              <w:rPr>
                <w:rFonts w:ascii="Arial" w:cs="Arial" w:eastAsia="Arial" w:hAnsi="Arial"/>
                <w:sz w:val="11"/>
                <w:szCs w:val="11"/>
                <w:color w:val="auto"/>
              </w:rPr>
              <w:t>(in thousands)</w:t>
            </w:r>
          </w:p>
        </w:tc>
        <w:tc>
          <w:tcPr>
            <w:tcW w:w="100" w:type="dxa"/>
            <w:vAlign w:val="bottom"/>
          </w:tcPr>
          <w:p>
            <w:pPr>
              <w:spacing w:after="0"/>
              <w:rPr>
                <w:sz w:val="13"/>
                <w:szCs w:val="13"/>
                <w:color w:val="auto"/>
              </w:rPr>
            </w:pPr>
          </w:p>
        </w:tc>
        <w:tc>
          <w:tcPr>
            <w:tcW w:w="600" w:type="dxa"/>
            <w:vAlign w:val="bottom"/>
          </w:tcPr>
          <w:p>
            <w:pPr>
              <w:ind w:left="120"/>
              <w:spacing w:after="0"/>
              <w:rPr>
                <w:sz w:val="20"/>
                <w:szCs w:val="20"/>
                <w:color w:val="auto"/>
              </w:rPr>
            </w:pPr>
            <w:r>
              <w:rPr>
                <w:rFonts w:ascii="Arial" w:cs="Arial" w:eastAsia="Arial" w:hAnsi="Arial"/>
                <w:sz w:val="11"/>
                <w:szCs w:val="11"/>
                <w:color w:val="auto"/>
              </w:rPr>
              <w:t>Stock</w:t>
            </w:r>
          </w:p>
        </w:tc>
        <w:tc>
          <w:tcPr>
            <w:tcW w:w="16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color w:val="auto"/>
              </w:rPr>
              <w:t>Par Value</w:t>
            </w:r>
          </w:p>
        </w:tc>
        <w:tc>
          <w:tcPr>
            <w:tcW w:w="160" w:type="dxa"/>
            <w:vAlign w:val="bottom"/>
          </w:tcPr>
          <w:p>
            <w:pPr>
              <w:spacing w:after="0"/>
              <w:rPr>
                <w:sz w:val="13"/>
                <w:szCs w:val="13"/>
                <w:color w:val="auto"/>
              </w:rPr>
            </w:pPr>
          </w:p>
        </w:tc>
        <w:tc>
          <w:tcPr>
            <w:tcW w:w="780" w:type="dxa"/>
            <w:vAlign w:val="bottom"/>
          </w:tcPr>
          <w:p>
            <w:pPr>
              <w:jc w:val="right"/>
              <w:ind w:right="195"/>
              <w:spacing w:after="0"/>
              <w:rPr>
                <w:sz w:val="20"/>
                <w:szCs w:val="20"/>
                <w:color w:val="auto"/>
              </w:rPr>
            </w:pPr>
            <w:r>
              <w:rPr>
                <w:rFonts w:ascii="Arial" w:cs="Arial" w:eastAsia="Arial" w:hAnsi="Arial"/>
                <w:sz w:val="11"/>
                <w:szCs w:val="11"/>
                <w:color w:val="auto"/>
              </w:rPr>
              <w:t>Earnings</w:t>
            </w:r>
          </w:p>
        </w:tc>
        <w:tc>
          <w:tcPr>
            <w:tcW w:w="120" w:type="dxa"/>
            <w:vAlign w:val="bottom"/>
          </w:tcPr>
          <w:p>
            <w:pPr>
              <w:spacing w:after="0"/>
              <w:rPr>
                <w:sz w:val="13"/>
                <w:szCs w:val="13"/>
                <w:color w:val="auto"/>
              </w:rPr>
            </w:pPr>
          </w:p>
        </w:tc>
        <w:tc>
          <w:tcPr>
            <w:tcW w:w="940" w:type="dxa"/>
            <w:vAlign w:val="bottom"/>
          </w:tcPr>
          <w:p>
            <w:pPr>
              <w:jc w:val="right"/>
              <w:ind w:right="296"/>
              <w:spacing w:after="0"/>
              <w:rPr>
                <w:sz w:val="20"/>
                <w:szCs w:val="20"/>
                <w:color w:val="auto"/>
              </w:rPr>
            </w:pPr>
            <w:r>
              <w:rPr>
                <w:rFonts w:ascii="Arial" w:cs="Arial" w:eastAsia="Arial" w:hAnsi="Arial"/>
                <w:sz w:val="11"/>
                <w:szCs w:val="11"/>
                <w:color w:val="auto"/>
              </w:rPr>
              <w:t>Income</w:t>
            </w:r>
          </w:p>
        </w:tc>
        <w:tc>
          <w:tcPr>
            <w:tcW w:w="180" w:type="dxa"/>
            <w:vAlign w:val="bottom"/>
          </w:tcPr>
          <w:p>
            <w:pPr>
              <w:spacing w:after="0"/>
              <w:rPr>
                <w:sz w:val="13"/>
                <w:szCs w:val="13"/>
                <w:color w:val="auto"/>
              </w:rPr>
            </w:pPr>
          </w:p>
        </w:tc>
        <w:tc>
          <w:tcPr>
            <w:tcW w:w="860" w:type="dxa"/>
            <w:vAlign w:val="bottom"/>
          </w:tcPr>
          <w:p>
            <w:pPr>
              <w:jc w:val="right"/>
              <w:ind w:right="316"/>
              <w:spacing w:after="0"/>
              <w:rPr>
                <w:sz w:val="20"/>
                <w:szCs w:val="20"/>
                <w:color w:val="auto"/>
              </w:rPr>
            </w:pPr>
            <w:r>
              <w:rPr>
                <w:rFonts w:ascii="Arial" w:cs="Arial" w:eastAsia="Arial" w:hAnsi="Arial"/>
                <w:sz w:val="11"/>
                <w:szCs w:val="11"/>
                <w:color w:val="auto"/>
              </w:rPr>
              <w:t>Stock</w:t>
            </w:r>
          </w:p>
        </w:tc>
        <w:tc>
          <w:tcPr>
            <w:tcW w:w="100" w:type="dxa"/>
            <w:vAlign w:val="bottom"/>
          </w:tcPr>
          <w:p>
            <w:pPr>
              <w:spacing w:after="0"/>
              <w:rPr>
                <w:sz w:val="13"/>
                <w:szCs w:val="13"/>
                <w:color w:val="auto"/>
              </w:rPr>
            </w:pPr>
          </w:p>
        </w:tc>
        <w:tc>
          <w:tcPr>
            <w:tcW w:w="880" w:type="dxa"/>
            <w:vAlign w:val="bottom"/>
          </w:tcPr>
          <w:p>
            <w:pPr>
              <w:jc w:val="right"/>
              <w:ind w:right="255"/>
              <w:spacing w:after="0"/>
              <w:rPr>
                <w:sz w:val="20"/>
                <w:szCs w:val="20"/>
                <w:color w:val="auto"/>
              </w:rPr>
            </w:pPr>
            <w:r>
              <w:rPr>
                <w:rFonts w:ascii="Arial" w:cs="Arial" w:eastAsia="Arial" w:hAnsi="Arial"/>
                <w:sz w:val="11"/>
                <w:szCs w:val="11"/>
                <w:color w:val="auto"/>
              </w:rPr>
              <w:t>Interest</w:t>
            </w:r>
          </w:p>
        </w:tc>
        <w:tc>
          <w:tcPr>
            <w:tcW w:w="160" w:type="dxa"/>
            <w:vAlign w:val="bottom"/>
          </w:tcPr>
          <w:p>
            <w:pPr>
              <w:spacing w:after="0"/>
              <w:rPr>
                <w:sz w:val="13"/>
                <w:szCs w:val="13"/>
                <w:color w:val="auto"/>
              </w:rPr>
            </w:pPr>
          </w:p>
        </w:tc>
        <w:tc>
          <w:tcPr>
            <w:tcW w:w="860" w:type="dxa"/>
            <w:vAlign w:val="bottom"/>
          </w:tcPr>
          <w:p>
            <w:pPr>
              <w:jc w:val="right"/>
              <w:ind w:right="193"/>
              <w:spacing w:after="0"/>
              <w:rPr>
                <w:sz w:val="20"/>
                <w:szCs w:val="20"/>
                <w:color w:val="auto"/>
              </w:rPr>
            </w:pPr>
            <w:r>
              <w:rPr>
                <w:rFonts w:ascii="Arial" w:cs="Arial" w:eastAsia="Arial" w:hAnsi="Arial"/>
                <w:sz w:val="11"/>
                <w:szCs w:val="11"/>
                <w:color w:val="auto"/>
                <w:w w:val="99"/>
              </w:rPr>
              <w:t>Total Equity</w:t>
            </w:r>
          </w:p>
        </w:tc>
        <w:tc>
          <w:tcPr>
            <w:tcW w:w="200" w:type="dxa"/>
            <w:vAlign w:val="bottom"/>
          </w:tcPr>
          <w:p>
            <w:pPr>
              <w:spacing w:after="0"/>
              <w:rPr>
                <w:sz w:val="13"/>
                <w:szCs w:val="13"/>
                <w:color w:val="auto"/>
              </w:rPr>
            </w:pPr>
          </w:p>
        </w:tc>
        <w:tc>
          <w:tcPr>
            <w:tcW w:w="900" w:type="dxa"/>
            <w:vAlign w:val="bottom"/>
          </w:tcPr>
          <w:p>
            <w:pPr>
              <w:jc w:val="center"/>
              <w:ind w:right="76"/>
              <w:spacing w:after="0"/>
              <w:rPr>
                <w:sz w:val="20"/>
                <w:szCs w:val="20"/>
                <w:color w:val="auto"/>
              </w:rPr>
            </w:pPr>
            <w:r>
              <w:rPr>
                <w:rFonts w:ascii="Arial" w:cs="Arial" w:eastAsia="Arial" w:hAnsi="Arial"/>
                <w:sz w:val="11"/>
                <w:szCs w:val="11"/>
                <w:color w:val="auto"/>
                <w:w w:val="97"/>
              </w:rPr>
              <w:t>Interest</w:t>
            </w:r>
          </w:p>
        </w:tc>
        <w:tc>
          <w:tcPr>
            <w:tcW w:w="0" w:type="dxa"/>
            <w:vAlign w:val="bottom"/>
          </w:tcPr>
          <w:p>
            <w:pPr>
              <w:spacing w:after="0"/>
              <w:rPr>
                <w:sz w:val="1"/>
                <w:szCs w:val="1"/>
                <w:color w:val="auto"/>
              </w:rPr>
            </w:pPr>
          </w:p>
        </w:tc>
      </w:tr>
      <w:tr>
        <w:trPr>
          <w:trHeight w:val="33"/>
        </w:trPr>
        <w:tc>
          <w:tcPr>
            <w:tcW w:w="3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460" w:type="dxa"/>
            <w:vAlign w:val="bottom"/>
          </w:tcPr>
          <w:p>
            <w:pPr>
              <w:spacing w:after="0"/>
              <w:rPr>
                <w:sz w:val="20"/>
                <w:szCs w:val="20"/>
                <w:color w:val="auto"/>
              </w:rPr>
            </w:pPr>
            <w:r>
              <w:rPr>
                <w:rFonts w:ascii="Arial" w:cs="Arial" w:eastAsia="Arial" w:hAnsi="Arial"/>
                <w:sz w:val="13"/>
                <w:szCs w:val="13"/>
                <w:color w:val="auto"/>
              </w:rPr>
              <w:t>As of December 31, 2023</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ind w:left="140"/>
              <w:spacing w:after="0"/>
              <w:rPr>
                <w:sz w:val="20"/>
                <w:szCs w:val="20"/>
                <w:color w:val="auto"/>
              </w:rPr>
            </w:pPr>
            <w:r>
              <w:rPr>
                <w:rFonts w:ascii="Arial" w:cs="Arial" w:eastAsia="Arial" w:hAnsi="Arial"/>
                <w:sz w:val="13"/>
                <w:szCs w:val="13"/>
                <w:color w:val="auto"/>
              </w:rPr>
              <w:t>20,000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372,040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7,337,463</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614,337</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(4,368,103)</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26,131</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4,001,868</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24,185</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Net income for the period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125,339</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125,339</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Net income attributable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(633)</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633</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460" w:type="dxa"/>
            <w:vAlign w:val="bottom"/>
          </w:tcPr>
          <w:p>
            <w:pPr>
              <w:spacing w:after="0"/>
              <w:rPr>
                <w:sz w:val="20"/>
                <w:szCs w:val="20"/>
                <w:color w:val="auto"/>
              </w:rPr>
            </w:pPr>
            <w:r>
              <w:rPr>
                <w:rFonts w:ascii="Arial" w:cs="Arial" w:eastAsia="Arial" w:hAnsi="Arial"/>
                <w:sz w:val="13"/>
                <w:szCs w:val="13"/>
                <w:color w:val="auto"/>
              </w:rPr>
              <w:t>Net income attributable to redeemable noncontrolling</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16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(326)</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(326)</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326</w:t>
            </w:r>
          </w:p>
        </w:tc>
        <w:tc>
          <w:tcPr>
            <w:tcW w:w="0" w:type="dxa"/>
            <w:vAlign w:val="bottom"/>
          </w:tcPr>
          <w:p>
            <w:pPr>
              <w:spacing w:after="0"/>
              <w:rPr>
                <w:sz w:val="1"/>
                <w:szCs w:val="1"/>
                <w:color w:val="auto"/>
              </w:rPr>
            </w:pPr>
          </w:p>
        </w:tc>
      </w:tr>
      <w:tr>
        <w:trPr>
          <w:trHeight w:val="175"/>
        </w:trPr>
        <w:tc>
          <w:tcPr>
            <w:tcW w:w="3460" w:type="dxa"/>
            <w:vAlign w:val="bottom"/>
          </w:tcPr>
          <w:p>
            <w:pPr>
              <w:spacing w:after="0"/>
              <w:rPr>
                <w:sz w:val="20"/>
                <w:szCs w:val="20"/>
                <w:color w:val="auto"/>
              </w:rPr>
            </w:pPr>
            <w:r>
              <w:rPr>
                <w:rFonts w:ascii="Arial" w:cs="Arial" w:eastAsia="Arial" w:hAnsi="Arial"/>
                <w:sz w:val="13"/>
                <w:szCs w:val="13"/>
                <w:color w:val="auto"/>
              </w:rPr>
              <w:t>Change in redemption value of redeemable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160"/>
              <w:spacing w:after="0"/>
              <w:rPr>
                <w:sz w:val="20"/>
                <w:szCs w:val="20"/>
                <w:color w:val="auto"/>
              </w:rPr>
            </w:pPr>
            <w:r>
              <w:rPr>
                <w:rFonts w:ascii="Arial" w:cs="Arial" w:eastAsia="Arial" w:hAnsi="Arial"/>
                <w:sz w:val="13"/>
                <w:szCs w:val="13"/>
                <w:color w:val="auto"/>
              </w:rPr>
              <w:t>noncontrolling 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284</w:t>
            </w: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284</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164</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Noncontrolling interest capital contribution</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200</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200</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Distributions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(256)</w:t>
            </w: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(256)</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(450)</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Dividends on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(15,352)</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(15,352)</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Repurchase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(20,227)</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(20,227)</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460" w:type="dxa"/>
            <w:vAlign w:val="bottom"/>
          </w:tcPr>
          <w:p>
            <w:pPr>
              <w:spacing w:after="0"/>
              <w:rPr>
                <w:sz w:val="20"/>
                <w:szCs w:val="20"/>
                <w:color w:val="auto"/>
              </w:rPr>
            </w:pPr>
            <w:r>
              <w:rPr>
                <w:rFonts w:ascii="Arial" w:cs="Arial" w:eastAsia="Arial" w:hAnsi="Arial"/>
                <w:sz w:val="13"/>
                <w:szCs w:val="13"/>
                <w:color w:val="auto"/>
              </w:rPr>
              <w:t>Issuance of Class B common stock, net of restricted</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160"/>
              <w:spacing w:after="0"/>
              <w:rPr>
                <w:sz w:val="20"/>
                <w:szCs w:val="20"/>
                <w:color w:val="auto"/>
              </w:rPr>
            </w:pPr>
            <w:r>
              <w:rPr>
                <w:rFonts w:ascii="Arial" w:cs="Arial" w:eastAsia="Arial" w:hAnsi="Arial"/>
                <w:sz w:val="13"/>
                <w:szCs w:val="13"/>
                <w:color w:val="auto"/>
              </w:rPr>
              <w:t>stock award forfeitures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(344)</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117</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(227)</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60" w:type="dxa"/>
            <w:vAlign w:val="bottom"/>
          </w:tcPr>
          <w:p>
            <w:pPr>
              <w:spacing w:after="0"/>
              <w:rPr>
                <w:sz w:val="20"/>
                <w:szCs w:val="20"/>
                <w:color w:val="auto"/>
              </w:rPr>
            </w:pPr>
            <w:r>
              <w:rPr>
                <w:rFonts w:ascii="Arial" w:cs="Arial" w:eastAsia="Arial" w:hAnsi="Arial"/>
                <w:sz w:val="13"/>
                <w:szCs w:val="13"/>
                <w:color w:val="auto"/>
              </w:rPr>
              <w:t>Amortization of unearned stock compensation and stock</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160"/>
              <w:spacing w:after="0"/>
              <w:rPr>
                <w:sz w:val="20"/>
                <w:szCs w:val="20"/>
                <w:color w:val="auto"/>
              </w:rPr>
            </w:pPr>
            <w:r>
              <w:rPr>
                <w:rFonts w:ascii="Arial" w:cs="Arial" w:eastAsia="Arial" w:hAnsi="Arial"/>
                <w:sz w:val="13"/>
                <w:szCs w:val="13"/>
                <w:color w:val="auto"/>
              </w:rPr>
              <w:t>option expense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1,671</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1,671</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460" w:type="dxa"/>
            <w:vAlign w:val="bottom"/>
          </w:tcPr>
          <w:p>
            <w:pPr>
              <w:spacing w:after="0"/>
              <w:rPr>
                <w:sz w:val="20"/>
                <w:szCs w:val="20"/>
                <w:color w:val="auto"/>
              </w:rPr>
            </w:pPr>
            <w:r>
              <w:rPr>
                <w:rFonts w:ascii="Arial" w:cs="Arial" w:eastAsia="Arial" w:hAnsi="Arial"/>
                <w:sz w:val="13"/>
                <w:szCs w:val="13"/>
                <w:color w:val="auto"/>
              </w:rPr>
              <w:t>Other comprehensive loss, net of income taxes</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(22,492)</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(22,492)</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60" w:type="dxa"/>
            <w:vAlign w:val="bottom"/>
          </w:tcPr>
          <w:p>
            <w:pPr>
              <w:spacing w:after="0"/>
              <w:rPr>
                <w:sz w:val="20"/>
                <w:szCs w:val="20"/>
                <w:color w:val="auto"/>
              </w:rPr>
            </w:pPr>
            <w:r>
              <w:rPr>
                <w:rFonts w:ascii="Arial" w:cs="Arial" w:eastAsia="Arial" w:hAnsi="Arial"/>
                <w:sz w:val="13"/>
                <w:szCs w:val="13"/>
                <w:b w:val="1"/>
                <w:bCs w:val="1"/>
                <w:color w:val="auto"/>
              </w:rPr>
              <w:t>As of March 31, 2024</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ind w:left="140"/>
              <w:spacing w:after="0"/>
              <w:rPr>
                <w:sz w:val="20"/>
                <w:szCs w:val="20"/>
                <w:color w:val="auto"/>
              </w:rPr>
            </w:pPr>
            <w:r>
              <w:rPr>
                <w:rFonts w:ascii="Arial" w:cs="Arial" w:eastAsia="Arial" w:hAnsi="Arial"/>
                <w:sz w:val="13"/>
                <w:szCs w:val="13"/>
                <w:b w:val="1"/>
                <w:bCs w:val="1"/>
                <w:color w:val="auto"/>
              </w:rPr>
              <w:t>20,000</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373,367</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7,446,491</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591,845</w:t>
            </w:r>
          </w:p>
        </w:tc>
        <w:tc>
          <w:tcPr>
            <w:tcW w:w="180" w:type="dxa"/>
            <w:vAlign w:val="bottom"/>
          </w:tcPr>
          <w:p>
            <w:pPr>
              <w:jc w:val="right"/>
              <w:ind w:right="33"/>
              <w:spacing w:after="0"/>
              <w:rPr>
                <w:sz w:val="20"/>
                <w:szCs w:val="20"/>
                <w:color w:val="auto"/>
              </w:rPr>
            </w:pPr>
            <w:r>
              <w:rPr>
                <w:rFonts w:ascii="Arial" w:cs="Arial" w:eastAsia="Arial" w:hAnsi="Arial"/>
                <w:sz w:val="13"/>
                <w:szCs w:val="13"/>
                <w:b w:val="1"/>
                <w:bCs w:val="1"/>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(4,388,213)</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26,992</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4,070,482</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24,225</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b w:val="1"/>
                <w:bCs w:val="1"/>
                <w:color w:val="auto"/>
              </w:rPr>
              <w:t>Net loss for the period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(18,827)</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b w:val="1"/>
                <w:bCs w:val="1"/>
                <w:color w:val="auto"/>
              </w:rPr>
              <w:t>(18,827)</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b w:val="1"/>
                <w:bCs w:val="1"/>
                <w:color w:val="auto"/>
              </w:rPr>
              <w:t>Net income attributable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(1,219)</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1,219</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460" w:type="dxa"/>
            <w:vAlign w:val="bottom"/>
          </w:tcPr>
          <w:p>
            <w:pPr>
              <w:spacing w:after="0"/>
              <w:rPr>
                <w:sz w:val="20"/>
                <w:szCs w:val="20"/>
                <w:color w:val="auto"/>
              </w:rPr>
            </w:pPr>
            <w:r>
              <w:rPr>
                <w:rFonts w:ascii="Arial" w:cs="Arial" w:eastAsia="Arial" w:hAnsi="Arial"/>
                <w:sz w:val="13"/>
                <w:szCs w:val="13"/>
                <w:b w:val="1"/>
                <w:bCs w:val="1"/>
                <w:color w:val="auto"/>
              </w:rPr>
              <w:t>Net income attributable to redeemable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(994)</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rPr>
              <w:t>(994)</w:t>
            </w: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994</w:t>
            </w:r>
          </w:p>
        </w:tc>
        <w:tc>
          <w:tcPr>
            <w:tcW w:w="0" w:type="dxa"/>
            <w:vAlign w:val="bottom"/>
          </w:tcPr>
          <w:p>
            <w:pPr>
              <w:spacing w:after="0"/>
              <w:rPr>
                <w:sz w:val="1"/>
                <w:szCs w:val="1"/>
                <w:color w:val="auto"/>
              </w:rPr>
            </w:pPr>
          </w:p>
        </w:tc>
      </w:tr>
      <w:tr>
        <w:trPr>
          <w:trHeight w:val="186"/>
        </w:trPr>
        <w:tc>
          <w:tcPr>
            <w:tcW w:w="3460" w:type="dxa"/>
            <w:vAlign w:val="bottom"/>
          </w:tcPr>
          <w:p>
            <w:pPr>
              <w:ind w:left="160"/>
              <w:spacing w:after="0"/>
              <w:rPr>
                <w:sz w:val="20"/>
                <w:szCs w:val="20"/>
                <w:color w:val="auto"/>
              </w:rPr>
            </w:pPr>
            <w:r>
              <w:rPr>
                <w:rFonts w:ascii="Arial" w:cs="Arial" w:eastAsia="Arial" w:hAnsi="Arial"/>
                <w:sz w:val="13"/>
                <w:szCs w:val="13"/>
                <w:b w:val="1"/>
                <w:bCs w:val="1"/>
                <w:color w:val="auto"/>
              </w:rPr>
              <w:t>noncontrolling interests</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460" w:type="dxa"/>
            <w:vAlign w:val="bottom"/>
          </w:tcPr>
          <w:p>
            <w:pPr>
              <w:spacing w:after="0"/>
              <w:rPr>
                <w:sz w:val="20"/>
                <w:szCs w:val="20"/>
                <w:color w:val="auto"/>
              </w:rPr>
            </w:pPr>
            <w:r>
              <w:rPr>
                <w:rFonts w:ascii="Arial" w:cs="Arial" w:eastAsia="Arial" w:hAnsi="Arial"/>
                <w:sz w:val="13"/>
                <w:szCs w:val="13"/>
                <w:b w:val="1"/>
                <w:bCs w:val="1"/>
                <w:color w:val="auto"/>
              </w:rPr>
              <w:t>Change in redemption value of redeemable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(13,342)</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331</w:t>
            </w:r>
          </w:p>
        </w:tc>
        <w:tc>
          <w:tcPr>
            <w:tcW w:w="160" w:type="dxa"/>
            <w:vAlign w:val="bottom"/>
          </w:tcPr>
          <w:p>
            <w:pPr>
              <w:spacing w:after="0"/>
              <w:rPr>
                <w:sz w:val="14"/>
                <w:szCs w:val="14"/>
                <w:color w:val="auto"/>
              </w:rPr>
            </w:pPr>
          </w:p>
        </w:tc>
        <w:tc>
          <w:tcPr>
            <w:tcW w:w="86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rPr>
              <w:t>(13,011)</w:t>
            </w: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13,350</w:t>
            </w:r>
          </w:p>
        </w:tc>
        <w:tc>
          <w:tcPr>
            <w:tcW w:w="0" w:type="dxa"/>
            <w:vAlign w:val="bottom"/>
          </w:tcPr>
          <w:p>
            <w:pPr>
              <w:spacing w:after="0"/>
              <w:rPr>
                <w:sz w:val="1"/>
                <w:szCs w:val="1"/>
                <w:color w:val="auto"/>
              </w:rPr>
            </w:pPr>
          </w:p>
        </w:tc>
      </w:tr>
      <w:tr>
        <w:trPr>
          <w:trHeight w:val="186"/>
        </w:trPr>
        <w:tc>
          <w:tcPr>
            <w:tcW w:w="3460" w:type="dxa"/>
            <w:vAlign w:val="bottom"/>
          </w:tcPr>
          <w:p>
            <w:pPr>
              <w:ind w:left="160"/>
              <w:spacing w:after="0"/>
              <w:rPr>
                <w:sz w:val="20"/>
                <w:szCs w:val="20"/>
                <w:color w:val="auto"/>
              </w:rPr>
            </w:pPr>
            <w:r>
              <w:rPr>
                <w:rFonts w:ascii="Arial" w:cs="Arial" w:eastAsia="Arial" w:hAnsi="Arial"/>
                <w:sz w:val="13"/>
                <w:szCs w:val="13"/>
                <w:b w:val="1"/>
                <w:bCs w:val="1"/>
                <w:color w:val="auto"/>
              </w:rPr>
              <w:t>noncontrolling interests</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b w:val="1"/>
                <w:bCs w:val="1"/>
                <w:color w:val="auto"/>
              </w:rPr>
              <w:t>Distributions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(1,109)</w:t>
            </w: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b w:val="1"/>
                <w:bCs w:val="1"/>
                <w:color w:val="auto"/>
              </w:rPr>
              <w:t>(1,109)</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(563)</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b w:val="1"/>
                <w:bCs w:val="1"/>
                <w:color w:val="auto"/>
              </w:rPr>
              <w:t>Dividends on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(7,574)</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b w:val="1"/>
                <w:bCs w:val="1"/>
                <w:color w:val="auto"/>
              </w:rPr>
              <w:t>(7,574)</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b w:val="1"/>
                <w:bCs w:val="1"/>
                <w:color w:val="auto"/>
              </w:rPr>
              <w:t>Repurchase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(29,780)</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b w:val="1"/>
                <w:bCs w:val="1"/>
                <w:color w:val="auto"/>
              </w:rPr>
              <w:t>(29,780)</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b w:val="1"/>
                <w:bCs w:val="1"/>
                <w:color w:val="auto"/>
              </w:rPr>
              <w:t>Issuance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(36)</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36</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460" w:type="dxa"/>
            <w:vAlign w:val="bottom"/>
          </w:tcPr>
          <w:p>
            <w:pPr>
              <w:spacing w:after="0"/>
              <w:rPr>
                <w:sz w:val="20"/>
                <w:szCs w:val="20"/>
                <w:color w:val="auto"/>
              </w:rPr>
            </w:pPr>
            <w:r>
              <w:rPr>
                <w:rFonts w:ascii="Arial" w:cs="Arial" w:eastAsia="Arial" w:hAnsi="Arial"/>
                <w:sz w:val="13"/>
                <w:szCs w:val="13"/>
                <w:b w:val="1"/>
                <w:bCs w:val="1"/>
                <w:color w:val="auto"/>
              </w:rPr>
              <w:t>Amortization of unearned stock compensation and</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1,648</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auto"/>
              </w:rPr>
              <w:t>1,648</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60" w:type="dxa"/>
            <w:vAlign w:val="bottom"/>
          </w:tcPr>
          <w:p>
            <w:pPr>
              <w:ind w:left="160"/>
              <w:spacing w:after="0"/>
              <w:rPr>
                <w:sz w:val="20"/>
                <w:szCs w:val="20"/>
                <w:color w:val="auto"/>
              </w:rPr>
            </w:pPr>
            <w:r>
              <w:rPr>
                <w:rFonts w:ascii="Arial" w:cs="Arial" w:eastAsia="Arial" w:hAnsi="Arial"/>
                <w:sz w:val="13"/>
                <w:szCs w:val="13"/>
                <w:b w:val="1"/>
                <w:bCs w:val="1"/>
                <w:color w:val="auto"/>
              </w:rPr>
              <w:t>stock option expense</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460" w:type="dxa"/>
            <w:vAlign w:val="bottom"/>
          </w:tcPr>
          <w:p>
            <w:pPr>
              <w:spacing w:after="0"/>
              <w:rPr>
                <w:sz w:val="20"/>
                <w:szCs w:val="20"/>
                <w:color w:val="auto"/>
              </w:rPr>
            </w:pPr>
            <w:r>
              <w:rPr>
                <w:rFonts w:ascii="Arial" w:cs="Arial" w:eastAsia="Arial" w:hAnsi="Arial"/>
                <w:sz w:val="13"/>
                <w:szCs w:val="13"/>
                <w:b w:val="1"/>
                <w:bCs w:val="1"/>
                <w:color w:val="auto"/>
              </w:rPr>
              <w:t>Other comprehensive loss, net of income taxes</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(5,315)</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(5,315)</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60" w:type="dxa"/>
            <w:vAlign w:val="bottom"/>
          </w:tcPr>
          <w:p>
            <w:pPr>
              <w:spacing w:after="0"/>
              <w:rPr>
                <w:sz w:val="20"/>
                <w:szCs w:val="20"/>
                <w:color w:val="auto"/>
              </w:rPr>
            </w:pPr>
            <w:r>
              <w:rPr>
                <w:rFonts w:ascii="Arial" w:cs="Arial" w:eastAsia="Arial" w:hAnsi="Arial"/>
                <w:sz w:val="13"/>
                <w:szCs w:val="13"/>
                <w:b w:val="1"/>
                <w:bCs w:val="1"/>
                <w:color w:val="auto"/>
              </w:rPr>
              <w:t>As of June 30, 2024</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20,000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361,637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7,417,877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586,530</w:t>
            </w:r>
          </w:p>
        </w:tc>
        <w:tc>
          <w:tcPr>
            <w:tcW w:w="1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(4,417,957)</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27,433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3,995,520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38,006</w:t>
            </w: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167640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44" w:right="3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26"/>
        </w:trPr>
        <w:tc>
          <w:tcPr>
            <w:tcW w:w="3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Arial" w:cs="Arial" w:eastAsia="Arial" w:hAnsi="Arial"/>
                <w:sz w:val="11"/>
                <w:szCs w:val="11"/>
                <w:color w:val="auto"/>
              </w:rPr>
              <w:t>Common</w:t>
            </w:r>
          </w:p>
        </w:tc>
        <w:tc>
          <w:tcPr>
            <w:tcW w:w="14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color w:val="auto"/>
              </w:rPr>
              <w:t>Capital in</w:t>
            </w:r>
          </w:p>
        </w:tc>
        <w:tc>
          <w:tcPr>
            <w:tcW w:w="180" w:type="dxa"/>
            <w:vAlign w:val="bottom"/>
          </w:tcPr>
          <w:p>
            <w:pPr>
              <w:spacing w:after="0"/>
              <w:rPr>
                <w:sz w:val="10"/>
                <w:szCs w:val="10"/>
                <w:color w:val="auto"/>
              </w:rPr>
            </w:pPr>
          </w:p>
        </w:tc>
        <w:tc>
          <w:tcPr>
            <w:tcW w:w="780" w:type="dxa"/>
            <w:vAlign w:val="bottom"/>
            <w:vMerge w:val="restart"/>
          </w:tcPr>
          <w:p>
            <w:pPr>
              <w:jc w:val="right"/>
              <w:ind w:right="215"/>
              <w:spacing w:after="0"/>
              <w:rPr>
                <w:sz w:val="20"/>
                <w:szCs w:val="20"/>
                <w:color w:val="auto"/>
              </w:rPr>
            </w:pPr>
            <w:r>
              <w:rPr>
                <w:rFonts w:ascii="Arial" w:cs="Arial" w:eastAsia="Arial" w:hAnsi="Arial"/>
                <w:sz w:val="11"/>
                <w:szCs w:val="11"/>
                <w:color w:val="auto"/>
              </w:rPr>
              <w:t>Retained</w:t>
            </w:r>
          </w:p>
        </w:tc>
        <w:tc>
          <w:tcPr>
            <w:tcW w:w="1060" w:type="dxa"/>
            <w:vAlign w:val="bottom"/>
            <w:gridSpan w:val="2"/>
          </w:tcPr>
          <w:p>
            <w:pPr>
              <w:jc w:val="center"/>
              <w:spacing w:after="0"/>
              <w:rPr>
                <w:sz w:val="20"/>
                <w:szCs w:val="20"/>
                <w:color w:val="auto"/>
              </w:rPr>
            </w:pPr>
            <w:r>
              <w:rPr>
                <w:rFonts w:ascii="Arial" w:cs="Arial" w:eastAsia="Arial" w:hAnsi="Arial"/>
                <w:sz w:val="11"/>
                <w:szCs w:val="11"/>
                <w:color w:val="auto"/>
                <w:w w:val="99"/>
              </w:rPr>
              <w:t>Accumulated Other</w:t>
            </w:r>
          </w:p>
        </w:tc>
        <w:tc>
          <w:tcPr>
            <w:tcW w:w="180" w:type="dxa"/>
            <w:vAlign w:val="bottom"/>
          </w:tcPr>
          <w:p>
            <w:pPr>
              <w:spacing w:after="0"/>
              <w:rPr>
                <w:sz w:val="10"/>
                <w:szCs w:val="10"/>
                <w:color w:val="auto"/>
              </w:rPr>
            </w:pPr>
          </w:p>
        </w:tc>
        <w:tc>
          <w:tcPr>
            <w:tcW w:w="840" w:type="dxa"/>
            <w:vAlign w:val="bottom"/>
            <w:vMerge w:val="restart"/>
          </w:tcPr>
          <w:p>
            <w:pPr>
              <w:jc w:val="right"/>
              <w:ind w:right="256"/>
              <w:spacing w:after="0"/>
              <w:rPr>
                <w:sz w:val="20"/>
                <w:szCs w:val="20"/>
                <w:color w:val="auto"/>
              </w:rPr>
            </w:pPr>
            <w:r>
              <w:rPr>
                <w:rFonts w:ascii="Arial" w:cs="Arial" w:eastAsia="Arial" w:hAnsi="Arial"/>
                <w:sz w:val="11"/>
                <w:szCs w:val="11"/>
                <w:color w:val="auto"/>
              </w:rPr>
              <w:t>Treasury</w:t>
            </w:r>
          </w:p>
        </w:tc>
        <w:tc>
          <w:tcPr>
            <w:tcW w:w="100" w:type="dxa"/>
            <w:vAlign w:val="bottom"/>
          </w:tcPr>
          <w:p>
            <w:pPr>
              <w:spacing w:after="0"/>
              <w:rPr>
                <w:sz w:val="10"/>
                <w:szCs w:val="10"/>
                <w:color w:val="auto"/>
              </w:rPr>
            </w:pPr>
          </w:p>
        </w:tc>
        <w:tc>
          <w:tcPr>
            <w:tcW w:w="880" w:type="dxa"/>
            <w:vAlign w:val="bottom"/>
            <w:vMerge w:val="restart"/>
          </w:tcPr>
          <w:p>
            <w:pPr>
              <w:jc w:val="right"/>
              <w:ind w:right="95"/>
              <w:spacing w:after="0"/>
              <w:rPr>
                <w:sz w:val="20"/>
                <w:szCs w:val="20"/>
                <w:color w:val="auto"/>
              </w:rPr>
            </w:pPr>
            <w:r>
              <w:rPr>
                <w:rFonts w:ascii="Arial" w:cs="Arial" w:eastAsia="Arial" w:hAnsi="Arial"/>
                <w:sz w:val="11"/>
                <w:szCs w:val="11"/>
                <w:color w:val="auto"/>
                <w:w w:val="99"/>
              </w:rPr>
              <w:t>Noncontrolling</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center"/>
              <w:ind w:right="76"/>
              <w:spacing w:after="0"/>
              <w:rPr>
                <w:sz w:val="20"/>
                <w:szCs w:val="20"/>
                <w:color w:val="auto"/>
              </w:rPr>
            </w:pPr>
            <w:r>
              <w:rPr>
                <w:rFonts w:ascii="Arial" w:cs="Arial" w:eastAsia="Arial" w:hAnsi="Arial"/>
                <w:sz w:val="11"/>
                <w:szCs w:val="11"/>
                <w:color w:val="auto"/>
                <w:w w:val="96"/>
              </w:rPr>
              <w:t>Redeemable</w:t>
            </w:r>
          </w:p>
        </w:tc>
        <w:tc>
          <w:tcPr>
            <w:tcW w:w="0" w:type="dxa"/>
            <w:vAlign w:val="bottom"/>
          </w:tcPr>
          <w:p>
            <w:pPr>
              <w:spacing w:after="0"/>
              <w:rPr>
                <w:sz w:val="1"/>
                <w:szCs w:val="1"/>
                <w:color w:val="auto"/>
              </w:rPr>
            </w:pPr>
          </w:p>
        </w:tc>
      </w:tr>
      <w:tr>
        <w:trPr>
          <w:trHeight w:val="108"/>
        </w:trPr>
        <w:tc>
          <w:tcPr>
            <w:tcW w:w="3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ind w:left="40"/>
              <w:spacing w:after="0" w:line="108" w:lineRule="exact"/>
              <w:rPr>
                <w:sz w:val="20"/>
                <w:szCs w:val="20"/>
                <w:color w:val="auto"/>
              </w:rPr>
            </w:pPr>
            <w:r>
              <w:rPr>
                <w:rFonts w:ascii="Arial" w:cs="Arial" w:eastAsia="Arial" w:hAnsi="Arial"/>
                <w:sz w:val="11"/>
                <w:szCs w:val="11"/>
                <w:color w:val="auto"/>
              </w:rPr>
              <w:t>Excess of</w:t>
            </w: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jc w:val="center"/>
              <w:ind w:right="56"/>
              <w:spacing w:after="0" w:line="108" w:lineRule="exact"/>
              <w:rPr>
                <w:sz w:val="20"/>
                <w:szCs w:val="20"/>
                <w:color w:val="auto"/>
              </w:rPr>
            </w:pPr>
            <w:r>
              <w:rPr>
                <w:rFonts w:ascii="Arial" w:cs="Arial" w:eastAsia="Arial" w:hAnsi="Arial"/>
                <w:sz w:val="11"/>
                <w:szCs w:val="11"/>
                <w:color w:val="auto"/>
                <w:w w:val="96"/>
              </w:rPr>
              <w:t>Comprehensive</w:t>
            </w:r>
          </w:p>
        </w:tc>
        <w:tc>
          <w:tcPr>
            <w:tcW w:w="1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jc w:val="center"/>
              <w:ind w:right="76"/>
              <w:spacing w:after="0" w:line="108" w:lineRule="exact"/>
              <w:rPr>
                <w:sz w:val="20"/>
                <w:szCs w:val="20"/>
                <w:color w:val="auto"/>
              </w:rPr>
            </w:pPr>
            <w:r>
              <w:rPr>
                <w:rFonts w:ascii="Arial" w:cs="Arial" w:eastAsia="Arial" w:hAnsi="Arial"/>
                <w:sz w:val="11"/>
                <w:szCs w:val="11"/>
                <w:color w:val="auto"/>
                <w:w w:val="96"/>
              </w:rPr>
              <w:t>Noncontrolling</w:t>
            </w:r>
          </w:p>
        </w:tc>
        <w:tc>
          <w:tcPr>
            <w:tcW w:w="0" w:type="dxa"/>
            <w:vAlign w:val="bottom"/>
          </w:tcPr>
          <w:p>
            <w:pPr>
              <w:spacing w:after="0"/>
              <w:rPr>
                <w:sz w:val="1"/>
                <w:szCs w:val="1"/>
                <w:color w:val="auto"/>
              </w:rPr>
            </w:pPr>
          </w:p>
        </w:tc>
      </w:tr>
      <w:tr>
        <w:trPr>
          <w:trHeight w:val="169"/>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1"/>
                <w:szCs w:val="11"/>
                <w:color w:val="auto"/>
              </w:rPr>
              <w:t>Stock</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1"/>
                <w:szCs w:val="11"/>
                <w:color w:val="auto"/>
              </w:rPr>
              <w:t>Par Value</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5"/>
              <w:spacing w:after="0"/>
              <w:rPr>
                <w:sz w:val="20"/>
                <w:szCs w:val="20"/>
                <w:color w:val="auto"/>
              </w:rPr>
            </w:pPr>
            <w:r>
              <w:rPr>
                <w:rFonts w:ascii="Arial" w:cs="Arial" w:eastAsia="Arial" w:hAnsi="Arial"/>
                <w:sz w:val="11"/>
                <w:szCs w:val="11"/>
                <w:color w:val="auto"/>
              </w:rPr>
              <w:t>Earnings</w:t>
            </w: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56"/>
              <w:spacing w:after="0"/>
              <w:rPr>
                <w:sz w:val="20"/>
                <w:szCs w:val="20"/>
                <w:color w:val="auto"/>
              </w:rPr>
            </w:pPr>
            <w:r>
              <w:rPr>
                <w:rFonts w:ascii="Arial" w:cs="Arial" w:eastAsia="Arial" w:hAnsi="Arial"/>
                <w:sz w:val="11"/>
                <w:szCs w:val="11"/>
                <w:color w:val="auto"/>
                <w:w w:val="94"/>
              </w:rPr>
              <w:t>Income</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1"/>
                <w:szCs w:val="11"/>
                <w:color w:val="auto"/>
              </w:rPr>
              <w:t>Stock</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5"/>
              <w:spacing w:after="0"/>
              <w:rPr>
                <w:sz w:val="20"/>
                <w:szCs w:val="20"/>
                <w:color w:val="auto"/>
              </w:rPr>
            </w:pPr>
            <w:r>
              <w:rPr>
                <w:rFonts w:ascii="Arial" w:cs="Arial" w:eastAsia="Arial" w:hAnsi="Arial"/>
                <w:sz w:val="11"/>
                <w:szCs w:val="11"/>
                <w:color w:val="auto"/>
              </w:rPr>
              <w:t>Interest</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1"/>
                <w:szCs w:val="11"/>
                <w:color w:val="auto"/>
                <w:w w:val="99"/>
              </w:rPr>
              <w:t>Total Equity</w:t>
            </w: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76"/>
              <w:spacing w:after="0"/>
              <w:rPr>
                <w:sz w:val="20"/>
                <w:szCs w:val="20"/>
                <w:color w:val="auto"/>
              </w:rPr>
            </w:pPr>
            <w:r>
              <w:rPr>
                <w:rFonts w:ascii="Arial" w:cs="Arial" w:eastAsia="Arial" w:hAnsi="Arial"/>
                <w:sz w:val="11"/>
                <w:szCs w:val="11"/>
                <w:color w:val="auto"/>
                <w:w w:val="97"/>
              </w:rPr>
              <w:t>Interest</w:t>
            </w:r>
          </w:p>
        </w:tc>
        <w:tc>
          <w:tcPr>
            <w:tcW w:w="0" w:type="dxa"/>
            <w:vAlign w:val="bottom"/>
          </w:tcPr>
          <w:p>
            <w:pPr>
              <w:spacing w:after="0"/>
              <w:rPr>
                <w:sz w:val="1"/>
                <w:szCs w:val="1"/>
                <w:color w:val="auto"/>
              </w:rPr>
            </w:pPr>
          </w:p>
        </w:tc>
      </w:tr>
      <w:tr>
        <w:trPr>
          <w:trHeight w:val="190"/>
        </w:trPr>
        <w:tc>
          <w:tcPr>
            <w:tcW w:w="3560" w:type="dxa"/>
            <w:vAlign w:val="bottom"/>
          </w:tcPr>
          <w:p>
            <w:pPr>
              <w:ind w:left="20"/>
              <w:spacing w:after="0"/>
              <w:rPr>
                <w:sz w:val="20"/>
                <w:szCs w:val="20"/>
                <w:color w:val="auto"/>
              </w:rPr>
            </w:pPr>
            <w:r>
              <w:rPr>
                <w:rFonts w:ascii="Arial" w:cs="Arial" w:eastAsia="Arial" w:hAnsi="Arial"/>
                <w:sz w:val="13"/>
                <w:szCs w:val="13"/>
                <w:color w:val="auto"/>
              </w:rPr>
              <w:t>As of December 31, 2022</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ind w:left="140"/>
              <w:spacing w:after="0"/>
              <w:rPr>
                <w:sz w:val="20"/>
                <w:szCs w:val="20"/>
                <w:color w:val="auto"/>
              </w:rPr>
            </w:pPr>
            <w:r>
              <w:rPr>
                <w:rFonts w:ascii="Arial" w:cs="Arial" w:eastAsia="Arial" w:hAnsi="Arial"/>
                <w:sz w:val="13"/>
                <w:szCs w:val="13"/>
                <w:color w:val="auto"/>
              </w:rPr>
              <w:t>20,000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390,438</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7,163,128</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336,151</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(4,178,334)</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21,278</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3,752,661</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21,827</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Net income for the period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52,977</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52,977</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Net Income attributable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(650)</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650</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Net income attributable to redeemable noncontrolling</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(55)</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(55)</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Change in redemption value of redeemable noncontrolling</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64</w:t>
            </w: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64</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Noncontrolling interest capital contribution</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520</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520</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Distribution to redeemable noncontrolling interest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Dividends on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(15,812)</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(15,812)</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Repurchase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(23,439)</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(23,439)</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Issuance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(4,067)</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4,494</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427</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Amortization of unearned stock compensation and stock</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option expense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1,802</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1,802</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560" w:type="dxa"/>
            <w:vAlign w:val="bottom"/>
          </w:tcPr>
          <w:p>
            <w:pPr>
              <w:ind w:left="20"/>
              <w:spacing w:after="0"/>
              <w:rPr>
                <w:sz w:val="20"/>
                <w:szCs w:val="20"/>
                <w:color w:val="auto"/>
              </w:rPr>
            </w:pPr>
            <w:r>
              <w:rPr>
                <w:rFonts w:ascii="Arial" w:cs="Arial" w:eastAsia="Arial" w:hAnsi="Arial"/>
                <w:sz w:val="13"/>
                <w:szCs w:val="13"/>
                <w:color w:val="auto"/>
              </w:rPr>
              <w:t>Other comprehensive income, net of income taxes</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585</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585</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560" w:type="dxa"/>
            <w:vAlign w:val="bottom"/>
          </w:tcPr>
          <w:p>
            <w:pPr>
              <w:ind w:left="20"/>
              <w:spacing w:after="0"/>
              <w:rPr>
                <w:sz w:val="20"/>
                <w:szCs w:val="20"/>
                <w:color w:val="auto"/>
              </w:rPr>
            </w:pPr>
            <w:r>
              <w:rPr>
                <w:rFonts w:ascii="Arial" w:cs="Arial" w:eastAsia="Arial" w:hAnsi="Arial"/>
                <w:sz w:val="13"/>
                <w:szCs w:val="13"/>
                <w:color w:val="auto"/>
              </w:rPr>
              <w:t>As of March 31, 2023</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ind w:left="140"/>
              <w:spacing w:after="0"/>
              <w:rPr>
                <w:sz w:val="20"/>
                <w:szCs w:val="20"/>
                <w:color w:val="auto"/>
              </w:rPr>
            </w:pPr>
            <w:r>
              <w:rPr>
                <w:rFonts w:ascii="Arial" w:cs="Arial" w:eastAsia="Arial" w:hAnsi="Arial"/>
                <w:sz w:val="13"/>
                <w:szCs w:val="13"/>
                <w:color w:val="auto"/>
              </w:rPr>
              <w:t>20,000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388,173</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7,199,588</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336,736</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(4,197,279)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22,512</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3,769,730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21,882</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Net income for the period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124,171</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124,171</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Net income attributable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(809)</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809</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Net income attributable to redeemable noncontrolling</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(574)</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(574)</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574</w:t>
            </w: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Change in redemption value of redeemable noncontrolling</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(4,550)</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51</w:t>
            </w:r>
          </w:p>
        </w:tc>
        <w:tc>
          <w:tcPr>
            <w:tcW w:w="1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(4,499)</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4,604</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Distributions to noncontrolling interest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(324)</w:t>
            </w: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(324)</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Dividends on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(7,722)</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(7,722)</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Repurchase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(45,643)</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(45,643)</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Forfeiture of restricted stock awards, net of Class B</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20"/>
              <w:spacing w:after="0"/>
              <w:rPr>
                <w:sz w:val="20"/>
                <w:szCs w:val="20"/>
                <w:color w:val="auto"/>
              </w:rPr>
            </w:pPr>
            <w:r>
              <w:rPr>
                <w:rFonts w:ascii="Arial" w:cs="Arial" w:eastAsia="Arial" w:hAnsi="Arial"/>
                <w:sz w:val="13"/>
                <w:szCs w:val="13"/>
                <w:color w:val="auto"/>
              </w:rPr>
              <w:t>common stock issuances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61</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(244)</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(183)</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Amortization of unearned stock compensation and stock</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option expense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1,715</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1,715</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560" w:type="dxa"/>
            <w:vAlign w:val="bottom"/>
          </w:tcPr>
          <w:p>
            <w:pPr>
              <w:ind w:left="20"/>
              <w:spacing w:after="0"/>
              <w:rPr>
                <w:sz w:val="20"/>
                <w:szCs w:val="20"/>
                <w:color w:val="auto"/>
              </w:rPr>
            </w:pPr>
            <w:r>
              <w:rPr>
                <w:rFonts w:ascii="Arial" w:cs="Arial" w:eastAsia="Arial" w:hAnsi="Arial"/>
                <w:sz w:val="13"/>
                <w:szCs w:val="13"/>
                <w:color w:val="auto"/>
              </w:rPr>
              <w:t>Other comprehensive loss, net of income taxes</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(4,146)</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(4,146)</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60" w:type="dxa"/>
            <w:vAlign w:val="bottom"/>
          </w:tcPr>
          <w:p>
            <w:pPr>
              <w:ind w:left="20"/>
              <w:spacing w:after="0"/>
              <w:rPr>
                <w:sz w:val="20"/>
                <w:szCs w:val="20"/>
                <w:color w:val="auto"/>
              </w:rPr>
            </w:pPr>
            <w:r>
              <w:rPr>
                <w:rFonts w:ascii="Arial" w:cs="Arial" w:eastAsia="Arial" w:hAnsi="Arial"/>
                <w:sz w:val="13"/>
                <w:szCs w:val="13"/>
                <w:color w:val="auto"/>
              </w:rPr>
              <w:t>As of June 30, 2023</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color w:val="auto"/>
              </w:rPr>
              <w:t>20,000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385,399</w:t>
            </w: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7,314,654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332,590</w:t>
            </w: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(4,243,166)</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23,048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3,832,525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26,999</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 w:name="page9"/>
    <w:bookmarkEnd w:id="8"/>
    <w:p>
      <w:pPr>
        <w:ind w:left="4240"/>
        <w:spacing w:after="0"/>
        <w:rPr>
          <w:sz w:val="20"/>
          <w:szCs w:val="20"/>
          <w:color w:val="auto"/>
        </w:rPr>
      </w:pPr>
      <w:r>
        <w:rPr>
          <w:rFonts w:ascii="Arial" w:cs="Arial" w:eastAsia="Arial" w:hAnsi="Arial"/>
          <w:sz w:val="18"/>
          <w:szCs w:val="18"/>
          <w:b w:val="1"/>
          <w:bCs w:val="1"/>
          <w:color w:val="auto"/>
        </w:rPr>
        <w:t>GRAHAM HOLDINGS COMPANY</w:t>
      </w:r>
    </w:p>
    <w:p>
      <w:pPr>
        <w:spacing w:after="0" w:line="158"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ind w:left="5040"/>
        <w:spacing w:after="0"/>
        <w:rPr>
          <w:sz w:val="20"/>
          <w:szCs w:val="20"/>
          <w:color w:val="auto"/>
        </w:rPr>
      </w:pPr>
      <w:r>
        <w:rPr>
          <w:rFonts w:ascii="Arial" w:cs="Arial" w:eastAsia="Arial" w:hAnsi="Arial"/>
          <w:sz w:val="18"/>
          <w:szCs w:val="18"/>
          <w:b w:val="1"/>
          <w:bCs w:val="1"/>
          <w:color w:val="auto"/>
        </w:rPr>
        <w:t>(UNAUDITED)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RECENT ACCOUNTING PRONOUNCEMENTS</w:t>
      </w:r>
    </w:p>
    <w:p>
      <w:pPr>
        <w:spacing w:after="0" w:line="158" w:lineRule="exact"/>
        <w:rPr>
          <w:sz w:val="20"/>
          <w:szCs w:val="20"/>
          <w:color w:val="auto"/>
        </w:rPr>
      </w:pPr>
    </w:p>
    <w:p>
      <w:pPr>
        <w:ind w:right="520"/>
        <w:spacing w:after="0" w:line="229" w:lineRule="auto"/>
        <w:rPr>
          <w:sz w:val="20"/>
          <w:szCs w:val="20"/>
          <w:color w:val="auto"/>
        </w:rPr>
      </w:pPr>
      <w:r>
        <w:rPr>
          <w:rFonts w:ascii="Arial" w:cs="Arial" w:eastAsia="Arial" w:hAnsi="Arial"/>
          <w:sz w:val="18"/>
          <w:szCs w:val="18"/>
          <w:color w:val="auto"/>
        </w:rPr>
        <w:t>Graham Holdings Company (the Company), is a diversified holding company whose operations include educational services, television broadcasting, manufacturing, healthcare, automotive dealerships and other businesses.</w:t>
      </w:r>
    </w:p>
    <w:p>
      <w:pPr>
        <w:spacing w:after="0" w:line="235" w:lineRule="auto"/>
        <w:rPr>
          <w:sz w:val="20"/>
          <w:szCs w:val="20"/>
          <w:color w:val="auto"/>
        </w:rPr>
      </w:pPr>
      <w:r>
        <w:rPr>
          <w:rFonts w:ascii="Arial" w:cs="Arial" w:eastAsia="Arial" w:hAnsi="Arial"/>
          <w:sz w:val="18"/>
          <w:szCs w:val="18"/>
          <w:color w:val="auto"/>
        </w:rPr>
        <w:t>Through Kaplan, Inc. (Kaplan), the Company provides a wide variety of educational services to students, schools, colleges, universities and</w:t>
      </w:r>
    </w:p>
    <w:p>
      <w:pPr>
        <w:spacing w:after="0" w:line="1" w:lineRule="exact"/>
        <w:rPr>
          <w:sz w:val="20"/>
          <w:szCs w:val="20"/>
          <w:color w:val="auto"/>
        </w:rPr>
      </w:pPr>
    </w:p>
    <w:p>
      <w:pPr>
        <w:ind w:right="440"/>
        <w:spacing w:after="0" w:line="226" w:lineRule="auto"/>
        <w:rPr>
          <w:sz w:val="20"/>
          <w:szCs w:val="20"/>
          <w:color w:val="auto"/>
        </w:rPr>
      </w:pPr>
      <w:r>
        <w:rPr>
          <w:rFonts w:ascii="Arial" w:cs="Arial" w:eastAsia="Arial" w:hAnsi="Arial"/>
          <w:sz w:val="18"/>
          <w:szCs w:val="18"/>
          <w:color w:val="auto"/>
        </w:rPr>
        <w:t>businesses, both domestically and outside the United States (U.S.), including academic preparation programs for international students, English-language programs, operations support services for pre-college, certificate, undergraduate and graduate programs, exam</w:t>
      </w:r>
    </w:p>
    <w:p>
      <w:pPr>
        <w:spacing w:after="0" w:line="2" w:lineRule="exact"/>
        <w:rPr>
          <w:sz w:val="20"/>
          <w:szCs w:val="20"/>
          <w:color w:val="auto"/>
        </w:rPr>
      </w:pPr>
    </w:p>
    <w:p>
      <w:pPr>
        <w:ind w:right="620"/>
        <w:spacing w:after="0" w:line="250" w:lineRule="auto"/>
        <w:rPr>
          <w:sz w:val="20"/>
          <w:szCs w:val="20"/>
          <w:color w:val="auto"/>
        </w:rPr>
      </w:pPr>
      <w:r>
        <w:rPr>
          <w:rFonts w:ascii="Arial" w:cs="Arial" w:eastAsia="Arial" w:hAnsi="Arial"/>
          <w:sz w:val="18"/>
          <w:szCs w:val="18"/>
          <w:color w:val="auto"/>
        </w:rPr>
        <w:t>preparation for high school and graduate students and for professional certifications and licensures, career and academic advisement services to businesses, and operates a United Kingdom (U.K.) sixth-form college that prepares students for A-level examinations.</w:t>
      </w:r>
    </w:p>
    <w:p>
      <w:pPr>
        <w:spacing w:after="0" w:line="104"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The Company’s television broadcasting segment owns and operates seven television broadcasting stations and provides social media management tools designed to connect newsrooms with their users.</w:t>
      </w:r>
    </w:p>
    <w:p>
      <w:pPr>
        <w:spacing w:after="0" w:line="100" w:lineRule="exact"/>
        <w:rPr>
          <w:sz w:val="20"/>
          <w:szCs w:val="20"/>
          <w:color w:val="auto"/>
        </w:rPr>
      </w:pPr>
    </w:p>
    <w:p>
      <w:pPr>
        <w:ind w:right="580"/>
        <w:spacing w:after="0" w:line="256" w:lineRule="auto"/>
        <w:rPr>
          <w:sz w:val="20"/>
          <w:szCs w:val="20"/>
          <w:color w:val="auto"/>
        </w:rPr>
      </w:pPr>
      <w:r>
        <w:rPr>
          <w:rFonts w:ascii="Arial" w:cs="Arial" w:eastAsia="Arial" w:hAnsi="Arial"/>
          <w:sz w:val="18"/>
          <w:szCs w:val="18"/>
          <w:color w:val="auto"/>
        </w:rPr>
        <w:t>The Company’s manufacturing companies comprise the ownership of a supplier of pressure treated wood, a manufacturer of electrical solutions, a manufacturer of lifting solutions, and a supplier of parts used in electric utilities and industrial systems.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Company’s healthcare segment provides home health, hospice and palliative services, in-home specialty pharmacy infusion therapies,</w:t>
      </w:r>
    </w:p>
    <w:p>
      <w:pPr>
        <w:spacing w:after="0" w:line="14" w:lineRule="exact"/>
        <w:rPr>
          <w:sz w:val="20"/>
          <w:szCs w:val="20"/>
          <w:color w:val="auto"/>
        </w:rPr>
      </w:pPr>
    </w:p>
    <w:p>
      <w:pPr>
        <w:ind w:right="540"/>
        <w:spacing w:after="0" w:line="237" w:lineRule="auto"/>
        <w:rPr>
          <w:sz w:val="20"/>
          <w:szCs w:val="20"/>
          <w:color w:val="auto"/>
        </w:rPr>
      </w:pPr>
      <w:r>
        <w:rPr>
          <w:rFonts w:ascii="Arial" w:cs="Arial" w:eastAsia="Arial" w:hAnsi="Arial"/>
          <w:sz w:val="18"/>
          <w:szCs w:val="18"/>
          <w:color w:val="auto"/>
        </w:rPr>
        <w:t>applied behavior analysis therapy, physician services for allergy, asthma and immunology patients, in-home aesthetics, and healthcare software-as-a-service technology.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Company’s automotive business comprises eight dealerships and valet repair services.</w:t>
      </w:r>
    </w:p>
    <w:p>
      <w:pPr>
        <w:spacing w:after="0" w:line="158"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The Company’s other businesses include an online art gallery and in-person art fair business; an online commerce platform featuring original art and designs on an array of consumer products; an owner and operator of websites; restaurants; a custom framing company; a marketing</w:t>
      </w:r>
    </w:p>
    <w:p>
      <w:pPr>
        <w:spacing w:after="0" w:line="1"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color w:val="auto"/>
        </w:rPr>
        <w:t xml:space="preserve">solutions provider; a customer data and analytics software company; </w:t>
      </w:r>
      <w:r>
        <w:rPr>
          <w:rFonts w:ascii="Arial" w:cs="Arial" w:eastAsia="Arial" w:hAnsi="Arial"/>
          <w:sz w:val="18"/>
          <w:szCs w:val="18"/>
          <w:i w:val="1"/>
          <w:iCs w:val="1"/>
          <w:color w:val="auto"/>
        </w:rPr>
        <w:t>Slate</w:t>
      </w:r>
      <w:r>
        <w:rPr>
          <w:rFonts w:ascii="Arial" w:cs="Arial" w:eastAsia="Arial" w:hAnsi="Arial"/>
          <w:sz w:val="18"/>
          <w:szCs w:val="18"/>
          <w:color w:val="auto"/>
        </w:rPr>
        <w:t xml:space="preserve"> and </w:t>
      </w:r>
      <w:r>
        <w:rPr>
          <w:rFonts w:ascii="Arial" w:cs="Arial" w:eastAsia="Arial" w:hAnsi="Arial"/>
          <w:sz w:val="18"/>
          <w:szCs w:val="18"/>
          <w:i w:val="1"/>
          <w:iCs w:val="1"/>
          <w:color w:val="auto"/>
        </w:rPr>
        <w:t>Foreign Policy</w:t>
      </w:r>
      <w:r>
        <w:rPr>
          <w:rFonts w:ascii="Arial" w:cs="Arial" w:eastAsia="Arial" w:hAnsi="Arial"/>
          <w:sz w:val="18"/>
          <w:szCs w:val="18"/>
          <w:color w:val="auto"/>
        </w:rPr>
        <w:t xml:space="preserve"> magazines; and a daily local news podcast and newsletter company.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accompanying condensed consolidated financial statements have been prepared in accordance with:</w:t>
      </w:r>
    </w:p>
    <w:p>
      <w:pPr>
        <w:spacing w:after="0" w:line="14" w:lineRule="exact"/>
        <w:rPr>
          <w:sz w:val="20"/>
          <w:szCs w:val="20"/>
          <w:color w:val="auto"/>
        </w:rPr>
      </w:pPr>
    </w:p>
    <w:p>
      <w:pPr>
        <w:ind w:right="40" w:firstLine="8"/>
        <w:spacing w:after="0" w:line="232" w:lineRule="auto"/>
        <w:tabs>
          <w:tab w:leader="none" w:pos="21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generally accepted accounting principles in the United States of America (GAAP) for interim financial information; (ii) the instructions to Form 10-Q; and (iii) the guidance of Rule 10-01 of Regulation S-X under the Securities and Exchange Act of 1934, as amended, for financial statements required to be filed with the Securities and Exchange Commission (SEC). They include the assets, liabilities, results of operations and cash flows of the Company, including its domestic and foreign subsidiaries that are more than 50% owned or otherwise controlled by the Company. As permitted under such rules, certain notes and other financial information normally required by GAAP have been condensed or omitted. Management believes the accompanying condensed consolidated financial statements reflect all normal and recurring adjustments necessary for a fair statement of the Company’s financial position, results of operations, and cash flows as of and for the periods presented herein. The Company’s results of operations for the three and six months ended June 30, 2024 and 2023 may not be indicative of the Company’s future results. These condensed consolidated financial statements are unaudited and should be read in conjunction with the Company’s audited consolidated financial statements and the notes thereto included in the Company’s Annual Report on Form 10-K for the fiscal year ended December 31, 2023.</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year-end condensed consolidated balance sheet data was derived from audited financial statements, but does not include all disclosures required by GAAP.</w:t>
      </w:r>
    </w:p>
    <w:p>
      <w:pPr>
        <w:spacing w:after="0" w:line="100"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b w:val="1"/>
          <w:bCs w:val="1"/>
          <w:color w:val="auto"/>
        </w:rPr>
        <w:t xml:space="preserve">Revision of Prior Period Amounts. </w:t>
      </w:r>
      <w:r>
        <w:rPr>
          <w:rFonts w:ascii="Arial" w:cs="Arial" w:eastAsia="Arial" w:hAnsi="Arial"/>
          <w:sz w:val="17"/>
          <w:szCs w:val="17"/>
          <w:color w:val="auto"/>
        </w:rPr>
        <w:t>In the fourth quarter of 2023, the Company identified misstatements in its previously issued Condensed</w:t>
      </w:r>
      <w:r>
        <w:rPr>
          <w:rFonts w:ascii="Arial" w:cs="Arial" w:eastAsia="Arial" w:hAnsi="Arial"/>
          <w:sz w:val="17"/>
          <w:szCs w:val="17"/>
          <w:b w:val="1"/>
          <w:bCs w:val="1"/>
          <w:color w:val="auto"/>
        </w:rPr>
        <w:t xml:space="preserve"> </w:t>
      </w:r>
      <w:r>
        <w:rPr>
          <w:rFonts w:ascii="Arial" w:cs="Arial" w:eastAsia="Arial" w:hAnsi="Arial"/>
          <w:sz w:val="17"/>
          <w:szCs w:val="17"/>
          <w:color w:val="auto"/>
        </w:rPr>
        <w:t>Consolidated Balance Sheets which had a related impact to the changes in assets and liabilities within operating cash flows. The Company</w:t>
      </w:r>
    </w:p>
    <w:p>
      <w:pPr>
        <w:spacing w:after="0" w:line="1" w:lineRule="exact"/>
        <w:rPr>
          <w:sz w:val="20"/>
          <w:szCs w:val="20"/>
          <w:color w:val="auto"/>
        </w:rPr>
      </w:pPr>
    </w:p>
    <w:p>
      <w:pPr>
        <w:ind w:right="500"/>
        <w:spacing w:after="0" w:line="237" w:lineRule="auto"/>
        <w:rPr>
          <w:sz w:val="20"/>
          <w:szCs w:val="20"/>
          <w:color w:val="auto"/>
        </w:rPr>
      </w:pPr>
      <w:r>
        <w:rPr>
          <w:rFonts w:ascii="Arial" w:cs="Arial" w:eastAsia="Arial" w:hAnsi="Arial"/>
          <w:sz w:val="18"/>
          <w:szCs w:val="18"/>
          <w:color w:val="auto"/>
        </w:rPr>
        <w:t>determined that these adjustments were not material to the previously issued financial statements, but has revised its previously issued Condensed Consolidated Statement of Cash Flows for the period ended June 30, 2023 as shown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8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rPr>
              <w:t>Six Months Ended June 30, 2023</w:t>
            </w:r>
          </w:p>
        </w:tc>
        <w:tc>
          <w:tcPr>
            <w:tcW w:w="0" w:type="dxa"/>
            <w:vAlign w:val="bottom"/>
          </w:tcPr>
          <w:p>
            <w:pPr>
              <w:spacing w:after="0"/>
              <w:rPr>
                <w:sz w:val="1"/>
                <w:szCs w:val="1"/>
                <w:color w:val="auto"/>
              </w:rPr>
            </w:pPr>
          </w:p>
        </w:tc>
      </w:tr>
      <w:tr>
        <w:trPr>
          <w:trHeight w:val="166"/>
        </w:trPr>
        <w:tc>
          <w:tcPr>
            <w:tcW w:w="70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4"/>
                <w:szCs w:val="14"/>
                <w:color w:val="auto"/>
              </w:rPr>
            </w:pPr>
          </w:p>
        </w:tc>
        <w:tc>
          <w:tcPr>
            <w:tcW w:w="1240" w:type="dxa"/>
            <w:vAlign w:val="bottom"/>
          </w:tcPr>
          <w:p>
            <w:pPr>
              <w:jc w:val="center"/>
              <w:ind w:right="124"/>
              <w:spacing w:after="0"/>
              <w:rPr>
                <w:sz w:val="20"/>
                <w:szCs w:val="20"/>
                <w:color w:val="auto"/>
              </w:rPr>
            </w:pPr>
            <w:r>
              <w:rPr>
                <w:rFonts w:ascii="Arial" w:cs="Arial" w:eastAsia="Arial" w:hAnsi="Arial"/>
                <w:sz w:val="14"/>
                <w:szCs w:val="14"/>
                <w:b w:val="1"/>
                <w:bCs w:val="1"/>
                <w:color w:val="auto"/>
              </w:rPr>
              <w:t>As Previously</w:t>
            </w:r>
          </w:p>
        </w:tc>
        <w:tc>
          <w:tcPr>
            <w:tcW w:w="220" w:type="dxa"/>
            <w:vAlign w:val="bottom"/>
          </w:tcPr>
          <w:p>
            <w:pPr>
              <w:spacing w:after="0"/>
              <w:rPr>
                <w:sz w:val="14"/>
                <w:szCs w:val="14"/>
                <w:color w:val="auto"/>
              </w:rPr>
            </w:pPr>
          </w:p>
        </w:tc>
        <w:tc>
          <w:tcPr>
            <w:tcW w:w="122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Adjustments</w:t>
            </w:r>
          </w:p>
        </w:tc>
        <w:tc>
          <w:tcPr>
            <w:tcW w:w="260" w:type="dxa"/>
            <w:vAlign w:val="bottom"/>
          </w:tcPr>
          <w:p>
            <w:pPr>
              <w:spacing w:after="0"/>
              <w:rPr>
                <w:sz w:val="14"/>
                <w:szCs w:val="14"/>
                <w:color w:val="auto"/>
              </w:rPr>
            </w:pPr>
          </w:p>
        </w:tc>
        <w:tc>
          <w:tcPr>
            <w:tcW w:w="11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97"/>
        </w:trPr>
        <w:tc>
          <w:tcPr>
            <w:tcW w:w="70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Reported</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020" w:type="dxa"/>
            <w:vAlign w:val="bottom"/>
          </w:tcPr>
          <w:p>
            <w:pPr>
              <w:ind w:left="20"/>
              <w:spacing w:after="0"/>
              <w:rPr>
                <w:sz w:val="20"/>
                <w:szCs w:val="20"/>
                <w:color w:val="auto"/>
              </w:rPr>
            </w:pPr>
            <w:r>
              <w:rPr>
                <w:rFonts w:ascii="Arial" w:cs="Arial" w:eastAsia="Arial" w:hAnsi="Arial"/>
                <w:sz w:val="16"/>
                <w:szCs w:val="16"/>
                <w:color w:val="auto"/>
              </w:rPr>
              <w:t>Change in operating assets and liabilities:</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20"/>
              <w:spacing w:after="0"/>
              <w:rPr>
                <w:sz w:val="20"/>
                <w:szCs w:val="20"/>
                <w:color w:val="auto"/>
              </w:rPr>
            </w:pPr>
            <w:r>
              <w:rPr>
                <w:rFonts w:ascii="Arial" w:cs="Arial" w:eastAsia="Arial" w:hAnsi="Arial"/>
                <w:sz w:val="16"/>
                <w:szCs w:val="16"/>
                <w:color w:val="auto"/>
              </w:rPr>
              <w:t>Accounts receivable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center"/>
              <w:ind w:left="424"/>
              <w:spacing w:after="0"/>
              <w:rPr>
                <w:sz w:val="20"/>
                <w:szCs w:val="20"/>
                <w:color w:val="auto"/>
              </w:rPr>
            </w:pPr>
            <w:r>
              <w:rPr>
                <w:rFonts w:ascii="Arial" w:cs="Arial" w:eastAsia="Arial" w:hAnsi="Arial"/>
                <w:sz w:val="16"/>
                <w:szCs w:val="16"/>
                <w:color w:val="auto"/>
              </w:rPr>
              <w:t>93,496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(10,270)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center"/>
              <w:ind w:left="421"/>
              <w:spacing w:after="0"/>
              <w:rPr>
                <w:sz w:val="20"/>
                <w:szCs w:val="20"/>
                <w:color w:val="auto"/>
              </w:rPr>
            </w:pPr>
            <w:r>
              <w:rPr>
                <w:rFonts w:ascii="Arial" w:cs="Arial" w:eastAsia="Arial" w:hAnsi="Arial"/>
                <w:sz w:val="16"/>
                <w:szCs w:val="16"/>
                <w:color w:val="auto"/>
                <w:w w:val="98"/>
              </w:rPr>
              <w:t>83,226</w:t>
            </w:r>
          </w:p>
        </w:tc>
        <w:tc>
          <w:tcPr>
            <w:tcW w:w="0" w:type="dxa"/>
            <w:vAlign w:val="bottom"/>
          </w:tcPr>
          <w:p>
            <w:pPr>
              <w:spacing w:after="0"/>
              <w:rPr>
                <w:sz w:val="1"/>
                <w:szCs w:val="1"/>
                <w:color w:val="auto"/>
              </w:rPr>
            </w:pPr>
          </w:p>
        </w:tc>
      </w:tr>
      <w:tr>
        <w:trPr>
          <w:trHeight w:val="238"/>
        </w:trPr>
        <w:tc>
          <w:tcPr>
            <w:tcW w:w="702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left="404"/>
              <w:spacing w:after="0"/>
              <w:rPr>
                <w:sz w:val="20"/>
                <w:szCs w:val="20"/>
                <w:color w:val="auto"/>
              </w:rPr>
            </w:pPr>
            <w:r>
              <w:rPr>
                <w:rFonts w:ascii="Arial" w:cs="Arial" w:eastAsia="Arial" w:hAnsi="Arial"/>
                <w:sz w:val="16"/>
                <w:szCs w:val="16"/>
                <w:color w:val="auto"/>
              </w:rPr>
              <w:t>(58,505)</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10,270</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left="401"/>
              <w:spacing w:after="0"/>
              <w:rPr>
                <w:sz w:val="20"/>
                <w:szCs w:val="20"/>
                <w:color w:val="auto"/>
              </w:rPr>
            </w:pPr>
            <w:r>
              <w:rPr>
                <w:rFonts w:ascii="Arial" w:cs="Arial" w:eastAsia="Arial" w:hAnsi="Arial"/>
                <w:sz w:val="16"/>
                <w:szCs w:val="16"/>
                <w:color w:val="auto"/>
              </w:rPr>
              <w:t>(48,235)</w:t>
            </w:r>
          </w:p>
        </w:tc>
        <w:tc>
          <w:tcPr>
            <w:tcW w:w="0" w:type="dxa"/>
            <w:vAlign w:val="bottom"/>
          </w:tcPr>
          <w:p>
            <w:pPr>
              <w:spacing w:after="0"/>
              <w:rPr>
                <w:sz w:val="1"/>
                <w:szCs w:val="1"/>
                <w:color w:val="auto"/>
              </w:rPr>
            </w:pPr>
          </w:p>
        </w:tc>
      </w:tr>
      <w:tr>
        <w:trPr>
          <w:trHeight w:val="223"/>
        </w:trPr>
        <w:tc>
          <w:tcPr>
            <w:tcW w:w="7020" w:type="dxa"/>
            <w:vAlign w:val="bottom"/>
          </w:tcPr>
          <w:p>
            <w:pPr>
              <w:ind w:left="360"/>
              <w:spacing w:after="0"/>
              <w:rPr>
                <w:sz w:val="20"/>
                <w:szCs w:val="20"/>
                <w:color w:val="auto"/>
              </w:rPr>
            </w:pPr>
            <w:r>
              <w:rPr>
                <w:rFonts w:ascii="Arial" w:cs="Arial" w:eastAsia="Arial" w:hAnsi="Arial"/>
                <w:sz w:val="16"/>
                <w:szCs w:val="16"/>
                <w:color w:val="auto"/>
              </w:rPr>
              <w:t>Net Cash Provided by Operating Activities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center"/>
              <w:ind w:left="424"/>
              <w:spacing w:after="0"/>
              <w:rPr>
                <w:sz w:val="20"/>
                <w:szCs w:val="20"/>
                <w:color w:val="auto"/>
              </w:rPr>
            </w:pPr>
            <w:r>
              <w:rPr>
                <w:rFonts w:ascii="Arial" w:cs="Arial" w:eastAsia="Arial" w:hAnsi="Arial"/>
                <w:sz w:val="16"/>
                <w:szCs w:val="16"/>
                <w:color w:val="auto"/>
              </w:rPr>
              <w:t>62,239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center"/>
              <w:ind w:left="421"/>
              <w:spacing w:after="0"/>
              <w:rPr>
                <w:sz w:val="20"/>
                <w:szCs w:val="20"/>
                <w:color w:val="auto"/>
              </w:rPr>
            </w:pPr>
            <w:r>
              <w:rPr>
                <w:rFonts w:ascii="Arial" w:cs="Arial" w:eastAsia="Arial" w:hAnsi="Arial"/>
                <w:sz w:val="16"/>
                <w:szCs w:val="16"/>
                <w:color w:val="auto"/>
                <w:w w:val="98"/>
              </w:rPr>
              <w:t>62,239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 xml:space="preserve">Use of Estimates in the Preparation of the Condensed Consolidated Financial Statements </w:t>
      </w:r>
      <w:r>
        <w:rPr>
          <w:rFonts w:ascii="Arial" w:cs="Arial" w:eastAsia="Arial" w:hAnsi="Arial"/>
          <w:sz w:val="18"/>
          <w:szCs w:val="18"/>
          <w:color w:val="auto"/>
        </w:rPr>
        <w:t>– The preparation of the condensed</w:t>
      </w:r>
    </w:p>
    <w:p>
      <w:pPr>
        <w:spacing w:after="0" w:line="14"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consolidated financial statements in conformity with GAAP requires management to make estimates and judgments that affect the amounts reported herein. Management bases its estimates and assumptions on historical experience and on various other factors that are believed to</w:t>
      </w:r>
    </w:p>
    <w:p>
      <w:pPr>
        <w:spacing w:after="0" w:line="2" w:lineRule="exact"/>
        <w:rPr>
          <w:sz w:val="20"/>
          <w:szCs w:val="20"/>
          <w:color w:val="auto"/>
        </w:rPr>
      </w:pPr>
    </w:p>
    <w:p>
      <w:pPr>
        <w:ind w:right="580"/>
        <w:spacing w:after="0" w:line="250" w:lineRule="auto"/>
        <w:rPr>
          <w:sz w:val="20"/>
          <w:szCs w:val="20"/>
          <w:color w:val="auto"/>
        </w:rPr>
      </w:pPr>
      <w:r>
        <w:rPr>
          <w:rFonts w:ascii="Arial" w:cs="Arial" w:eastAsia="Arial" w:hAnsi="Arial"/>
          <w:sz w:val="18"/>
          <w:szCs w:val="18"/>
          <w:color w:val="auto"/>
        </w:rPr>
        <w:t>be reasonable under the circumstances. Due to the inherent uncertainty involved in making estimates, actual results reported in future periods may be affected by changes in those estimates.</w:t>
      </w:r>
    </w:p>
    <w:p>
      <w:pPr>
        <w:spacing w:after="0" w:line="104"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b w:val="1"/>
          <w:bCs w:val="1"/>
          <w:color w:val="auto"/>
        </w:rPr>
        <w:t xml:space="preserve">Recently Adopted and Issued Accounting Pronouncements </w:t>
      </w:r>
      <w:r>
        <w:rPr>
          <w:rFonts w:ascii="Arial" w:cs="Arial" w:eastAsia="Arial" w:hAnsi="Arial"/>
          <w:sz w:val="18"/>
          <w:szCs w:val="18"/>
          <w:color w:val="auto"/>
        </w:rPr>
        <w:t>– In November 2023, the Financial Accounting Standards Board (FASB)</w:t>
      </w:r>
      <w:r>
        <w:rPr>
          <w:rFonts w:ascii="Arial" w:cs="Arial" w:eastAsia="Arial" w:hAnsi="Arial"/>
          <w:sz w:val="18"/>
          <w:szCs w:val="18"/>
          <w:b w:val="1"/>
          <w:bCs w:val="1"/>
          <w:color w:val="auto"/>
        </w:rPr>
        <w:t xml:space="preserve"> </w:t>
      </w:r>
      <w:r>
        <w:rPr>
          <w:rFonts w:ascii="Arial" w:cs="Arial" w:eastAsia="Arial" w:hAnsi="Arial"/>
          <w:sz w:val="18"/>
          <w:szCs w:val="18"/>
          <w:color w:val="auto"/>
        </w:rPr>
        <w:t>issued new guidance that requires enhanced disclosures related to reportable segments that includes, among other disclosures, identifying</w:t>
      </w:r>
    </w:p>
    <w:p>
      <w:pPr>
        <w:ind w:right="140"/>
        <w:spacing w:after="0"/>
        <w:rPr>
          <w:sz w:val="20"/>
          <w:szCs w:val="20"/>
          <w:color w:val="auto"/>
        </w:rPr>
      </w:pPr>
      <w:r>
        <w:rPr>
          <w:rFonts w:ascii="Arial" w:cs="Arial" w:eastAsia="Arial" w:hAnsi="Arial"/>
          <w:sz w:val="17"/>
          <w:szCs w:val="17"/>
          <w:color w:val="auto"/>
        </w:rPr>
        <w:t>significant segment expenses on an annual and interim basis. The guidance is effective for fiscal years beginning after December 15, 2023, and interim periods within fiscal years beginning after December 15, 2024. Early adoption is permitted and the guidance must be applied</w:t>
      </w:r>
    </w:p>
    <w:p>
      <w:pPr>
        <w:spacing w:after="0" w:line="1"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retrospectively to all prior periods presented in the financial statements. The Company is in the process of evaluating the impact of this new guidance on the disclosures within its Condensed Consolidated Financial Statements.</w:t>
      </w:r>
    </w:p>
    <w:p>
      <w:pPr>
        <w:spacing w:after="0" w:line="104" w:lineRule="exact"/>
        <w:rPr>
          <w:sz w:val="20"/>
          <w:szCs w:val="20"/>
          <w:color w:val="auto"/>
        </w:rPr>
      </w:pPr>
    </w:p>
    <w:p>
      <w:pPr>
        <w:ind w:right="320"/>
        <w:spacing w:after="0" w:line="245" w:lineRule="auto"/>
        <w:rPr>
          <w:sz w:val="20"/>
          <w:szCs w:val="20"/>
          <w:color w:val="auto"/>
        </w:rPr>
      </w:pPr>
      <w:r>
        <w:rPr>
          <w:rFonts w:ascii="Arial" w:cs="Arial" w:eastAsia="Arial" w:hAnsi="Arial"/>
          <w:sz w:val="18"/>
          <w:szCs w:val="18"/>
          <w:color w:val="auto"/>
        </w:rPr>
        <w:t>In December 2023, the FASB issued new guidance that requires enhanced income tax disclosures related to the rate reconciliation, information on income taxes paid and other items. The guidance is effective for annual periods beginning after December 15, 2024. Early</w:t>
      </w:r>
    </w:p>
    <w:p>
      <w:pPr>
        <w:ind w:right="80"/>
        <w:spacing w:after="0" w:line="237" w:lineRule="auto"/>
        <w:rPr>
          <w:sz w:val="20"/>
          <w:szCs w:val="20"/>
          <w:color w:val="auto"/>
        </w:rPr>
      </w:pPr>
      <w:r>
        <w:rPr>
          <w:rFonts w:ascii="Arial" w:cs="Arial" w:eastAsia="Arial" w:hAnsi="Arial"/>
          <w:sz w:val="18"/>
          <w:szCs w:val="18"/>
          <w:color w:val="auto"/>
        </w:rPr>
        <w:t>adoption is permitted. The standard permits both prospective and retrospective application. The Company is in the process of evaluating the impact of this new guidance on the disclosures within its Condensed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AND DISPOSITIONS OF BUSINESSES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r>
        <w:rPr>
          <w:rFonts w:ascii="Arial" w:cs="Arial" w:eastAsia="Arial" w:hAnsi="Arial"/>
          <w:sz w:val="18"/>
          <w:szCs w:val="18"/>
          <w:color w:val="auto"/>
        </w:rPr>
        <w:t>. In May 2024, Kaplan acquired one small business which is included in its international division.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 January 2024, the Company acquired one small business which is included in other businesses.</w:t>
      </w:r>
    </w:p>
    <w:p>
      <w:pPr>
        <w:spacing w:after="0" w:line="15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During 2023, the Company acquired five businesses: three in healthcare, one in automotive, and one in other businesses for $83.3 million in cash and contingent consideration and the assumption of floor plan payables. The assets and liabilities of the companies acquired were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recorded at their estimated fair values at the date of acquisition.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 January 2023, Graham Healthcare Group (GHG) acquired two small businesses which are included in healthcare.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 July 2023, the Company acquired one small business which is included in other businesses.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2023, the Company’s automotive subsidiary acquired a Toyota automotive dealership, including the real property for the</w:t>
      </w:r>
    </w:p>
    <w:p>
      <w:pPr>
        <w:spacing w:after="0" w:line="14" w:lineRule="exact"/>
        <w:rPr>
          <w:sz w:val="20"/>
          <w:szCs w:val="20"/>
          <w:color w:val="auto"/>
        </w:rPr>
      </w:pPr>
    </w:p>
    <w:p>
      <w:pPr>
        <w:ind w:right="360"/>
        <w:spacing w:after="0" w:line="226" w:lineRule="auto"/>
        <w:rPr>
          <w:sz w:val="20"/>
          <w:szCs w:val="20"/>
          <w:color w:val="auto"/>
        </w:rPr>
      </w:pPr>
      <w:r>
        <w:rPr>
          <w:rFonts w:ascii="Arial" w:cs="Arial" w:eastAsia="Arial" w:hAnsi="Arial"/>
          <w:sz w:val="18"/>
          <w:szCs w:val="18"/>
          <w:color w:val="auto"/>
        </w:rPr>
        <w:t>dealership operations. In addition to a cash payment and the assumption of $2.2 million in floor plan payables, the automotive subsidiary borrowed $37.0 million to finance the acquisition. The dealership is operated and managed by an entity affiliated with Christopher J.</w:t>
      </w:r>
    </w:p>
    <w:p>
      <w:pPr>
        <w:spacing w:after="0" w:line="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Ourisman, a member of the Ourisman Automotive Group family of dealerships. This acquisition expands the Company’s automotive business operations and is included in automotive.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December 2023, GHG acquired one small business which is included in healthcare.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0" w:name="page11"/>
    <w:bookmarkEnd w:id="10"/>
    <w:p>
      <w:pPr>
        <w:ind w:right="80"/>
        <w:spacing w:after="0" w:line="271" w:lineRule="auto"/>
        <w:rPr>
          <w:sz w:val="20"/>
          <w:szCs w:val="20"/>
          <w:color w:val="auto"/>
        </w:rPr>
      </w:pPr>
      <w:r>
        <w:rPr>
          <w:rFonts w:ascii="Arial" w:cs="Arial" w:eastAsia="Arial" w:hAnsi="Arial"/>
          <w:sz w:val="18"/>
          <w:szCs w:val="18"/>
          <w:color w:val="auto"/>
        </w:rPr>
        <w:t>Acquisition-related costs for acquisitions that closed during the first six months of 2024 and 2023 were expensed as incurred. The aggregate purchase price of the 2023 acquisitions was allocated as follows, based on acquisition date fair values to the following assets and liabilities: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Purchase Price Allocation</w:t>
            </w:r>
          </w:p>
        </w:tc>
      </w:tr>
      <w:tr>
        <w:trPr>
          <w:trHeight w:val="201"/>
        </w:trPr>
        <w:tc>
          <w:tcPr>
            <w:tcW w:w="8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tcPr>
          <w:p>
            <w:pPr>
              <w:jc w:val="center"/>
              <w:ind w:right="121"/>
              <w:spacing w:after="0"/>
              <w:rPr>
                <w:sz w:val="20"/>
                <w:szCs w:val="20"/>
                <w:color w:val="auto"/>
              </w:rPr>
            </w:pPr>
            <w:r>
              <w:rPr>
                <w:rFonts w:ascii="Arial" w:cs="Arial" w:eastAsia="Arial" w:hAnsi="Arial"/>
                <w:sz w:val="14"/>
                <w:szCs w:val="14"/>
                <w:b w:val="1"/>
                <w:bCs w:val="1"/>
                <w:color w:val="auto"/>
              </w:rPr>
              <w:t>Year Ended</w:t>
            </w:r>
          </w:p>
        </w:tc>
      </w:tr>
      <w:tr>
        <w:trPr>
          <w:trHeight w:val="225"/>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December 31, 2023</w:t>
            </w:r>
          </w:p>
        </w:tc>
      </w:tr>
      <w:tr>
        <w:trPr>
          <w:trHeight w:val="215"/>
        </w:trPr>
        <w:tc>
          <w:tcPr>
            <w:tcW w:w="886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2180" w:type="dxa"/>
            <w:vAlign w:val="bottom"/>
          </w:tcPr>
          <w:p>
            <w:pPr>
              <w:jc w:val="right"/>
              <w:ind w:right="1"/>
              <w:spacing w:after="0"/>
              <w:rPr>
                <w:sz w:val="20"/>
                <w:szCs w:val="20"/>
                <w:color w:val="auto"/>
              </w:rPr>
            </w:pPr>
            <w:r>
              <w:rPr>
                <w:rFonts w:ascii="Arial" w:cs="Arial" w:eastAsia="Arial" w:hAnsi="Arial"/>
                <w:sz w:val="16"/>
                <w:szCs w:val="16"/>
                <w:color w:val="auto"/>
              </w:rPr>
              <w:t>68</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Inventory</w:t>
            </w:r>
          </w:p>
        </w:tc>
        <w:tc>
          <w:tcPr>
            <w:tcW w:w="200" w:type="dxa"/>
            <w:vAlign w:val="bottom"/>
          </w:tcPr>
          <w:p>
            <w:pPr>
              <w:spacing w:after="0"/>
              <w:rPr>
                <w:sz w:val="19"/>
                <w:szCs w:val="19"/>
                <w:color w:val="auto"/>
              </w:rPr>
            </w:pPr>
          </w:p>
        </w:tc>
        <w:tc>
          <w:tcPr>
            <w:tcW w:w="2180" w:type="dxa"/>
            <w:vAlign w:val="bottom"/>
          </w:tcPr>
          <w:p>
            <w:pPr>
              <w:jc w:val="right"/>
              <w:ind w:right="1"/>
              <w:spacing w:after="0"/>
              <w:rPr>
                <w:sz w:val="20"/>
                <w:szCs w:val="20"/>
                <w:color w:val="auto"/>
              </w:rPr>
            </w:pPr>
            <w:r>
              <w:rPr>
                <w:rFonts w:ascii="Arial" w:cs="Arial" w:eastAsia="Arial" w:hAnsi="Arial"/>
                <w:sz w:val="16"/>
                <w:szCs w:val="16"/>
                <w:color w:val="auto"/>
              </w:rPr>
              <w:t>5,224</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200" w:type="dxa"/>
            <w:vAlign w:val="bottom"/>
          </w:tcPr>
          <w:p>
            <w:pPr>
              <w:spacing w:after="0"/>
              <w:rPr>
                <w:sz w:val="19"/>
                <w:szCs w:val="19"/>
                <w:color w:val="auto"/>
              </w:rPr>
            </w:pPr>
          </w:p>
        </w:tc>
        <w:tc>
          <w:tcPr>
            <w:tcW w:w="2180" w:type="dxa"/>
            <w:vAlign w:val="bottom"/>
          </w:tcPr>
          <w:p>
            <w:pPr>
              <w:jc w:val="right"/>
              <w:ind w:right="1"/>
              <w:spacing w:after="0"/>
              <w:rPr>
                <w:sz w:val="20"/>
                <w:szCs w:val="20"/>
                <w:color w:val="auto"/>
              </w:rPr>
            </w:pPr>
            <w:r>
              <w:rPr>
                <w:rFonts w:ascii="Arial" w:cs="Arial" w:eastAsia="Arial" w:hAnsi="Arial"/>
                <w:sz w:val="16"/>
                <w:szCs w:val="16"/>
                <w:color w:val="auto"/>
              </w:rPr>
              <w:t>29,859</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9"/>
                <w:szCs w:val="19"/>
                <w:color w:val="auto"/>
              </w:rPr>
            </w:pPr>
          </w:p>
        </w:tc>
        <w:tc>
          <w:tcPr>
            <w:tcW w:w="2180" w:type="dxa"/>
            <w:vAlign w:val="bottom"/>
          </w:tcPr>
          <w:p>
            <w:pPr>
              <w:jc w:val="right"/>
              <w:ind w:right="1"/>
              <w:spacing w:after="0"/>
              <w:rPr>
                <w:sz w:val="20"/>
                <w:szCs w:val="20"/>
                <w:color w:val="auto"/>
              </w:rPr>
            </w:pPr>
            <w:r>
              <w:rPr>
                <w:rFonts w:ascii="Arial" w:cs="Arial" w:eastAsia="Arial" w:hAnsi="Arial"/>
                <w:sz w:val="16"/>
                <w:szCs w:val="16"/>
                <w:color w:val="auto"/>
              </w:rPr>
              <w:t>45,968</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Indefinite-lived intangible assets</w:t>
            </w:r>
          </w:p>
        </w:tc>
        <w:tc>
          <w:tcPr>
            <w:tcW w:w="200" w:type="dxa"/>
            <w:vAlign w:val="bottom"/>
          </w:tcPr>
          <w:p>
            <w:pPr>
              <w:spacing w:after="0"/>
              <w:rPr>
                <w:sz w:val="19"/>
                <w:szCs w:val="19"/>
                <w:color w:val="auto"/>
              </w:rPr>
            </w:pPr>
          </w:p>
        </w:tc>
        <w:tc>
          <w:tcPr>
            <w:tcW w:w="2180" w:type="dxa"/>
            <w:vAlign w:val="bottom"/>
          </w:tcPr>
          <w:p>
            <w:pPr>
              <w:jc w:val="right"/>
              <w:ind w:right="1"/>
              <w:spacing w:after="0"/>
              <w:rPr>
                <w:sz w:val="20"/>
                <w:szCs w:val="20"/>
                <w:color w:val="auto"/>
              </w:rPr>
            </w:pPr>
            <w:r>
              <w:rPr>
                <w:rFonts w:ascii="Arial" w:cs="Arial" w:eastAsia="Arial" w:hAnsi="Arial"/>
                <w:sz w:val="16"/>
                <w:szCs w:val="16"/>
                <w:color w:val="auto"/>
              </w:rPr>
              <w:t>6,300</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Amortized intangible assets</w:t>
            </w:r>
          </w:p>
        </w:tc>
        <w:tc>
          <w:tcPr>
            <w:tcW w:w="200" w:type="dxa"/>
            <w:vAlign w:val="bottom"/>
          </w:tcPr>
          <w:p>
            <w:pPr>
              <w:spacing w:after="0"/>
              <w:rPr>
                <w:sz w:val="19"/>
                <w:szCs w:val="19"/>
                <w:color w:val="auto"/>
              </w:rPr>
            </w:pPr>
          </w:p>
        </w:tc>
        <w:tc>
          <w:tcPr>
            <w:tcW w:w="2180" w:type="dxa"/>
            <w:vAlign w:val="bottom"/>
          </w:tcPr>
          <w:p>
            <w:pPr>
              <w:jc w:val="right"/>
              <w:ind w:right="1"/>
              <w:spacing w:after="0"/>
              <w:rPr>
                <w:sz w:val="20"/>
                <w:szCs w:val="20"/>
                <w:color w:val="auto"/>
              </w:rPr>
            </w:pPr>
            <w:r>
              <w:rPr>
                <w:rFonts w:ascii="Arial" w:cs="Arial" w:eastAsia="Arial" w:hAnsi="Arial"/>
                <w:sz w:val="16"/>
                <w:szCs w:val="16"/>
                <w:color w:val="auto"/>
              </w:rPr>
              <w:t>235</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19"/>
                <w:szCs w:val="19"/>
                <w:color w:val="auto"/>
              </w:rPr>
            </w:pPr>
          </w:p>
        </w:tc>
        <w:tc>
          <w:tcPr>
            <w:tcW w:w="2180" w:type="dxa"/>
            <w:vAlign w:val="bottom"/>
          </w:tcPr>
          <w:p>
            <w:pPr>
              <w:jc w:val="right"/>
              <w:ind w:right="1"/>
              <w:spacing w:after="0"/>
              <w:rPr>
                <w:sz w:val="20"/>
                <w:szCs w:val="20"/>
                <w:color w:val="auto"/>
              </w:rPr>
            </w:pPr>
            <w:r>
              <w:rPr>
                <w:rFonts w:ascii="Arial" w:cs="Arial" w:eastAsia="Arial" w:hAnsi="Arial"/>
                <w:sz w:val="16"/>
                <w:szCs w:val="16"/>
                <w:color w:val="auto"/>
              </w:rPr>
              <w:t>4</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Floor plan payables</w:t>
            </w:r>
          </w:p>
        </w:tc>
        <w:tc>
          <w:tcPr>
            <w:tcW w:w="2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(2,215)</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2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(935)</w:t>
            </w:r>
          </w:p>
        </w:tc>
      </w:tr>
      <w:tr>
        <w:trPr>
          <w:trHeight w:val="239"/>
        </w:trPr>
        <w:tc>
          <w:tcPr>
            <w:tcW w:w="8860" w:type="dxa"/>
            <w:vAlign w:val="bottom"/>
          </w:tcPr>
          <w:p>
            <w:pPr>
              <w:ind w:left="20"/>
              <w:spacing w:after="0"/>
              <w:rPr>
                <w:sz w:val="20"/>
                <w:szCs w:val="20"/>
                <w:color w:val="auto"/>
              </w:rPr>
            </w:pPr>
            <w:r>
              <w:rPr>
                <w:rFonts w:ascii="Arial" w:cs="Arial" w:eastAsia="Arial" w:hAnsi="Arial"/>
                <w:sz w:val="16"/>
                <w:szCs w:val="16"/>
                <w:color w:val="auto"/>
              </w:rPr>
              <w:t>Current and noncurrent lease liabilities</w:t>
            </w:r>
          </w:p>
        </w:tc>
        <w:tc>
          <w:tcPr>
            <w:tcW w:w="2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(1,184)</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Aggregate purchase price, net of cash acquired</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2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83,324</w:t>
            </w:r>
          </w:p>
        </w:tc>
      </w:tr>
      <w:tr>
        <w:trPr>
          <w:trHeight w:val="21"/>
        </w:trPr>
        <w:tc>
          <w:tcPr>
            <w:tcW w:w="8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Goodwill is calculated as the excess of the consideration transferred over the net assets recognized and represents the estimated future</w:t>
      </w:r>
    </w:p>
    <w:p>
      <w:pPr>
        <w:spacing w:after="0" w:line="14" w:lineRule="exact"/>
        <w:rPr>
          <w:sz w:val="20"/>
          <w:szCs w:val="20"/>
          <w:color w:val="auto"/>
        </w:rPr>
      </w:pPr>
    </w:p>
    <w:p>
      <w:pPr>
        <w:ind w:right="500"/>
        <w:spacing w:after="0" w:line="226" w:lineRule="auto"/>
        <w:rPr>
          <w:sz w:val="20"/>
          <w:szCs w:val="20"/>
          <w:color w:val="auto"/>
        </w:rPr>
      </w:pPr>
      <w:r>
        <w:rPr>
          <w:rFonts w:ascii="Arial" w:cs="Arial" w:eastAsia="Arial" w:hAnsi="Arial"/>
          <w:sz w:val="18"/>
          <w:szCs w:val="18"/>
          <w:color w:val="auto"/>
        </w:rPr>
        <w:t>economic benefits arising from other assets acquired that could not be individually identified and separately recognized. The goodwill recorded due to these acquisitions is attributable to the assembled workforces of the acquired companies and expected synergies.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Company expects to deduct $45.0 million of goodwill for income tax purposes for the acquisitions completed in 2023.</w:t>
      </w:r>
    </w:p>
    <w:p>
      <w:pPr>
        <w:spacing w:after="0" w:line="140" w:lineRule="exact"/>
        <w:rPr>
          <w:sz w:val="20"/>
          <w:szCs w:val="20"/>
          <w:color w:val="auto"/>
        </w:rPr>
      </w:pPr>
    </w:p>
    <w:p>
      <w:pPr>
        <w:ind w:right="580"/>
        <w:spacing w:after="0" w:line="256" w:lineRule="auto"/>
        <w:rPr>
          <w:sz w:val="20"/>
          <w:szCs w:val="20"/>
          <w:color w:val="auto"/>
        </w:rPr>
      </w:pPr>
      <w:r>
        <w:rPr>
          <w:rFonts w:ascii="Arial" w:cs="Arial" w:eastAsia="Arial" w:hAnsi="Arial"/>
          <w:sz w:val="18"/>
          <w:szCs w:val="18"/>
          <w:color w:val="auto"/>
        </w:rPr>
        <w:t>The acquired companies were consolidated into the Company’s financial statements starting on their respective acquisition dates. The following unaudited pro forma financial information includes the 2023 acquisitions as if they occurred at the beginning of 2022: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tcPr>
          <w:p>
            <w:pPr>
              <w:jc w:val="right"/>
              <w:ind w:right="344"/>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740" w:type="dxa"/>
            <w:vAlign w:val="bottom"/>
          </w:tcPr>
          <w:p>
            <w:pPr>
              <w:jc w:val="right"/>
              <w:ind w:right="344"/>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70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744"/>
              <w:spacing w:after="0"/>
              <w:rPr>
                <w:sz w:val="20"/>
                <w:szCs w:val="20"/>
                <w:color w:val="auto"/>
              </w:rPr>
            </w:pPr>
            <w:r>
              <w:rPr>
                <w:rFonts w:ascii="Arial" w:cs="Arial" w:eastAsia="Arial" w:hAnsi="Arial"/>
                <w:sz w:val="14"/>
                <w:szCs w:val="14"/>
                <w:b w:val="1"/>
                <w:bCs w:val="1"/>
                <w:color w:val="auto"/>
              </w:rPr>
              <w:t>June 30</w:t>
            </w:r>
          </w:p>
        </w:tc>
        <w:tc>
          <w:tcPr>
            <w:tcW w:w="3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664"/>
              <w:spacing w:after="0"/>
              <w:rPr>
                <w:sz w:val="20"/>
                <w:szCs w:val="20"/>
                <w:color w:val="auto"/>
              </w:rPr>
            </w:pPr>
            <w:r>
              <w:rPr>
                <w:rFonts w:ascii="Arial" w:cs="Arial" w:eastAsia="Arial" w:hAnsi="Arial"/>
                <w:sz w:val="14"/>
                <w:szCs w:val="14"/>
                <w:b w:val="1"/>
                <w:bCs w:val="1"/>
                <w:color w:val="auto"/>
              </w:rPr>
              <w:t>June 30</w:t>
            </w:r>
          </w:p>
        </w:tc>
      </w:tr>
      <w:tr>
        <w:trPr>
          <w:trHeight w:val="190"/>
        </w:trPr>
        <w:tc>
          <w:tcPr>
            <w:tcW w:w="70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6"/>
                <w:szCs w:val="16"/>
                <w:color w:val="auto"/>
              </w:rPr>
            </w:pPr>
          </w:p>
        </w:tc>
        <w:tc>
          <w:tcPr>
            <w:tcW w:w="1880" w:type="dxa"/>
            <w:vAlign w:val="bottom"/>
          </w:tcPr>
          <w:p>
            <w:pPr>
              <w:jc w:val="right"/>
              <w:ind w:right="824"/>
              <w:spacing w:after="0"/>
              <w:rPr>
                <w:sz w:val="20"/>
                <w:szCs w:val="20"/>
                <w:color w:val="auto"/>
              </w:rPr>
            </w:pPr>
            <w:r>
              <w:rPr>
                <w:rFonts w:ascii="Arial" w:cs="Arial" w:eastAsia="Arial" w:hAnsi="Arial"/>
                <w:sz w:val="14"/>
                <w:szCs w:val="14"/>
                <w:color w:val="auto"/>
              </w:rPr>
              <w:t>2023</w:t>
            </w:r>
          </w:p>
        </w:tc>
        <w:tc>
          <w:tcPr>
            <w:tcW w:w="320" w:type="dxa"/>
            <w:vAlign w:val="bottom"/>
          </w:tcPr>
          <w:p>
            <w:pPr>
              <w:spacing w:after="0"/>
              <w:rPr>
                <w:sz w:val="16"/>
                <w:szCs w:val="16"/>
                <w:color w:val="auto"/>
              </w:rPr>
            </w:pPr>
          </w:p>
        </w:tc>
        <w:tc>
          <w:tcPr>
            <w:tcW w:w="1740" w:type="dxa"/>
            <w:vAlign w:val="bottom"/>
          </w:tcPr>
          <w:p>
            <w:pPr>
              <w:jc w:val="right"/>
              <w:ind w:right="724"/>
              <w:spacing w:after="0"/>
              <w:rPr>
                <w:sz w:val="20"/>
                <w:szCs w:val="20"/>
                <w:color w:val="auto"/>
              </w:rPr>
            </w:pPr>
            <w:r>
              <w:rPr>
                <w:rFonts w:ascii="Arial" w:cs="Arial" w:eastAsia="Arial" w:hAnsi="Arial"/>
                <w:sz w:val="14"/>
                <w:szCs w:val="14"/>
                <w:color w:val="auto"/>
              </w:rPr>
              <w:t>2023</w:t>
            </w:r>
          </w:p>
        </w:tc>
      </w:tr>
      <w:tr>
        <w:trPr>
          <w:trHeight w:val="22"/>
        </w:trPr>
        <w:tc>
          <w:tcPr>
            <w:tcW w:w="7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08"/>
        </w:trPr>
        <w:tc>
          <w:tcPr>
            <w:tcW w:w="706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84"/>
              <w:spacing w:after="0"/>
              <w:rPr>
                <w:sz w:val="20"/>
                <w:szCs w:val="20"/>
                <w:color w:val="auto"/>
              </w:rPr>
            </w:pPr>
            <w:r>
              <w:rPr>
                <w:rFonts w:ascii="Arial" w:cs="Arial" w:eastAsia="Arial" w:hAnsi="Arial"/>
                <w:sz w:val="16"/>
                <w:szCs w:val="16"/>
                <w:color w:val="auto"/>
              </w:rPr>
              <w:t>1,142,752</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4"/>
              <w:spacing w:after="0"/>
              <w:rPr>
                <w:sz w:val="20"/>
                <w:szCs w:val="20"/>
                <w:color w:val="auto"/>
              </w:rPr>
            </w:pPr>
            <w:r>
              <w:rPr>
                <w:rFonts w:ascii="Arial" w:cs="Arial" w:eastAsia="Arial" w:hAnsi="Arial"/>
                <w:sz w:val="16"/>
                <w:szCs w:val="16"/>
                <w:color w:val="auto"/>
              </w:rPr>
              <w:t>2,212,051</w:t>
            </w:r>
          </w:p>
        </w:tc>
      </w:tr>
      <w:tr>
        <w:trPr>
          <w:trHeight w:val="229"/>
        </w:trPr>
        <w:tc>
          <w:tcPr>
            <w:tcW w:w="70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19"/>
                <w:szCs w:val="19"/>
                <w:color w:val="auto"/>
              </w:rPr>
            </w:pPr>
          </w:p>
        </w:tc>
        <w:tc>
          <w:tcPr>
            <w:tcW w:w="1880" w:type="dxa"/>
            <w:vAlign w:val="bottom"/>
          </w:tcPr>
          <w:p>
            <w:pPr>
              <w:jc w:val="right"/>
              <w:ind w:right="84"/>
              <w:spacing w:after="0"/>
              <w:rPr>
                <w:sz w:val="20"/>
                <w:szCs w:val="20"/>
                <w:color w:val="auto"/>
              </w:rPr>
            </w:pPr>
            <w:r>
              <w:rPr>
                <w:rFonts w:ascii="Arial" w:cs="Arial" w:eastAsia="Arial" w:hAnsi="Arial"/>
                <w:sz w:val="16"/>
                <w:szCs w:val="16"/>
                <w:color w:val="auto"/>
              </w:rPr>
              <w:t>126,112</w:t>
            </w:r>
          </w:p>
        </w:tc>
        <w:tc>
          <w:tcPr>
            <w:tcW w:w="320" w:type="dxa"/>
            <w:vAlign w:val="bottom"/>
          </w:tcPr>
          <w:p>
            <w:pPr>
              <w:spacing w:after="0"/>
              <w:rPr>
                <w:sz w:val="19"/>
                <w:szCs w:val="19"/>
                <w:color w:val="auto"/>
              </w:rPr>
            </w:pPr>
          </w:p>
        </w:tc>
        <w:tc>
          <w:tcPr>
            <w:tcW w:w="1740" w:type="dxa"/>
            <w:vAlign w:val="bottom"/>
          </w:tcPr>
          <w:p>
            <w:pPr>
              <w:jc w:val="right"/>
              <w:ind w:right="4"/>
              <w:spacing w:after="0"/>
              <w:rPr>
                <w:sz w:val="20"/>
                <w:szCs w:val="20"/>
                <w:color w:val="auto"/>
              </w:rPr>
            </w:pPr>
            <w:r>
              <w:rPr>
                <w:rFonts w:ascii="Arial" w:cs="Arial" w:eastAsia="Arial" w:hAnsi="Arial"/>
                <w:sz w:val="16"/>
                <w:szCs w:val="16"/>
                <w:color w:val="auto"/>
              </w:rPr>
              <w:t>180,793</w:t>
            </w:r>
          </w:p>
        </w:tc>
      </w:tr>
    </w:tbl>
    <w:p>
      <w:pPr>
        <w:spacing w:after="0" w:line="240"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These pro forma results were based on estimates and assumptions, which the Company believes are reasonable, and include the historical results of operations of the acquired companies and adjustments for depreciation and amortization of identified assets and the effect of pre-</w:t>
      </w:r>
    </w:p>
    <w:p>
      <w:pPr>
        <w:spacing w:after="0" w:line="235" w:lineRule="auto"/>
        <w:rPr>
          <w:sz w:val="20"/>
          <w:szCs w:val="20"/>
          <w:color w:val="auto"/>
        </w:rPr>
      </w:pPr>
      <w:r>
        <w:rPr>
          <w:rFonts w:ascii="Arial" w:cs="Arial" w:eastAsia="Arial" w:hAnsi="Arial"/>
          <w:sz w:val="18"/>
          <w:szCs w:val="18"/>
          <w:color w:val="auto"/>
        </w:rPr>
        <w:t>acquisition transaction related expenses incurred by the Company and the acquired entities. The pro forma information does not include</w:t>
      </w:r>
    </w:p>
    <w:p>
      <w:pPr>
        <w:ind w:right="140"/>
        <w:spacing w:after="0"/>
        <w:rPr>
          <w:sz w:val="20"/>
          <w:szCs w:val="20"/>
          <w:color w:val="auto"/>
        </w:rPr>
      </w:pPr>
      <w:r>
        <w:rPr>
          <w:rFonts w:ascii="Arial" w:cs="Arial" w:eastAsia="Arial" w:hAnsi="Arial"/>
          <w:sz w:val="17"/>
          <w:szCs w:val="17"/>
          <w:color w:val="auto"/>
        </w:rPr>
        <w:t>efficiencies, cost reductions and synergies expected to result from the acquisitions. They are not the results that would have been realized had these entities been part of the Company during the periods presented and are not necessarily indicative of the Company’s consolidated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 in future periods.</w:t>
      </w:r>
    </w:p>
    <w:p>
      <w:pPr>
        <w:spacing w:after="0" w:line="140"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b w:val="1"/>
          <w:bCs w:val="1"/>
          <w:color w:val="auto"/>
        </w:rPr>
        <w:t xml:space="preserve">Disposition of Businesses. </w:t>
      </w:r>
      <w:r>
        <w:rPr>
          <w:rFonts w:ascii="Arial" w:cs="Arial" w:eastAsia="Arial" w:hAnsi="Arial"/>
          <w:sz w:val="18"/>
          <w:szCs w:val="18"/>
          <w:color w:val="auto"/>
        </w:rPr>
        <w:t>In June 2024, World of Good Brands (WGB) completed the sale of a small business which was included in</w:t>
      </w:r>
      <w:r>
        <w:rPr>
          <w:rFonts w:ascii="Arial" w:cs="Arial" w:eastAsia="Arial" w:hAnsi="Arial"/>
          <w:sz w:val="18"/>
          <w:szCs w:val="18"/>
          <w:b w:val="1"/>
          <w:bCs w:val="1"/>
          <w:color w:val="auto"/>
        </w:rPr>
        <w:t xml:space="preserve"> </w:t>
      </w:r>
      <w:r>
        <w:rPr>
          <w:rFonts w:ascii="Arial" w:cs="Arial" w:eastAsia="Arial" w:hAnsi="Arial"/>
          <w:sz w:val="18"/>
          <w:szCs w:val="18"/>
          <w:color w:val="auto"/>
        </w:rPr>
        <w:t>other businesses (see Note 12).</w:t>
      </w:r>
    </w:p>
    <w:p>
      <w:pPr>
        <w:spacing w:after="0" w:line="112" w:lineRule="exact"/>
        <w:rPr>
          <w:sz w:val="20"/>
          <w:szCs w:val="20"/>
          <w:color w:val="auto"/>
        </w:rPr>
      </w:pPr>
    </w:p>
    <w:p>
      <w:pPr>
        <w:ind w:right="240"/>
        <w:spacing w:after="0" w:line="251" w:lineRule="auto"/>
        <w:rPr>
          <w:sz w:val="20"/>
          <w:szCs w:val="20"/>
          <w:color w:val="auto"/>
        </w:rPr>
      </w:pPr>
      <w:r>
        <w:rPr>
          <w:rFonts w:ascii="Arial" w:cs="Arial" w:eastAsia="Arial" w:hAnsi="Arial"/>
          <w:sz w:val="17"/>
          <w:szCs w:val="17"/>
          <w:color w:val="auto"/>
        </w:rPr>
        <w:t>In June 2023, the Company entered into an agreement to merge the Pinna business with Realm of Possibility, Inc. (Realm) in return for an additional noncontrolling financial interest in Realm (the Pinna transaction). The Company deconsolidated the Pinna subsidiary, which was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included in other businesses, and continues to account for its interest in Realm under the equity method of accounting (see Note 3).</w:t>
      </w:r>
    </w:p>
    <w:p>
      <w:pPr>
        <w:spacing w:after="0" w:line="140" w:lineRule="exact"/>
        <w:rPr>
          <w:sz w:val="20"/>
          <w:szCs w:val="20"/>
          <w:color w:val="auto"/>
        </w:rPr>
      </w:pPr>
    </w:p>
    <w:p>
      <w:pPr>
        <w:ind w:right="320"/>
        <w:spacing w:after="0" w:line="251" w:lineRule="auto"/>
        <w:rPr>
          <w:sz w:val="20"/>
          <w:szCs w:val="20"/>
          <w:color w:val="auto"/>
        </w:rPr>
      </w:pPr>
      <w:r>
        <w:rPr>
          <w:rFonts w:ascii="Arial" w:cs="Arial" w:eastAsia="Arial" w:hAnsi="Arial"/>
          <w:sz w:val="17"/>
          <w:szCs w:val="17"/>
          <w:b w:val="1"/>
          <w:bCs w:val="1"/>
          <w:color w:val="auto"/>
        </w:rPr>
        <w:t xml:space="preserve">Other Transactions. </w:t>
      </w:r>
      <w:r>
        <w:rPr>
          <w:rFonts w:ascii="Arial" w:cs="Arial" w:eastAsia="Arial" w:hAnsi="Arial"/>
          <w:sz w:val="17"/>
          <w:szCs w:val="17"/>
          <w:color w:val="auto"/>
        </w:rPr>
        <w:t>In December 2023, the Company acquired some of the minority-owned shares of CSI Pharmacy Holding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LLC (CSI) for a total amount of $20.0 million. The Company paid cash of $5.0 million and entered into a promissory note with the minority</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owners for the remaining $15.0 million at an interest rate of 8% per annum. The note is included in other indebtedness (see Note 7) and payable in quarterly installments with the final payment due by January 1, 2027. Following the redemption, the Company owns 86.7% of CSI.</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5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color w:val="auto"/>
        </w:rPr>
        <w:t xml:space="preserve">Money Market Investments. </w:t>
      </w:r>
      <w:r>
        <w:rPr>
          <w:rFonts w:ascii="Arial" w:cs="Arial" w:eastAsia="Arial" w:hAnsi="Arial"/>
          <w:sz w:val="18"/>
          <w:szCs w:val="18"/>
          <w:color w:val="auto"/>
        </w:rPr>
        <w:t>As of June 30, 2024 and December 31, 2023, the Company had money market investments of $9.0 million and</w:t>
      </w:r>
      <w:r>
        <w:rPr>
          <w:rFonts w:ascii="Arial" w:cs="Arial" w:eastAsia="Arial" w:hAnsi="Arial"/>
          <w:sz w:val="18"/>
          <w:szCs w:val="18"/>
          <w:b w:val="1"/>
          <w:bCs w:val="1"/>
          <w:color w:val="auto"/>
        </w:rPr>
        <w:t xml:space="preserve"> </w:t>
      </w:r>
      <w:r>
        <w:rPr>
          <w:rFonts w:ascii="Arial" w:cs="Arial" w:eastAsia="Arial" w:hAnsi="Arial"/>
          <w:sz w:val="18"/>
          <w:szCs w:val="18"/>
          <w:color w:val="auto"/>
        </w:rPr>
        <w:t>$5.6 million, respectively, that are classified as cash and cash equivalents in the Company’s Condensed Consolidated Balance Sheets.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Investments in marketable equity securities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3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3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3"/>
                <w:szCs w:val="13"/>
                <w:color w:val="auto"/>
              </w:rPr>
            </w:pPr>
          </w:p>
        </w:tc>
        <w:tc>
          <w:tcPr>
            <w:tcW w:w="1160" w:type="dxa"/>
            <w:vAlign w:val="bottom"/>
          </w:tcPr>
          <w:p>
            <w:pPr>
              <w:jc w:val="right"/>
              <w:ind w:right="364"/>
              <w:spacing w:after="0" w:line="153"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3"/>
                <w:szCs w:val="13"/>
                <w:color w:val="auto"/>
              </w:rPr>
            </w:pPr>
          </w:p>
        </w:tc>
        <w:tc>
          <w:tcPr>
            <w:tcW w:w="1200" w:type="dxa"/>
            <w:vAlign w:val="bottom"/>
          </w:tcPr>
          <w:p>
            <w:pPr>
              <w:jc w:val="right"/>
              <w:ind w:right="163"/>
              <w:spacing w:after="0" w:line="153"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05"/>
        </w:trPr>
        <w:tc>
          <w:tcPr>
            <w:tcW w:w="83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23"/>
        </w:trPr>
        <w:tc>
          <w:tcPr>
            <w:tcW w:w="8360" w:type="dxa"/>
            <w:vAlign w:val="bottom"/>
          </w:tcPr>
          <w:p>
            <w:pPr>
              <w:ind w:left="20"/>
              <w:spacing w:after="0"/>
              <w:rPr>
                <w:sz w:val="20"/>
                <w:szCs w:val="20"/>
                <w:color w:val="auto"/>
              </w:rPr>
            </w:pPr>
            <w:r>
              <w:rPr>
                <w:rFonts w:ascii="Arial" w:cs="Arial" w:eastAsia="Arial" w:hAnsi="Arial"/>
                <w:sz w:val="16"/>
                <w:szCs w:val="16"/>
                <w:color w:val="auto"/>
              </w:rPr>
              <w:t>Total cost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24"/>
              <w:spacing w:after="0"/>
              <w:rPr>
                <w:sz w:val="20"/>
                <w:szCs w:val="20"/>
                <w:color w:val="auto"/>
              </w:rPr>
            </w:pPr>
            <w:r>
              <w:rPr>
                <w:rFonts w:ascii="Arial" w:cs="Arial" w:eastAsia="Arial" w:hAnsi="Arial"/>
                <w:sz w:val="16"/>
                <w:szCs w:val="16"/>
                <w:b w:val="1"/>
                <w:bCs w:val="1"/>
                <w:color w:val="auto"/>
              </w:rPr>
              <w:t>225,889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225,971</w:t>
            </w:r>
          </w:p>
        </w:tc>
        <w:tc>
          <w:tcPr>
            <w:tcW w:w="0" w:type="dxa"/>
            <w:vAlign w:val="bottom"/>
          </w:tcPr>
          <w:p>
            <w:pPr>
              <w:spacing w:after="0"/>
              <w:rPr>
                <w:sz w:val="1"/>
                <w:szCs w:val="1"/>
                <w:color w:val="auto"/>
              </w:rPr>
            </w:pPr>
          </w:p>
        </w:tc>
      </w:tr>
      <w:tr>
        <w:trPr>
          <w:trHeight w:val="233"/>
        </w:trPr>
        <w:tc>
          <w:tcPr>
            <w:tcW w:w="8360" w:type="dxa"/>
            <w:vAlign w:val="bottom"/>
          </w:tcPr>
          <w:p>
            <w:pPr>
              <w:ind w:left="20"/>
              <w:spacing w:after="0"/>
              <w:rPr>
                <w:sz w:val="20"/>
                <w:szCs w:val="20"/>
                <w:color w:val="auto"/>
              </w:rPr>
            </w:pPr>
            <w:r>
              <w:rPr>
                <w:rFonts w:ascii="Arial" w:cs="Arial" w:eastAsia="Arial" w:hAnsi="Arial"/>
                <w:sz w:val="16"/>
                <w:szCs w:val="16"/>
                <w:color w:val="auto"/>
              </w:rPr>
              <w:t>Gross unrealized gains</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587,555</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464,182</w:t>
            </w:r>
          </w:p>
        </w:tc>
        <w:tc>
          <w:tcPr>
            <w:tcW w:w="0" w:type="dxa"/>
            <w:vAlign w:val="bottom"/>
          </w:tcPr>
          <w:p>
            <w:pPr>
              <w:spacing w:after="0"/>
              <w:rPr>
                <w:sz w:val="1"/>
                <w:szCs w:val="1"/>
                <w:color w:val="auto"/>
              </w:rPr>
            </w:pPr>
          </w:p>
        </w:tc>
      </w:tr>
      <w:tr>
        <w:trPr>
          <w:trHeight w:val="227"/>
        </w:trPr>
        <w:tc>
          <w:tcPr>
            <w:tcW w:w="8360" w:type="dxa"/>
            <w:vAlign w:val="bottom"/>
          </w:tcPr>
          <w:p>
            <w:pPr>
              <w:ind w:left="20"/>
              <w:spacing w:after="0"/>
              <w:rPr>
                <w:sz w:val="20"/>
                <w:szCs w:val="20"/>
                <w:color w:val="auto"/>
              </w:rPr>
            </w:pPr>
            <w:r>
              <w:rPr>
                <w:rFonts w:ascii="Arial" w:cs="Arial" w:eastAsia="Arial" w:hAnsi="Arial"/>
                <w:sz w:val="16"/>
                <w:szCs w:val="16"/>
                <w:b w:val="1"/>
                <w:bCs w:val="1"/>
                <w:color w:val="auto"/>
              </w:rPr>
              <w:t>Total Fair Value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813,444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690,153</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 June 30, 2024 and December 31, 2023, the Company owned 55,430 shares in Markel Group Inc. (Markel) valued at $87.3 million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$78.7 million, respectively. The Chief Executive Officer of Markel, Mr. Thomas S. Gayner, is a member of the Company’s Board of Directors.</w:t>
      </w:r>
    </w:p>
    <w:p>
      <w:pPr>
        <w:ind w:right="200"/>
        <w:spacing w:after="0" w:line="237" w:lineRule="auto"/>
        <w:rPr>
          <w:sz w:val="20"/>
          <w:szCs w:val="20"/>
          <w:color w:val="auto"/>
        </w:rPr>
      </w:pPr>
      <w:r>
        <w:rPr>
          <w:rFonts w:ascii="Arial" w:cs="Arial" w:eastAsia="Arial" w:hAnsi="Arial"/>
          <w:sz w:val="18"/>
          <w:szCs w:val="18"/>
          <w:color w:val="auto"/>
        </w:rPr>
        <w:t>As of June 30, 2024, the Company owned 422 Class A and 482,945 Class B shares in Berkshire Hathaway valued at $454.8 million, which exceeded 5% of the Company’s total assets.</w:t>
      </w:r>
    </w:p>
    <w:p>
      <w:pPr>
        <w:spacing w:after="0" w:line="127"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color w:val="auto"/>
        </w:rPr>
        <w:t>There were no purchases of marketable equity securities during the first six months of 2024. The Company purchased $4.6 million of marketable equity securities during the first six months of 2023.</w:t>
      </w:r>
    </w:p>
    <w:p>
      <w:pPr>
        <w:spacing w:after="0" w:line="86"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There were no sales of marketable equity securities during the first six months of 2024. The Company donated marketable equity securities in the first six months of 2024, and recorded a $0.4 million gross cumulative realized gain from the donation. During the first six months of</w:t>
      </w:r>
    </w:p>
    <w:p>
      <w:pPr>
        <w:ind w:right="40"/>
        <w:spacing w:after="0" w:line="237" w:lineRule="auto"/>
        <w:rPr>
          <w:sz w:val="20"/>
          <w:szCs w:val="20"/>
          <w:color w:val="auto"/>
        </w:rPr>
      </w:pPr>
      <w:r>
        <w:rPr>
          <w:rFonts w:ascii="Arial" w:cs="Arial" w:eastAsia="Arial" w:hAnsi="Arial"/>
          <w:sz w:val="18"/>
          <w:szCs w:val="18"/>
          <w:color w:val="auto"/>
        </w:rPr>
        <w:t>2023, the gross cumulative realized net gains from the sales of marketable equity securities were $13.0 million. The total proceeds from such sales were $62.0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net gain on marketable equity securities comprised the following: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3"/>
          </w:tcPr>
          <w:p>
            <w:pPr>
              <w:jc w:val="right"/>
              <w:ind w:right="461"/>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100" w:type="dxa"/>
            <w:vAlign w:val="bottom"/>
            <w:gridSpan w:val="3"/>
          </w:tcPr>
          <w:p>
            <w:pPr>
              <w:jc w:val="right"/>
              <w:ind w:right="50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5"/>
        </w:trPr>
        <w:tc>
          <w:tcPr>
            <w:tcW w:w="64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3"/>
        </w:trPr>
        <w:tc>
          <w:tcPr>
            <w:tcW w:w="6440" w:type="dxa"/>
            <w:vAlign w:val="bottom"/>
          </w:tcPr>
          <w:p>
            <w:pPr>
              <w:ind w:left="20"/>
              <w:spacing w:after="0"/>
              <w:rPr>
                <w:sz w:val="20"/>
                <w:szCs w:val="20"/>
                <w:color w:val="auto"/>
              </w:rPr>
            </w:pPr>
            <w:r>
              <w:rPr>
                <w:rFonts w:ascii="Arial" w:cs="Arial" w:eastAsia="Arial" w:hAnsi="Arial"/>
                <w:sz w:val="16"/>
                <w:szCs w:val="16"/>
                <w:color w:val="auto"/>
              </w:rPr>
              <w:t>Gain on marketable equity securities, net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4"/>
              <w:spacing w:after="0"/>
              <w:rPr>
                <w:sz w:val="20"/>
                <w:szCs w:val="20"/>
                <w:color w:val="auto"/>
              </w:rPr>
            </w:pPr>
            <w:r>
              <w:rPr>
                <w:rFonts w:ascii="Arial" w:cs="Arial" w:eastAsia="Arial" w:hAnsi="Arial"/>
                <w:sz w:val="16"/>
                <w:szCs w:val="16"/>
                <w:b w:val="1"/>
                <w:bCs w:val="1"/>
                <w:color w:val="auto"/>
              </w:rPr>
              <w:t>19,628</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78,648</w:t>
            </w:r>
          </w:p>
        </w:tc>
        <w:tc>
          <w:tcPr>
            <w:tcW w:w="3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4"/>
              <w:spacing w:after="0"/>
              <w:rPr>
                <w:sz w:val="20"/>
                <w:szCs w:val="20"/>
                <w:color w:val="auto"/>
              </w:rPr>
            </w:pPr>
            <w:r>
              <w:rPr>
                <w:rFonts w:ascii="Arial" w:cs="Arial" w:eastAsia="Arial" w:hAnsi="Arial"/>
                <w:sz w:val="16"/>
                <w:szCs w:val="16"/>
                <w:b w:val="1"/>
                <w:bCs w:val="1"/>
                <w:color w:val="auto"/>
              </w:rPr>
              <w:t>123,780</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96,670</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6"/>
                <w:szCs w:val="16"/>
                <w:color w:val="auto"/>
              </w:rPr>
              <w:t>Less: Net gains in earnings from marketable equity securities sold and donated</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(102)</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(9,132)</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(102)</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(5,475)</w:t>
            </w:r>
          </w:p>
        </w:tc>
        <w:tc>
          <w:tcPr>
            <w:tcW w:w="0" w:type="dxa"/>
            <w:vAlign w:val="bottom"/>
          </w:tcPr>
          <w:p>
            <w:pPr>
              <w:spacing w:after="0"/>
              <w:rPr>
                <w:sz w:val="1"/>
                <w:szCs w:val="1"/>
                <w:color w:val="auto"/>
              </w:rPr>
            </w:pPr>
          </w:p>
        </w:tc>
      </w:tr>
      <w:tr>
        <w:trPr>
          <w:trHeight w:val="161"/>
        </w:trPr>
        <w:tc>
          <w:tcPr>
            <w:tcW w:w="644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Net unrealized gains in earnings from marketable equity securities still held at the</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vMerge w:val="restart"/>
          </w:tcPr>
          <w:p>
            <w:pPr>
              <w:jc w:val="right"/>
              <w:ind w:right="44"/>
              <w:spacing w:after="0"/>
              <w:rPr>
                <w:sz w:val="20"/>
                <w:szCs w:val="20"/>
                <w:color w:val="auto"/>
              </w:rPr>
            </w:pPr>
            <w:r>
              <w:rPr>
                <w:rFonts w:ascii="Arial" w:cs="Arial" w:eastAsia="Arial" w:hAnsi="Arial"/>
                <w:sz w:val="16"/>
                <w:szCs w:val="16"/>
                <w:b w:val="1"/>
                <w:bCs w:val="1"/>
                <w:color w:val="auto"/>
              </w:rPr>
              <w:t>19,526</w:t>
            </w:r>
          </w:p>
        </w:tc>
        <w:tc>
          <w:tcPr>
            <w:tcW w:w="38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41"/>
              <w:spacing w:after="0"/>
              <w:rPr>
                <w:sz w:val="20"/>
                <w:szCs w:val="20"/>
                <w:color w:val="auto"/>
              </w:rPr>
            </w:pPr>
            <w:r>
              <w:rPr>
                <w:rFonts w:ascii="Arial" w:cs="Arial" w:eastAsia="Arial" w:hAnsi="Arial"/>
                <w:sz w:val="16"/>
                <w:szCs w:val="16"/>
                <w:color w:val="auto"/>
              </w:rPr>
              <w:t>69,516</w:t>
            </w:r>
          </w:p>
        </w:tc>
        <w:tc>
          <w:tcPr>
            <w:tcW w:w="3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vMerge w:val="restart"/>
          </w:tcPr>
          <w:p>
            <w:pPr>
              <w:jc w:val="right"/>
              <w:ind w:right="44"/>
              <w:spacing w:after="0"/>
              <w:rPr>
                <w:sz w:val="20"/>
                <w:szCs w:val="20"/>
                <w:color w:val="auto"/>
              </w:rPr>
            </w:pPr>
            <w:r>
              <w:rPr>
                <w:rFonts w:ascii="Arial" w:cs="Arial" w:eastAsia="Arial" w:hAnsi="Arial"/>
                <w:sz w:val="16"/>
                <w:szCs w:val="16"/>
                <w:b w:val="1"/>
                <w:bCs w:val="1"/>
                <w:color w:val="auto"/>
              </w:rPr>
              <w:t>123,678</w:t>
            </w:r>
          </w:p>
        </w:tc>
        <w:tc>
          <w:tcPr>
            <w:tcW w:w="38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ind w:right="1"/>
              <w:spacing w:after="0"/>
              <w:rPr>
                <w:sz w:val="20"/>
                <w:szCs w:val="20"/>
                <w:color w:val="auto"/>
              </w:rPr>
            </w:pPr>
            <w:r>
              <w:rPr>
                <w:rFonts w:ascii="Arial" w:cs="Arial" w:eastAsia="Arial" w:hAnsi="Arial"/>
                <w:sz w:val="16"/>
                <w:szCs w:val="16"/>
                <w:color w:val="auto"/>
              </w:rPr>
              <w:t>91,195</w:t>
            </w:r>
          </w:p>
        </w:tc>
        <w:tc>
          <w:tcPr>
            <w:tcW w:w="0" w:type="dxa"/>
            <w:vAlign w:val="bottom"/>
          </w:tcPr>
          <w:p>
            <w:pPr>
              <w:spacing w:after="0"/>
              <w:rPr>
                <w:sz w:val="1"/>
                <w:szCs w:val="1"/>
                <w:color w:val="auto"/>
              </w:rPr>
            </w:pPr>
          </w:p>
        </w:tc>
      </w:tr>
      <w:tr>
        <w:trPr>
          <w:trHeight w:val="208"/>
        </w:trPr>
        <w:tc>
          <w:tcPr>
            <w:tcW w:w="6440" w:type="dxa"/>
            <w:vAlign w:val="bottom"/>
          </w:tcPr>
          <w:p>
            <w:pPr>
              <w:ind w:left="20"/>
              <w:spacing w:after="0"/>
              <w:rPr>
                <w:sz w:val="20"/>
                <w:szCs w:val="20"/>
                <w:color w:val="auto"/>
              </w:rPr>
            </w:pPr>
            <w:r>
              <w:rPr>
                <w:rFonts w:ascii="Arial" w:cs="Arial" w:eastAsia="Arial" w:hAnsi="Arial"/>
                <w:sz w:val="16"/>
                <w:szCs w:val="16"/>
                <w:b w:val="1"/>
                <w:bCs w:val="1"/>
                <w:color w:val="auto"/>
              </w:rPr>
              <w:t>end of the period</w:t>
            </w:r>
          </w:p>
        </w:tc>
        <w:tc>
          <w:tcPr>
            <w:tcW w:w="24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b w:val="1"/>
          <w:bCs w:val="1"/>
          <w:color w:val="auto"/>
        </w:rPr>
        <w:t xml:space="preserve">Investments in Affiliates. </w:t>
      </w:r>
      <w:r>
        <w:rPr>
          <w:rFonts w:ascii="Arial" w:cs="Arial" w:eastAsia="Arial" w:hAnsi="Arial"/>
          <w:sz w:val="17"/>
          <w:szCs w:val="17"/>
          <w:color w:val="auto"/>
        </w:rPr>
        <w:t>As of June 30, 2024, the Company held a 49.9% and 42.2% interest in N2K Networks and Realm, respectively,</w:t>
      </w:r>
      <w:r>
        <w:rPr>
          <w:rFonts w:ascii="Arial" w:cs="Arial" w:eastAsia="Arial" w:hAnsi="Arial"/>
          <w:sz w:val="17"/>
          <w:szCs w:val="17"/>
          <w:b w:val="1"/>
          <w:bCs w:val="1"/>
          <w:color w:val="auto"/>
        </w:rPr>
        <w:t xml:space="preserve"> </w:t>
      </w:r>
      <w:r>
        <w:rPr>
          <w:rFonts w:ascii="Arial" w:cs="Arial" w:eastAsia="Arial" w:hAnsi="Arial"/>
          <w:sz w:val="17"/>
          <w:szCs w:val="17"/>
          <w:color w:val="auto"/>
        </w:rPr>
        <w:t>on a fully diluted basis, and accounts for these investments under the equity method. The Company holds two of the five seats of N2K</w:t>
      </w:r>
    </w:p>
    <w:p>
      <w:pPr>
        <w:spacing w:after="0" w:line="1" w:lineRule="exact"/>
        <w:rPr>
          <w:sz w:val="20"/>
          <w:szCs w:val="20"/>
          <w:color w:val="auto"/>
        </w:rPr>
      </w:pPr>
    </w:p>
    <w:p>
      <w:pPr>
        <w:ind w:right="500"/>
        <w:spacing w:after="0" w:line="226" w:lineRule="auto"/>
        <w:rPr>
          <w:sz w:val="20"/>
          <w:szCs w:val="20"/>
          <w:color w:val="auto"/>
        </w:rPr>
      </w:pPr>
      <w:r>
        <w:rPr>
          <w:rFonts w:ascii="Arial" w:cs="Arial" w:eastAsia="Arial" w:hAnsi="Arial"/>
          <w:sz w:val="18"/>
          <w:szCs w:val="18"/>
          <w:color w:val="auto"/>
        </w:rPr>
        <w:t>Networks’ governing board with the other shareholders retaining substantive participation rights to control the financial and operating decisions of N2K Networks through representation on the board. In May 2024, the Company entered into a convertible promissory note</w:t>
      </w:r>
    </w:p>
    <w:p>
      <w:pPr>
        <w:spacing w:after="0" w:line="2" w:lineRule="exact"/>
        <w:rPr>
          <w:sz w:val="20"/>
          <w:szCs w:val="20"/>
          <w:color w:val="auto"/>
        </w:rPr>
      </w:pPr>
    </w:p>
    <w:p>
      <w:pPr>
        <w:ind w:right="380"/>
        <w:spacing w:after="0" w:line="237" w:lineRule="auto"/>
        <w:rPr>
          <w:sz w:val="20"/>
          <w:szCs w:val="20"/>
          <w:color w:val="auto"/>
        </w:rPr>
      </w:pPr>
      <w:r>
        <w:rPr>
          <w:rFonts w:ascii="Arial" w:cs="Arial" w:eastAsia="Arial" w:hAnsi="Arial"/>
          <w:sz w:val="18"/>
          <w:szCs w:val="18"/>
          <w:color w:val="auto"/>
        </w:rPr>
        <w:t>agreement to loan N2K Networks $2.0 million. The convertible promissory note bears interest at a rate of 12% per annum and, subject to conversion provisions, all unpaid interest and principal are due by May 2027.</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2024, the Company held an approximate 18% interest in Intersection Holdings, LLC (Intersection), and accounts for its</w:t>
      </w:r>
    </w:p>
    <w:p>
      <w:pPr>
        <w:spacing w:after="0" w:line="14"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investment under the equity method. The Company holds two of the ten seats of Intersection’s governing board, which allows the Company to exercise significant influence over Intersection. The Company loaned Intersection $30.0 million, which is repayable over 5 years at an</w:t>
      </w:r>
    </w:p>
    <w:p>
      <w:pPr>
        <w:spacing w:after="0" w:line="2"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interest rate of 9% per annum. The outstanding balance on this loan was $27.7 million as of June 30, 2024. The loan is repayable by May 2028.</w:t>
      </w:r>
    </w:p>
    <w:p>
      <w:pPr>
        <w:spacing w:after="0" w:line="104" w:lineRule="exact"/>
        <w:rPr>
          <w:sz w:val="20"/>
          <w:szCs w:val="20"/>
          <w:color w:val="auto"/>
        </w:rPr>
      </w:pPr>
    </w:p>
    <w:p>
      <w:pPr>
        <w:ind w:right="600"/>
        <w:spacing w:after="0" w:line="245" w:lineRule="auto"/>
        <w:rPr>
          <w:sz w:val="20"/>
          <w:szCs w:val="20"/>
          <w:color w:val="auto"/>
        </w:rPr>
      </w:pPr>
      <w:r>
        <w:rPr>
          <w:rFonts w:ascii="Arial" w:cs="Arial" w:eastAsia="Arial" w:hAnsi="Arial"/>
          <w:sz w:val="18"/>
          <w:szCs w:val="18"/>
          <w:color w:val="auto"/>
        </w:rPr>
        <w:t>As of June 30, 2024, the Company also held investments in several other affiliates; GHG held a 40% interest in each of the following affiliates: Residential Home Health Illinois, Residential Hospice Illinois, Mary Free Bed at Home, and Allegheny Health Network (AHN)</w:t>
      </w:r>
    </w:p>
    <w:p>
      <w:pPr>
        <w:ind w:right="20"/>
        <w:spacing w:after="0" w:line="226" w:lineRule="auto"/>
        <w:rPr>
          <w:sz w:val="20"/>
          <w:szCs w:val="20"/>
          <w:color w:val="auto"/>
        </w:rPr>
      </w:pPr>
      <w:r>
        <w:rPr>
          <w:rFonts w:ascii="Arial" w:cs="Arial" w:eastAsia="Arial" w:hAnsi="Arial"/>
          <w:sz w:val="18"/>
          <w:szCs w:val="18"/>
          <w:color w:val="auto"/>
        </w:rPr>
        <w:t>Healthcare at Home. For the three and six months ended June 30, 2024, the Company recorded $4.4 million and $8.5 million, respectively, in revenue for services provided to the affiliates of GHG. For the three and six months ended June 30, 2023, the Company recorded $3.9</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million and $7.4 million, respectively, in revenue for services provided to the affiliates of GHG.</w:t>
      </w:r>
    </w:p>
    <w:p>
      <w:pPr>
        <w:spacing w:after="0" w:line="140"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Additionally, Kaplan International Holdings Limited (KIHL) held a 45% interest in a joint venture formed with University of York. KIHL loaned the joint venture £22 million, which is repayable over 25 years at an interest rate of 7% and guaranteed by the University of York.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outstanding balance on this loan was £19.9 million as of June 30, 2024. The loan is repayable by December 2041.</w:t>
      </w:r>
    </w:p>
    <w:p>
      <w:pPr>
        <w:spacing w:after="0" w:line="140" w:lineRule="exact"/>
        <w:rPr>
          <w:sz w:val="20"/>
          <w:szCs w:val="20"/>
          <w:color w:val="auto"/>
        </w:rPr>
      </w:pPr>
    </w:p>
    <w:p>
      <w:pPr>
        <w:ind w:right="980"/>
        <w:spacing w:after="0" w:line="256" w:lineRule="auto"/>
        <w:rPr>
          <w:sz w:val="20"/>
          <w:szCs w:val="20"/>
          <w:color w:val="auto"/>
        </w:rPr>
      </w:pPr>
      <w:r>
        <w:rPr>
          <w:rFonts w:ascii="Arial" w:cs="Arial" w:eastAsia="Arial" w:hAnsi="Arial"/>
          <w:sz w:val="18"/>
          <w:szCs w:val="18"/>
          <w:color w:val="auto"/>
        </w:rPr>
        <w:t>The Company had $37.6 million and $ 36.9 million in its investment account that represents cumulative undistributed income in its investments in affiliates as of June 30, 2024 and December 31, 2023, respectively.</w:t>
      </w:r>
    </w:p>
    <w:p>
      <w:pPr>
        <w:spacing w:after="0" w:line="112"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color w:val="auto"/>
        </w:rPr>
        <w:t xml:space="preserve">Cost Method Investments. </w:t>
      </w:r>
      <w:r>
        <w:rPr>
          <w:rFonts w:ascii="Arial" w:cs="Arial" w:eastAsia="Arial" w:hAnsi="Arial"/>
          <w:sz w:val="18"/>
          <w:szCs w:val="18"/>
          <w:color w:val="auto"/>
        </w:rPr>
        <w:t>The Company held investments without readily determinable fair values in a number of equity securities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accounted for as cost method investments, which are recorded at cost, less impairment,</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color w:val="auto"/>
        </w:rPr>
        <w:t>and adjusted for observable price changes for identical or similar investments of the same issuer. The carrying value of these investments</w:t>
      </w:r>
    </w:p>
    <w:p>
      <w:pPr>
        <w:spacing w:after="0" w:line="14"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was $74.4 million and $74.0 million as of June 30, 2024 and December 31, 2023, respectively. During the three and six months ended June 30, 2024, the Company recorded impairment losses of $0.3 million and $0.7 million, respectively, to those securities. During the three</w:t>
      </w:r>
    </w:p>
    <w:p>
      <w:pPr>
        <w:spacing w:after="0" w:line="1"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and six months ended June 30, 2023, the Company recorded gains of $1.3 million and $3.1 million, respectively, to those equity securities based on observable transactions.</w:t>
      </w:r>
    </w:p>
    <w:p>
      <w:pPr>
        <w:spacing w:after="0" w:line="104" w:lineRule="exact"/>
        <w:rPr>
          <w:sz w:val="20"/>
          <w:szCs w:val="20"/>
          <w:color w:val="auto"/>
        </w:rPr>
      </w:pPr>
    </w:p>
    <w:p>
      <w:pPr>
        <w:ind w:right="1400"/>
        <w:spacing w:after="0" w:line="459" w:lineRule="auto"/>
        <w:rPr>
          <w:sz w:val="20"/>
          <w:szCs w:val="20"/>
          <w:color w:val="auto"/>
        </w:rPr>
      </w:pPr>
      <w:r>
        <w:rPr>
          <w:rFonts w:ascii="Arial" w:cs="Arial" w:eastAsia="Arial" w:hAnsi="Arial"/>
          <w:sz w:val="18"/>
          <w:szCs w:val="18"/>
          <w:b w:val="1"/>
          <w:bCs w:val="1"/>
          <w:color w:val="auto"/>
        </w:rPr>
        <w:t xml:space="preserve">4. ACCOUNTS RECEIVABLE, ACCOUNTS PAYABLE, VEHICLE FLOOR PLAN PAYABLE AND ACCRUED LIABILITIES </w:t>
      </w:r>
      <w:r>
        <w:rPr>
          <w:rFonts w:ascii="Arial" w:cs="Arial" w:eastAsia="Arial" w:hAnsi="Arial"/>
          <w:sz w:val="18"/>
          <w:szCs w:val="18"/>
          <w:color w:val="auto"/>
        </w:rPr>
        <w:t>Accounts receivable consist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4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3"/>
                <w:szCs w:val="13"/>
                <w:color w:val="auto"/>
              </w:rPr>
            </w:pPr>
          </w:p>
        </w:tc>
        <w:tc>
          <w:tcPr>
            <w:tcW w:w="1160" w:type="dxa"/>
            <w:vAlign w:val="bottom"/>
          </w:tcPr>
          <w:p>
            <w:pPr>
              <w:jc w:val="right"/>
              <w:ind w:right="364"/>
              <w:spacing w:after="0" w:line="153"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1140" w:type="dxa"/>
            <w:vAlign w:val="bottom"/>
          </w:tcPr>
          <w:p>
            <w:pPr>
              <w:jc w:val="right"/>
              <w:ind w:right="103"/>
              <w:spacing w:after="0" w:line="153"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05"/>
        </w:trPr>
        <w:tc>
          <w:tcPr>
            <w:tcW w:w="848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23"/>
        </w:trPr>
        <w:tc>
          <w:tcPr>
            <w:tcW w:w="8480" w:type="dxa"/>
            <w:vAlign w:val="bottom"/>
          </w:tcPr>
          <w:p>
            <w:pPr>
              <w:ind w:left="20"/>
              <w:spacing w:after="0"/>
              <w:rPr>
                <w:sz w:val="20"/>
                <w:szCs w:val="20"/>
                <w:color w:val="auto"/>
              </w:rPr>
            </w:pPr>
            <w:r>
              <w:rPr>
                <w:rFonts w:ascii="Arial" w:cs="Arial" w:eastAsia="Arial" w:hAnsi="Arial"/>
                <w:sz w:val="16"/>
                <w:szCs w:val="16"/>
                <w:color w:val="auto"/>
              </w:rPr>
              <w:t>Receivables from contracts with customers, less estimated credit losses of $24,291 and $24,667</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24"/>
              <w:spacing w:after="0"/>
              <w:rPr>
                <w:sz w:val="20"/>
                <w:szCs w:val="20"/>
                <w:color w:val="auto"/>
              </w:rPr>
            </w:pPr>
            <w:r>
              <w:rPr>
                <w:rFonts w:ascii="Arial" w:cs="Arial" w:eastAsia="Arial" w:hAnsi="Arial"/>
                <w:sz w:val="16"/>
                <w:szCs w:val="16"/>
                <w:b w:val="1"/>
                <w:bCs w:val="1"/>
                <w:color w:val="auto"/>
              </w:rPr>
              <w:t>434,358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496,172</w:t>
            </w: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Arial" w:cs="Arial" w:eastAsia="Arial" w:hAnsi="Arial"/>
                <w:sz w:val="16"/>
                <w:szCs w:val="16"/>
                <w:color w:val="auto"/>
              </w:rPr>
              <w:t>Other receivables</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31,661</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28,915</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466,019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525,087</w:t>
            </w:r>
          </w:p>
        </w:tc>
        <w:tc>
          <w:tcPr>
            <w:tcW w:w="0" w:type="dxa"/>
            <w:vAlign w:val="bottom"/>
          </w:tcPr>
          <w:p>
            <w:pPr>
              <w:spacing w:after="0"/>
              <w:rPr>
                <w:sz w:val="1"/>
                <w:szCs w:val="1"/>
                <w:color w:val="auto"/>
              </w:rPr>
            </w:pPr>
          </w:p>
        </w:tc>
      </w:tr>
      <w:tr>
        <w:trPr>
          <w:trHeight w:val="24"/>
        </w:trPr>
        <w:tc>
          <w:tcPr>
            <w:tcW w:w="8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right="520"/>
        <w:spacing w:after="0" w:line="253" w:lineRule="auto"/>
        <w:rPr>
          <w:sz w:val="20"/>
          <w:szCs w:val="20"/>
          <w:color w:val="auto"/>
        </w:rPr>
      </w:pPr>
      <w:r>
        <w:rPr>
          <w:rFonts w:ascii="Arial" w:cs="Arial" w:eastAsia="Arial" w:hAnsi="Arial"/>
          <w:sz w:val="18"/>
          <w:szCs w:val="18"/>
          <w:color w:val="auto"/>
        </w:rPr>
        <w:t>Credit loss recovery was $0.1 million for the three months ended June 30, 2024, and credit loss expense was $1.4 million for the three months ended June 30, 2023. Credit loss expense was $1.6 million and $1.9 million for the six months ended June 30, 2024 and 2023,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vehicle floor plan payable and accrued liabilities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4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4"/>
                <w:szCs w:val="14"/>
                <w:color w:val="auto"/>
              </w:rPr>
            </w:pPr>
          </w:p>
        </w:tc>
        <w:tc>
          <w:tcPr>
            <w:tcW w:w="1160" w:type="dxa"/>
            <w:vAlign w:val="bottom"/>
          </w:tcPr>
          <w:p>
            <w:pPr>
              <w:jc w:val="right"/>
              <w:ind w:right="362"/>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140" w:type="dxa"/>
            <w:vAlign w:val="bottom"/>
          </w:tcPr>
          <w:p>
            <w:pPr>
              <w:jc w:val="right"/>
              <w:ind w:right="102"/>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848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17"/>
        </w:trPr>
        <w:tc>
          <w:tcPr>
            <w:tcW w:w="848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22"/>
              <w:spacing w:after="0"/>
              <w:rPr>
                <w:sz w:val="20"/>
                <w:szCs w:val="20"/>
                <w:color w:val="auto"/>
              </w:rPr>
            </w:pPr>
            <w:r>
              <w:rPr>
                <w:rFonts w:ascii="Arial" w:cs="Arial" w:eastAsia="Arial" w:hAnsi="Arial"/>
                <w:sz w:val="16"/>
                <w:szCs w:val="16"/>
                <w:b w:val="1"/>
                <w:bCs w:val="1"/>
                <w:color w:val="auto"/>
              </w:rPr>
              <w:t>153,132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154,484</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6"/>
                <w:szCs w:val="16"/>
                <w:color w:val="auto"/>
              </w:rPr>
              <w:t>Vehicle floor plan payable</w:t>
            </w:r>
          </w:p>
        </w:tc>
        <w:tc>
          <w:tcPr>
            <w:tcW w:w="240" w:type="dxa"/>
            <w:vAlign w:val="bottom"/>
          </w:tcPr>
          <w:p>
            <w:pPr>
              <w:spacing w:after="0"/>
              <w:rPr>
                <w:sz w:val="19"/>
                <w:szCs w:val="19"/>
                <w:color w:val="auto"/>
              </w:rPr>
            </w:pPr>
          </w:p>
        </w:tc>
        <w:tc>
          <w:tcPr>
            <w:tcW w:w="1160" w:type="dxa"/>
            <w:vAlign w:val="bottom"/>
          </w:tcPr>
          <w:p>
            <w:pPr>
              <w:jc w:val="right"/>
              <w:ind w:right="22"/>
              <w:spacing w:after="0"/>
              <w:rPr>
                <w:sz w:val="20"/>
                <w:szCs w:val="20"/>
                <w:color w:val="auto"/>
              </w:rPr>
            </w:pPr>
            <w:r>
              <w:rPr>
                <w:rFonts w:ascii="Arial" w:cs="Arial" w:eastAsia="Arial" w:hAnsi="Arial"/>
                <w:sz w:val="16"/>
                <w:szCs w:val="16"/>
                <w:b w:val="1"/>
                <w:bCs w:val="1"/>
                <w:color w:val="auto"/>
              </w:rPr>
              <w:t>174,911</w:t>
            </w:r>
          </w:p>
        </w:tc>
        <w:tc>
          <w:tcPr>
            <w:tcW w:w="2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148,300</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6"/>
                <w:szCs w:val="16"/>
                <w:color w:val="auto"/>
              </w:rPr>
              <w:t>Accrued compensation and related benefits</w:t>
            </w:r>
          </w:p>
        </w:tc>
        <w:tc>
          <w:tcPr>
            <w:tcW w:w="240" w:type="dxa"/>
            <w:vAlign w:val="bottom"/>
          </w:tcPr>
          <w:p>
            <w:pPr>
              <w:spacing w:after="0"/>
              <w:rPr>
                <w:sz w:val="19"/>
                <w:szCs w:val="19"/>
                <w:color w:val="auto"/>
              </w:rPr>
            </w:pPr>
          </w:p>
        </w:tc>
        <w:tc>
          <w:tcPr>
            <w:tcW w:w="1160" w:type="dxa"/>
            <w:vAlign w:val="bottom"/>
          </w:tcPr>
          <w:p>
            <w:pPr>
              <w:jc w:val="right"/>
              <w:ind w:right="22"/>
              <w:spacing w:after="0"/>
              <w:rPr>
                <w:sz w:val="20"/>
                <w:szCs w:val="20"/>
                <w:color w:val="auto"/>
              </w:rPr>
            </w:pPr>
            <w:r>
              <w:rPr>
                <w:rFonts w:ascii="Arial" w:cs="Arial" w:eastAsia="Arial" w:hAnsi="Arial"/>
                <w:sz w:val="16"/>
                <w:szCs w:val="16"/>
                <w:b w:val="1"/>
                <w:bCs w:val="1"/>
                <w:color w:val="auto"/>
              </w:rPr>
              <w:t>147,773</w:t>
            </w:r>
          </w:p>
        </w:tc>
        <w:tc>
          <w:tcPr>
            <w:tcW w:w="2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154,580</w:t>
            </w: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Arial" w:cs="Arial" w:eastAsia="Arial" w:hAnsi="Arial"/>
                <w:sz w:val="16"/>
                <w:szCs w:val="16"/>
                <w:color w:val="auto"/>
              </w:rPr>
              <w:t>Other accrued liabilities</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220,883</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237,157</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696,699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694,521</w:t>
            </w:r>
          </w:p>
        </w:tc>
        <w:tc>
          <w:tcPr>
            <w:tcW w:w="0" w:type="dxa"/>
            <w:vAlign w:val="bottom"/>
          </w:tcPr>
          <w:p>
            <w:pPr>
              <w:spacing w:after="0"/>
              <w:rPr>
                <w:sz w:val="1"/>
                <w:szCs w:val="1"/>
                <w:color w:val="auto"/>
              </w:rPr>
            </w:pPr>
          </w:p>
        </w:tc>
      </w:tr>
      <w:tr>
        <w:trPr>
          <w:trHeight w:val="24"/>
        </w:trPr>
        <w:tc>
          <w:tcPr>
            <w:tcW w:w="8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Cash overdrafts of $0.7 million and $0.5 million are included in accounts payable as of June 30, 2024 and December 31, 2023, respectively.</w:t>
      </w:r>
    </w:p>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The Company finances new, used and service loaner vehicle inventory through standardized floor plan facilities with Truist Bank and Toyota Motor Credit Corporation (Truist and Toyota floor plan facility) and Ford Motor Credit Company (Ford floor plan facility). At June 30, 2024, the</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floor plan facilities bore interest at variable rates that are based on Secured Overnight Financing Rate (SOFR) and prime-based interest rates. The weighted average interest rate for the floor plan facilities was 6.7% and 6.1% for the three months ended June 30, 2024 and 2023,</w:t>
      </w:r>
    </w:p>
    <w:p>
      <w:pPr>
        <w:spacing w:after="0" w:line="2"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respectively. The weighted average interest rate for the floor plan facilities was 6.8% and 5.7% for the six months ended June 30, 2024 and 2023, respectively. Changes in the vehicle floor plan payable are reported as cash flows from financing activities in the Condensed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w:t>
      </w:r>
    </w:p>
    <w:p>
      <w:pPr>
        <w:spacing w:after="0" w:line="14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floor plan facilities are collateralized by vehicle inventory and other assets of the relevant dealership subsidiary, and contain a number of covenants, including, among others, covenants restricting the dealership subsidiary with respect to the creation of liens and changes in</w:t>
      </w:r>
    </w:p>
    <w:p>
      <w:pPr>
        <w:spacing w:after="0" w:line="1"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ownership, officers and key management personnel. The Company was in compliance with all of these restrictive covenants as of June 30, 2024.</w:t>
      </w:r>
    </w:p>
    <w:p>
      <w:pPr>
        <w:spacing w:after="0" w:line="104"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The floor plan interest expense related to the vehicle floor plan arrangements is offset by amounts received from manufacturers in the form of floor plan assistance capitalized in inventory and recorded against cost of goods sold in the Condensed Consolidated Statements of</w:t>
      </w:r>
    </w:p>
    <w:p>
      <w:pPr>
        <w:ind w:right="60"/>
        <w:spacing w:after="0"/>
        <w:rPr>
          <w:sz w:val="20"/>
          <w:szCs w:val="20"/>
          <w:color w:val="auto"/>
        </w:rPr>
      </w:pPr>
      <w:r>
        <w:rPr>
          <w:rFonts w:ascii="Arial" w:cs="Arial" w:eastAsia="Arial" w:hAnsi="Arial"/>
          <w:sz w:val="17"/>
          <w:szCs w:val="17"/>
          <w:color w:val="auto"/>
        </w:rPr>
        <w:t>Operations when the associated inventory is sold. For the three months ended June 30, 2024 and 2023, the Company recognized a reduction in cost of goods sold of $2.4 million and $1.5 million, respectively, related to manufacturer floor plan assistance. For the six months</w:t>
      </w:r>
    </w:p>
    <w:p>
      <w:pPr>
        <w:spacing w:after="0" w:line="1" w:lineRule="exact"/>
        <w:rPr>
          <w:sz w:val="20"/>
          <w:szCs w:val="20"/>
          <w:color w:val="auto"/>
        </w:rPr>
      </w:pPr>
    </w:p>
    <w:p>
      <w:pPr>
        <w:ind w:right="460"/>
        <w:spacing w:after="0" w:line="250" w:lineRule="auto"/>
        <w:rPr>
          <w:sz w:val="20"/>
          <w:szCs w:val="20"/>
          <w:color w:val="auto"/>
        </w:rPr>
      </w:pPr>
      <w:r>
        <w:rPr>
          <w:rFonts w:ascii="Arial" w:cs="Arial" w:eastAsia="Arial" w:hAnsi="Arial"/>
          <w:sz w:val="18"/>
          <w:szCs w:val="18"/>
          <w:color w:val="auto"/>
        </w:rPr>
        <w:t>ended June 30, 2024 and 2023, the Company recognized a reduction in cost of goods sold of $4.6 million and $2.9 million, respectively, related to manufacturer floor plan assistance.</w:t>
      </w:r>
    </w:p>
    <w:p>
      <w:pPr>
        <w:spacing w:after="0" w:line="104"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As of June 30, 2024 and December 31, 2023, the Company had $159.1 million and $128.9 million, respectively, in obligations outstanding related to floor plan facilities associated with new vehicles.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5. INVENTORIES AND CONTRACTS IN PROGRESS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Inventories and contracts in progress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4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4"/>
                <w:szCs w:val="14"/>
                <w:color w:val="auto"/>
              </w:rPr>
            </w:pPr>
          </w:p>
        </w:tc>
        <w:tc>
          <w:tcPr>
            <w:tcW w:w="1160" w:type="dxa"/>
            <w:vAlign w:val="bottom"/>
          </w:tcPr>
          <w:p>
            <w:pPr>
              <w:jc w:val="right"/>
              <w:ind w:right="362"/>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140" w:type="dxa"/>
            <w:vAlign w:val="bottom"/>
          </w:tcPr>
          <w:p>
            <w:pPr>
              <w:jc w:val="right"/>
              <w:ind w:right="102"/>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848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17"/>
        </w:trPr>
        <w:tc>
          <w:tcPr>
            <w:tcW w:w="8480" w:type="dxa"/>
            <w:vAlign w:val="bottom"/>
          </w:tcPr>
          <w:p>
            <w:pPr>
              <w:ind w:left="20"/>
              <w:spacing w:after="0"/>
              <w:rPr>
                <w:sz w:val="20"/>
                <w:szCs w:val="20"/>
                <w:color w:val="auto"/>
              </w:rPr>
            </w:pPr>
            <w:r>
              <w:rPr>
                <w:rFonts w:ascii="Arial" w:cs="Arial" w:eastAsia="Arial" w:hAnsi="Arial"/>
                <w:sz w:val="16"/>
                <w:szCs w:val="16"/>
                <w:color w:val="auto"/>
              </w:rPr>
              <w:t>Raw materials</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22"/>
              <w:spacing w:after="0"/>
              <w:rPr>
                <w:sz w:val="20"/>
                <w:szCs w:val="20"/>
                <w:color w:val="auto"/>
              </w:rPr>
            </w:pPr>
            <w:r>
              <w:rPr>
                <w:rFonts w:ascii="Arial" w:cs="Arial" w:eastAsia="Arial" w:hAnsi="Arial"/>
                <w:sz w:val="16"/>
                <w:szCs w:val="16"/>
                <w:b w:val="1"/>
                <w:bCs w:val="1"/>
                <w:color w:val="auto"/>
              </w:rPr>
              <w:t>51,876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63,884</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240" w:type="dxa"/>
            <w:vAlign w:val="bottom"/>
          </w:tcPr>
          <w:p>
            <w:pPr>
              <w:spacing w:after="0"/>
              <w:rPr>
                <w:sz w:val="19"/>
                <w:szCs w:val="19"/>
                <w:color w:val="auto"/>
              </w:rPr>
            </w:pPr>
          </w:p>
        </w:tc>
        <w:tc>
          <w:tcPr>
            <w:tcW w:w="1160" w:type="dxa"/>
            <w:vAlign w:val="bottom"/>
          </w:tcPr>
          <w:p>
            <w:pPr>
              <w:jc w:val="right"/>
              <w:ind w:right="22"/>
              <w:spacing w:after="0"/>
              <w:rPr>
                <w:sz w:val="20"/>
                <w:szCs w:val="20"/>
                <w:color w:val="auto"/>
              </w:rPr>
            </w:pPr>
            <w:r>
              <w:rPr>
                <w:rFonts w:ascii="Arial" w:cs="Arial" w:eastAsia="Arial" w:hAnsi="Arial"/>
                <w:sz w:val="16"/>
                <w:szCs w:val="16"/>
                <w:b w:val="1"/>
                <w:bCs w:val="1"/>
                <w:color w:val="auto"/>
              </w:rPr>
              <w:t>16,744</w:t>
            </w:r>
          </w:p>
        </w:tc>
        <w:tc>
          <w:tcPr>
            <w:tcW w:w="2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15,387</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6"/>
                <w:szCs w:val="16"/>
                <w:color w:val="auto"/>
              </w:rPr>
              <w:t>Finished goods</w:t>
            </w:r>
          </w:p>
        </w:tc>
        <w:tc>
          <w:tcPr>
            <w:tcW w:w="240" w:type="dxa"/>
            <w:vAlign w:val="bottom"/>
          </w:tcPr>
          <w:p>
            <w:pPr>
              <w:spacing w:after="0"/>
              <w:rPr>
                <w:sz w:val="19"/>
                <w:szCs w:val="19"/>
                <w:color w:val="auto"/>
              </w:rPr>
            </w:pPr>
          </w:p>
        </w:tc>
        <w:tc>
          <w:tcPr>
            <w:tcW w:w="1160" w:type="dxa"/>
            <w:vAlign w:val="bottom"/>
          </w:tcPr>
          <w:p>
            <w:pPr>
              <w:jc w:val="right"/>
              <w:ind w:right="22"/>
              <w:spacing w:after="0"/>
              <w:rPr>
                <w:sz w:val="20"/>
                <w:szCs w:val="20"/>
                <w:color w:val="auto"/>
              </w:rPr>
            </w:pPr>
            <w:r>
              <w:rPr>
                <w:rFonts w:ascii="Arial" w:cs="Arial" w:eastAsia="Arial" w:hAnsi="Arial"/>
                <w:sz w:val="16"/>
                <w:szCs w:val="16"/>
                <w:b w:val="1"/>
                <w:bCs w:val="1"/>
                <w:color w:val="auto"/>
              </w:rPr>
              <w:t>251,039</w:t>
            </w:r>
          </w:p>
        </w:tc>
        <w:tc>
          <w:tcPr>
            <w:tcW w:w="2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215,283</w:t>
            </w: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Arial" w:cs="Arial" w:eastAsia="Arial" w:hAnsi="Arial"/>
                <w:sz w:val="16"/>
                <w:szCs w:val="16"/>
                <w:color w:val="auto"/>
              </w:rPr>
              <w:t>Contracts in progress</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3,883</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2,657</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323,542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297,211</w:t>
            </w:r>
          </w:p>
        </w:tc>
        <w:tc>
          <w:tcPr>
            <w:tcW w:w="0" w:type="dxa"/>
            <w:vAlign w:val="bottom"/>
          </w:tcPr>
          <w:p>
            <w:pPr>
              <w:spacing w:after="0"/>
              <w:rPr>
                <w:sz w:val="1"/>
                <w:szCs w:val="1"/>
                <w:color w:val="auto"/>
              </w:rPr>
            </w:pPr>
          </w:p>
        </w:tc>
      </w:tr>
      <w:tr>
        <w:trPr>
          <w:trHeight w:val="24"/>
        </w:trPr>
        <w:tc>
          <w:tcPr>
            <w:tcW w:w="8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OTHER INTANGIBLE ASSETS</w:t>
      </w:r>
    </w:p>
    <w:p>
      <w:pPr>
        <w:spacing w:after="0" w:line="158"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In the second quarter of 2024, as a result of substantial digital advertising revenue declines and continued operating losses at WGB, the Company performed an interim review of the goodwill and intangible assets at the WGB reporting unit. As a result of the impairment review,</w:t>
      </w:r>
    </w:p>
    <w:p>
      <w:pPr>
        <w:spacing w:after="0" w:line="235" w:lineRule="auto"/>
        <w:rPr>
          <w:sz w:val="20"/>
          <w:szCs w:val="20"/>
          <w:color w:val="auto"/>
        </w:rPr>
      </w:pPr>
      <w:r>
        <w:rPr>
          <w:rFonts w:ascii="Arial" w:cs="Arial" w:eastAsia="Arial" w:hAnsi="Arial"/>
          <w:sz w:val="18"/>
          <w:szCs w:val="18"/>
          <w:color w:val="auto"/>
        </w:rPr>
        <w:t>the Company recorded goodwill and amortized intangible asset impairment charges totaling $26.3 million. The Company estimated the fair</w:t>
      </w:r>
    </w:p>
    <w:p>
      <w:pPr>
        <w:ind w:right="220"/>
        <w:spacing w:after="0" w:line="226" w:lineRule="auto"/>
        <w:rPr>
          <w:sz w:val="20"/>
          <w:szCs w:val="20"/>
          <w:color w:val="auto"/>
        </w:rPr>
      </w:pPr>
      <w:r>
        <w:rPr>
          <w:rFonts w:ascii="Arial" w:cs="Arial" w:eastAsia="Arial" w:hAnsi="Arial"/>
          <w:sz w:val="18"/>
          <w:szCs w:val="18"/>
          <w:color w:val="auto"/>
        </w:rPr>
        <w:t>value of the reporting unit and amortized intangible asset by utilizing a discounted cash flow model. The carrying value of the reporting unit and amortized intangible asset exceeded their estimated fair values, resulting in goodwill and intangible asset impairment charges for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amount by which the carrying values exceeded their estimated fair values. WGB is included in other businesses.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intangible assets for the three months ended June 30, 2024 and 2023, was $10.1 million and $13.3 million, respectively.</w:t>
      </w:r>
    </w:p>
    <w:p>
      <w:pPr>
        <w:ind w:right="280"/>
        <w:spacing w:after="0" w:line="242" w:lineRule="auto"/>
        <w:rPr>
          <w:sz w:val="20"/>
          <w:szCs w:val="20"/>
          <w:color w:val="auto"/>
        </w:rPr>
      </w:pPr>
      <w:r>
        <w:rPr>
          <w:rFonts w:ascii="Arial" w:cs="Arial" w:eastAsia="Arial" w:hAnsi="Arial"/>
          <w:sz w:val="18"/>
          <w:szCs w:val="18"/>
          <w:color w:val="auto"/>
        </w:rPr>
        <w:t>Amortization of intangible assets for the six months ended June 30, 2024 and 2023, was $20.8 million and $27.2 million, respectively. Amortization of intangible assets is estimated to be approximately $16 million for the remainder of 2024, $28 million in 2025, $20 million in 2026, $5 million in 2027, $2 million in 2028 and $2 million thereafter.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4"/>
                <w:szCs w:val="14"/>
                <w:color w:val="auto"/>
              </w:rPr>
            </w:pPr>
          </w:p>
        </w:tc>
        <w:tc>
          <w:tcPr>
            <w:tcW w:w="104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Education</w:t>
            </w:r>
          </w:p>
        </w:tc>
        <w:tc>
          <w:tcPr>
            <w:tcW w:w="180" w:type="dxa"/>
            <w:vAlign w:val="bottom"/>
          </w:tcPr>
          <w:p>
            <w:pPr>
              <w:spacing w:after="0"/>
              <w:rPr>
                <w:sz w:val="14"/>
                <w:szCs w:val="14"/>
                <w:color w:val="auto"/>
              </w:rPr>
            </w:pPr>
          </w:p>
        </w:tc>
        <w:tc>
          <w:tcPr>
            <w:tcW w:w="1140" w:type="dxa"/>
            <w:vAlign w:val="bottom"/>
          </w:tcPr>
          <w:p>
            <w:pPr>
              <w:jc w:val="right"/>
              <w:ind w:right="241"/>
              <w:spacing w:after="0"/>
              <w:rPr>
                <w:sz w:val="20"/>
                <w:szCs w:val="20"/>
                <w:color w:val="auto"/>
              </w:rPr>
            </w:pPr>
            <w:r>
              <w:rPr>
                <w:rFonts w:ascii="Arial" w:cs="Arial" w:eastAsia="Arial" w:hAnsi="Arial"/>
                <w:sz w:val="14"/>
                <w:szCs w:val="14"/>
                <w:b w:val="1"/>
                <w:bCs w:val="1"/>
                <w:color w:val="auto"/>
              </w:rPr>
              <w:t>Television</w:t>
            </w:r>
          </w:p>
        </w:tc>
        <w:tc>
          <w:tcPr>
            <w:tcW w:w="220" w:type="dxa"/>
            <w:vAlign w:val="bottom"/>
          </w:tcPr>
          <w:p>
            <w:pPr>
              <w:spacing w:after="0"/>
              <w:rPr>
                <w:sz w:val="14"/>
                <w:szCs w:val="14"/>
                <w:color w:val="auto"/>
              </w:rPr>
            </w:pP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Manufacturing</w:t>
            </w:r>
          </w:p>
        </w:tc>
        <w:tc>
          <w:tcPr>
            <w:tcW w:w="180" w:type="dxa"/>
            <w:vAlign w:val="bottom"/>
          </w:tcPr>
          <w:p>
            <w:pPr>
              <w:spacing w:after="0"/>
              <w:rPr>
                <w:sz w:val="14"/>
                <w:szCs w:val="14"/>
                <w:color w:val="auto"/>
              </w:rPr>
            </w:pPr>
          </w:p>
        </w:tc>
        <w:tc>
          <w:tcPr>
            <w:tcW w:w="92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Healthcare</w:t>
            </w:r>
          </w:p>
        </w:tc>
        <w:tc>
          <w:tcPr>
            <w:tcW w:w="220" w:type="dxa"/>
            <w:vAlign w:val="bottom"/>
          </w:tcPr>
          <w:p>
            <w:pPr>
              <w:spacing w:after="0"/>
              <w:rPr>
                <w:sz w:val="14"/>
                <w:szCs w:val="14"/>
                <w:color w:val="auto"/>
              </w:rPr>
            </w:pPr>
          </w:p>
        </w:tc>
        <w:tc>
          <w:tcPr>
            <w:tcW w:w="100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Automotive</w:t>
            </w:r>
          </w:p>
        </w:tc>
        <w:tc>
          <w:tcPr>
            <w:tcW w:w="220" w:type="dxa"/>
            <w:vAlign w:val="bottom"/>
          </w:tcPr>
          <w:p>
            <w:pPr>
              <w:spacing w:after="0"/>
              <w:rPr>
                <w:sz w:val="14"/>
                <w:szCs w:val="14"/>
                <w:color w:val="auto"/>
              </w:rPr>
            </w:pPr>
          </w:p>
        </w:tc>
        <w:tc>
          <w:tcPr>
            <w:tcW w:w="1020" w:type="dxa"/>
            <w:vAlign w:val="bottom"/>
          </w:tcPr>
          <w:p>
            <w:pPr>
              <w:jc w:val="right"/>
              <w:ind w:right="361"/>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4"/>
                <w:szCs w:val="14"/>
                <w:color w:val="auto"/>
              </w:rPr>
            </w:pPr>
          </w:p>
        </w:tc>
        <w:tc>
          <w:tcPr>
            <w:tcW w:w="9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24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Broadcasting</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Businesses</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420" w:type="dxa"/>
            <w:vAlign w:val="bottom"/>
          </w:tcPr>
          <w:p>
            <w:pPr>
              <w:ind w:left="20"/>
              <w:spacing w:after="0" w:line="169" w:lineRule="exact"/>
              <w:rPr>
                <w:sz w:val="20"/>
                <w:szCs w:val="20"/>
                <w:color w:val="auto"/>
              </w:rPr>
            </w:pPr>
            <w:r>
              <w:rPr>
                <w:rFonts w:ascii="Arial" w:cs="Arial" w:eastAsia="Arial" w:hAnsi="Arial"/>
                <w:sz w:val="16"/>
                <w:szCs w:val="16"/>
                <w:color w:val="auto"/>
              </w:rPr>
              <w:t>Balance as of December 31,</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420" w:type="dxa"/>
            <w:vAlign w:val="bottom"/>
          </w:tcPr>
          <w:p>
            <w:pPr>
              <w:ind w:left="20"/>
              <w:spacing w:after="0"/>
              <w:rPr>
                <w:sz w:val="20"/>
                <w:szCs w:val="20"/>
                <w:color w:val="auto"/>
              </w:rPr>
            </w:pPr>
            <w:r>
              <w:rPr>
                <w:rFonts w:ascii="Arial" w:cs="Arial" w:eastAsia="Arial" w:hAnsi="Arial"/>
                <w:sz w:val="16"/>
                <w:szCs w:val="16"/>
                <w:color w:val="auto"/>
              </w:rPr>
              <w:t>2023</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1,163,991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190,815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234,993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135,038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129,280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251,216</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2,105,333</w:t>
            </w:r>
          </w:p>
        </w:tc>
        <w:tc>
          <w:tcPr>
            <w:tcW w:w="0" w:type="dxa"/>
            <w:vAlign w:val="bottom"/>
          </w:tcPr>
          <w:p>
            <w:pPr>
              <w:spacing w:after="0"/>
              <w:rPr>
                <w:sz w:val="1"/>
                <w:szCs w:val="1"/>
                <w:color w:val="auto"/>
              </w:rPr>
            </w:pPr>
          </w:p>
        </w:tc>
      </w:tr>
      <w:tr>
        <w:trPr>
          <w:trHeight w:val="190"/>
        </w:trPr>
        <w:tc>
          <w:tcPr>
            <w:tcW w:w="2420" w:type="dxa"/>
            <w:vAlign w:val="bottom"/>
          </w:tcPr>
          <w:p>
            <w:pPr>
              <w:ind w:left="220"/>
              <w:spacing w:after="0"/>
              <w:rPr>
                <w:sz w:val="20"/>
                <w:szCs w:val="20"/>
                <w:color w:val="auto"/>
              </w:rPr>
            </w:pPr>
            <w:r>
              <w:rPr>
                <w:rFonts w:ascii="Arial" w:cs="Arial" w:eastAsia="Arial" w:hAnsi="Arial"/>
                <w:sz w:val="16"/>
                <w:szCs w:val="16"/>
                <w:color w:val="auto"/>
              </w:rPr>
              <w:t>Accumulated impairment</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420" w:type="dxa"/>
            <w:vAlign w:val="bottom"/>
          </w:tcPr>
          <w:p>
            <w:pPr>
              <w:ind w:left="400"/>
              <w:spacing w:after="0"/>
              <w:rPr>
                <w:sz w:val="20"/>
                <w:szCs w:val="20"/>
                <w:color w:val="auto"/>
              </w:rPr>
            </w:pPr>
            <w:r>
              <w:rPr>
                <w:rFonts w:ascii="Arial" w:cs="Arial" w:eastAsia="Arial" w:hAnsi="Arial"/>
                <w:sz w:val="16"/>
                <w:szCs w:val="16"/>
                <w:color w:val="auto"/>
              </w:rPr>
              <w:t>losses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(82,062)</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(166,926)</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(580,139)</w:t>
            </w:r>
          </w:p>
        </w:tc>
        <w:tc>
          <w:tcPr>
            <w:tcW w:w="0" w:type="dxa"/>
            <w:vAlign w:val="bottom"/>
          </w:tcPr>
          <w:p>
            <w:pPr>
              <w:spacing w:after="0"/>
              <w:rPr>
                <w:sz w:val="1"/>
                <w:szCs w:val="1"/>
                <w:color w:val="auto"/>
              </w:rPr>
            </w:pPr>
          </w:p>
        </w:tc>
      </w:tr>
      <w:tr>
        <w:trPr>
          <w:trHeight w:val="215"/>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832,840</w:t>
            </w:r>
          </w:p>
        </w:tc>
        <w:tc>
          <w:tcPr>
            <w:tcW w:w="180" w:type="dxa"/>
            <w:vAlign w:val="bottom"/>
          </w:tcPr>
          <w:p>
            <w:pPr>
              <w:spacing w:after="0"/>
              <w:rPr>
                <w:sz w:val="18"/>
                <w:szCs w:val="18"/>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190,815</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152,931</w:t>
            </w:r>
          </w:p>
        </w:tc>
        <w:tc>
          <w:tcPr>
            <w:tcW w:w="180" w:type="dxa"/>
            <w:vAlign w:val="bottom"/>
          </w:tcPr>
          <w:p>
            <w:pPr>
              <w:spacing w:after="0"/>
              <w:rPr>
                <w:sz w:val="18"/>
                <w:szCs w:val="18"/>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135,038</w:t>
            </w:r>
          </w:p>
        </w:tc>
        <w:tc>
          <w:tcPr>
            <w:tcW w:w="220" w:type="dxa"/>
            <w:vAlign w:val="bottom"/>
          </w:tcPr>
          <w:p>
            <w:pPr>
              <w:spacing w:after="0"/>
              <w:rPr>
                <w:sz w:val="18"/>
                <w:szCs w:val="18"/>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129,280</w:t>
            </w:r>
          </w:p>
        </w:tc>
        <w:tc>
          <w:tcPr>
            <w:tcW w:w="220" w:type="dxa"/>
            <w:vAlign w:val="bottom"/>
          </w:tcPr>
          <w:p>
            <w:pPr>
              <w:spacing w:after="0"/>
              <w:rPr>
                <w:sz w:val="18"/>
                <w:szCs w:val="18"/>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84,290</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1,525,194</w:t>
            </w:r>
          </w:p>
        </w:tc>
        <w:tc>
          <w:tcPr>
            <w:tcW w:w="0" w:type="dxa"/>
            <w:vAlign w:val="bottom"/>
          </w:tcPr>
          <w:p>
            <w:pPr>
              <w:spacing w:after="0"/>
              <w:rPr>
                <w:sz w:val="1"/>
                <w:szCs w:val="1"/>
                <w:color w:val="auto"/>
              </w:rPr>
            </w:pPr>
          </w:p>
        </w:tc>
      </w:tr>
      <w:tr>
        <w:trPr>
          <w:trHeight w:val="237"/>
        </w:trPr>
        <w:tc>
          <w:tcPr>
            <w:tcW w:w="2420" w:type="dxa"/>
            <w:vAlign w:val="bottom"/>
          </w:tcPr>
          <w:p>
            <w:pPr>
              <w:ind w:left="20"/>
              <w:spacing w:after="0"/>
              <w:rPr>
                <w:sz w:val="20"/>
                <w:szCs w:val="20"/>
                <w:color w:val="auto"/>
              </w:rPr>
            </w:pPr>
            <w:r>
              <w:rPr>
                <w:rFonts w:ascii="Arial" w:cs="Arial" w:eastAsia="Arial" w:hAnsi="Arial"/>
                <w:sz w:val="16"/>
                <w:szCs w:val="16"/>
                <w:b w:val="1"/>
                <w:bCs w:val="1"/>
                <w:color w:val="auto"/>
              </w:rPr>
              <w:t>Acquisitions</w:t>
            </w:r>
          </w:p>
        </w:tc>
        <w:tc>
          <w:tcPr>
            <w:tcW w:w="18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4,011</w:t>
            </w:r>
          </w:p>
        </w:tc>
        <w:tc>
          <w:tcPr>
            <w:tcW w:w="18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4,011</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Arial" w:cs="Arial" w:eastAsia="Arial" w:hAnsi="Arial"/>
                <w:sz w:val="16"/>
                <w:szCs w:val="16"/>
                <w:b w:val="1"/>
                <w:bCs w:val="1"/>
                <w:color w:val="auto"/>
              </w:rPr>
              <w:t>Impairments</w:t>
            </w:r>
          </w:p>
        </w:tc>
        <w:tc>
          <w:tcPr>
            <w:tcW w:w="18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b w:val="1"/>
                <w:bCs w:val="1"/>
                <w:color w:val="auto"/>
              </w:rPr>
              <w:t>(7,502)</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(7,502)</w:t>
            </w:r>
          </w:p>
        </w:tc>
        <w:tc>
          <w:tcPr>
            <w:tcW w:w="0" w:type="dxa"/>
            <w:vAlign w:val="bottom"/>
          </w:tcPr>
          <w:p>
            <w:pPr>
              <w:spacing w:after="0"/>
              <w:rPr>
                <w:sz w:val="1"/>
                <w:szCs w:val="1"/>
                <w:color w:val="auto"/>
              </w:rPr>
            </w:pPr>
          </w:p>
        </w:tc>
      </w:tr>
      <w:tr>
        <w:trPr>
          <w:trHeight w:val="182"/>
        </w:trPr>
        <w:tc>
          <w:tcPr>
            <w:tcW w:w="2420" w:type="dxa"/>
            <w:vAlign w:val="bottom"/>
          </w:tcPr>
          <w:p>
            <w:pPr>
              <w:ind w:left="20"/>
              <w:spacing w:after="0" w:line="182" w:lineRule="exact"/>
              <w:rPr>
                <w:sz w:val="20"/>
                <w:szCs w:val="20"/>
                <w:color w:val="auto"/>
              </w:rPr>
            </w:pPr>
            <w:r>
              <w:rPr>
                <w:rFonts w:ascii="Arial" w:cs="Arial" w:eastAsia="Arial" w:hAnsi="Arial"/>
                <w:sz w:val="16"/>
                <w:szCs w:val="16"/>
                <w:b w:val="1"/>
                <w:bCs w:val="1"/>
                <w:color w:val="auto"/>
              </w:rPr>
              <w:t>Foreign currency exchange</w:t>
            </w:r>
          </w:p>
        </w:tc>
        <w:tc>
          <w:tcPr>
            <w:tcW w:w="1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(9,256)</w:t>
            </w:r>
          </w:p>
        </w:tc>
        <w:tc>
          <w:tcPr>
            <w:tcW w:w="180" w:type="dxa"/>
            <w:vAlign w:val="bottom"/>
          </w:tcPr>
          <w:p>
            <w:pPr>
              <w:spacing w:after="0"/>
              <w:rPr>
                <w:sz w:val="15"/>
                <w:szCs w:val="15"/>
                <w:color w:val="auto"/>
              </w:rPr>
            </w:pPr>
          </w:p>
        </w:tc>
        <w:tc>
          <w:tcPr>
            <w:tcW w:w="114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2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5"/>
                <w:szCs w:val="15"/>
                <w:color w:val="auto"/>
              </w:rPr>
            </w:pPr>
          </w:p>
        </w:tc>
        <w:tc>
          <w:tcPr>
            <w:tcW w:w="92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00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02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(9,256)</w:t>
            </w:r>
          </w:p>
        </w:tc>
        <w:tc>
          <w:tcPr>
            <w:tcW w:w="0" w:type="dxa"/>
            <w:vAlign w:val="bottom"/>
          </w:tcPr>
          <w:p>
            <w:pPr>
              <w:spacing w:after="0"/>
              <w:rPr>
                <w:sz w:val="1"/>
                <w:szCs w:val="1"/>
                <w:color w:val="auto"/>
              </w:rPr>
            </w:pPr>
          </w:p>
        </w:tc>
      </w:tr>
      <w:tr>
        <w:trPr>
          <w:trHeight w:val="224"/>
        </w:trPr>
        <w:tc>
          <w:tcPr>
            <w:tcW w:w="2420" w:type="dxa"/>
            <w:vAlign w:val="bottom"/>
          </w:tcPr>
          <w:p>
            <w:pPr>
              <w:ind w:left="180"/>
              <w:spacing w:after="0"/>
              <w:rPr>
                <w:sz w:val="20"/>
                <w:szCs w:val="20"/>
                <w:color w:val="auto"/>
              </w:rPr>
            </w:pPr>
            <w:r>
              <w:rPr>
                <w:rFonts w:ascii="Arial" w:cs="Arial" w:eastAsia="Arial" w:hAnsi="Arial"/>
                <w:sz w:val="16"/>
                <w:szCs w:val="16"/>
                <w:b w:val="1"/>
                <w:bCs w:val="1"/>
                <w:color w:val="auto"/>
              </w:rPr>
              <w:t>rate changes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420" w:type="dxa"/>
            <w:vAlign w:val="bottom"/>
          </w:tcPr>
          <w:p>
            <w:pPr>
              <w:ind w:left="20"/>
              <w:spacing w:after="0"/>
              <w:rPr>
                <w:sz w:val="20"/>
                <w:szCs w:val="20"/>
                <w:color w:val="auto"/>
              </w:rPr>
            </w:pPr>
            <w:r>
              <w:rPr>
                <w:rFonts w:ascii="Arial" w:cs="Arial" w:eastAsia="Arial" w:hAnsi="Arial"/>
                <w:sz w:val="16"/>
                <w:szCs w:val="16"/>
                <w:b w:val="1"/>
                <w:bCs w:val="1"/>
                <w:color w:val="auto"/>
              </w:rPr>
              <w:t>Balance as of June 30, 2024</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220"/>
              <w:spacing w:after="0"/>
              <w:rPr>
                <w:sz w:val="20"/>
                <w:szCs w:val="20"/>
                <w:color w:val="auto"/>
              </w:rPr>
            </w:pPr>
            <w:r>
              <w:rPr>
                <w:rFonts w:ascii="Arial" w:cs="Arial" w:eastAsia="Arial" w:hAnsi="Arial"/>
                <w:sz w:val="16"/>
                <w:szCs w:val="16"/>
                <w:b w:val="1"/>
                <w:bCs w:val="1"/>
                <w:color w:val="auto"/>
              </w:rPr>
              <w:t>Goodwill</w:t>
            </w:r>
          </w:p>
        </w:tc>
        <w:tc>
          <w:tcPr>
            <w:tcW w:w="18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1,158,746</w:t>
            </w:r>
          </w:p>
        </w:tc>
        <w:tc>
          <w:tcPr>
            <w:tcW w:w="18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b w:val="1"/>
                <w:bCs w:val="1"/>
                <w:color w:val="auto"/>
              </w:rPr>
              <w:t>190,815</w:t>
            </w:r>
          </w:p>
        </w:tc>
        <w:tc>
          <w:tcPr>
            <w:tcW w:w="22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234,993</w:t>
            </w:r>
          </w:p>
        </w:tc>
        <w:tc>
          <w:tcPr>
            <w:tcW w:w="18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135,038</w:t>
            </w:r>
          </w:p>
        </w:tc>
        <w:tc>
          <w:tcPr>
            <w:tcW w:w="22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auto"/>
              </w:rPr>
              <w:t>129,280</w:t>
            </w:r>
          </w:p>
        </w:tc>
        <w:tc>
          <w:tcPr>
            <w:tcW w:w="22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b w:val="1"/>
                <w:bCs w:val="1"/>
                <w:color w:val="auto"/>
              </w:rPr>
              <w:t>251,216</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2,100,088</w:t>
            </w:r>
          </w:p>
        </w:tc>
        <w:tc>
          <w:tcPr>
            <w:tcW w:w="0" w:type="dxa"/>
            <w:vAlign w:val="bottom"/>
          </w:tcPr>
          <w:p>
            <w:pPr>
              <w:spacing w:after="0"/>
              <w:rPr>
                <w:sz w:val="1"/>
                <w:szCs w:val="1"/>
                <w:color w:val="auto"/>
              </w:rPr>
            </w:pPr>
          </w:p>
        </w:tc>
      </w:tr>
      <w:tr>
        <w:trPr>
          <w:trHeight w:val="182"/>
        </w:trPr>
        <w:tc>
          <w:tcPr>
            <w:tcW w:w="2420" w:type="dxa"/>
            <w:vAlign w:val="bottom"/>
          </w:tcPr>
          <w:p>
            <w:pPr>
              <w:ind w:left="220"/>
              <w:spacing w:after="0" w:line="182" w:lineRule="exact"/>
              <w:rPr>
                <w:sz w:val="20"/>
                <w:szCs w:val="20"/>
                <w:color w:val="auto"/>
              </w:rPr>
            </w:pPr>
            <w:r>
              <w:rPr>
                <w:rFonts w:ascii="Arial" w:cs="Arial" w:eastAsia="Arial" w:hAnsi="Arial"/>
                <w:sz w:val="16"/>
                <w:szCs w:val="16"/>
                <w:b w:val="1"/>
                <w:bCs w:val="1"/>
                <w:color w:val="auto"/>
              </w:rPr>
              <w:t>Accumulated impairment</w:t>
            </w:r>
          </w:p>
        </w:tc>
        <w:tc>
          <w:tcPr>
            <w:tcW w:w="1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(331,151)</w:t>
            </w:r>
          </w:p>
        </w:tc>
        <w:tc>
          <w:tcPr>
            <w:tcW w:w="180" w:type="dxa"/>
            <w:vAlign w:val="bottom"/>
          </w:tcPr>
          <w:p>
            <w:pPr>
              <w:spacing w:after="0"/>
              <w:rPr>
                <w:sz w:val="15"/>
                <w:szCs w:val="15"/>
                <w:color w:val="auto"/>
              </w:rPr>
            </w:pPr>
          </w:p>
        </w:tc>
        <w:tc>
          <w:tcPr>
            <w:tcW w:w="114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(82,062)</w:t>
            </w:r>
          </w:p>
        </w:tc>
        <w:tc>
          <w:tcPr>
            <w:tcW w:w="180" w:type="dxa"/>
            <w:vAlign w:val="bottom"/>
          </w:tcPr>
          <w:p>
            <w:pPr>
              <w:spacing w:after="0"/>
              <w:rPr>
                <w:sz w:val="15"/>
                <w:szCs w:val="15"/>
                <w:color w:val="auto"/>
              </w:rPr>
            </w:pPr>
          </w:p>
        </w:tc>
        <w:tc>
          <w:tcPr>
            <w:tcW w:w="92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00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02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(174,428)</w:t>
            </w: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(587,641)</w:t>
            </w:r>
          </w:p>
        </w:tc>
        <w:tc>
          <w:tcPr>
            <w:tcW w:w="0" w:type="dxa"/>
            <w:vAlign w:val="bottom"/>
          </w:tcPr>
          <w:p>
            <w:pPr>
              <w:spacing w:after="0"/>
              <w:rPr>
                <w:sz w:val="1"/>
                <w:szCs w:val="1"/>
                <w:color w:val="auto"/>
              </w:rPr>
            </w:pPr>
          </w:p>
        </w:tc>
      </w:tr>
      <w:tr>
        <w:trPr>
          <w:trHeight w:val="226"/>
        </w:trPr>
        <w:tc>
          <w:tcPr>
            <w:tcW w:w="2420" w:type="dxa"/>
            <w:vAlign w:val="bottom"/>
          </w:tcPr>
          <w:p>
            <w:pPr>
              <w:ind w:left="400"/>
              <w:spacing w:after="0"/>
              <w:rPr>
                <w:sz w:val="20"/>
                <w:szCs w:val="20"/>
                <w:color w:val="auto"/>
              </w:rPr>
            </w:pPr>
            <w:r>
              <w:rPr>
                <w:rFonts w:ascii="Arial" w:cs="Arial" w:eastAsia="Arial" w:hAnsi="Arial"/>
                <w:sz w:val="16"/>
                <w:szCs w:val="16"/>
                <w:b w:val="1"/>
                <w:bCs w:val="1"/>
                <w:color w:val="auto"/>
              </w:rPr>
              <w:t>losses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827,595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190,815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152,931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135,038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129,280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76,788</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1,512,447</w:t>
            </w:r>
          </w:p>
        </w:tc>
        <w:tc>
          <w:tcPr>
            <w:tcW w:w="0" w:type="dxa"/>
            <w:vAlign w:val="bottom"/>
          </w:tcPr>
          <w:p>
            <w:pPr>
              <w:spacing w:after="0"/>
              <w:rPr>
                <w:sz w:val="1"/>
                <w:szCs w:val="1"/>
                <w:color w:val="auto"/>
              </w:rPr>
            </w:pPr>
          </w:p>
        </w:tc>
      </w:tr>
      <w:tr>
        <w:trPr>
          <w:trHeight w:val="24"/>
        </w:trPr>
        <w:tc>
          <w:tcPr>
            <w:tcW w:w="2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changes in carrying amount of goodwill at the Company’s education division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4"/>
                <w:szCs w:val="14"/>
                <w:color w:val="auto"/>
              </w:rPr>
            </w:pPr>
          </w:p>
        </w:tc>
        <w:tc>
          <w:tcPr>
            <w:tcW w:w="1200" w:type="dxa"/>
            <w:vAlign w:val="bottom"/>
          </w:tcPr>
          <w:p>
            <w:pPr>
              <w:jc w:val="right"/>
              <w:ind w:right="401"/>
              <w:spacing w:after="0"/>
              <w:rPr>
                <w:sz w:val="20"/>
                <w:szCs w:val="20"/>
                <w:color w:val="auto"/>
              </w:rPr>
            </w:pPr>
            <w:r>
              <w:rPr>
                <w:rFonts w:ascii="Arial" w:cs="Arial" w:eastAsia="Arial" w:hAnsi="Arial"/>
                <w:sz w:val="14"/>
                <w:szCs w:val="14"/>
                <w:b w:val="1"/>
                <w:bCs w:val="1"/>
                <w:color w:val="auto"/>
              </w:rPr>
              <w:t>Kaplan</w:t>
            </w:r>
          </w:p>
        </w:tc>
        <w:tc>
          <w:tcPr>
            <w:tcW w:w="260" w:type="dxa"/>
            <w:vAlign w:val="bottom"/>
          </w:tcPr>
          <w:p>
            <w:pPr>
              <w:spacing w:after="0"/>
              <w:rPr>
                <w:sz w:val="14"/>
                <w:szCs w:val="14"/>
                <w:color w:val="auto"/>
              </w:rPr>
            </w:pPr>
          </w:p>
        </w:tc>
        <w:tc>
          <w:tcPr>
            <w:tcW w:w="1140" w:type="dxa"/>
            <w:vAlign w:val="bottom"/>
          </w:tcPr>
          <w:p>
            <w:pPr>
              <w:jc w:val="right"/>
              <w:ind w:right="401"/>
              <w:spacing w:after="0"/>
              <w:rPr>
                <w:sz w:val="20"/>
                <w:szCs w:val="20"/>
                <w:color w:val="auto"/>
              </w:rPr>
            </w:pPr>
            <w:r>
              <w:rPr>
                <w:rFonts w:ascii="Arial" w:cs="Arial" w:eastAsia="Arial" w:hAnsi="Arial"/>
                <w:sz w:val="14"/>
                <w:szCs w:val="14"/>
                <w:b w:val="1"/>
                <w:bCs w:val="1"/>
                <w:color w:val="auto"/>
              </w:rPr>
              <w:t>Higher</w:t>
            </w:r>
          </w:p>
        </w:tc>
        <w:tc>
          <w:tcPr>
            <w:tcW w:w="220" w:type="dxa"/>
            <w:vAlign w:val="bottom"/>
          </w:tcPr>
          <w:p>
            <w:pPr>
              <w:spacing w:after="0"/>
              <w:rPr>
                <w:sz w:val="14"/>
                <w:szCs w:val="14"/>
                <w:color w:val="auto"/>
              </w:rPr>
            </w:pPr>
          </w:p>
        </w:tc>
        <w:tc>
          <w:tcPr>
            <w:tcW w:w="1220" w:type="dxa"/>
            <w:vAlign w:val="bottom"/>
          </w:tcPr>
          <w:p>
            <w:pPr>
              <w:jc w:val="right"/>
              <w:ind w:right="161"/>
              <w:spacing w:after="0"/>
              <w:rPr>
                <w:sz w:val="20"/>
                <w:szCs w:val="20"/>
                <w:color w:val="auto"/>
              </w:rPr>
            </w:pPr>
            <w:r>
              <w:rPr>
                <w:rFonts w:ascii="Arial" w:cs="Arial" w:eastAsia="Arial" w:hAnsi="Arial"/>
                <w:sz w:val="14"/>
                <w:szCs w:val="14"/>
                <w:b w:val="1"/>
                <w:bCs w:val="1"/>
                <w:color w:val="auto"/>
              </w:rPr>
              <w:t>Supplemental</w:t>
            </w:r>
          </w:p>
        </w:tc>
        <w:tc>
          <w:tcPr>
            <w:tcW w:w="360" w:type="dxa"/>
            <w:vAlign w:val="bottom"/>
          </w:tcPr>
          <w:p>
            <w:pPr>
              <w:spacing w:after="0"/>
              <w:rPr>
                <w:sz w:val="14"/>
                <w:szCs w:val="14"/>
                <w:color w:val="auto"/>
              </w:rPr>
            </w:pPr>
          </w:p>
        </w:tc>
        <w:tc>
          <w:tcPr>
            <w:tcW w:w="1040" w:type="dxa"/>
            <w:vAlign w:val="bottom"/>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56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Education</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Education</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640" w:type="dxa"/>
            <w:vAlign w:val="bottom"/>
          </w:tcPr>
          <w:p>
            <w:pPr>
              <w:ind w:left="20"/>
              <w:spacing w:after="0"/>
              <w:rPr>
                <w:sz w:val="20"/>
                <w:szCs w:val="20"/>
                <w:color w:val="auto"/>
              </w:rPr>
            </w:pPr>
            <w:r>
              <w:rPr>
                <w:rFonts w:ascii="Arial" w:cs="Arial" w:eastAsia="Arial" w:hAnsi="Arial"/>
                <w:sz w:val="16"/>
                <w:szCs w:val="16"/>
                <w:color w:val="auto"/>
              </w:rPr>
              <w:t>Balance as of December 31, 2023</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4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598,000</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174,564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391,427</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1,163,991</w:t>
            </w:r>
          </w:p>
        </w:tc>
        <w:tc>
          <w:tcPr>
            <w:tcW w:w="0" w:type="dxa"/>
            <w:vAlign w:val="bottom"/>
          </w:tcPr>
          <w:p>
            <w:pPr>
              <w:spacing w:after="0"/>
              <w:rPr>
                <w:sz w:val="1"/>
                <w:szCs w:val="1"/>
                <w:color w:val="auto"/>
              </w:rPr>
            </w:pPr>
          </w:p>
        </w:tc>
      </w:tr>
      <w:tr>
        <w:trPr>
          <w:trHeight w:val="238"/>
        </w:trPr>
        <w:tc>
          <w:tcPr>
            <w:tcW w:w="5640" w:type="dxa"/>
            <w:vAlign w:val="bottom"/>
          </w:tcPr>
          <w:p>
            <w:pPr>
              <w:ind w:left="220"/>
              <w:spacing w:after="0"/>
              <w:rPr>
                <w:sz w:val="20"/>
                <w:szCs w:val="20"/>
                <w:color w:val="auto"/>
              </w:rPr>
            </w:pPr>
            <w:r>
              <w:rPr>
                <w:rFonts w:ascii="Arial" w:cs="Arial" w:eastAsia="Arial" w:hAnsi="Arial"/>
                <w:sz w:val="16"/>
                <w:szCs w:val="16"/>
                <w:color w:val="auto"/>
              </w:rPr>
              <w:t>Accumulated impairment losses</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(111,324)</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(219,827)</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0" w:type="dxa"/>
            <w:vAlign w:val="bottom"/>
          </w:tcPr>
          <w:p>
            <w:pPr>
              <w:spacing w:after="0"/>
              <w:rPr>
                <w:sz w:val="1"/>
                <w:szCs w:val="1"/>
                <w:color w:val="auto"/>
              </w:rPr>
            </w:pPr>
          </w:p>
        </w:tc>
      </w:tr>
      <w:tr>
        <w:trPr>
          <w:trHeight w:val="215"/>
        </w:trPr>
        <w:tc>
          <w:tcPr>
            <w:tcW w:w="5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598,000</w:t>
            </w:r>
          </w:p>
        </w:tc>
        <w:tc>
          <w:tcPr>
            <w:tcW w:w="26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63,240</w:t>
            </w:r>
          </w:p>
        </w:tc>
        <w:tc>
          <w:tcPr>
            <w:tcW w:w="220" w:type="dxa"/>
            <w:vAlign w:val="bottom"/>
          </w:tcPr>
          <w:p>
            <w:pPr>
              <w:spacing w:after="0"/>
              <w:rPr>
                <w:sz w:val="18"/>
                <w:szCs w:val="18"/>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171,600</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832,840</w:t>
            </w:r>
          </w:p>
        </w:tc>
        <w:tc>
          <w:tcPr>
            <w:tcW w:w="0" w:type="dxa"/>
            <w:vAlign w:val="bottom"/>
          </w:tcPr>
          <w:p>
            <w:pPr>
              <w:spacing w:after="0"/>
              <w:rPr>
                <w:sz w:val="1"/>
                <w:szCs w:val="1"/>
                <w:color w:val="auto"/>
              </w:rPr>
            </w:pPr>
          </w:p>
        </w:tc>
      </w:tr>
      <w:tr>
        <w:trPr>
          <w:trHeight w:val="237"/>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Acquisitions</w:t>
            </w:r>
          </w:p>
        </w:tc>
        <w:tc>
          <w:tcPr>
            <w:tcW w:w="16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b w:val="1"/>
                <w:bCs w:val="1"/>
                <w:color w:val="auto"/>
              </w:rPr>
              <w:t>4,011</w:t>
            </w:r>
          </w:p>
        </w:tc>
        <w:tc>
          <w:tcPr>
            <w:tcW w:w="26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4,011</w:t>
            </w:r>
          </w:p>
        </w:tc>
        <w:tc>
          <w:tcPr>
            <w:tcW w:w="0" w:type="dxa"/>
            <w:vAlign w:val="bottom"/>
          </w:tcPr>
          <w:p>
            <w:pPr>
              <w:spacing w:after="0"/>
              <w:rPr>
                <w:sz w:val="1"/>
                <w:szCs w:val="1"/>
                <w:color w:val="auto"/>
              </w:rPr>
            </w:pPr>
          </w:p>
        </w:tc>
      </w:tr>
      <w:tr>
        <w:trPr>
          <w:trHeight w:val="231"/>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Foreign currency exchange rate changes</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(9,191)</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(65)</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(9,256)</w:t>
            </w:r>
          </w:p>
        </w:tc>
        <w:tc>
          <w:tcPr>
            <w:tcW w:w="0" w:type="dxa"/>
            <w:vAlign w:val="bottom"/>
          </w:tcPr>
          <w:p>
            <w:pPr>
              <w:spacing w:after="0"/>
              <w:rPr>
                <w:sz w:val="1"/>
                <w:szCs w:val="1"/>
                <w:color w:val="auto"/>
              </w:rPr>
            </w:pPr>
          </w:p>
        </w:tc>
      </w:tr>
      <w:tr>
        <w:trPr>
          <w:trHeight w:val="222"/>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Balance as of June 30, 2024</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tcPr>
          <w:p>
            <w:pPr>
              <w:ind w:left="220"/>
              <w:spacing w:after="0"/>
              <w:rPr>
                <w:sz w:val="20"/>
                <w:szCs w:val="20"/>
                <w:color w:val="auto"/>
              </w:rPr>
            </w:pPr>
            <w:r>
              <w:rPr>
                <w:rFonts w:ascii="Arial" w:cs="Arial" w:eastAsia="Arial" w:hAnsi="Arial"/>
                <w:sz w:val="16"/>
                <w:szCs w:val="16"/>
                <w:b w:val="1"/>
                <w:bCs w:val="1"/>
                <w:color w:val="auto"/>
              </w:rPr>
              <w:t>Goodwill</w:t>
            </w:r>
          </w:p>
        </w:tc>
        <w:tc>
          <w:tcPr>
            <w:tcW w:w="160" w:type="dxa"/>
            <w:vAlign w:val="bottom"/>
          </w:tcPr>
          <w:p>
            <w:pPr>
              <w:spacing w:after="0"/>
              <w:rPr>
                <w:sz w:val="19"/>
                <w:szCs w:val="19"/>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b w:val="1"/>
                <w:bCs w:val="1"/>
                <w:color w:val="auto"/>
              </w:rPr>
              <w:t>592,820</w:t>
            </w:r>
          </w:p>
        </w:tc>
        <w:tc>
          <w:tcPr>
            <w:tcW w:w="26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174,564</w:t>
            </w:r>
          </w:p>
        </w:tc>
        <w:tc>
          <w:tcPr>
            <w:tcW w:w="220" w:type="dxa"/>
            <w:vAlign w:val="bottom"/>
          </w:tcPr>
          <w:p>
            <w:pPr>
              <w:spacing w:after="0"/>
              <w:rPr>
                <w:sz w:val="19"/>
                <w:szCs w:val="19"/>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b w:val="1"/>
                <w:bCs w:val="1"/>
                <w:color w:val="auto"/>
              </w:rPr>
              <w:t>391,362</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1,158,746</w:t>
            </w:r>
          </w:p>
        </w:tc>
        <w:tc>
          <w:tcPr>
            <w:tcW w:w="0" w:type="dxa"/>
            <w:vAlign w:val="bottom"/>
          </w:tcPr>
          <w:p>
            <w:pPr>
              <w:spacing w:after="0"/>
              <w:rPr>
                <w:sz w:val="1"/>
                <w:szCs w:val="1"/>
                <w:color w:val="auto"/>
              </w:rPr>
            </w:pPr>
          </w:p>
        </w:tc>
      </w:tr>
      <w:tr>
        <w:trPr>
          <w:trHeight w:val="233"/>
        </w:trPr>
        <w:tc>
          <w:tcPr>
            <w:tcW w:w="5640" w:type="dxa"/>
            <w:vAlign w:val="bottom"/>
          </w:tcPr>
          <w:p>
            <w:pPr>
              <w:ind w:left="220"/>
              <w:spacing w:after="0"/>
              <w:rPr>
                <w:sz w:val="20"/>
                <w:szCs w:val="20"/>
                <w:color w:val="auto"/>
              </w:rPr>
            </w:pPr>
            <w:r>
              <w:rPr>
                <w:rFonts w:ascii="Arial" w:cs="Arial" w:eastAsia="Arial" w:hAnsi="Arial"/>
                <w:sz w:val="16"/>
                <w:szCs w:val="16"/>
                <w:b w:val="1"/>
                <w:bCs w:val="1"/>
                <w:color w:val="auto"/>
              </w:rPr>
              <w:t>Accumulated impairment losses</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(111,324)</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(219,827)</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(331,151)</w:t>
            </w:r>
          </w:p>
        </w:tc>
        <w:tc>
          <w:tcPr>
            <w:tcW w:w="0" w:type="dxa"/>
            <w:vAlign w:val="bottom"/>
          </w:tcPr>
          <w:p>
            <w:pPr>
              <w:spacing w:after="0"/>
              <w:rPr>
                <w:sz w:val="1"/>
                <w:szCs w:val="1"/>
                <w:color w:val="auto"/>
              </w:rPr>
            </w:pPr>
          </w:p>
        </w:tc>
      </w:tr>
      <w:tr>
        <w:trPr>
          <w:trHeight w:val="223"/>
        </w:trPr>
        <w:tc>
          <w:tcPr>
            <w:tcW w:w="56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592,820</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63,240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171,535</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827,595</w:t>
            </w:r>
          </w:p>
        </w:tc>
        <w:tc>
          <w:tcPr>
            <w:tcW w:w="0" w:type="dxa"/>
            <w:vAlign w:val="bottom"/>
          </w:tcPr>
          <w:p>
            <w:pPr>
              <w:spacing w:after="0"/>
              <w:rPr>
                <w:sz w:val="1"/>
                <w:szCs w:val="1"/>
                <w:color w:val="auto"/>
              </w:rPr>
            </w:pPr>
          </w:p>
        </w:tc>
      </w:tr>
      <w:tr>
        <w:trPr>
          <w:trHeight w:val="24"/>
        </w:trPr>
        <w:tc>
          <w:tcPr>
            <w:tcW w:w="5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8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As of June 30, 2024</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center"/>
              <w:ind w:left="581"/>
              <w:spacing w:after="0"/>
              <w:rPr>
                <w:sz w:val="20"/>
                <w:szCs w:val="20"/>
                <w:color w:val="auto"/>
              </w:rPr>
            </w:pPr>
            <w:r>
              <w:rPr>
                <w:rFonts w:ascii="Arial" w:cs="Arial" w:eastAsia="Arial" w:hAnsi="Arial"/>
                <w:sz w:val="14"/>
                <w:szCs w:val="14"/>
                <w:color w:val="auto"/>
              </w:rPr>
              <w:t>As of December 31, 2023</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101"/>
              <w:spacing w:after="0"/>
              <w:rPr>
                <w:sz w:val="20"/>
                <w:szCs w:val="20"/>
                <w:color w:val="auto"/>
              </w:rPr>
            </w:pPr>
            <w:r>
              <w:rPr>
                <w:rFonts w:ascii="Arial" w:cs="Arial" w:eastAsia="Arial" w:hAnsi="Arial"/>
                <w:sz w:val="14"/>
                <w:szCs w:val="14"/>
                <w:b w:val="1"/>
                <w:bCs w:val="1"/>
                <w:color w:val="auto"/>
                <w:w w:val="98"/>
              </w:rPr>
              <w:t>Gross</w:t>
            </w: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ind w:right="121"/>
              <w:spacing w:after="0"/>
              <w:rPr>
                <w:sz w:val="20"/>
                <w:szCs w:val="20"/>
                <w:color w:val="auto"/>
              </w:rPr>
            </w:pPr>
            <w:r>
              <w:rPr>
                <w:rFonts w:ascii="Arial" w:cs="Arial" w:eastAsia="Arial" w:hAnsi="Arial"/>
                <w:sz w:val="14"/>
                <w:szCs w:val="14"/>
                <w:color w:val="auto"/>
              </w:rPr>
              <w:t>Gross</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center"/>
              <w:ind w:right="122"/>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152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rPr>
              <w:t>Useful Life</w:t>
            </w:r>
          </w:p>
        </w:tc>
        <w:tc>
          <w:tcPr>
            <w:tcW w:w="140" w:type="dxa"/>
            <w:vAlign w:val="bottom"/>
          </w:tcPr>
          <w:p>
            <w:pPr>
              <w:spacing w:after="0"/>
              <w:rPr>
                <w:sz w:val="12"/>
                <w:szCs w:val="12"/>
                <w:color w:val="auto"/>
              </w:rPr>
            </w:pPr>
          </w:p>
        </w:tc>
        <w:tc>
          <w:tcPr>
            <w:tcW w:w="82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2"/>
                <w:szCs w:val="12"/>
                <w:color w:val="auto"/>
              </w:rPr>
            </w:pPr>
          </w:p>
        </w:tc>
        <w:tc>
          <w:tcPr>
            <w:tcW w:w="122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rPr>
              <w:t>Accumulated</w:t>
            </w:r>
          </w:p>
        </w:tc>
        <w:tc>
          <w:tcPr>
            <w:tcW w:w="11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Net Carrying</w:t>
            </w:r>
          </w:p>
        </w:tc>
        <w:tc>
          <w:tcPr>
            <w:tcW w:w="160" w:type="dxa"/>
            <w:vAlign w:val="bottom"/>
          </w:tcPr>
          <w:p>
            <w:pPr>
              <w:spacing w:after="0"/>
              <w:rPr>
                <w:sz w:val="12"/>
                <w:szCs w:val="12"/>
                <w:color w:val="auto"/>
              </w:rPr>
            </w:pPr>
          </w:p>
        </w:tc>
        <w:tc>
          <w:tcPr>
            <w:tcW w:w="820" w:type="dxa"/>
            <w:vAlign w:val="bottom"/>
          </w:tcPr>
          <w:p>
            <w:pPr>
              <w:jc w:val="center"/>
              <w:ind w:right="121"/>
              <w:spacing w:after="0" w:line="149" w:lineRule="exact"/>
              <w:rPr>
                <w:sz w:val="20"/>
                <w:szCs w:val="20"/>
                <w:color w:val="auto"/>
              </w:rPr>
            </w:pPr>
            <w:r>
              <w:rPr>
                <w:rFonts w:ascii="Arial" w:cs="Arial" w:eastAsia="Arial" w:hAnsi="Arial"/>
                <w:sz w:val="14"/>
                <w:szCs w:val="14"/>
                <w:color w:val="auto"/>
              </w:rPr>
              <w:t>Carrying</w:t>
            </w:r>
          </w:p>
        </w:tc>
        <w:tc>
          <w:tcPr>
            <w:tcW w:w="240" w:type="dxa"/>
            <w:vAlign w:val="bottom"/>
          </w:tcPr>
          <w:p>
            <w:pPr>
              <w:spacing w:after="0"/>
              <w:rPr>
                <w:sz w:val="12"/>
                <w:szCs w:val="12"/>
                <w:color w:val="auto"/>
              </w:rPr>
            </w:pPr>
          </w:p>
        </w:tc>
        <w:tc>
          <w:tcPr>
            <w:tcW w:w="1080" w:type="dxa"/>
            <w:vAlign w:val="bottom"/>
          </w:tcPr>
          <w:p>
            <w:pPr>
              <w:jc w:val="center"/>
              <w:ind w:right="121"/>
              <w:spacing w:after="0" w:line="149" w:lineRule="exact"/>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2"/>
                <w:szCs w:val="12"/>
                <w:color w:val="auto"/>
              </w:rPr>
            </w:pPr>
          </w:p>
        </w:tc>
        <w:tc>
          <w:tcPr>
            <w:tcW w:w="820" w:type="dxa"/>
            <w:vAlign w:val="bottom"/>
          </w:tcPr>
          <w:p>
            <w:pPr>
              <w:jc w:val="center"/>
              <w:ind w:right="82"/>
              <w:spacing w:after="0" w:line="149" w:lineRule="exact"/>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211"/>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5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Range</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Amortization</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17"/>
        </w:trPr>
        <w:tc>
          <w:tcPr>
            <w:tcW w:w="284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40" w:type="dxa"/>
            <w:vAlign w:val="bottom"/>
          </w:tcPr>
          <w:p>
            <w:pPr>
              <w:ind w:left="140"/>
              <w:spacing w:after="0"/>
              <w:rPr>
                <w:sz w:val="20"/>
                <w:szCs w:val="20"/>
                <w:color w:val="auto"/>
              </w:rPr>
            </w:pPr>
            <w:r>
              <w:rPr>
                <w:rFonts w:ascii="Arial" w:cs="Arial" w:eastAsia="Arial" w:hAnsi="Arial"/>
                <w:sz w:val="16"/>
                <w:szCs w:val="16"/>
                <w:color w:val="auto"/>
              </w:rPr>
              <w:t>Student and customer relationships</w:t>
            </w:r>
          </w:p>
        </w:tc>
        <w:tc>
          <w:tcPr>
            <w:tcW w:w="1520" w:type="dxa"/>
            <w:vAlign w:val="bottom"/>
          </w:tcPr>
          <w:p>
            <w:pPr>
              <w:jc w:val="center"/>
              <w:ind w:right="62"/>
              <w:spacing w:after="0"/>
              <w:rPr>
                <w:sz w:val="20"/>
                <w:szCs w:val="20"/>
                <w:color w:val="auto"/>
              </w:rPr>
            </w:pPr>
            <w:r>
              <w:rPr>
                <w:rFonts w:ascii="Arial" w:cs="Arial" w:eastAsia="Arial" w:hAnsi="Arial"/>
                <w:sz w:val="16"/>
                <w:szCs w:val="16"/>
                <w:b w:val="1"/>
                <w:bCs w:val="1"/>
                <w:color w:val="auto"/>
              </w:rPr>
              <w:t>2–10 years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282,234</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81"/>
              <w:spacing w:after="0"/>
              <w:rPr>
                <w:sz w:val="20"/>
                <w:szCs w:val="20"/>
                <w:color w:val="auto"/>
              </w:rPr>
            </w:pPr>
            <w:r>
              <w:rPr>
                <w:rFonts w:ascii="Arial" w:cs="Arial" w:eastAsia="Arial" w:hAnsi="Arial"/>
                <w:sz w:val="16"/>
                <w:szCs w:val="16"/>
                <w:b w:val="1"/>
                <w:bCs w:val="1"/>
                <w:color w:val="auto"/>
              </w:rPr>
              <w:t>246,479</w:t>
            </w:r>
          </w:p>
        </w:tc>
        <w:tc>
          <w:tcPr>
            <w:tcW w:w="180" w:type="dxa"/>
            <w:vAlign w:val="bottom"/>
          </w:tcPr>
          <w:p>
            <w:pPr>
              <w:ind w:left="4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00"/>
              <w:spacing w:after="0"/>
              <w:rPr>
                <w:sz w:val="20"/>
                <w:szCs w:val="20"/>
                <w:color w:val="auto"/>
              </w:rPr>
            </w:pPr>
            <w:r>
              <w:rPr>
                <w:rFonts w:ascii="Arial" w:cs="Arial" w:eastAsia="Arial" w:hAnsi="Arial"/>
                <w:sz w:val="16"/>
                <w:szCs w:val="16"/>
                <w:b w:val="1"/>
                <w:bCs w:val="1"/>
                <w:color w:val="auto"/>
              </w:rPr>
              <w:t>35,755</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283,098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236,776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46,322</w:t>
            </w:r>
          </w:p>
        </w:tc>
        <w:tc>
          <w:tcPr>
            <w:tcW w:w="0" w:type="dxa"/>
            <w:vAlign w:val="bottom"/>
          </w:tcPr>
          <w:p>
            <w:pPr>
              <w:spacing w:after="0"/>
              <w:rPr>
                <w:sz w:val="1"/>
                <w:szCs w:val="1"/>
                <w:color w:val="auto"/>
              </w:rPr>
            </w:pPr>
          </w:p>
        </w:tc>
      </w:tr>
      <w:tr>
        <w:trPr>
          <w:trHeight w:val="229"/>
        </w:trPr>
        <w:tc>
          <w:tcPr>
            <w:tcW w:w="2840" w:type="dxa"/>
            <w:vAlign w:val="bottom"/>
          </w:tcPr>
          <w:p>
            <w:pPr>
              <w:ind w:left="140"/>
              <w:spacing w:after="0"/>
              <w:rPr>
                <w:sz w:val="20"/>
                <w:szCs w:val="20"/>
                <w:color w:val="auto"/>
              </w:rPr>
            </w:pPr>
            <w:r>
              <w:rPr>
                <w:rFonts w:ascii="Arial" w:cs="Arial" w:eastAsia="Arial" w:hAnsi="Arial"/>
                <w:sz w:val="16"/>
                <w:szCs w:val="16"/>
                <w:color w:val="auto"/>
              </w:rPr>
              <w:t>Trade names and trademarks</w:t>
            </w:r>
          </w:p>
        </w:tc>
        <w:tc>
          <w:tcPr>
            <w:tcW w:w="1520" w:type="dxa"/>
            <w:vAlign w:val="bottom"/>
          </w:tcPr>
          <w:p>
            <w:pPr>
              <w:jc w:val="center"/>
              <w:ind w:right="62"/>
              <w:spacing w:after="0"/>
              <w:rPr>
                <w:sz w:val="20"/>
                <w:szCs w:val="20"/>
                <w:color w:val="auto"/>
              </w:rPr>
            </w:pPr>
            <w:r>
              <w:rPr>
                <w:rFonts w:ascii="Arial" w:cs="Arial" w:eastAsia="Arial" w:hAnsi="Arial"/>
                <w:sz w:val="16"/>
                <w:szCs w:val="16"/>
                <w:b w:val="1"/>
                <w:bCs w:val="1"/>
                <w:color w:val="auto"/>
              </w:rPr>
              <w:t>2–10 years (1)</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117,971</w:t>
            </w:r>
          </w:p>
        </w:tc>
        <w:tc>
          <w:tcPr>
            <w:tcW w:w="240" w:type="dxa"/>
            <w:vAlign w:val="bottom"/>
          </w:tcPr>
          <w:p>
            <w:pPr>
              <w:spacing w:after="0"/>
              <w:rPr>
                <w:sz w:val="19"/>
                <w:szCs w:val="19"/>
                <w:color w:val="auto"/>
              </w:rPr>
            </w:pPr>
          </w:p>
        </w:tc>
        <w:tc>
          <w:tcPr>
            <w:tcW w:w="1220" w:type="dxa"/>
            <w:vAlign w:val="bottom"/>
          </w:tcPr>
          <w:p>
            <w:pPr>
              <w:jc w:val="right"/>
              <w:ind w:right="81"/>
              <w:spacing w:after="0"/>
              <w:rPr>
                <w:sz w:val="20"/>
                <w:szCs w:val="20"/>
                <w:color w:val="auto"/>
              </w:rPr>
            </w:pPr>
            <w:r>
              <w:rPr>
                <w:rFonts w:ascii="Arial" w:cs="Arial" w:eastAsia="Arial" w:hAnsi="Arial"/>
                <w:sz w:val="16"/>
                <w:szCs w:val="16"/>
                <w:b w:val="1"/>
                <w:bCs w:val="1"/>
                <w:color w:val="auto"/>
              </w:rPr>
              <w:t>90,563</w:t>
            </w:r>
          </w:p>
        </w:tc>
        <w:tc>
          <w:tcPr>
            <w:tcW w:w="180" w:type="dxa"/>
            <w:vAlign w:val="bottom"/>
          </w:tcPr>
          <w:p>
            <w:pPr>
              <w:spacing w:after="0"/>
              <w:rPr>
                <w:sz w:val="19"/>
                <w:szCs w:val="19"/>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b w:val="1"/>
                <w:bCs w:val="1"/>
                <w:color w:val="auto"/>
              </w:rPr>
              <w:t>27,408</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143,389</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90,558</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52,831</w:t>
            </w:r>
          </w:p>
        </w:tc>
        <w:tc>
          <w:tcPr>
            <w:tcW w:w="0" w:type="dxa"/>
            <w:vAlign w:val="bottom"/>
          </w:tcPr>
          <w:p>
            <w:pPr>
              <w:spacing w:after="0"/>
              <w:rPr>
                <w:sz w:val="1"/>
                <w:szCs w:val="1"/>
                <w:color w:val="auto"/>
              </w:rPr>
            </w:pPr>
          </w:p>
        </w:tc>
      </w:tr>
      <w:tr>
        <w:trPr>
          <w:trHeight w:val="229"/>
        </w:trPr>
        <w:tc>
          <w:tcPr>
            <w:tcW w:w="2840" w:type="dxa"/>
            <w:vAlign w:val="bottom"/>
          </w:tcPr>
          <w:p>
            <w:pPr>
              <w:ind w:left="140"/>
              <w:spacing w:after="0"/>
              <w:rPr>
                <w:sz w:val="20"/>
                <w:szCs w:val="20"/>
                <w:color w:val="auto"/>
              </w:rPr>
            </w:pPr>
            <w:r>
              <w:rPr>
                <w:rFonts w:ascii="Arial" w:cs="Arial" w:eastAsia="Arial" w:hAnsi="Arial"/>
                <w:sz w:val="16"/>
                <w:szCs w:val="16"/>
                <w:color w:val="auto"/>
              </w:rPr>
              <w:t>Network affiliation agreements</w:t>
            </w:r>
          </w:p>
        </w:tc>
        <w:tc>
          <w:tcPr>
            <w:tcW w:w="1520" w:type="dxa"/>
            <w:vAlign w:val="bottom"/>
          </w:tcPr>
          <w:p>
            <w:pPr>
              <w:jc w:val="center"/>
              <w:ind w:right="62"/>
              <w:spacing w:after="0"/>
              <w:rPr>
                <w:sz w:val="20"/>
                <w:szCs w:val="20"/>
                <w:color w:val="auto"/>
              </w:rPr>
            </w:pPr>
            <w:r>
              <w:rPr>
                <w:rFonts w:ascii="Arial" w:cs="Arial" w:eastAsia="Arial" w:hAnsi="Arial"/>
                <w:sz w:val="16"/>
                <w:szCs w:val="16"/>
                <w:b w:val="1"/>
                <w:bCs w:val="1"/>
                <w:color w:val="auto"/>
              </w:rPr>
              <w:t>10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17,400</w:t>
            </w:r>
          </w:p>
        </w:tc>
        <w:tc>
          <w:tcPr>
            <w:tcW w:w="240" w:type="dxa"/>
            <w:vAlign w:val="bottom"/>
          </w:tcPr>
          <w:p>
            <w:pPr>
              <w:spacing w:after="0"/>
              <w:rPr>
                <w:sz w:val="19"/>
                <w:szCs w:val="19"/>
                <w:color w:val="auto"/>
              </w:rPr>
            </w:pPr>
          </w:p>
        </w:tc>
        <w:tc>
          <w:tcPr>
            <w:tcW w:w="1220" w:type="dxa"/>
            <w:vAlign w:val="bottom"/>
          </w:tcPr>
          <w:p>
            <w:pPr>
              <w:jc w:val="right"/>
              <w:ind w:right="81"/>
              <w:spacing w:after="0"/>
              <w:rPr>
                <w:sz w:val="20"/>
                <w:szCs w:val="20"/>
                <w:color w:val="auto"/>
              </w:rPr>
            </w:pPr>
            <w:r>
              <w:rPr>
                <w:rFonts w:ascii="Arial" w:cs="Arial" w:eastAsia="Arial" w:hAnsi="Arial"/>
                <w:sz w:val="16"/>
                <w:szCs w:val="16"/>
                <w:b w:val="1"/>
                <w:bCs w:val="1"/>
                <w:color w:val="auto"/>
              </w:rPr>
              <w:t>12,977</w:t>
            </w:r>
          </w:p>
        </w:tc>
        <w:tc>
          <w:tcPr>
            <w:tcW w:w="180" w:type="dxa"/>
            <w:vAlign w:val="bottom"/>
          </w:tcPr>
          <w:p>
            <w:pPr>
              <w:spacing w:after="0"/>
              <w:rPr>
                <w:sz w:val="19"/>
                <w:szCs w:val="19"/>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b w:val="1"/>
                <w:bCs w:val="1"/>
                <w:color w:val="auto"/>
              </w:rPr>
              <w:t>4,423</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17,400</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13,348</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4,052</w:t>
            </w:r>
          </w:p>
        </w:tc>
        <w:tc>
          <w:tcPr>
            <w:tcW w:w="0" w:type="dxa"/>
            <w:vAlign w:val="bottom"/>
          </w:tcPr>
          <w:p>
            <w:pPr>
              <w:spacing w:after="0"/>
              <w:rPr>
                <w:sz w:val="1"/>
                <w:szCs w:val="1"/>
                <w:color w:val="auto"/>
              </w:rPr>
            </w:pPr>
          </w:p>
        </w:tc>
      </w:tr>
      <w:tr>
        <w:trPr>
          <w:trHeight w:val="230"/>
        </w:trPr>
        <w:tc>
          <w:tcPr>
            <w:tcW w:w="2840" w:type="dxa"/>
            <w:vAlign w:val="bottom"/>
          </w:tcPr>
          <w:p>
            <w:pPr>
              <w:ind w:left="140"/>
              <w:spacing w:after="0"/>
              <w:rPr>
                <w:sz w:val="20"/>
                <w:szCs w:val="20"/>
                <w:color w:val="auto"/>
              </w:rPr>
            </w:pPr>
            <w:r>
              <w:rPr>
                <w:rFonts w:ascii="Arial" w:cs="Arial" w:eastAsia="Arial" w:hAnsi="Arial"/>
                <w:sz w:val="16"/>
                <w:szCs w:val="16"/>
                <w:color w:val="auto"/>
              </w:rPr>
              <w:t>Databases and technology</w:t>
            </w:r>
          </w:p>
        </w:tc>
        <w:tc>
          <w:tcPr>
            <w:tcW w:w="1520" w:type="dxa"/>
            <w:vAlign w:val="bottom"/>
          </w:tcPr>
          <w:p>
            <w:pPr>
              <w:jc w:val="center"/>
              <w:ind w:right="62"/>
              <w:spacing w:after="0"/>
              <w:rPr>
                <w:sz w:val="20"/>
                <w:szCs w:val="20"/>
                <w:color w:val="auto"/>
              </w:rPr>
            </w:pPr>
            <w:r>
              <w:rPr>
                <w:rFonts w:ascii="Arial" w:cs="Arial" w:eastAsia="Arial" w:hAnsi="Arial"/>
                <w:sz w:val="16"/>
                <w:szCs w:val="16"/>
                <w:b w:val="1"/>
                <w:bCs w:val="1"/>
                <w:color w:val="auto"/>
              </w:rPr>
              <w:t>3–6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36,307</w:t>
            </w:r>
          </w:p>
        </w:tc>
        <w:tc>
          <w:tcPr>
            <w:tcW w:w="240" w:type="dxa"/>
            <w:vAlign w:val="bottom"/>
          </w:tcPr>
          <w:p>
            <w:pPr>
              <w:spacing w:after="0"/>
              <w:rPr>
                <w:sz w:val="19"/>
                <w:szCs w:val="19"/>
                <w:color w:val="auto"/>
              </w:rPr>
            </w:pPr>
          </w:p>
        </w:tc>
        <w:tc>
          <w:tcPr>
            <w:tcW w:w="1220" w:type="dxa"/>
            <w:vAlign w:val="bottom"/>
          </w:tcPr>
          <w:p>
            <w:pPr>
              <w:jc w:val="right"/>
              <w:ind w:right="81"/>
              <w:spacing w:after="0"/>
              <w:rPr>
                <w:sz w:val="20"/>
                <w:szCs w:val="20"/>
                <w:color w:val="auto"/>
              </w:rPr>
            </w:pPr>
            <w:r>
              <w:rPr>
                <w:rFonts w:ascii="Arial" w:cs="Arial" w:eastAsia="Arial" w:hAnsi="Arial"/>
                <w:sz w:val="16"/>
                <w:szCs w:val="16"/>
                <w:b w:val="1"/>
                <w:bCs w:val="1"/>
                <w:color w:val="auto"/>
              </w:rPr>
              <w:t>36,192</w:t>
            </w:r>
          </w:p>
        </w:tc>
        <w:tc>
          <w:tcPr>
            <w:tcW w:w="180" w:type="dxa"/>
            <w:vAlign w:val="bottom"/>
          </w:tcPr>
          <w:p>
            <w:pPr>
              <w:spacing w:after="0"/>
              <w:rPr>
                <w:sz w:val="19"/>
                <w:szCs w:val="19"/>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b w:val="1"/>
                <w:bCs w:val="1"/>
                <w:color w:val="auto"/>
              </w:rPr>
              <w:t>115</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36,538</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35,712</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826</w:t>
            </w:r>
          </w:p>
        </w:tc>
        <w:tc>
          <w:tcPr>
            <w:tcW w:w="0" w:type="dxa"/>
            <w:vAlign w:val="bottom"/>
          </w:tcPr>
          <w:p>
            <w:pPr>
              <w:spacing w:after="0"/>
              <w:rPr>
                <w:sz w:val="1"/>
                <w:szCs w:val="1"/>
                <w:color w:val="auto"/>
              </w:rPr>
            </w:pPr>
          </w:p>
        </w:tc>
      </w:tr>
      <w:tr>
        <w:trPr>
          <w:trHeight w:val="233"/>
        </w:trPr>
        <w:tc>
          <w:tcPr>
            <w:tcW w:w="2840" w:type="dxa"/>
            <w:vAlign w:val="bottom"/>
          </w:tcPr>
          <w:p>
            <w:pPr>
              <w:ind w:left="140"/>
              <w:spacing w:after="0"/>
              <w:rPr>
                <w:sz w:val="20"/>
                <w:szCs w:val="20"/>
                <w:color w:val="auto"/>
              </w:rPr>
            </w:pPr>
            <w:r>
              <w:rPr>
                <w:rFonts w:ascii="Arial" w:cs="Arial" w:eastAsia="Arial" w:hAnsi="Arial"/>
                <w:sz w:val="16"/>
                <w:szCs w:val="16"/>
                <w:color w:val="auto"/>
              </w:rPr>
              <w:t>Other</w:t>
            </w:r>
          </w:p>
        </w:tc>
        <w:tc>
          <w:tcPr>
            <w:tcW w:w="1520" w:type="dxa"/>
            <w:vAlign w:val="bottom"/>
          </w:tcPr>
          <w:p>
            <w:pPr>
              <w:jc w:val="center"/>
              <w:ind w:right="62"/>
              <w:spacing w:after="0"/>
              <w:rPr>
                <w:sz w:val="20"/>
                <w:szCs w:val="20"/>
                <w:color w:val="auto"/>
              </w:rPr>
            </w:pPr>
            <w:r>
              <w:rPr>
                <w:rFonts w:ascii="Arial" w:cs="Arial" w:eastAsia="Arial" w:hAnsi="Arial"/>
                <w:sz w:val="16"/>
                <w:szCs w:val="16"/>
                <w:b w:val="1"/>
                <w:bCs w:val="1"/>
                <w:color w:val="auto"/>
              </w:rPr>
              <w:t>1–8 years</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41,514</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36,207</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5,307</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41,327</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33,164</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8,163</w:t>
            </w:r>
          </w:p>
        </w:tc>
        <w:tc>
          <w:tcPr>
            <w:tcW w:w="0" w:type="dxa"/>
            <w:vAlign w:val="bottom"/>
          </w:tcPr>
          <w:p>
            <w:pPr>
              <w:spacing w:after="0"/>
              <w:rPr>
                <w:sz w:val="1"/>
                <w:szCs w:val="1"/>
                <w:color w:val="auto"/>
              </w:rPr>
            </w:pPr>
          </w:p>
        </w:tc>
      </w:tr>
      <w:tr>
        <w:trPr>
          <w:trHeight w:val="220"/>
        </w:trPr>
        <w:tc>
          <w:tcPr>
            <w:tcW w:w="28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495,426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422,418</w:t>
            </w: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73,008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521,752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409,558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112,194</w:t>
            </w:r>
          </w:p>
        </w:tc>
        <w:tc>
          <w:tcPr>
            <w:tcW w:w="0" w:type="dxa"/>
            <w:vAlign w:val="bottom"/>
          </w:tcPr>
          <w:p>
            <w:pPr>
              <w:spacing w:after="0"/>
              <w:rPr>
                <w:sz w:val="1"/>
                <w:szCs w:val="1"/>
                <w:color w:val="auto"/>
              </w:rPr>
            </w:pPr>
          </w:p>
        </w:tc>
      </w:tr>
      <w:tr>
        <w:trPr>
          <w:trHeight w:val="27"/>
        </w:trPr>
        <w:tc>
          <w:tcPr>
            <w:tcW w:w="28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1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840" w:type="dxa"/>
            <w:vAlign w:val="bottom"/>
            <w:vMerge w:val="continue"/>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40" w:type="dxa"/>
            <w:vAlign w:val="bottom"/>
          </w:tcPr>
          <w:p>
            <w:pPr>
              <w:ind w:left="140"/>
              <w:spacing w:after="0"/>
              <w:rPr>
                <w:sz w:val="20"/>
                <w:szCs w:val="20"/>
                <w:color w:val="auto"/>
              </w:rPr>
            </w:pPr>
            <w:r>
              <w:rPr>
                <w:rFonts w:ascii="Arial" w:cs="Arial" w:eastAsia="Arial" w:hAnsi="Arial"/>
                <w:sz w:val="16"/>
                <w:szCs w:val="16"/>
                <w:color w:val="auto"/>
              </w:rPr>
              <w:t>Franchise agreements</w:t>
            </w:r>
          </w:p>
        </w:tc>
        <w:tc>
          <w:tcPr>
            <w:tcW w:w="15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92,158</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92,158</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140"/>
              <w:spacing w:after="0"/>
              <w:rPr>
                <w:sz w:val="20"/>
                <w:szCs w:val="20"/>
                <w:color w:val="auto"/>
              </w:rPr>
            </w:pPr>
            <w:r>
              <w:rPr>
                <w:rFonts w:ascii="Arial" w:cs="Arial" w:eastAsia="Arial" w:hAnsi="Arial"/>
                <w:sz w:val="16"/>
                <w:szCs w:val="16"/>
                <w:color w:val="auto"/>
              </w:rPr>
              <w:t>Trade names and trademarks</w:t>
            </w: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84,050</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84,533</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140"/>
              <w:spacing w:after="0"/>
              <w:rPr>
                <w:sz w:val="20"/>
                <w:szCs w:val="20"/>
                <w:color w:val="auto"/>
              </w:rPr>
            </w:pPr>
            <w:r>
              <w:rPr>
                <w:rFonts w:ascii="Arial" w:cs="Arial" w:eastAsia="Arial" w:hAnsi="Arial"/>
                <w:sz w:val="16"/>
                <w:szCs w:val="16"/>
                <w:color w:val="auto"/>
              </w:rPr>
              <w:t>FCC licenses</w:t>
            </w: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11,000</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11,000</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840" w:type="dxa"/>
            <w:vAlign w:val="bottom"/>
          </w:tcPr>
          <w:p>
            <w:pPr>
              <w:ind w:left="140"/>
              <w:spacing w:after="0"/>
              <w:rPr>
                <w:sz w:val="20"/>
                <w:szCs w:val="20"/>
                <w:color w:val="auto"/>
              </w:rPr>
            </w:pPr>
            <w:r>
              <w:rPr>
                <w:rFonts w:ascii="Arial" w:cs="Arial" w:eastAsia="Arial" w:hAnsi="Arial"/>
                <w:sz w:val="16"/>
                <w:szCs w:val="16"/>
                <w:color w:val="auto"/>
              </w:rPr>
              <w:t>Other</w:t>
            </w:r>
          </w:p>
        </w:tc>
        <w:tc>
          <w:tcPr>
            <w:tcW w:w="15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171</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8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187,379</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187,862</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28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p>
    <w:p>
      <w:pPr>
        <w:spacing w:after="0" w:line="86"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As of December 31, 2023, the trade names and trademarks’ maximum useful life was </w:t>
      </w:r>
      <w:r>
        <w:rPr>
          <w:rFonts w:ascii="Arial" w:cs="Arial" w:eastAsia="Arial" w:hAnsi="Arial"/>
          <w:sz w:val="17"/>
          <w:szCs w:val="17"/>
          <w:color w:val="auto"/>
        </w:rPr>
        <w:t>15 years</w:t>
      </w:r>
      <w:r>
        <w:rPr>
          <w:rFonts w:ascii="Arial" w:cs="Arial" w:eastAsia="Arial" w:hAnsi="Arial"/>
          <w:sz w:val="14"/>
          <w:szCs w:val="14"/>
          <w:color w:val="auto"/>
        </w:rPr>
        <w:t>.</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7. DEBT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consist of the following:</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5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As of</w:t>
            </w: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5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94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Maturities</w:t>
            </w:r>
          </w:p>
        </w:tc>
        <w:tc>
          <w:tcPr>
            <w:tcW w:w="16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Stated Interest Rate</w:t>
            </w: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Effective Interest Rate</w:t>
            </w:r>
          </w:p>
        </w:tc>
        <w:tc>
          <w:tcPr>
            <w:tcW w:w="300" w:type="dxa"/>
            <w:vAlign w:val="bottom"/>
          </w:tcPr>
          <w:p>
            <w:pPr>
              <w:spacing w:after="0"/>
              <w:rPr>
                <w:sz w:val="14"/>
                <w:szCs w:val="14"/>
                <w:color w:val="auto"/>
              </w:rPr>
            </w:pPr>
          </w:p>
        </w:tc>
        <w:tc>
          <w:tcPr>
            <w:tcW w:w="1320" w:type="dxa"/>
            <w:vAlign w:val="bottom"/>
          </w:tcPr>
          <w:p>
            <w:pPr>
              <w:jc w:val="right"/>
              <w:ind w:right="461"/>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4"/>
                <w:szCs w:val="14"/>
                <w:color w:val="auto"/>
              </w:rPr>
            </w:pPr>
          </w:p>
        </w:tc>
        <w:tc>
          <w:tcPr>
            <w:tcW w:w="1340" w:type="dxa"/>
            <w:vAlign w:val="bottom"/>
          </w:tcPr>
          <w:p>
            <w:pPr>
              <w:jc w:val="right"/>
              <w:ind w:right="261"/>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2580" w:type="dxa"/>
            <w:vAlign w:val="bottom"/>
            <w:tcBorders>
              <w:bottom w:val="single" w:sz="8" w:color="auto"/>
            </w:tcBorders>
            <w:vMerge w:val="continue"/>
          </w:tcPr>
          <w:p>
            <w:pPr>
              <w:spacing w:after="0"/>
              <w:rPr>
                <w:sz w:val="17"/>
                <w:szCs w:val="17"/>
                <w:color w:val="auto"/>
              </w:rPr>
            </w:pPr>
          </w:p>
        </w:tc>
        <w:tc>
          <w:tcPr>
            <w:tcW w:w="1940" w:type="dxa"/>
            <w:vAlign w:val="bottom"/>
            <w:tcBorders>
              <w:bottom w:val="single" w:sz="8" w:color="auto"/>
            </w:tcBorders>
            <w:vMerge w:val="continue"/>
          </w:tcPr>
          <w:p>
            <w:pPr>
              <w:spacing w:after="0"/>
              <w:rPr>
                <w:sz w:val="17"/>
                <w:szCs w:val="17"/>
                <w:color w:val="auto"/>
              </w:rPr>
            </w:pPr>
          </w:p>
        </w:tc>
        <w:tc>
          <w:tcPr>
            <w:tcW w:w="1680" w:type="dxa"/>
            <w:vAlign w:val="bottom"/>
            <w:tcBorders>
              <w:bottom w:val="single" w:sz="8" w:color="auto"/>
            </w:tcBorders>
            <w:vMerge w:val="continue"/>
          </w:tcPr>
          <w:p>
            <w:pPr>
              <w:spacing w:after="0"/>
              <w:rPr>
                <w:sz w:val="17"/>
                <w:szCs w:val="17"/>
                <w:color w:val="auto"/>
              </w:rPr>
            </w:pPr>
          </w:p>
        </w:tc>
        <w:tc>
          <w:tcPr>
            <w:tcW w:w="178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23"/>
        </w:trPr>
        <w:tc>
          <w:tcPr>
            <w:tcW w:w="2580" w:type="dxa"/>
            <w:vAlign w:val="bottom"/>
          </w:tcPr>
          <w:p>
            <w:pPr>
              <w:ind w:left="20"/>
              <w:spacing w:after="0" w:line="224" w:lineRule="exact"/>
              <w:rPr>
                <w:sz w:val="20"/>
                <w:szCs w:val="20"/>
                <w:color w:val="auto"/>
              </w:rPr>
            </w:pPr>
            <w:r>
              <w:rPr>
                <w:rFonts w:ascii="Arial" w:cs="Arial" w:eastAsia="Arial" w:hAnsi="Arial"/>
                <w:sz w:val="16"/>
                <w:szCs w:val="16"/>
                <w:color w:val="auto"/>
              </w:rPr>
              <w:t xml:space="preserve">Unsecured notes </w:t>
            </w:r>
            <w:r>
              <w:rPr>
                <w:rFonts w:ascii="Arial" w:cs="Arial" w:eastAsia="Arial" w:hAnsi="Arial"/>
                <w:sz w:val="21"/>
                <w:szCs w:val="21"/>
                <w:color w:val="auto"/>
                <w:vertAlign w:val="superscript"/>
              </w:rPr>
              <w:t>(1)</w:t>
            </w:r>
          </w:p>
        </w:tc>
        <w:tc>
          <w:tcPr>
            <w:tcW w:w="1940" w:type="dxa"/>
            <w:vAlign w:val="bottom"/>
          </w:tcPr>
          <w:p>
            <w:pPr>
              <w:jc w:val="center"/>
              <w:ind w:left="540"/>
              <w:spacing w:after="0"/>
              <w:rPr>
                <w:sz w:val="20"/>
                <w:szCs w:val="20"/>
                <w:color w:val="auto"/>
              </w:rPr>
            </w:pPr>
            <w:r>
              <w:rPr>
                <w:rFonts w:ascii="Arial" w:cs="Arial" w:eastAsia="Arial" w:hAnsi="Arial"/>
                <w:sz w:val="16"/>
                <w:szCs w:val="16"/>
                <w:color w:val="auto"/>
              </w:rPr>
              <w:t>2026</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5.75%</w:t>
            </w:r>
          </w:p>
        </w:tc>
        <w:tc>
          <w:tcPr>
            <w:tcW w:w="1780" w:type="dxa"/>
            <w:vAlign w:val="bottom"/>
          </w:tcPr>
          <w:p>
            <w:pPr>
              <w:jc w:val="center"/>
              <w:spacing w:after="0"/>
              <w:rPr>
                <w:sz w:val="20"/>
                <w:szCs w:val="20"/>
                <w:color w:val="auto"/>
              </w:rPr>
            </w:pPr>
            <w:r>
              <w:rPr>
                <w:rFonts w:ascii="Arial" w:cs="Arial" w:eastAsia="Arial" w:hAnsi="Arial"/>
                <w:sz w:val="16"/>
                <w:szCs w:val="16"/>
                <w:color w:val="auto"/>
              </w:rPr>
              <w:t>5.75%</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Pr>
          <w:p>
            <w:pPr>
              <w:jc w:val="right"/>
              <w:ind w:right="41"/>
              <w:spacing w:after="0"/>
              <w:rPr>
                <w:sz w:val="20"/>
                <w:szCs w:val="20"/>
                <w:color w:val="auto"/>
              </w:rPr>
            </w:pPr>
            <w:r>
              <w:rPr>
                <w:rFonts w:ascii="Arial" w:cs="Arial" w:eastAsia="Arial" w:hAnsi="Arial"/>
                <w:sz w:val="16"/>
                <w:szCs w:val="16"/>
                <w:b w:val="1"/>
                <w:bCs w:val="1"/>
                <w:color w:val="auto"/>
              </w:rPr>
              <w:t>398,624</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398,266</w:t>
            </w:r>
          </w:p>
        </w:tc>
        <w:tc>
          <w:tcPr>
            <w:tcW w:w="0" w:type="dxa"/>
            <w:vAlign w:val="bottom"/>
          </w:tcPr>
          <w:p>
            <w:pPr>
              <w:spacing w:after="0"/>
              <w:rPr>
                <w:sz w:val="1"/>
                <w:szCs w:val="1"/>
                <w:color w:val="auto"/>
              </w:rPr>
            </w:pPr>
          </w:p>
        </w:tc>
      </w:tr>
      <w:tr>
        <w:trPr>
          <w:trHeight w:val="223"/>
        </w:trPr>
        <w:tc>
          <w:tcPr>
            <w:tcW w:w="2580" w:type="dxa"/>
            <w:vAlign w:val="bottom"/>
          </w:tcPr>
          <w:p>
            <w:pPr>
              <w:ind w:left="20"/>
              <w:spacing w:after="0"/>
              <w:rPr>
                <w:sz w:val="20"/>
                <w:szCs w:val="20"/>
                <w:color w:val="auto"/>
              </w:rPr>
            </w:pPr>
            <w:r>
              <w:rPr>
                <w:rFonts w:ascii="Arial" w:cs="Arial" w:eastAsia="Arial" w:hAnsi="Arial"/>
                <w:sz w:val="16"/>
                <w:szCs w:val="16"/>
                <w:color w:val="auto"/>
              </w:rPr>
              <w:t>Revolving credit facility</w:t>
            </w:r>
          </w:p>
        </w:tc>
        <w:tc>
          <w:tcPr>
            <w:tcW w:w="1940" w:type="dxa"/>
            <w:vAlign w:val="bottom"/>
          </w:tcPr>
          <w:p>
            <w:pPr>
              <w:jc w:val="center"/>
              <w:ind w:left="540"/>
              <w:spacing w:after="0"/>
              <w:rPr>
                <w:sz w:val="20"/>
                <w:szCs w:val="20"/>
                <w:color w:val="auto"/>
              </w:rPr>
            </w:pPr>
            <w:r>
              <w:rPr>
                <w:rFonts w:ascii="Arial" w:cs="Arial" w:eastAsia="Arial" w:hAnsi="Arial"/>
                <w:sz w:val="16"/>
                <w:szCs w:val="16"/>
                <w:color w:val="auto"/>
              </w:rPr>
              <w:t>2027</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6.56% - 8.88%</w:t>
            </w:r>
          </w:p>
        </w:tc>
        <w:tc>
          <w:tcPr>
            <w:tcW w:w="1780" w:type="dxa"/>
            <w:vAlign w:val="bottom"/>
          </w:tcPr>
          <w:p>
            <w:pPr>
              <w:jc w:val="center"/>
              <w:spacing w:after="0"/>
              <w:rPr>
                <w:sz w:val="20"/>
                <w:szCs w:val="20"/>
                <w:color w:val="auto"/>
              </w:rPr>
            </w:pPr>
            <w:r>
              <w:rPr>
                <w:rFonts w:ascii="Arial" w:cs="Arial" w:eastAsia="Arial" w:hAnsi="Arial"/>
                <w:sz w:val="16"/>
                <w:szCs w:val="16"/>
                <w:color w:val="auto"/>
              </w:rPr>
              <w:t>6.77%</w:t>
            </w:r>
          </w:p>
        </w:tc>
        <w:tc>
          <w:tcPr>
            <w:tcW w:w="300" w:type="dxa"/>
            <w:vAlign w:val="bottom"/>
          </w:tcPr>
          <w:p>
            <w:pPr>
              <w:spacing w:after="0"/>
              <w:rPr>
                <w:sz w:val="19"/>
                <w:szCs w:val="19"/>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b w:val="1"/>
                <w:bCs w:val="1"/>
                <w:color w:val="auto"/>
              </w:rPr>
              <w:t>132,209</w:t>
            </w:r>
          </w:p>
        </w:tc>
        <w:tc>
          <w:tcPr>
            <w:tcW w:w="30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97,879</w:t>
            </w:r>
          </w:p>
        </w:tc>
        <w:tc>
          <w:tcPr>
            <w:tcW w:w="0" w:type="dxa"/>
            <w:vAlign w:val="bottom"/>
          </w:tcPr>
          <w:p>
            <w:pPr>
              <w:spacing w:after="0"/>
              <w:rPr>
                <w:sz w:val="1"/>
                <w:szCs w:val="1"/>
                <w:color w:val="auto"/>
              </w:rPr>
            </w:pPr>
          </w:p>
        </w:tc>
      </w:tr>
      <w:tr>
        <w:trPr>
          <w:trHeight w:val="236"/>
        </w:trPr>
        <w:tc>
          <w:tcPr>
            <w:tcW w:w="2580" w:type="dxa"/>
            <w:vAlign w:val="bottom"/>
          </w:tcPr>
          <w:p>
            <w:pPr>
              <w:ind w:left="20"/>
              <w:spacing w:after="0" w:line="236" w:lineRule="exact"/>
              <w:rPr>
                <w:sz w:val="20"/>
                <w:szCs w:val="20"/>
                <w:color w:val="auto"/>
              </w:rPr>
            </w:pPr>
            <w:r>
              <w:rPr>
                <w:rFonts w:ascii="Arial" w:cs="Arial" w:eastAsia="Arial" w:hAnsi="Arial"/>
                <w:sz w:val="16"/>
                <w:szCs w:val="16"/>
                <w:color w:val="auto"/>
              </w:rPr>
              <w:t xml:space="preserve">Term loan </w:t>
            </w:r>
            <w:r>
              <w:rPr>
                <w:rFonts w:ascii="Arial" w:cs="Arial" w:eastAsia="Arial" w:hAnsi="Arial"/>
                <w:sz w:val="21"/>
                <w:szCs w:val="21"/>
                <w:color w:val="auto"/>
                <w:vertAlign w:val="superscript"/>
              </w:rPr>
              <w:t>(2)</w:t>
            </w:r>
          </w:p>
        </w:tc>
        <w:tc>
          <w:tcPr>
            <w:tcW w:w="1940" w:type="dxa"/>
            <w:vAlign w:val="bottom"/>
          </w:tcPr>
          <w:p>
            <w:pPr>
              <w:jc w:val="center"/>
              <w:ind w:left="540"/>
              <w:spacing w:after="0"/>
              <w:rPr>
                <w:sz w:val="20"/>
                <w:szCs w:val="20"/>
                <w:color w:val="auto"/>
              </w:rPr>
            </w:pPr>
            <w:r>
              <w:rPr>
                <w:rFonts w:ascii="Arial" w:cs="Arial" w:eastAsia="Arial" w:hAnsi="Arial"/>
                <w:sz w:val="16"/>
                <w:szCs w:val="16"/>
                <w:color w:val="auto"/>
              </w:rPr>
              <w:t>2027</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7.15% - 7.21%</w:t>
            </w:r>
          </w:p>
        </w:tc>
        <w:tc>
          <w:tcPr>
            <w:tcW w:w="1780" w:type="dxa"/>
            <w:vAlign w:val="bottom"/>
          </w:tcPr>
          <w:p>
            <w:pPr>
              <w:jc w:val="center"/>
              <w:spacing w:after="0"/>
              <w:rPr>
                <w:sz w:val="20"/>
                <w:szCs w:val="20"/>
                <w:color w:val="auto"/>
              </w:rPr>
            </w:pPr>
            <w:r>
              <w:rPr>
                <w:rFonts w:ascii="Arial" w:cs="Arial" w:eastAsia="Arial" w:hAnsi="Arial"/>
                <w:sz w:val="16"/>
                <w:szCs w:val="16"/>
                <w:color w:val="auto"/>
              </w:rPr>
              <w:t>7.29%</w:t>
            </w:r>
          </w:p>
        </w:tc>
        <w:tc>
          <w:tcPr>
            <w:tcW w:w="30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b w:val="1"/>
                <w:bCs w:val="1"/>
                <w:color w:val="auto"/>
              </w:rPr>
              <w:t>143,739</w:t>
            </w:r>
          </w:p>
        </w:tc>
        <w:tc>
          <w:tcPr>
            <w:tcW w:w="300" w:type="dxa"/>
            <w:vAlign w:val="bottom"/>
          </w:tcPr>
          <w:p>
            <w:pPr>
              <w:spacing w:after="0"/>
              <w:rPr>
                <w:sz w:val="20"/>
                <w:szCs w:val="20"/>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147,476</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Real estate term loan </w:t>
            </w:r>
            <w:r>
              <w:rPr>
                <w:rFonts w:ascii="Arial" w:cs="Arial" w:eastAsia="Arial" w:hAnsi="Arial"/>
                <w:sz w:val="21"/>
                <w:szCs w:val="21"/>
                <w:color w:val="auto"/>
                <w:vertAlign w:val="superscript"/>
              </w:rPr>
              <w:t>(3)</w:t>
            </w:r>
          </w:p>
        </w:tc>
        <w:tc>
          <w:tcPr>
            <w:tcW w:w="1940" w:type="dxa"/>
            <w:vAlign w:val="bottom"/>
          </w:tcPr>
          <w:p>
            <w:pPr>
              <w:jc w:val="center"/>
              <w:ind w:left="540"/>
              <w:spacing w:after="0"/>
              <w:rPr>
                <w:sz w:val="20"/>
                <w:szCs w:val="20"/>
                <w:color w:val="auto"/>
              </w:rPr>
            </w:pPr>
            <w:r>
              <w:rPr>
                <w:rFonts w:ascii="Arial" w:cs="Arial" w:eastAsia="Arial" w:hAnsi="Arial"/>
                <w:sz w:val="16"/>
                <w:szCs w:val="16"/>
                <w:color w:val="auto"/>
              </w:rPr>
              <w:t>2028</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7.06% - 7.10%</w:t>
            </w:r>
          </w:p>
        </w:tc>
        <w:tc>
          <w:tcPr>
            <w:tcW w:w="1780" w:type="dxa"/>
            <w:vAlign w:val="bottom"/>
          </w:tcPr>
          <w:p>
            <w:pPr>
              <w:jc w:val="center"/>
              <w:spacing w:after="0"/>
              <w:rPr>
                <w:sz w:val="20"/>
                <w:szCs w:val="20"/>
                <w:color w:val="auto"/>
              </w:rPr>
            </w:pPr>
            <w:r>
              <w:rPr>
                <w:rFonts w:ascii="Arial" w:cs="Arial" w:eastAsia="Arial" w:hAnsi="Arial"/>
                <w:sz w:val="16"/>
                <w:szCs w:val="16"/>
                <w:color w:val="auto"/>
              </w:rPr>
              <w:t>7.18%</w:t>
            </w:r>
          </w:p>
        </w:tc>
        <w:tc>
          <w:tcPr>
            <w:tcW w:w="300" w:type="dxa"/>
            <w:vAlign w:val="bottom"/>
          </w:tcPr>
          <w:p>
            <w:pPr>
              <w:spacing w:after="0"/>
              <w:rPr>
                <w:sz w:val="19"/>
                <w:szCs w:val="19"/>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b w:val="1"/>
                <w:bCs w:val="1"/>
                <w:color w:val="auto"/>
              </w:rPr>
              <w:t>72,668</w:t>
            </w:r>
          </w:p>
        </w:tc>
        <w:tc>
          <w:tcPr>
            <w:tcW w:w="30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74,541</w:t>
            </w: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Capital term loan </w:t>
            </w:r>
            <w:r>
              <w:rPr>
                <w:rFonts w:ascii="Arial" w:cs="Arial" w:eastAsia="Arial" w:hAnsi="Arial"/>
                <w:sz w:val="21"/>
                <w:szCs w:val="21"/>
                <w:color w:val="auto"/>
                <w:vertAlign w:val="superscript"/>
              </w:rPr>
              <w:t>(4)</w:t>
            </w:r>
          </w:p>
        </w:tc>
        <w:tc>
          <w:tcPr>
            <w:tcW w:w="1940" w:type="dxa"/>
            <w:vAlign w:val="bottom"/>
          </w:tcPr>
          <w:p>
            <w:pPr>
              <w:jc w:val="center"/>
              <w:ind w:left="540"/>
              <w:spacing w:after="0"/>
              <w:rPr>
                <w:sz w:val="20"/>
                <w:szCs w:val="20"/>
                <w:color w:val="auto"/>
              </w:rPr>
            </w:pPr>
            <w:r>
              <w:rPr>
                <w:rFonts w:ascii="Arial" w:cs="Arial" w:eastAsia="Arial" w:hAnsi="Arial"/>
                <w:sz w:val="16"/>
                <w:szCs w:val="16"/>
                <w:color w:val="auto"/>
              </w:rPr>
              <w:t>2028</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7.31% - 7.35%</w:t>
            </w:r>
          </w:p>
        </w:tc>
        <w:tc>
          <w:tcPr>
            <w:tcW w:w="1780" w:type="dxa"/>
            <w:vAlign w:val="bottom"/>
          </w:tcPr>
          <w:p>
            <w:pPr>
              <w:jc w:val="center"/>
              <w:spacing w:after="0"/>
              <w:rPr>
                <w:sz w:val="20"/>
                <w:szCs w:val="20"/>
                <w:color w:val="auto"/>
              </w:rPr>
            </w:pPr>
            <w:r>
              <w:rPr>
                <w:rFonts w:ascii="Arial" w:cs="Arial" w:eastAsia="Arial" w:hAnsi="Arial"/>
                <w:sz w:val="16"/>
                <w:szCs w:val="16"/>
                <w:color w:val="auto"/>
              </w:rPr>
              <w:t>7.56%</w:t>
            </w:r>
          </w:p>
        </w:tc>
        <w:tc>
          <w:tcPr>
            <w:tcW w:w="300" w:type="dxa"/>
            <w:vAlign w:val="bottom"/>
          </w:tcPr>
          <w:p>
            <w:pPr>
              <w:spacing w:after="0"/>
              <w:rPr>
                <w:sz w:val="19"/>
                <w:szCs w:val="19"/>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b w:val="1"/>
                <w:bCs w:val="1"/>
                <w:color w:val="auto"/>
              </w:rPr>
              <w:t>59,934</w:t>
            </w:r>
          </w:p>
        </w:tc>
        <w:tc>
          <w:tcPr>
            <w:tcW w:w="30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63,097</w:t>
            </w:r>
          </w:p>
        </w:tc>
        <w:tc>
          <w:tcPr>
            <w:tcW w:w="0" w:type="dxa"/>
            <w:vAlign w:val="bottom"/>
          </w:tcPr>
          <w:p>
            <w:pPr>
              <w:spacing w:after="0"/>
              <w:rPr>
                <w:sz w:val="1"/>
                <w:szCs w:val="1"/>
                <w:color w:val="auto"/>
              </w:rPr>
            </w:pPr>
          </w:p>
        </w:tc>
      </w:tr>
      <w:tr>
        <w:trPr>
          <w:trHeight w:val="224"/>
        </w:trPr>
        <w:tc>
          <w:tcPr>
            <w:tcW w:w="2580" w:type="dxa"/>
            <w:vAlign w:val="bottom"/>
          </w:tcPr>
          <w:p>
            <w:pPr>
              <w:ind w:left="20"/>
              <w:spacing w:after="0"/>
              <w:rPr>
                <w:sz w:val="20"/>
                <w:szCs w:val="20"/>
                <w:color w:val="auto"/>
              </w:rPr>
            </w:pPr>
            <w:r>
              <w:rPr>
                <w:rFonts w:ascii="Arial" w:cs="Arial" w:eastAsia="Arial" w:hAnsi="Arial"/>
                <w:sz w:val="16"/>
                <w:szCs w:val="16"/>
                <w:color w:val="auto"/>
              </w:rPr>
              <w:t>Other indebtedness</w:t>
            </w:r>
          </w:p>
        </w:tc>
        <w:tc>
          <w:tcPr>
            <w:tcW w:w="1940" w:type="dxa"/>
            <w:vAlign w:val="bottom"/>
          </w:tcPr>
          <w:p>
            <w:pPr>
              <w:jc w:val="center"/>
              <w:ind w:left="520"/>
              <w:spacing w:after="0"/>
              <w:rPr>
                <w:sz w:val="20"/>
                <w:szCs w:val="20"/>
                <w:color w:val="auto"/>
              </w:rPr>
            </w:pPr>
            <w:r>
              <w:rPr>
                <w:rFonts w:ascii="Arial" w:cs="Arial" w:eastAsia="Arial" w:hAnsi="Arial"/>
                <w:sz w:val="16"/>
                <w:szCs w:val="16"/>
                <w:color w:val="auto"/>
              </w:rPr>
              <w:t>2024 - 2032</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0.00% - 8.00%</w:t>
            </w:r>
          </w:p>
        </w:tc>
        <w:tc>
          <w:tcPr>
            <w:tcW w:w="17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27,598</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30,574</w:t>
            </w:r>
          </w:p>
        </w:tc>
        <w:tc>
          <w:tcPr>
            <w:tcW w:w="0" w:type="dxa"/>
            <w:vAlign w:val="bottom"/>
          </w:tcPr>
          <w:p>
            <w:pPr>
              <w:spacing w:after="0"/>
              <w:rPr>
                <w:sz w:val="1"/>
                <w:szCs w:val="1"/>
                <w:color w:val="auto"/>
              </w:rPr>
            </w:pPr>
          </w:p>
        </w:tc>
      </w:tr>
      <w:tr>
        <w:trPr>
          <w:trHeight w:val="223"/>
        </w:trPr>
        <w:tc>
          <w:tcPr>
            <w:tcW w:w="2580" w:type="dxa"/>
            <w:vAlign w:val="bottom"/>
          </w:tcPr>
          <w:p>
            <w:pPr>
              <w:ind w:left="20"/>
              <w:spacing w:after="0"/>
              <w:rPr>
                <w:sz w:val="20"/>
                <w:szCs w:val="20"/>
                <w:color w:val="auto"/>
              </w:rPr>
            </w:pPr>
            <w:r>
              <w:rPr>
                <w:rFonts w:ascii="Arial" w:cs="Arial" w:eastAsia="Arial" w:hAnsi="Arial"/>
                <w:sz w:val="16"/>
                <w:szCs w:val="16"/>
                <w:b w:val="1"/>
                <w:bCs w:val="1"/>
                <w:color w:val="auto"/>
              </w:rPr>
              <w:t>Total Debt</w:t>
            </w:r>
          </w:p>
        </w:tc>
        <w:tc>
          <w:tcPr>
            <w:tcW w:w="19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b w:val="1"/>
                <w:bCs w:val="1"/>
                <w:color w:val="auto"/>
              </w:rPr>
              <w:t>834,772</w:t>
            </w:r>
          </w:p>
        </w:tc>
        <w:tc>
          <w:tcPr>
            <w:tcW w:w="30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811,833</w:t>
            </w:r>
          </w:p>
        </w:tc>
        <w:tc>
          <w:tcPr>
            <w:tcW w:w="0" w:type="dxa"/>
            <w:vAlign w:val="bottom"/>
          </w:tcPr>
          <w:p>
            <w:pPr>
              <w:spacing w:after="0"/>
              <w:rPr>
                <w:sz w:val="1"/>
                <w:szCs w:val="1"/>
                <w:color w:val="auto"/>
              </w:rPr>
            </w:pPr>
          </w:p>
        </w:tc>
      </w:tr>
      <w:tr>
        <w:trPr>
          <w:trHeight w:val="233"/>
        </w:trPr>
        <w:tc>
          <w:tcPr>
            <w:tcW w:w="2580" w:type="dxa"/>
            <w:vAlign w:val="bottom"/>
          </w:tcPr>
          <w:p>
            <w:pPr>
              <w:ind w:left="20"/>
              <w:spacing w:after="0"/>
              <w:rPr>
                <w:sz w:val="20"/>
                <w:szCs w:val="20"/>
                <w:color w:val="auto"/>
              </w:rPr>
            </w:pPr>
            <w:r>
              <w:rPr>
                <w:rFonts w:ascii="Arial" w:cs="Arial" w:eastAsia="Arial" w:hAnsi="Arial"/>
                <w:sz w:val="16"/>
                <w:szCs w:val="16"/>
                <w:color w:val="auto"/>
              </w:rPr>
              <w:t>Less: current portion</w:t>
            </w:r>
          </w:p>
        </w:tc>
        <w:tc>
          <w:tcPr>
            <w:tcW w:w="19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(101,874)</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(66,751)</w:t>
            </w:r>
          </w:p>
        </w:tc>
        <w:tc>
          <w:tcPr>
            <w:tcW w:w="0" w:type="dxa"/>
            <w:vAlign w:val="bottom"/>
          </w:tcPr>
          <w:p>
            <w:pPr>
              <w:spacing w:after="0"/>
              <w:rPr>
                <w:sz w:val="1"/>
                <w:szCs w:val="1"/>
                <w:color w:val="auto"/>
              </w:rPr>
            </w:pPr>
          </w:p>
        </w:tc>
      </w:tr>
      <w:tr>
        <w:trPr>
          <w:trHeight w:val="227"/>
        </w:trPr>
        <w:tc>
          <w:tcPr>
            <w:tcW w:w="2580" w:type="dxa"/>
            <w:vAlign w:val="bottom"/>
          </w:tcPr>
          <w:p>
            <w:pPr>
              <w:ind w:left="20"/>
              <w:spacing w:after="0"/>
              <w:rPr>
                <w:sz w:val="20"/>
                <w:szCs w:val="20"/>
                <w:color w:val="auto"/>
              </w:rPr>
            </w:pPr>
            <w:r>
              <w:rPr>
                <w:rFonts w:ascii="Arial" w:cs="Arial" w:eastAsia="Arial" w:hAnsi="Arial"/>
                <w:sz w:val="16"/>
                <w:szCs w:val="16"/>
                <w:b w:val="1"/>
                <w:bCs w:val="1"/>
                <w:color w:val="auto"/>
              </w:rPr>
              <w:t>Total Long-Term Debt</w:t>
            </w:r>
          </w:p>
        </w:tc>
        <w:tc>
          <w:tcPr>
            <w:tcW w:w="19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732,898</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745,082</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r>
        <w:rPr>
          <w:rFonts w:ascii="Arial" w:cs="Arial" w:eastAsia="Arial" w:hAnsi="Arial"/>
          <w:sz w:val="10"/>
          <w:szCs w:val="10"/>
          <w:color w:val="auto"/>
        </w:rPr>
        <w:t>_</w:t>
      </w:r>
    </w:p>
    <w:p>
      <w:pPr>
        <w:spacing w:after="0" w:line="109"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carrying value is net of $1.4 million and $1.7 million of unamortized debt issuance costs as of June 30, 2024 and December 31, 2023, respectively.</w:t>
      </w:r>
    </w:p>
    <w:p>
      <w:pPr>
        <w:spacing w:after="0" w:line="41" w:lineRule="exact"/>
        <w:rPr>
          <w:rFonts w:ascii="Arial" w:cs="Arial" w:eastAsia="Arial" w:hAnsi="Arial"/>
          <w:sz w:val="14"/>
          <w:szCs w:val="14"/>
          <w:color w:val="auto"/>
        </w:rPr>
      </w:pPr>
    </w:p>
    <w:p>
      <w:pPr>
        <w:ind w:left="380" w:hanging="372"/>
        <w:spacing w:after="0"/>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carrying value is net of $0.6 million of unamortized debt issuance costs as of June 30, 2024 and December 31, 2023.</w:t>
      </w:r>
    </w:p>
    <w:p>
      <w:pPr>
        <w:spacing w:after="0" w:line="41" w:lineRule="exact"/>
        <w:rPr>
          <w:rFonts w:ascii="Arial" w:cs="Arial" w:eastAsia="Arial" w:hAnsi="Arial"/>
          <w:sz w:val="14"/>
          <w:szCs w:val="14"/>
          <w:color w:val="auto"/>
        </w:rPr>
      </w:pPr>
    </w:p>
    <w:p>
      <w:pPr>
        <w:ind w:left="380" w:hanging="372"/>
        <w:spacing w:after="0"/>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carrying value is net of $0.1 million of unamortized debt issuance costs as of June 30, 2024 and December 31, 2023.</w:t>
      </w:r>
    </w:p>
    <w:p>
      <w:pPr>
        <w:spacing w:after="0" w:line="41" w:lineRule="exact"/>
        <w:rPr>
          <w:rFonts w:ascii="Arial" w:cs="Arial" w:eastAsia="Arial" w:hAnsi="Arial"/>
          <w:sz w:val="14"/>
          <w:szCs w:val="14"/>
          <w:color w:val="auto"/>
        </w:rPr>
      </w:pPr>
    </w:p>
    <w:p>
      <w:pPr>
        <w:ind w:left="380" w:hanging="372"/>
        <w:spacing w:after="0"/>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carrying value is net of $0.7 million and $0.8 million of unamortized debt issuance costs as of June 30, 2024 and December 31, 2023, respectively.</w:t>
      </w:r>
    </w:p>
    <w:p>
      <w:pPr>
        <w:spacing w:after="0" w:line="15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At June 30, 2024 and December 31, 2023, the fair value of the Company’s 5.75% unsecured notes, based on quoted market prices (Level 2 fair value assessment), totaled $397.8 million and $400.4 million, respectively.</w:t>
      </w:r>
    </w:p>
    <w:p>
      <w:pPr>
        <w:spacing w:after="0" w:line="112"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The outstanding balance on the Company’s $300 million unsecured revolving credit facility was $132.2 million as of June 30, 2024, consisting of U.S. dollar borrowings of $69 million with interest payable at SOFR plus 1.375% or prime rate plus 0.375%, and British Pound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(GBP) borrowings of £50 million with interest payable at Daily Sterling Overnight Index Average (SONIA) plus 1.375%.</w:t>
      </w:r>
    </w:p>
    <w:p>
      <w:pPr>
        <w:spacing w:after="0" w:line="140"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The fair value of the Company’s other debt, which is based on Level 2 inputs, approximates its carrying value as of June 30, 2024 and December 31, 2023. The Company is in compliance with all financial covenants of the revolving credit facility and term loans as of June 30,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2024.</w:t>
      </w:r>
    </w:p>
    <w:p>
      <w:pPr>
        <w:spacing w:after="0" w:line="14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During the three months ended June 30, 2024 and 2023, the Company had average borrowings outstanding of approximately $841.8 million and $742.1 million, respectively, at average annual interest rates of approximately 6.4% and 6.0%, respectively. During the three months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ended June 30, 2024 and 2023, the Company incurred net interest expense of $89.3 million and $10.2 million, respectively.</w:t>
      </w:r>
    </w:p>
    <w:p>
      <w:pPr>
        <w:spacing w:after="0" w:line="140"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During the six months ended June 30, 2024 and 2023, the Company had average borrowings outstanding of approximately $826.9 million and $738.3 million, respectively, at average annual interest rates of approximately 6.4% and 5.9%, respectively. During the six months ended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June 30, 2024 and 2023, the Company incurred net interest expense of $106.4 million and $23.3 million, respectively.</w:t>
      </w:r>
    </w:p>
    <w:p>
      <w:pPr>
        <w:spacing w:after="0" w:line="140"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During the three and six months ended June 30, 2024, the Company recorded interest expense of $73.5 million and $75.4 million, respectively, to adjust the fair value of the mandatorily redeemable noncontrolling interest. During the three months ended June 30, 2023, the</w:t>
      </w:r>
    </w:p>
    <w:p>
      <w:pPr>
        <w:spacing w:after="0" w:line="235" w:lineRule="auto"/>
        <w:rPr>
          <w:sz w:val="20"/>
          <w:szCs w:val="20"/>
          <w:color w:val="auto"/>
        </w:rPr>
      </w:pPr>
      <w:r>
        <w:rPr>
          <w:rFonts w:ascii="Arial" w:cs="Arial" w:eastAsia="Arial" w:hAnsi="Arial"/>
          <w:sz w:val="18"/>
          <w:szCs w:val="18"/>
          <w:color w:val="auto"/>
        </w:rPr>
        <w:t>Company recorded a credit to interest expense of $1.2 million to adjust the fair value of the mandatorily redeemable noncontrolling interest.</w:t>
      </w:r>
    </w:p>
    <w:p>
      <w:pPr>
        <w:spacing w:after="0" w:line="226" w:lineRule="auto"/>
        <w:rPr>
          <w:sz w:val="20"/>
          <w:szCs w:val="20"/>
          <w:color w:val="auto"/>
        </w:rPr>
      </w:pPr>
      <w:r>
        <w:rPr>
          <w:rFonts w:ascii="Arial" w:cs="Arial" w:eastAsia="Arial" w:hAnsi="Arial"/>
          <w:sz w:val="18"/>
          <w:szCs w:val="18"/>
          <w:color w:val="auto"/>
        </w:rPr>
        <w:t>During the six months ended June 30, 2023, the Company recorded interest expense of $0.3 million to adjust the fair value of the mandatorily redeemable noncontrolling interest. The fair value of the mandatorily redeemable noncontrolling interest was based on the fair value of the</w:t>
      </w:r>
    </w:p>
    <w:p>
      <w:pPr>
        <w:spacing w:after="0" w:line="236" w:lineRule="auto"/>
        <w:rPr>
          <w:sz w:val="20"/>
          <w:szCs w:val="20"/>
          <w:color w:val="auto"/>
        </w:rPr>
      </w:pPr>
      <w:r>
        <w:rPr>
          <w:rFonts w:ascii="Arial" w:cs="Arial" w:eastAsia="Arial" w:hAnsi="Arial"/>
          <w:sz w:val="18"/>
          <w:szCs w:val="18"/>
          <w:color w:val="auto"/>
        </w:rPr>
        <w:t>underlying subsidiaries owned by GHC One LLC (GHC One) and GHC Two LLC (GHC Two), after taking into account any debt and other</w:t>
      </w:r>
    </w:p>
    <w:p>
      <w:pPr>
        <w:spacing w:after="0" w:line="1" w:lineRule="exact"/>
        <w:rPr>
          <w:sz w:val="20"/>
          <w:szCs w:val="20"/>
          <w:color w:val="auto"/>
        </w:rPr>
      </w:pPr>
    </w:p>
    <w:p>
      <w:pPr>
        <w:ind w:right="780"/>
        <w:spacing w:after="0" w:line="237" w:lineRule="auto"/>
        <w:rPr>
          <w:sz w:val="20"/>
          <w:szCs w:val="20"/>
          <w:color w:val="auto"/>
        </w:rPr>
      </w:pPr>
      <w:r>
        <w:rPr>
          <w:rFonts w:ascii="Arial" w:cs="Arial" w:eastAsia="Arial" w:hAnsi="Arial"/>
          <w:sz w:val="18"/>
          <w:szCs w:val="18"/>
          <w:color w:val="auto"/>
        </w:rPr>
        <w:t>noncontrolling interests of its subsidiary investments. The fair value of the owned subsidiaries is determined by reference to either a discounted cash flow or EBITDA multiple, which approximates fair value (Level 3 fair value assessment) (See Note 8).</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8.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As of June 30, 2024</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6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tcPr>
          <w:p>
            <w:pPr>
              <w:spacing w:after="0" w:line="236" w:lineRule="exact"/>
              <w:rPr>
                <w:sz w:val="20"/>
                <w:szCs w:val="20"/>
                <w:color w:val="auto"/>
              </w:rPr>
            </w:pPr>
            <w:r>
              <w:rPr>
                <w:rFonts w:ascii="Arial" w:cs="Arial" w:eastAsia="Arial" w:hAnsi="Arial"/>
                <w:sz w:val="16"/>
                <w:szCs w:val="16"/>
                <w:b w:val="1"/>
                <w:bCs w:val="1"/>
                <w:color w:val="auto"/>
              </w:rPr>
              <w:t xml:space="preserve">Money market investments </w:t>
            </w:r>
            <w:r>
              <w:rPr>
                <w:rFonts w:ascii="Arial" w:cs="Arial" w:eastAsia="Arial" w:hAnsi="Arial"/>
                <w:sz w:val="21"/>
                <w:szCs w:val="21"/>
                <w:b w:val="1"/>
                <w:bCs w:val="1"/>
                <w:color w:val="auto"/>
                <w:vertAlign w:val="superscript"/>
              </w:rPr>
              <w:t>(1)</w:t>
            </w:r>
          </w:p>
        </w:tc>
        <w:tc>
          <w:tcPr>
            <w:tcW w:w="2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1"/>
              <w:spacing w:after="0"/>
              <w:rPr>
                <w:sz w:val="20"/>
                <w:szCs w:val="20"/>
                <w:color w:val="auto"/>
              </w:rPr>
            </w:pPr>
            <w:r>
              <w:rPr>
                <w:rFonts w:ascii="Arial" w:cs="Arial" w:eastAsia="Arial" w:hAnsi="Arial"/>
                <w:sz w:val="16"/>
                <w:szCs w:val="16"/>
                <w:b w:val="1"/>
                <w:bCs w:val="1"/>
                <w:color w:val="auto"/>
              </w:rPr>
              <w:t>9,050</w:t>
            </w:r>
          </w:p>
        </w:tc>
        <w:tc>
          <w:tcPr>
            <w:tcW w:w="3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9,050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tcPr>
          <w:p>
            <w:pPr>
              <w:spacing w:after="0" w:line="230" w:lineRule="exact"/>
              <w:rPr>
                <w:sz w:val="20"/>
                <w:szCs w:val="20"/>
                <w:color w:val="auto"/>
              </w:rPr>
            </w:pPr>
            <w:r>
              <w:rPr>
                <w:rFonts w:ascii="Arial" w:cs="Arial" w:eastAsia="Arial" w:hAnsi="Arial"/>
                <w:sz w:val="16"/>
                <w:szCs w:val="16"/>
                <w:b w:val="1"/>
                <w:bCs w:val="1"/>
                <w:color w:val="auto"/>
              </w:rPr>
              <w:t xml:space="preserve">Marketable equity securities </w:t>
            </w:r>
            <w:r>
              <w:rPr>
                <w:rFonts w:ascii="Arial" w:cs="Arial" w:eastAsia="Arial" w:hAnsi="Arial"/>
                <w:sz w:val="21"/>
                <w:szCs w:val="21"/>
                <w:b w:val="1"/>
                <w:bCs w:val="1"/>
                <w:color w:val="auto"/>
                <w:vertAlign w:val="superscript"/>
              </w:rPr>
              <w:t>(2)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813,444</w:t>
            </w:r>
          </w:p>
        </w:tc>
        <w:tc>
          <w:tcPr>
            <w:tcW w:w="30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813,444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spacing w:after="0" w:line="230" w:lineRule="exact"/>
              <w:rPr>
                <w:sz w:val="20"/>
                <w:szCs w:val="20"/>
                <w:color w:val="auto"/>
              </w:rPr>
            </w:pPr>
            <w:r>
              <w:rPr>
                <w:rFonts w:ascii="Arial" w:cs="Arial" w:eastAsia="Arial" w:hAnsi="Arial"/>
                <w:sz w:val="16"/>
                <w:szCs w:val="16"/>
                <w:b w:val="1"/>
                <w:bCs w:val="1"/>
                <w:color w:val="auto"/>
              </w:rPr>
              <w:t xml:space="preserve">Other current investments </w:t>
            </w:r>
            <w:r>
              <w:rPr>
                <w:rFonts w:ascii="Arial" w:cs="Arial" w:eastAsia="Arial" w:hAnsi="Arial"/>
                <w:sz w:val="21"/>
                <w:szCs w:val="21"/>
                <w:b w:val="1"/>
                <w:bCs w:val="1"/>
                <w:color w:val="auto"/>
                <w:vertAlign w:val="superscript"/>
              </w:rPr>
              <w:t>(3)</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8,590</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0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822,034</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9,050</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831,084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vMerge w:val="restart"/>
          </w:tcPr>
          <w:p>
            <w:pPr>
              <w:spacing w:after="0"/>
              <w:rPr>
                <w:sz w:val="20"/>
                <w:szCs w:val="20"/>
                <w:color w:val="auto"/>
              </w:rPr>
            </w:pPr>
            <w:r>
              <w:rPr>
                <w:rFonts w:ascii="Arial" w:cs="Arial" w:eastAsia="Arial" w:hAnsi="Arial"/>
                <w:sz w:val="16"/>
                <w:szCs w:val="16"/>
                <w:b w:val="1"/>
                <w:bCs w:val="1"/>
                <w:color w:val="auto"/>
              </w:rPr>
              <w:t>Liabilities</w:t>
            </w: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vMerge w:val="continue"/>
          </w:tcPr>
          <w:p>
            <w:pPr>
              <w:spacing w:after="0"/>
              <w:rPr>
                <w:sz w:val="18"/>
                <w:szCs w:val="18"/>
                <w:color w:val="auto"/>
              </w:rPr>
            </w:pPr>
          </w:p>
        </w:tc>
        <w:tc>
          <w:tcPr>
            <w:tcW w:w="22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92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w:t>
            </w:r>
          </w:p>
        </w:tc>
        <w:tc>
          <w:tcPr>
            <w:tcW w:w="3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1,284</w:t>
            </w:r>
          </w:p>
        </w:tc>
        <w:tc>
          <w:tcPr>
            <w:tcW w:w="3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1,284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tcPr>
          <w:p>
            <w:pPr>
              <w:spacing w:after="0" w:line="236" w:lineRule="exact"/>
              <w:rPr>
                <w:sz w:val="20"/>
                <w:szCs w:val="20"/>
                <w:color w:val="auto"/>
              </w:rPr>
            </w:pPr>
            <w:r>
              <w:rPr>
                <w:rFonts w:ascii="Arial" w:cs="Arial" w:eastAsia="Arial" w:hAnsi="Arial"/>
                <w:sz w:val="16"/>
                <w:szCs w:val="16"/>
                <w:b w:val="1"/>
                <w:bCs w:val="1"/>
                <w:color w:val="auto"/>
              </w:rPr>
              <w:t xml:space="preserve">Contingent consideration liabilities </w:t>
            </w:r>
            <w:r>
              <w:rPr>
                <w:rFonts w:ascii="Arial" w:cs="Arial" w:eastAsia="Arial" w:hAnsi="Arial"/>
                <w:sz w:val="21"/>
                <w:szCs w:val="21"/>
                <w:b w:val="1"/>
                <w:bCs w:val="1"/>
                <w:color w:val="auto"/>
                <w:vertAlign w:val="superscript"/>
              </w:rPr>
              <w:t>(4)</w:t>
            </w:r>
          </w:p>
        </w:tc>
        <w:tc>
          <w:tcPr>
            <w:tcW w:w="220" w:type="dxa"/>
            <w:vAlign w:val="bottom"/>
            <w:gridSpan w:val="2"/>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34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tcPr>
          <w:p>
            <w:pPr>
              <w:spacing w:after="0" w:line="230" w:lineRule="exact"/>
              <w:rPr>
                <w:sz w:val="20"/>
                <w:szCs w:val="20"/>
                <w:color w:val="auto"/>
              </w:rPr>
            </w:pPr>
            <w:r>
              <w:rPr>
                <w:rFonts w:ascii="Arial" w:cs="Arial" w:eastAsia="Arial" w:hAnsi="Arial"/>
                <w:sz w:val="16"/>
                <w:szCs w:val="16"/>
                <w:b w:val="1"/>
                <w:bCs w:val="1"/>
                <w:color w:val="auto"/>
              </w:rPr>
              <w:t xml:space="preserve">Interest rate swaps </w:t>
            </w:r>
            <w:r>
              <w:rPr>
                <w:rFonts w:ascii="Arial" w:cs="Arial" w:eastAsia="Arial" w:hAnsi="Arial"/>
                <w:sz w:val="21"/>
                <w:szCs w:val="21"/>
                <w:b w:val="1"/>
                <w:bCs w:val="1"/>
                <w:color w:val="auto"/>
                <w:vertAlign w:val="superscript"/>
              </w:rPr>
              <w:t>(5)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b w:val="1"/>
                <w:bCs w:val="1"/>
                <w:color w:val="auto"/>
              </w:rPr>
              <w:t>1,307</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1,307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spacing w:after="0" w:line="230" w:lineRule="exact"/>
              <w:rPr>
                <w:sz w:val="20"/>
                <w:szCs w:val="20"/>
                <w:color w:val="auto"/>
              </w:rPr>
            </w:pPr>
            <w:r>
              <w:rPr>
                <w:rFonts w:ascii="Arial" w:cs="Arial" w:eastAsia="Arial" w:hAnsi="Arial"/>
                <w:sz w:val="16"/>
                <w:szCs w:val="16"/>
                <w:b w:val="1"/>
                <w:bCs w:val="1"/>
                <w:color w:val="auto"/>
              </w:rPr>
              <w:t xml:space="preserve">Mandatorily redeemable noncontrolling interest </w:t>
            </w:r>
            <w:r>
              <w:rPr>
                <w:rFonts w:ascii="Arial" w:cs="Arial" w:eastAsia="Arial" w:hAnsi="Arial"/>
                <w:sz w:val="21"/>
                <w:szCs w:val="21"/>
                <w:b w:val="1"/>
                <w:bCs w:val="1"/>
                <w:color w:val="auto"/>
                <w:vertAlign w:val="superscript"/>
              </w:rPr>
              <w:t>(6)</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115,895</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115,895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0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1,307</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117,179</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118,486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3"/>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7"/>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As of December 31, 2023</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38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tcPr>
          <w:p>
            <w:pPr>
              <w:ind w:left="20"/>
              <w:spacing w:after="0" w:line="236" w:lineRule="exact"/>
              <w:rPr>
                <w:sz w:val="20"/>
                <w:szCs w:val="20"/>
                <w:color w:val="auto"/>
              </w:rPr>
            </w:pPr>
            <w:r>
              <w:rPr>
                <w:rFonts w:ascii="Arial" w:cs="Arial" w:eastAsia="Arial" w:hAnsi="Arial"/>
                <w:sz w:val="16"/>
                <w:szCs w:val="16"/>
                <w:color w:val="auto"/>
              </w:rPr>
              <w:t xml:space="preserve">Money market investments </w:t>
            </w:r>
            <w:r>
              <w:rPr>
                <w:rFonts w:ascii="Arial" w:cs="Arial" w:eastAsia="Arial" w:hAnsi="Arial"/>
                <w:sz w:val="21"/>
                <w:szCs w:val="21"/>
                <w:color w:val="auto"/>
                <w:vertAlign w:val="superscript"/>
              </w:rPr>
              <w:t>(1)</w:t>
            </w:r>
          </w:p>
        </w:tc>
        <w:tc>
          <w:tcPr>
            <w:tcW w:w="2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5,577</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5,577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Marketable equity securities </w:t>
            </w:r>
            <w:r>
              <w:rPr>
                <w:rFonts w:ascii="Arial" w:cs="Arial" w:eastAsia="Arial" w:hAnsi="Arial"/>
                <w:sz w:val="21"/>
                <w:szCs w:val="21"/>
                <w:color w:val="auto"/>
                <w:vertAlign w:val="superscript"/>
              </w:rPr>
              <w:t>(2)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690,153</w:t>
            </w:r>
          </w:p>
        </w:tc>
        <w:tc>
          <w:tcPr>
            <w:tcW w:w="30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690,153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Other current investments </w:t>
            </w:r>
            <w:r>
              <w:rPr>
                <w:rFonts w:ascii="Arial" w:cs="Arial" w:eastAsia="Arial" w:hAnsi="Arial"/>
                <w:sz w:val="21"/>
                <w:szCs w:val="21"/>
                <w:color w:val="auto"/>
                <w:vertAlign w:val="superscript"/>
              </w:rPr>
              <w:t>(3)</w:t>
            </w: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6,875</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20"/>
              <w:spacing w:after="0"/>
              <w:rPr>
                <w:sz w:val="20"/>
                <w:szCs w:val="20"/>
                <w:color w:val="auto"/>
              </w:rPr>
            </w:pPr>
            <w:r>
              <w:rPr>
                <w:rFonts w:ascii="Arial" w:cs="Arial" w:eastAsia="Arial" w:hAnsi="Arial"/>
                <w:sz w:val="16"/>
                <w:szCs w:val="16"/>
                <w:b w:val="1"/>
                <w:bCs w:val="1"/>
                <w:color w:val="auto"/>
              </w:rPr>
              <w:t>Total Financial Assets</w:t>
            </w: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697,028</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5,577</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702,605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tcPr>
          <w:p>
            <w:pPr>
              <w:ind w:left="20"/>
              <w:spacing w:after="0" w:line="236" w:lineRule="exact"/>
              <w:rPr>
                <w:sz w:val="20"/>
                <w:szCs w:val="20"/>
                <w:color w:val="auto"/>
              </w:rPr>
            </w:pPr>
            <w:r>
              <w:rPr>
                <w:rFonts w:ascii="Arial" w:cs="Arial" w:eastAsia="Arial" w:hAnsi="Arial"/>
                <w:sz w:val="16"/>
                <w:szCs w:val="16"/>
                <w:color w:val="auto"/>
              </w:rPr>
              <w:t xml:space="preserve">Contingent consideration liabilities </w:t>
            </w:r>
            <w:r>
              <w:rPr>
                <w:rFonts w:ascii="Arial" w:cs="Arial" w:eastAsia="Arial" w:hAnsi="Arial"/>
                <w:sz w:val="21"/>
                <w:szCs w:val="21"/>
                <w:color w:val="auto"/>
                <w:vertAlign w:val="superscript"/>
              </w:rPr>
              <w:t>(4)</w:t>
            </w:r>
          </w:p>
        </w:tc>
        <w:tc>
          <w:tcPr>
            <w:tcW w:w="2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788</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2,761</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2,761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Foreign exchange swap </w:t>
            </w:r>
            <w:r>
              <w:rPr>
                <w:rFonts w:ascii="Arial" w:cs="Arial" w:eastAsia="Arial" w:hAnsi="Arial"/>
                <w:sz w:val="21"/>
                <w:szCs w:val="21"/>
                <w:color w:val="auto"/>
                <w:vertAlign w:val="superscript"/>
              </w:rPr>
              <w:t>(7)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86</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Mandatorily redeemable noncontrolling interest </w:t>
            </w:r>
            <w:r>
              <w:rPr>
                <w:rFonts w:ascii="Arial" w:cs="Arial" w:eastAsia="Arial" w:hAnsi="Arial"/>
                <w:sz w:val="21"/>
                <w:szCs w:val="21"/>
                <w:color w:val="auto"/>
                <w:vertAlign w:val="superscript"/>
              </w:rPr>
              <w:t>(6)</w:t>
            </w: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40,764</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20"/>
              <w:spacing w:after="0"/>
              <w:rPr>
                <w:sz w:val="20"/>
                <w:szCs w:val="20"/>
                <w:color w:val="auto"/>
              </w:rPr>
            </w:pPr>
            <w:r>
              <w:rPr>
                <w:rFonts w:ascii="Arial" w:cs="Arial" w:eastAsia="Arial" w:hAnsi="Arial"/>
                <w:sz w:val="16"/>
                <w:szCs w:val="16"/>
                <w:b w:val="1"/>
                <w:bCs w:val="1"/>
                <w:color w:val="auto"/>
              </w:rPr>
              <w:t>Total Financial Liabilities</w:t>
            </w: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2,847</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41,552</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109" w:lineRule="exact"/>
        <w:rPr>
          <w:sz w:val="20"/>
          <w:szCs w:val="20"/>
          <w:color w:val="auto"/>
        </w:rPr>
      </w:pPr>
    </w:p>
    <w:p>
      <w:pPr>
        <w:ind w:left="480" w:hanging="454"/>
        <w:spacing w:after="0"/>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Company’s money market investments are included in cash and cash equivalents and the value considers the liquidity of the counterparty.</w:t>
      </w:r>
    </w:p>
    <w:p>
      <w:pPr>
        <w:spacing w:after="0" w:line="41" w:lineRule="exact"/>
        <w:rPr>
          <w:rFonts w:ascii="Arial" w:cs="Arial" w:eastAsia="Arial" w:hAnsi="Arial"/>
          <w:sz w:val="14"/>
          <w:szCs w:val="14"/>
          <w:color w:val="auto"/>
        </w:rPr>
      </w:pPr>
    </w:p>
    <w:p>
      <w:pPr>
        <w:ind w:left="480" w:right="340" w:hanging="454"/>
        <w:spacing w:after="0" w:line="261" w:lineRule="auto"/>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Company’s investments in marketable equity securities are held in common shares of U.S. corporations that are actively traded on U.S. stock exchanges. Price quotes for these shares are readily available.</w:t>
      </w:r>
    </w:p>
    <w:p>
      <w:pPr>
        <w:ind w:left="480" w:right="140" w:hanging="454"/>
        <w:spacing w:after="0" w:line="264" w:lineRule="auto"/>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U.S. Government Securities, corporate bonds, mutual funds and time deposits. These investments are valued using a market approach based on the quoted market prices of the security or inputs that include quoted market prices for similar instruments and are classified as either Level 1 or Level 2 in the fair value hierarchy.</w:t>
      </w:r>
    </w:p>
    <w:p>
      <w:pPr>
        <w:spacing w:after="0" w:line="10" w:lineRule="exact"/>
        <w:rPr>
          <w:rFonts w:ascii="Arial" w:cs="Arial" w:eastAsia="Arial" w:hAnsi="Arial"/>
          <w:sz w:val="14"/>
          <w:szCs w:val="14"/>
          <w:color w:val="auto"/>
        </w:rPr>
      </w:pPr>
    </w:p>
    <w:p>
      <w:pPr>
        <w:ind w:left="480" w:right="380" w:hanging="454"/>
        <w:spacing w:after="0" w:line="249" w:lineRule="auto"/>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Included in Accounts payable, vehicle floor plan payable and accrued liabilities and Other Liabilities. The Company determined the fair value of the contingent consideration liabilities using either a Monte Carlo simulation, Black-Scholes model, or probability-weighted analysis depending on the type of target included in the contingent consideration requirements (revenue, EBITDA, client retention). All analyses included estimated financial projections for the acquired businesses and acquisition-specific discount rates.</w:t>
      </w:r>
    </w:p>
    <w:p>
      <w:pPr>
        <w:spacing w:after="0" w:line="20" w:lineRule="exact"/>
        <w:rPr>
          <w:rFonts w:ascii="Arial" w:cs="Arial" w:eastAsia="Arial" w:hAnsi="Arial"/>
          <w:sz w:val="14"/>
          <w:szCs w:val="14"/>
          <w:color w:val="auto"/>
        </w:rPr>
      </w:pPr>
    </w:p>
    <w:p>
      <w:pPr>
        <w:ind w:left="480" w:right="140" w:hanging="454"/>
        <w:spacing w:after="0" w:line="264" w:lineRule="auto"/>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Included in Other Liabilities. The Company utilized a market approach model using the notional amount of the interest rate swaps multiplied by the observable inputs of time to maturity and market interest rates.</w:t>
      </w:r>
    </w:p>
    <w:p>
      <w:pPr>
        <w:spacing w:after="0" w:line="10" w:lineRule="exact"/>
        <w:rPr>
          <w:rFonts w:ascii="Arial" w:cs="Arial" w:eastAsia="Arial" w:hAnsi="Arial"/>
          <w:sz w:val="14"/>
          <w:szCs w:val="14"/>
          <w:color w:val="auto"/>
        </w:rPr>
      </w:pPr>
    </w:p>
    <w:p>
      <w:pPr>
        <w:ind w:left="480" w:right="260" w:hanging="454"/>
        <w:spacing w:after="0" w:line="253" w:lineRule="auto"/>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fair value of the mandatorily redeemable noncontrolling interest is based on the fair value of the underlying subsidiaries owned by GHC One and GHC Two, after taking into account any debt and other noncontrolling interests of its subsidiary investments. The fair value of the owned subsidiaries is determined using enterprise value analyses which include an equal weighing between guideline public company and discounted cash flow analyses.</w:t>
      </w:r>
    </w:p>
    <w:p>
      <w:pPr>
        <w:spacing w:after="0" w:line="17" w:lineRule="exact"/>
        <w:rPr>
          <w:rFonts w:ascii="Arial" w:cs="Arial" w:eastAsia="Arial" w:hAnsi="Arial"/>
          <w:sz w:val="14"/>
          <w:szCs w:val="14"/>
          <w:color w:val="auto"/>
        </w:rPr>
      </w:pPr>
    </w:p>
    <w:p>
      <w:pPr>
        <w:ind w:left="480" w:right="460" w:hanging="454"/>
        <w:spacing w:after="0" w:line="264" w:lineRule="auto"/>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Included in Accounts payable, vehicle floor plan payable and accrued liabilities, and valued based on a valuation model that calculates the differential between the contract price and the market-based forward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7" w:name="page18"/>
    <w:bookmarkEnd w:id="17"/>
    <w:p>
      <w:pPr>
        <w:ind w:right="440"/>
        <w:spacing w:after="0" w:line="271" w:lineRule="auto"/>
        <w:rPr>
          <w:sz w:val="20"/>
          <w:szCs w:val="20"/>
          <w:color w:val="auto"/>
        </w:rPr>
      </w:pPr>
      <w:r>
        <w:rPr>
          <w:rFonts w:ascii="Arial" w:cs="Arial" w:eastAsia="Arial" w:hAnsi="Arial"/>
          <w:sz w:val="18"/>
          <w:szCs w:val="18"/>
          <w:color w:val="auto"/>
        </w:rPr>
        <w:t>The following tables provide a reconciliation of changes in the Company’s financial liabilities measured at fair value on a recurring basis, using Level 3 inputs: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4"/>
                <w:szCs w:val="14"/>
                <w:color w:val="auto"/>
              </w:rPr>
            </w:pPr>
          </w:p>
        </w:tc>
        <w:tc>
          <w:tcPr>
            <w:tcW w:w="2140" w:type="dxa"/>
            <w:vAlign w:val="bottom"/>
          </w:tcPr>
          <w:p>
            <w:pPr>
              <w:jc w:val="center"/>
              <w:ind w:right="162"/>
              <w:spacing w:after="0"/>
              <w:rPr>
                <w:sz w:val="20"/>
                <w:szCs w:val="20"/>
                <w:color w:val="auto"/>
              </w:rPr>
            </w:pPr>
            <w:r>
              <w:rPr>
                <w:rFonts w:ascii="Arial" w:cs="Arial" w:eastAsia="Arial" w:hAnsi="Arial"/>
                <w:sz w:val="14"/>
                <w:szCs w:val="14"/>
                <w:b w:val="1"/>
                <w:bCs w:val="1"/>
                <w:color w:val="auto"/>
              </w:rPr>
              <w:t>Contingent consideration</w:t>
            </w:r>
          </w:p>
        </w:tc>
        <w:tc>
          <w:tcPr>
            <w:tcW w:w="280" w:type="dxa"/>
            <w:vAlign w:val="bottom"/>
          </w:tcPr>
          <w:p>
            <w:pPr>
              <w:spacing w:after="0"/>
              <w:rPr>
                <w:sz w:val="14"/>
                <w:szCs w:val="14"/>
                <w:color w:val="auto"/>
              </w:rPr>
            </w:pPr>
          </w:p>
        </w:tc>
        <w:tc>
          <w:tcPr>
            <w:tcW w:w="2080" w:type="dxa"/>
            <w:vAlign w:val="bottom"/>
          </w:tcPr>
          <w:p>
            <w:pPr>
              <w:jc w:val="center"/>
              <w:ind w:right="142"/>
              <w:spacing w:after="0"/>
              <w:rPr>
                <w:sz w:val="20"/>
                <w:szCs w:val="20"/>
                <w:color w:val="auto"/>
              </w:rPr>
            </w:pPr>
            <w:r>
              <w:rPr>
                <w:rFonts w:ascii="Arial" w:cs="Arial" w:eastAsia="Arial" w:hAnsi="Arial"/>
                <w:sz w:val="14"/>
                <w:szCs w:val="14"/>
                <w:b w:val="1"/>
                <w:bCs w:val="1"/>
                <w:color w:val="auto"/>
              </w:rPr>
              <w:t>Mandatorily redeemable</w:t>
            </w:r>
          </w:p>
        </w:tc>
        <w:tc>
          <w:tcPr>
            <w:tcW w:w="0" w:type="dxa"/>
            <w:vAlign w:val="bottom"/>
          </w:tcPr>
          <w:p>
            <w:pPr>
              <w:spacing w:after="0"/>
              <w:rPr>
                <w:sz w:val="1"/>
                <w:szCs w:val="1"/>
                <w:color w:val="auto"/>
              </w:rPr>
            </w:pPr>
          </w:p>
        </w:tc>
      </w:tr>
      <w:tr>
        <w:trPr>
          <w:trHeight w:val="197"/>
        </w:trPr>
        <w:tc>
          <w:tcPr>
            <w:tcW w:w="65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liabilities</w:t>
            </w:r>
          </w:p>
        </w:tc>
        <w:tc>
          <w:tcPr>
            <w:tcW w:w="2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noncontrolling interest</w:t>
            </w:r>
          </w:p>
        </w:tc>
        <w:tc>
          <w:tcPr>
            <w:tcW w:w="0" w:type="dxa"/>
            <w:vAlign w:val="bottom"/>
          </w:tcPr>
          <w:p>
            <w:pPr>
              <w:spacing w:after="0"/>
              <w:rPr>
                <w:sz w:val="1"/>
                <w:szCs w:val="1"/>
                <w:color w:val="auto"/>
              </w:rPr>
            </w:pPr>
          </w:p>
        </w:tc>
      </w:tr>
      <w:tr>
        <w:trPr>
          <w:trHeight w:val="209"/>
        </w:trPr>
        <w:tc>
          <w:tcPr>
            <w:tcW w:w="6540" w:type="dxa"/>
            <w:vAlign w:val="bottom"/>
          </w:tcPr>
          <w:p>
            <w:pPr>
              <w:ind w:left="20"/>
              <w:spacing w:after="0"/>
              <w:rPr>
                <w:sz w:val="20"/>
                <w:szCs w:val="20"/>
                <w:color w:val="auto"/>
              </w:rPr>
            </w:pPr>
            <w:r>
              <w:rPr>
                <w:rFonts w:ascii="Arial" w:cs="Arial" w:eastAsia="Arial" w:hAnsi="Arial"/>
                <w:sz w:val="16"/>
                <w:szCs w:val="16"/>
                <w:color w:val="auto"/>
              </w:rPr>
              <w:t>As of December 31, 2023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42"/>
              <w:spacing w:after="0"/>
              <w:rPr>
                <w:sz w:val="20"/>
                <w:szCs w:val="20"/>
                <w:color w:val="auto"/>
              </w:rPr>
            </w:pPr>
            <w:r>
              <w:rPr>
                <w:rFonts w:ascii="Arial" w:cs="Arial" w:eastAsia="Arial" w:hAnsi="Arial"/>
                <w:sz w:val="16"/>
                <w:szCs w:val="16"/>
                <w:color w:val="auto"/>
              </w:rPr>
              <w:t>788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2"/>
              <w:spacing w:after="0"/>
              <w:rPr>
                <w:sz w:val="20"/>
                <w:szCs w:val="20"/>
                <w:color w:val="auto"/>
              </w:rPr>
            </w:pPr>
            <w:r>
              <w:rPr>
                <w:rFonts w:ascii="Arial" w:cs="Arial" w:eastAsia="Arial" w:hAnsi="Arial"/>
                <w:sz w:val="16"/>
                <w:szCs w:val="16"/>
                <w:color w:val="auto"/>
              </w:rPr>
              <w:t>40,764</w:t>
            </w:r>
          </w:p>
        </w:tc>
        <w:tc>
          <w:tcPr>
            <w:tcW w:w="0" w:type="dxa"/>
            <w:vAlign w:val="bottom"/>
          </w:tcPr>
          <w:p>
            <w:pPr>
              <w:spacing w:after="0"/>
              <w:rPr>
                <w:sz w:val="1"/>
                <w:szCs w:val="1"/>
                <w:color w:val="auto"/>
              </w:rPr>
            </w:pPr>
          </w:p>
        </w:tc>
      </w:tr>
      <w:tr>
        <w:trPr>
          <w:trHeight w:val="237"/>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Acquisition of business</w:t>
            </w:r>
          </w:p>
        </w:tc>
        <w:tc>
          <w:tcPr>
            <w:tcW w:w="200" w:type="dxa"/>
            <w:vAlign w:val="bottom"/>
          </w:tcPr>
          <w:p>
            <w:pPr>
              <w:spacing w:after="0"/>
              <w:rPr>
                <w:sz w:val="20"/>
                <w:szCs w:val="20"/>
                <w:color w:val="auto"/>
              </w:rPr>
            </w:pPr>
          </w:p>
        </w:tc>
        <w:tc>
          <w:tcPr>
            <w:tcW w:w="2140" w:type="dxa"/>
            <w:vAlign w:val="bottom"/>
          </w:tcPr>
          <w:p>
            <w:pPr>
              <w:jc w:val="right"/>
              <w:ind w:right="42"/>
              <w:spacing w:after="0"/>
              <w:rPr>
                <w:sz w:val="20"/>
                <w:szCs w:val="20"/>
                <w:color w:val="auto"/>
              </w:rPr>
            </w:pPr>
            <w:r>
              <w:rPr>
                <w:rFonts w:ascii="Arial" w:cs="Arial" w:eastAsia="Arial" w:hAnsi="Arial"/>
                <w:sz w:val="16"/>
                <w:szCs w:val="16"/>
                <w:b w:val="1"/>
                <w:bCs w:val="1"/>
                <w:color w:val="auto"/>
              </w:rPr>
              <w:t>1,298</w:t>
            </w:r>
          </w:p>
        </w:tc>
        <w:tc>
          <w:tcPr>
            <w:tcW w:w="280" w:type="dxa"/>
            <w:vAlign w:val="bottom"/>
          </w:tcPr>
          <w:p>
            <w:pPr>
              <w:spacing w:after="0"/>
              <w:rPr>
                <w:sz w:val="20"/>
                <w:szCs w:val="20"/>
                <w:color w:val="auto"/>
              </w:rPr>
            </w:pPr>
          </w:p>
        </w:tc>
        <w:tc>
          <w:tcPr>
            <w:tcW w:w="208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6"/>
        </w:trPr>
        <w:tc>
          <w:tcPr>
            <w:tcW w:w="6540" w:type="dxa"/>
            <w:vAlign w:val="bottom"/>
          </w:tcPr>
          <w:p>
            <w:pPr>
              <w:ind w:left="20"/>
              <w:spacing w:after="0" w:line="236" w:lineRule="exact"/>
              <w:rPr>
                <w:sz w:val="20"/>
                <w:szCs w:val="20"/>
                <w:color w:val="auto"/>
              </w:rPr>
            </w:pPr>
            <w:r>
              <w:rPr>
                <w:rFonts w:ascii="Arial" w:cs="Arial" w:eastAsia="Arial" w:hAnsi="Arial"/>
                <w:sz w:val="16"/>
                <w:szCs w:val="16"/>
                <w:b w:val="1"/>
                <w:bCs w:val="1"/>
                <w:color w:val="auto"/>
              </w:rPr>
              <w:t xml:space="preserve">Changes in fair value </w:t>
            </w:r>
            <w:r>
              <w:rPr>
                <w:rFonts w:ascii="Arial" w:cs="Arial" w:eastAsia="Arial" w:hAnsi="Arial"/>
                <w:sz w:val="21"/>
                <w:szCs w:val="21"/>
                <w:b w:val="1"/>
                <w:bCs w:val="1"/>
                <w:color w:val="auto"/>
                <w:vertAlign w:val="superscript"/>
              </w:rPr>
              <w:t>(1)</w:t>
            </w:r>
          </w:p>
        </w:tc>
        <w:tc>
          <w:tcPr>
            <w:tcW w:w="20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Arial" w:cs="Arial" w:eastAsia="Arial" w:hAnsi="Arial"/>
                <w:sz w:val="16"/>
                <w:szCs w:val="16"/>
                <w:b w:val="1"/>
                <w:bCs w:val="1"/>
                <w:color w:val="auto"/>
              </w:rPr>
              <w:t>(75)</w:t>
            </w:r>
          </w:p>
        </w:tc>
        <w:tc>
          <w:tcPr>
            <w:tcW w:w="280" w:type="dxa"/>
            <w:vAlign w:val="bottom"/>
          </w:tcPr>
          <w:p>
            <w:pPr>
              <w:spacing w:after="0"/>
              <w:rPr>
                <w:sz w:val="20"/>
                <w:szCs w:val="20"/>
                <w:color w:val="auto"/>
              </w:rPr>
            </w:pPr>
          </w:p>
        </w:tc>
        <w:tc>
          <w:tcPr>
            <w:tcW w:w="2080" w:type="dxa"/>
            <w:vAlign w:val="bottom"/>
          </w:tcPr>
          <w:p>
            <w:pPr>
              <w:jc w:val="right"/>
              <w:ind w:right="2"/>
              <w:spacing w:after="0"/>
              <w:rPr>
                <w:sz w:val="20"/>
                <w:szCs w:val="20"/>
                <w:color w:val="auto"/>
              </w:rPr>
            </w:pPr>
            <w:r>
              <w:rPr>
                <w:rFonts w:ascii="Arial" w:cs="Arial" w:eastAsia="Arial" w:hAnsi="Arial"/>
                <w:sz w:val="16"/>
                <w:szCs w:val="16"/>
                <w:b w:val="1"/>
                <w:bCs w:val="1"/>
                <w:color w:val="auto"/>
              </w:rPr>
              <w:t>75,415</w:t>
            </w:r>
          </w:p>
        </w:tc>
        <w:tc>
          <w:tcPr>
            <w:tcW w:w="0" w:type="dxa"/>
            <w:vAlign w:val="bottom"/>
          </w:tcPr>
          <w:p>
            <w:pPr>
              <w:spacing w:after="0"/>
              <w:rPr>
                <w:sz w:val="1"/>
                <w:szCs w:val="1"/>
                <w:color w:val="auto"/>
              </w:rPr>
            </w:pPr>
          </w:p>
        </w:tc>
      </w:tr>
      <w:tr>
        <w:trPr>
          <w:trHeight w:val="223"/>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Capital contributions</w:t>
            </w:r>
          </w:p>
        </w:tc>
        <w:tc>
          <w:tcPr>
            <w:tcW w:w="200" w:type="dxa"/>
            <w:vAlign w:val="bottom"/>
          </w:tcPr>
          <w:p>
            <w:pPr>
              <w:spacing w:after="0"/>
              <w:rPr>
                <w:sz w:val="19"/>
                <w:szCs w:val="19"/>
                <w:color w:val="auto"/>
              </w:rPr>
            </w:pPr>
          </w:p>
        </w:tc>
        <w:tc>
          <w:tcPr>
            <w:tcW w:w="214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2080" w:type="dxa"/>
            <w:vAlign w:val="bottom"/>
          </w:tcPr>
          <w:p>
            <w:pPr>
              <w:jc w:val="right"/>
              <w:ind w:right="2"/>
              <w:spacing w:after="0"/>
              <w:rPr>
                <w:sz w:val="20"/>
                <w:szCs w:val="20"/>
                <w:color w:val="auto"/>
              </w:rPr>
            </w:pPr>
            <w:r>
              <w:rPr>
                <w:rFonts w:ascii="Arial" w:cs="Arial" w:eastAsia="Arial" w:hAnsi="Arial"/>
                <w:sz w:val="16"/>
                <w:szCs w:val="16"/>
                <w:b w:val="1"/>
                <w:bCs w:val="1"/>
                <w:color w:val="auto"/>
              </w:rPr>
              <w:t>21</w:t>
            </w:r>
          </w:p>
        </w:tc>
        <w:tc>
          <w:tcPr>
            <w:tcW w:w="0" w:type="dxa"/>
            <w:vAlign w:val="bottom"/>
          </w:tcPr>
          <w:p>
            <w:pPr>
              <w:spacing w:after="0"/>
              <w:rPr>
                <w:sz w:val="1"/>
                <w:szCs w:val="1"/>
                <w:color w:val="auto"/>
              </w:rPr>
            </w:pPr>
          </w:p>
        </w:tc>
      </w:tr>
      <w:tr>
        <w:trPr>
          <w:trHeight w:val="236"/>
        </w:trPr>
        <w:tc>
          <w:tcPr>
            <w:tcW w:w="6540" w:type="dxa"/>
            <w:vAlign w:val="bottom"/>
          </w:tcPr>
          <w:p>
            <w:pPr>
              <w:ind w:left="20"/>
              <w:spacing w:after="0" w:line="236" w:lineRule="exact"/>
              <w:rPr>
                <w:sz w:val="20"/>
                <w:szCs w:val="20"/>
                <w:color w:val="auto"/>
              </w:rPr>
            </w:pPr>
            <w:r>
              <w:rPr>
                <w:rFonts w:ascii="Arial" w:cs="Arial" w:eastAsia="Arial" w:hAnsi="Arial"/>
                <w:sz w:val="16"/>
                <w:szCs w:val="16"/>
                <w:b w:val="1"/>
                <w:bCs w:val="1"/>
                <w:color w:val="auto"/>
              </w:rPr>
              <w:t xml:space="preserve">Accretion of value included in net income </w:t>
            </w:r>
            <w:r>
              <w:rPr>
                <w:rFonts w:ascii="Arial" w:cs="Arial" w:eastAsia="Arial" w:hAnsi="Arial"/>
                <w:sz w:val="21"/>
                <w:szCs w:val="21"/>
                <w:b w:val="1"/>
                <w:bCs w:val="1"/>
                <w:color w:val="auto"/>
                <w:vertAlign w:val="superscript"/>
              </w:rPr>
              <w:t>(1)</w:t>
            </w:r>
          </w:p>
        </w:tc>
        <w:tc>
          <w:tcPr>
            <w:tcW w:w="200" w:type="dxa"/>
            <w:vAlign w:val="bottom"/>
          </w:tcPr>
          <w:p>
            <w:pPr>
              <w:spacing w:after="0"/>
              <w:rPr>
                <w:sz w:val="20"/>
                <w:szCs w:val="20"/>
                <w:color w:val="auto"/>
              </w:rPr>
            </w:pPr>
          </w:p>
        </w:tc>
        <w:tc>
          <w:tcPr>
            <w:tcW w:w="2140" w:type="dxa"/>
            <w:vAlign w:val="bottom"/>
          </w:tcPr>
          <w:p>
            <w:pPr>
              <w:jc w:val="right"/>
              <w:ind w:right="42"/>
              <w:spacing w:after="0"/>
              <w:rPr>
                <w:sz w:val="20"/>
                <w:szCs w:val="20"/>
                <w:color w:val="auto"/>
              </w:rPr>
            </w:pPr>
            <w:r>
              <w:rPr>
                <w:rFonts w:ascii="Arial" w:cs="Arial" w:eastAsia="Arial" w:hAnsi="Arial"/>
                <w:sz w:val="16"/>
                <w:szCs w:val="16"/>
                <w:b w:val="1"/>
                <w:bCs w:val="1"/>
                <w:color w:val="auto"/>
              </w:rPr>
              <w:t>6</w:t>
            </w:r>
          </w:p>
        </w:tc>
        <w:tc>
          <w:tcPr>
            <w:tcW w:w="280" w:type="dxa"/>
            <w:vAlign w:val="bottom"/>
          </w:tcPr>
          <w:p>
            <w:pPr>
              <w:spacing w:after="0"/>
              <w:rPr>
                <w:sz w:val="20"/>
                <w:szCs w:val="20"/>
                <w:color w:val="auto"/>
              </w:rPr>
            </w:pPr>
          </w:p>
        </w:tc>
        <w:tc>
          <w:tcPr>
            <w:tcW w:w="208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Settlements or distributions</w:t>
            </w:r>
          </w:p>
        </w:tc>
        <w:tc>
          <w:tcPr>
            <w:tcW w:w="2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6"/>
                <w:szCs w:val="16"/>
                <w:b w:val="1"/>
                <w:bCs w:val="1"/>
                <w:color w:val="auto"/>
              </w:rPr>
              <w:t>(719)</w:t>
            </w:r>
          </w:p>
        </w:tc>
        <w:tc>
          <w:tcPr>
            <w:tcW w:w="2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6"/>
                <w:szCs w:val="16"/>
                <w:b w:val="1"/>
                <w:bCs w:val="1"/>
                <w:color w:val="auto"/>
              </w:rPr>
              <w:t>(305)</w:t>
            </w:r>
          </w:p>
        </w:tc>
        <w:tc>
          <w:tcPr>
            <w:tcW w:w="0" w:type="dxa"/>
            <w:vAlign w:val="bottom"/>
          </w:tcPr>
          <w:p>
            <w:pPr>
              <w:spacing w:after="0"/>
              <w:rPr>
                <w:sz w:val="1"/>
                <w:szCs w:val="1"/>
                <w:color w:val="auto"/>
              </w:rPr>
            </w:pPr>
          </w:p>
        </w:tc>
      </w:tr>
      <w:tr>
        <w:trPr>
          <w:trHeight w:val="233"/>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Foreign currency exchange rate changes</w:t>
            </w:r>
          </w:p>
        </w:tc>
        <w:tc>
          <w:tcPr>
            <w:tcW w:w="2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w:t>
            </w:r>
          </w:p>
        </w:tc>
        <w:tc>
          <w:tcPr>
            <w:tcW w:w="2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7"/>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As of June 30, 2024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1,284</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2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115,895</w:t>
            </w: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3"/>
        </w:trPr>
        <w:tc>
          <w:tcPr>
            <w:tcW w:w="65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24"/>
                <w:szCs w:val="24"/>
                <w:color w:val="auto"/>
              </w:rPr>
            </w:pPr>
          </w:p>
        </w:tc>
        <w:tc>
          <w:tcPr>
            <w:tcW w:w="2140" w:type="dxa"/>
            <w:vAlign w:val="bottom"/>
          </w:tcPr>
          <w:p>
            <w:pPr>
              <w:jc w:val="center"/>
              <w:ind w:right="162"/>
              <w:spacing w:after="0"/>
              <w:rPr>
                <w:sz w:val="20"/>
                <w:szCs w:val="20"/>
                <w:color w:val="auto"/>
              </w:rPr>
            </w:pPr>
            <w:r>
              <w:rPr>
                <w:rFonts w:ascii="Arial" w:cs="Arial" w:eastAsia="Arial" w:hAnsi="Arial"/>
                <w:sz w:val="14"/>
                <w:szCs w:val="14"/>
                <w:b w:val="1"/>
                <w:bCs w:val="1"/>
                <w:color w:val="auto"/>
              </w:rPr>
              <w:t>Contingent consideration</w:t>
            </w:r>
          </w:p>
        </w:tc>
        <w:tc>
          <w:tcPr>
            <w:tcW w:w="280" w:type="dxa"/>
            <w:vAlign w:val="bottom"/>
          </w:tcPr>
          <w:p>
            <w:pPr>
              <w:spacing w:after="0"/>
              <w:rPr>
                <w:sz w:val="24"/>
                <w:szCs w:val="24"/>
                <w:color w:val="auto"/>
              </w:rPr>
            </w:pPr>
          </w:p>
        </w:tc>
        <w:tc>
          <w:tcPr>
            <w:tcW w:w="2080" w:type="dxa"/>
            <w:vAlign w:val="bottom"/>
          </w:tcPr>
          <w:p>
            <w:pPr>
              <w:jc w:val="center"/>
              <w:ind w:right="142"/>
              <w:spacing w:after="0"/>
              <w:rPr>
                <w:sz w:val="20"/>
                <w:szCs w:val="20"/>
                <w:color w:val="auto"/>
              </w:rPr>
            </w:pPr>
            <w:r>
              <w:rPr>
                <w:rFonts w:ascii="Arial" w:cs="Arial" w:eastAsia="Arial" w:hAnsi="Arial"/>
                <w:sz w:val="14"/>
                <w:szCs w:val="14"/>
                <w:b w:val="1"/>
                <w:bCs w:val="1"/>
                <w:color w:val="auto"/>
              </w:rPr>
              <w:t>Mandatorily redeemable</w:t>
            </w:r>
          </w:p>
        </w:tc>
        <w:tc>
          <w:tcPr>
            <w:tcW w:w="0" w:type="dxa"/>
            <w:vAlign w:val="bottom"/>
          </w:tcPr>
          <w:p>
            <w:pPr>
              <w:spacing w:after="0"/>
              <w:rPr>
                <w:sz w:val="1"/>
                <w:szCs w:val="1"/>
                <w:color w:val="auto"/>
              </w:rPr>
            </w:pPr>
          </w:p>
        </w:tc>
      </w:tr>
      <w:tr>
        <w:trPr>
          <w:trHeight w:val="196"/>
        </w:trPr>
        <w:tc>
          <w:tcPr>
            <w:tcW w:w="65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tcPr>
          <w:p>
            <w:pPr>
              <w:jc w:val="center"/>
              <w:ind w:right="162"/>
              <w:spacing w:after="0"/>
              <w:rPr>
                <w:sz w:val="20"/>
                <w:szCs w:val="20"/>
                <w:color w:val="auto"/>
              </w:rPr>
            </w:pPr>
            <w:r>
              <w:rPr>
                <w:rFonts w:ascii="Arial" w:cs="Arial" w:eastAsia="Arial" w:hAnsi="Arial"/>
                <w:sz w:val="14"/>
                <w:szCs w:val="14"/>
                <w:b w:val="1"/>
                <w:bCs w:val="1"/>
                <w:color w:val="auto"/>
              </w:rPr>
              <w:t>liabilities</w:t>
            </w:r>
          </w:p>
        </w:tc>
        <w:tc>
          <w:tcPr>
            <w:tcW w:w="280" w:type="dxa"/>
            <w:vAlign w:val="bottom"/>
          </w:tcPr>
          <w:p>
            <w:pPr>
              <w:spacing w:after="0"/>
              <w:rPr>
                <w:sz w:val="17"/>
                <w:szCs w:val="17"/>
                <w:color w:val="auto"/>
              </w:rPr>
            </w:pPr>
          </w:p>
        </w:tc>
        <w:tc>
          <w:tcPr>
            <w:tcW w:w="2080" w:type="dxa"/>
            <w:vAlign w:val="bottom"/>
          </w:tcPr>
          <w:p>
            <w:pPr>
              <w:jc w:val="center"/>
              <w:ind w:right="142"/>
              <w:spacing w:after="0"/>
              <w:rPr>
                <w:sz w:val="20"/>
                <w:szCs w:val="20"/>
                <w:color w:val="auto"/>
              </w:rPr>
            </w:pPr>
            <w:r>
              <w:rPr>
                <w:rFonts w:ascii="Arial" w:cs="Arial" w:eastAsia="Arial" w:hAnsi="Arial"/>
                <w:sz w:val="14"/>
                <w:szCs w:val="14"/>
                <w:b w:val="1"/>
                <w:bCs w:val="1"/>
                <w:color w:val="auto"/>
              </w:rPr>
              <w:t>noncontrolling interest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 of December 31, 2022</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Acquisition of business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Changes in fair value </w:t>
      </w:r>
      <w:r>
        <w:rPr>
          <w:rFonts w:ascii="Arial" w:cs="Arial" w:eastAsia="Arial" w:hAnsi="Arial"/>
          <w:sz w:val="21"/>
          <w:szCs w:val="21"/>
          <w:color w:val="auto"/>
          <w:vertAlign w:val="superscript"/>
        </w:rPr>
        <w:t>(1)</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Capital contributions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Accretion of value included in net income </w:t>
      </w:r>
      <w:r>
        <w:rPr>
          <w:rFonts w:ascii="Arial" w:cs="Arial" w:eastAsia="Arial" w:hAnsi="Arial"/>
          <w:sz w:val="20"/>
          <w:szCs w:val="20"/>
          <w:color w:val="auto"/>
          <w:vertAlign w:val="superscript"/>
        </w:rPr>
        <w:t>(1)</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Settlements or distributions</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 of June 30, 2023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94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8,423</w:t>
            </w:r>
          </w:p>
        </w:tc>
        <w:tc>
          <w:tcPr>
            <w:tcW w:w="98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30,845</w:t>
            </w:r>
          </w:p>
        </w:tc>
      </w:tr>
      <w:tr>
        <w:trPr>
          <w:trHeight w:val="229"/>
        </w:trPr>
        <w:tc>
          <w:tcPr>
            <w:tcW w:w="940" w:type="dxa"/>
            <w:vAlign w:val="bottom"/>
          </w:tcPr>
          <w:p>
            <w:pPr>
              <w:spacing w:after="0"/>
              <w:rPr>
                <w:sz w:val="19"/>
                <w:szCs w:val="19"/>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220</w:t>
            </w:r>
          </w:p>
        </w:tc>
        <w:tc>
          <w:tcPr>
            <w:tcW w:w="9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9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(5,157)</w:t>
            </w:r>
          </w:p>
        </w:tc>
        <w:tc>
          <w:tcPr>
            <w:tcW w:w="9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289</w:t>
            </w:r>
          </w:p>
        </w:tc>
      </w:tr>
      <w:tr>
        <w:trPr>
          <w:trHeight w:val="229"/>
        </w:trPr>
        <w:tc>
          <w:tcPr>
            <w:tcW w:w="940" w:type="dxa"/>
            <w:vAlign w:val="bottom"/>
          </w:tcPr>
          <w:p>
            <w:pPr>
              <w:spacing w:after="0"/>
              <w:rPr>
                <w:sz w:val="19"/>
                <w:szCs w:val="19"/>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29"/>
        </w:trPr>
        <w:tc>
          <w:tcPr>
            <w:tcW w:w="940" w:type="dxa"/>
            <w:vAlign w:val="bottom"/>
          </w:tcPr>
          <w:p>
            <w:pPr>
              <w:spacing w:after="0"/>
              <w:rPr>
                <w:sz w:val="19"/>
                <w:szCs w:val="19"/>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691</w:t>
            </w:r>
          </w:p>
        </w:tc>
        <w:tc>
          <w:tcPr>
            <w:tcW w:w="9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9"/>
        </w:trPr>
        <w:tc>
          <w:tcPr>
            <w:tcW w:w="9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(1,262)</w:t>
            </w:r>
          </w:p>
        </w:tc>
        <w:tc>
          <w:tcPr>
            <w:tcW w:w="9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r>
      <w:tr>
        <w:trPr>
          <w:trHeight w:val="223"/>
        </w:trPr>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2,915</w:t>
            </w:r>
          </w:p>
        </w:tc>
        <w:tc>
          <w:tcPr>
            <w:tcW w:w="9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31,136</w:t>
            </w:r>
          </w:p>
        </w:tc>
      </w:tr>
      <w:tr>
        <w:trPr>
          <w:trHeight w:val="27"/>
        </w:trPr>
        <w:tc>
          <w:tcPr>
            <w:tcW w:w="9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72" w:lineRule="exact"/>
        <w:rPr>
          <w:sz w:val="20"/>
          <w:szCs w:val="20"/>
          <w:color w:val="auto"/>
        </w:rPr>
      </w:pPr>
    </w:p>
    <w:p>
      <w:pPr>
        <w:sectPr>
          <w:pgSz w:w="11900" w:h="16838" w:orient="portrait"/>
          <w:cols w:equalWidth="0" w:num="2">
            <w:col w:w="5820" w:space="720"/>
            <w:col w:w="4700"/>
          </w:cols>
          <w:pgMar w:left="320" w:top="931" w:right="339" w:bottom="1440" w:gutter="0" w:footer="0" w:header="0"/>
          <w:type w:val="continuous"/>
        </w:sectPr>
      </w:pPr>
    </w:p>
    <w:p>
      <w:pPr>
        <w:spacing w:after="0"/>
        <w:rPr>
          <w:sz w:val="20"/>
          <w:szCs w:val="20"/>
          <w:color w:val="auto"/>
        </w:rPr>
      </w:pPr>
      <w:r>
        <w:rPr>
          <w:rFonts w:ascii="Arial" w:cs="Arial" w:eastAsia="Arial" w:hAnsi="Arial"/>
          <w:sz w:val="14"/>
          <w:szCs w:val="14"/>
          <w:color w:val="auto"/>
        </w:rPr>
        <w:t>____________</w:t>
      </w:r>
    </w:p>
    <w:p>
      <w:pPr>
        <w:spacing w:after="0" w:line="96" w:lineRule="exact"/>
        <w:rPr>
          <w:sz w:val="20"/>
          <w:szCs w:val="20"/>
          <w:color w:val="auto"/>
        </w:rPr>
      </w:pPr>
    </w:p>
    <w:p>
      <w:pPr>
        <w:ind w:left="360" w:right="360" w:hanging="334"/>
        <w:spacing w:after="0" w:line="285" w:lineRule="auto"/>
        <w:tabs>
          <w:tab w:leader="none" w:pos="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Changes in fair value and accretion of value of contingent consideration liabilities are included in Selling, general and administrative expenses and the changes in fair value of mandatorily redeemable noncontrolling interest is included in Interest expense in the Company’s Condensed Consolidated Statements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Mandatorily Redeemable Noncontrolling Interest. </w:t>
      </w:r>
      <w:r>
        <w:rPr>
          <w:rFonts w:ascii="Arial" w:cs="Arial" w:eastAsia="Arial" w:hAnsi="Arial"/>
          <w:sz w:val="17"/>
          <w:szCs w:val="17"/>
          <w:color w:val="auto"/>
        </w:rPr>
        <w:t>The mandatorily redeemable noncontrolling interest represents the ownership portion of</w:t>
      </w:r>
    </w:p>
    <w:p>
      <w:pPr>
        <w:spacing w:after="0" w:line="25"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a group of minority shareholders, consisting of a group of senior managers of the healthcare business, in subsidiaries of GHG. The Company established GHC One and GHC Two as vehicles to invest in a portfolio of healthcare businesses together with the group of senior managers</w:t>
      </w:r>
    </w:p>
    <w:p>
      <w:pPr>
        <w:spacing w:after="0" w:line="236" w:lineRule="auto"/>
        <w:rPr>
          <w:sz w:val="20"/>
          <w:szCs w:val="20"/>
          <w:color w:val="auto"/>
        </w:rPr>
      </w:pPr>
      <w:r>
        <w:rPr>
          <w:rFonts w:ascii="Arial" w:cs="Arial" w:eastAsia="Arial" w:hAnsi="Arial"/>
          <w:sz w:val="18"/>
          <w:szCs w:val="18"/>
          <w:color w:val="auto"/>
        </w:rPr>
        <w:t>of GHG. As the holder of preferred units, the Company is obligated to contribute 95% of the capital required for the acquisition of portfolio</w:t>
      </w:r>
    </w:p>
    <w:p>
      <w:pPr>
        <w:spacing w:after="0" w:line="1"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investments with the remaining 5% of the capital coming from the group of senior managers. The operating agreements of GHC One and GHC Two require the dissolution of the entities on March 31, 2026, and March 31, 2029, respectively, at which time the net assets will be</w:t>
      </w:r>
    </w:p>
    <w:p>
      <w:pPr>
        <w:spacing w:after="0" w:line="236" w:lineRule="auto"/>
        <w:rPr>
          <w:sz w:val="20"/>
          <w:szCs w:val="20"/>
          <w:color w:val="auto"/>
        </w:rPr>
      </w:pPr>
      <w:r>
        <w:rPr>
          <w:rFonts w:ascii="Arial" w:cs="Arial" w:eastAsia="Arial" w:hAnsi="Arial"/>
          <w:sz w:val="18"/>
          <w:szCs w:val="18"/>
          <w:color w:val="auto"/>
        </w:rPr>
        <w:t>distributed to its members. As a preferred unit holder, the Company will receive an amount up to its contributed capital plus a preferred</w:t>
      </w:r>
    </w:p>
    <w:p>
      <w:pPr>
        <w:spacing w:after="0" w:line="1"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annual return of 8% (guaranteed return) after the group of senior managers has received the redemption of their 5% interest in net assets (manager return). All distributions in excess of the manager and guaranteed return will be paid to common unit holders, which currently</w:t>
      </w:r>
    </w:p>
    <w:p>
      <w:pPr>
        <w:spacing w:after="0" w:line="236" w:lineRule="auto"/>
        <w:rPr>
          <w:sz w:val="20"/>
          <w:szCs w:val="20"/>
          <w:color w:val="auto"/>
        </w:rPr>
      </w:pPr>
      <w:r>
        <w:rPr>
          <w:rFonts w:ascii="Arial" w:cs="Arial" w:eastAsia="Arial" w:hAnsi="Arial"/>
          <w:sz w:val="18"/>
          <w:szCs w:val="18"/>
          <w:color w:val="auto"/>
        </w:rPr>
        <w:t>comprise the group of senior managers of GHG. The Company may convert its preferred units to common units at any time after which it will</w:t>
      </w:r>
    </w:p>
    <w:p>
      <w:pPr>
        <w:spacing w:after="0" w:line="1"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receive 80% of all distributions in excess of the manager return, with the remaining 20% of excess distributions going to the group of senior managers as holders of the other common units. The mandatorily redeemable noncontrolling interest is reported as a noncurrent liability at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June 30, 2024 and December 31, 2023 in the Condensed Consolidated Balance Sheets.</w:t>
      </w:r>
    </w:p>
    <w:p>
      <w:pPr>
        <w:spacing w:after="0" w:line="140" w:lineRule="exact"/>
        <w:rPr>
          <w:sz w:val="20"/>
          <w:szCs w:val="20"/>
          <w:color w:val="auto"/>
        </w:rPr>
      </w:pPr>
    </w:p>
    <w:p>
      <w:pPr>
        <w:ind w:right="220"/>
        <w:spacing w:after="0" w:line="251" w:lineRule="auto"/>
        <w:rPr>
          <w:sz w:val="20"/>
          <w:szCs w:val="20"/>
          <w:color w:val="auto"/>
        </w:rPr>
      </w:pPr>
      <w:r>
        <w:rPr>
          <w:rFonts w:ascii="Arial" w:cs="Arial" w:eastAsia="Arial" w:hAnsi="Arial"/>
          <w:sz w:val="17"/>
          <w:szCs w:val="17"/>
          <w:b w:val="1"/>
          <w:bCs w:val="1"/>
          <w:color w:val="auto"/>
        </w:rPr>
        <w:t xml:space="preserve">Other. </w:t>
      </w:r>
      <w:r>
        <w:rPr>
          <w:rFonts w:ascii="Arial" w:cs="Arial" w:eastAsia="Arial" w:hAnsi="Arial"/>
          <w:sz w:val="17"/>
          <w:szCs w:val="17"/>
          <w:color w:val="auto"/>
        </w:rPr>
        <w:t>During the three and six months ended June 30, 2024, the Company recorded goodwill and intangible asset impairment charges of</w:t>
      </w:r>
      <w:r>
        <w:rPr>
          <w:rFonts w:ascii="Arial" w:cs="Arial" w:eastAsia="Arial" w:hAnsi="Arial"/>
          <w:sz w:val="17"/>
          <w:szCs w:val="17"/>
          <w:b w:val="1"/>
          <w:bCs w:val="1"/>
          <w:color w:val="auto"/>
        </w:rPr>
        <w:t xml:space="preserve"> </w:t>
      </w:r>
      <w:r>
        <w:rPr>
          <w:rFonts w:ascii="Arial" w:cs="Arial" w:eastAsia="Arial" w:hAnsi="Arial"/>
          <w:sz w:val="17"/>
          <w:szCs w:val="17"/>
          <w:color w:val="auto"/>
        </w:rPr>
        <w:t>$26.3 million. During the six months ended June 30, 2023, the Company recorded long-lived asset impairment charges of $0.7 million. The</w:t>
      </w:r>
    </w:p>
    <w:p>
      <w:pPr>
        <w:spacing w:after="0" w:line="235" w:lineRule="auto"/>
        <w:rPr>
          <w:sz w:val="20"/>
          <w:szCs w:val="20"/>
          <w:color w:val="auto"/>
        </w:rPr>
      </w:pPr>
      <w:r>
        <w:rPr>
          <w:rFonts w:ascii="Arial" w:cs="Arial" w:eastAsia="Arial" w:hAnsi="Arial"/>
          <w:sz w:val="18"/>
          <w:szCs w:val="18"/>
          <w:color w:val="auto"/>
        </w:rPr>
        <w:t>remeasurement of goodwill and other long-lived assets is classified as a Level 3 fair value assessment due to the significance of</w:t>
      </w:r>
    </w:p>
    <w:p>
      <w:pPr>
        <w:ind w:right="160"/>
        <w:spacing w:after="0" w:line="226" w:lineRule="auto"/>
        <w:rPr>
          <w:sz w:val="20"/>
          <w:szCs w:val="20"/>
          <w:color w:val="auto"/>
        </w:rPr>
      </w:pPr>
      <w:r>
        <w:rPr>
          <w:rFonts w:ascii="Arial" w:cs="Arial" w:eastAsia="Arial" w:hAnsi="Arial"/>
          <w:sz w:val="18"/>
          <w:szCs w:val="18"/>
          <w:color w:val="auto"/>
        </w:rPr>
        <w:t>unobservable inputs developed in the determination of the fair value. The Company used a discounted cash flow model to determine the estimated fair value of the reporting unit and other long-lived assets. The Company made estimates and assumptions regarding future cash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flows, discount rates and long-term growth rates.</w:t>
      </w:r>
    </w:p>
    <w:p>
      <w:pPr>
        <w:spacing w:after="0" w:line="126"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During the three and six months ended June 30, 2024, the Company recorded impairment losses of $0.3 million and $0.7 million, respectively, to equity securities that are accounted for as cost method investments. During the three and six months ended June 30, 2023,</w:t>
      </w:r>
    </w:p>
    <w:p>
      <w:pPr>
        <w:spacing w:after="0" w:line="1" w:lineRule="exact"/>
        <w:rPr>
          <w:sz w:val="20"/>
          <w:szCs w:val="20"/>
          <w:color w:val="auto"/>
        </w:rPr>
      </w:pPr>
    </w:p>
    <w:p>
      <w:pPr>
        <w:ind w:right="760"/>
        <w:spacing w:after="0" w:line="237" w:lineRule="auto"/>
        <w:rPr>
          <w:sz w:val="20"/>
          <w:szCs w:val="20"/>
          <w:color w:val="auto"/>
        </w:rPr>
      </w:pPr>
      <w:r>
        <w:rPr>
          <w:rFonts w:ascii="Arial" w:cs="Arial" w:eastAsia="Arial" w:hAnsi="Arial"/>
          <w:sz w:val="18"/>
          <w:szCs w:val="18"/>
          <w:color w:val="auto"/>
        </w:rPr>
        <w:t>the Company recorded gains of $1.3 million and $ 3.1 million, respectively, to equity securities that are accounted for as cost method investments based on observable transactions for identical or similar investments of the same issuer.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REVENUE FROM CONTRACTS WITH CUSTOMERS</w:t>
      </w:r>
    </w:p>
    <w:p>
      <w:pPr>
        <w:spacing w:after="0" w:line="158"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The Company generated 78% of its revenue from U.S. domestic sales for the three and six months ended June 30, 2024. The remaining 22% of revenue was generated from non-U.S. sales for the three and six months ended</w:t>
      </w:r>
    </w:p>
    <w:p>
      <w:pPr>
        <w:sectPr>
          <w:pgSz w:w="11900" w:h="16838" w:orient="portrait"/>
          <w:cols w:equalWidth="0" w:num="1">
            <w:col w:w="11240"/>
          </w:cols>
          <w:pgMar w:left="320" w:top="931" w:right="339" w:bottom="1440" w:gutter="0" w:footer="0" w:header="0"/>
          <w:type w:val="continuous"/>
        </w:sect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8" w:name="page19"/>
    <w:bookmarkEnd w:id="18"/>
    <w:p>
      <w:pPr>
        <w:ind w:right="100"/>
        <w:spacing w:after="0" w:line="271" w:lineRule="auto"/>
        <w:rPr>
          <w:sz w:val="20"/>
          <w:szCs w:val="20"/>
          <w:color w:val="auto"/>
        </w:rPr>
      </w:pPr>
      <w:r>
        <w:rPr>
          <w:rFonts w:ascii="Arial" w:cs="Arial" w:eastAsia="Arial" w:hAnsi="Arial"/>
          <w:sz w:val="18"/>
          <w:szCs w:val="18"/>
          <w:color w:val="auto"/>
        </w:rPr>
        <w:t>June 30, 2024. For the three and six months ended June 30, 2023, 79% of revenue was from U.S domestic sales and the remaining 21% of revenue was generated from non-U.S. sales.</w:t>
      </w:r>
    </w:p>
    <w:p>
      <w:pPr>
        <w:spacing w:after="0" w:line="86"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For the three and six months ended June 30, 2024, the Company recognized 54% of its revenue over time as control of the services and goods transferred to the customer, and the remaining 46% at a point in time, when the customer obtained control of the promised goods. For</w:t>
      </w:r>
    </w:p>
    <w:p>
      <w:pPr>
        <w:ind w:right="140"/>
        <w:spacing w:after="0" w:line="237" w:lineRule="auto"/>
        <w:rPr>
          <w:sz w:val="20"/>
          <w:szCs w:val="20"/>
          <w:color w:val="auto"/>
        </w:rPr>
      </w:pPr>
      <w:r>
        <w:rPr>
          <w:rFonts w:ascii="Arial" w:cs="Arial" w:eastAsia="Arial" w:hAnsi="Arial"/>
          <w:sz w:val="18"/>
          <w:szCs w:val="18"/>
          <w:color w:val="auto"/>
        </w:rPr>
        <w:t>the three and six months ended June 30, 2023, the Company recognized 56% of its revenue over time, and the remaining 44% at a point in time.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Contract Assets. </w:t>
      </w:r>
      <w:r>
        <w:rPr>
          <w:rFonts w:ascii="Arial" w:cs="Arial" w:eastAsia="Arial" w:hAnsi="Arial"/>
          <w:sz w:val="18"/>
          <w:szCs w:val="18"/>
          <w:color w:val="auto"/>
        </w:rPr>
        <w:t>As of June 30, 2024, the Company recognized a contract asset of $43.9 million related to a contract at a Kaplan</w:t>
      </w:r>
    </w:p>
    <w:p>
      <w:pPr>
        <w:spacing w:after="0" w:line="14"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International business, which is included in Deferred Charges and Other Assets. The Company expects to recognize an additional $283.6 million related to the remaining performance obligation in the contract over the next five years. As of December 31, 2023, the contract asset</w:t>
      </w:r>
    </w:p>
    <w:p>
      <w:pPr>
        <w:spacing w:after="0" w:line="1" w:lineRule="exact"/>
        <w:rPr>
          <w:sz w:val="20"/>
          <w:szCs w:val="20"/>
          <w:color w:val="auto"/>
        </w:rPr>
      </w:pPr>
    </w:p>
    <w:p>
      <w:pPr>
        <w:ind w:right="560"/>
        <w:spacing w:after="0" w:line="250" w:lineRule="auto"/>
        <w:rPr>
          <w:sz w:val="20"/>
          <w:szCs w:val="20"/>
          <w:color w:val="auto"/>
        </w:rPr>
      </w:pPr>
      <w:r>
        <w:rPr>
          <w:rFonts w:ascii="Arial" w:cs="Arial" w:eastAsia="Arial" w:hAnsi="Arial"/>
          <w:sz w:val="18"/>
          <w:szCs w:val="18"/>
          <w:color w:val="auto"/>
        </w:rPr>
        <w:t>was $39.8 million. Additional contract assets of $3.1 million are included in current assets on the Company’s Condensed Consolidated Balance Sheet as of June 30, 2024.</w:t>
      </w:r>
    </w:p>
    <w:p>
      <w:pPr>
        <w:spacing w:after="0" w:line="104"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b w:val="1"/>
          <w:bCs w:val="1"/>
          <w:color w:val="auto"/>
        </w:rPr>
        <w:t xml:space="preserve">Deferred Revenue. </w:t>
      </w:r>
      <w:r>
        <w:rPr>
          <w:rFonts w:ascii="Arial" w:cs="Arial" w:eastAsia="Arial" w:hAnsi="Arial"/>
          <w:sz w:val="18"/>
          <w:szCs w:val="18"/>
          <w:color w:val="auto"/>
        </w:rPr>
        <w:t>The Company records deferred revenue when cash payments are received or due in advance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which includes some payments that are refundable due to the contractual right of the customer to cancel the agreement. As of</w:t>
      </w:r>
    </w:p>
    <w:p>
      <w:pPr>
        <w:ind w:right="780"/>
        <w:spacing w:after="0" w:line="237" w:lineRule="auto"/>
        <w:rPr>
          <w:sz w:val="20"/>
          <w:szCs w:val="20"/>
          <w:color w:val="auto"/>
        </w:rPr>
      </w:pPr>
      <w:r>
        <w:rPr>
          <w:rFonts w:ascii="Arial" w:cs="Arial" w:eastAsia="Arial" w:hAnsi="Arial"/>
          <w:sz w:val="18"/>
          <w:szCs w:val="18"/>
          <w:color w:val="auto"/>
        </w:rPr>
        <w:t>June 30, 2024 and December 31, 2023, 25% and 20% of the Company’s deferred revenue consisted of prepaid amounts which are refundable. The following table presents the change in the Company’s deferred revenue balance: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vMerge w:val="restart"/>
          </w:tcPr>
          <w:p>
            <w:pPr>
              <w:jc w:val="center"/>
              <w:ind w:right="186"/>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5"/>
                <w:szCs w:val="15"/>
                <w:color w:val="auto"/>
              </w:rPr>
            </w:pPr>
          </w:p>
        </w:tc>
        <w:tc>
          <w:tcPr>
            <w:tcW w:w="1180" w:type="dxa"/>
            <w:vAlign w:val="bottom"/>
            <w:vMerge w:val="restart"/>
          </w:tcPr>
          <w:p>
            <w:pPr>
              <w:jc w:val="center"/>
              <w:ind w:right="105"/>
              <w:spacing w:after="0"/>
              <w:rPr>
                <w:sz w:val="20"/>
                <w:szCs w:val="20"/>
                <w:color w:val="auto"/>
              </w:rPr>
            </w:pPr>
            <w:r>
              <w:rPr>
                <w:rFonts w:ascii="Arial" w:cs="Arial" w:eastAsia="Arial" w:hAnsi="Arial"/>
                <w:sz w:val="14"/>
                <w:szCs w:val="14"/>
                <w:color w:val="auto"/>
              </w:rPr>
              <w:t>December 31,</w:t>
            </w:r>
          </w:p>
        </w:tc>
        <w:tc>
          <w:tcPr>
            <w:tcW w:w="1320" w:type="dxa"/>
            <w:vAlign w:val="bottom"/>
          </w:tcPr>
          <w:p>
            <w:pPr>
              <w:jc w:val="right"/>
              <w:ind w:right="52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70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1320" w:type="dxa"/>
            <w:vAlign w:val="bottom"/>
            <w:vMerge w:val="restart"/>
          </w:tcPr>
          <w:p>
            <w:pPr>
              <w:ind w:left="40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line="20" w:lineRule="exact"/>
              <w:rPr>
                <w:sz w:val="1"/>
                <w:szCs w:val="1"/>
                <w:color w:val="auto"/>
              </w:rPr>
            </w:pPr>
          </w:p>
        </w:tc>
      </w:tr>
      <w:tr>
        <w:trPr>
          <w:trHeight w:val="197"/>
        </w:trPr>
        <w:tc>
          <w:tcPr>
            <w:tcW w:w="706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66"/>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2023</w:t>
            </w:r>
          </w:p>
        </w:tc>
        <w:tc>
          <w:tcPr>
            <w:tcW w:w="13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6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26"/>
              <w:spacing w:after="0"/>
              <w:rPr>
                <w:sz w:val="20"/>
                <w:szCs w:val="20"/>
                <w:color w:val="auto"/>
              </w:rPr>
            </w:pPr>
            <w:r>
              <w:rPr>
                <w:rFonts w:ascii="Arial" w:cs="Arial" w:eastAsia="Arial" w:hAnsi="Arial"/>
                <w:sz w:val="16"/>
                <w:szCs w:val="16"/>
                <w:b w:val="1"/>
                <w:bCs w:val="1"/>
                <w:color w:val="auto"/>
              </w:rPr>
              <w:t>332,167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
              <w:spacing w:after="0"/>
              <w:rPr>
                <w:sz w:val="20"/>
                <w:szCs w:val="20"/>
                <w:color w:val="auto"/>
              </w:rPr>
            </w:pPr>
            <w:r>
              <w:rPr>
                <w:rFonts w:ascii="Arial" w:cs="Arial" w:eastAsia="Arial" w:hAnsi="Arial"/>
                <w:sz w:val="16"/>
                <w:szCs w:val="16"/>
                <w:color w:val="auto"/>
              </w:rPr>
              <w:t>400,347</w:t>
            </w:r>
          </w:p>
        </w:tc>
        <w:tc>
          <w:tcPr>
            <w:tcW w:w="1320" w:type="dxa"/>
            <w:vAlign w:val="bottom"/>
          </w:tcPr>
          <w:p>
            <w:pPr>
              <w:jc w:val="right"/>
              <w:ind w:right="445"/>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The majority of the change in the deferred revenue balance is related to the cyclical nature of services in the Kaplan international division. During the six months ended June 30, 2024, the Company recognized $311.6 million related to the Company’s deferred revenue balance 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December 31, 2023, including $51.8 million of prepaid amounts which were refundable at the prior year-end.</w:t>
      </w:r>
    </w:p>
    <w:p>
      <w:pPr>
        <w:spacing w:after="0" w:line="126"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color w:val="auto"/>
        </w:rPr>
        <w:t>Revenue allocated to remaining performance obligations represents deferred revenue amounts that will be recognized as revenue in future periods. As of June 30, 2024, the deferred revenue balance related to certain medical and nursing qualifications with an original contract</w:t>
      </w:r>
    </w:p>
    <w:p>
      <w:pPr>
        <w:spacing w:after="0" w:line="237" w:lineRule="auto"/>
        <w:rPr>
          <w:sz w:val="20"/>
          <w:szCs w:val="20"/>
          <w:color w:val="auto"/>
        </w:rPr>
      </w:pPr>
      <w:r>
        <w:rPr>
          <w:rFonts w:ascii="Arial" w:cs="Arial" w:eastAsia="Arial" w:hAnsi="Arial"/>
          <w:sz w:val="18"/>
          <w:szCs w:val="18"/>
          <w:color w:val="auto"/>
        </w:rPr>
        <w:t>length greater than twelve months at Kaplan Supplemental Education was $6.6 million. Kaplan Supplemental Education expects to recognize 72% of this revenue over the next twelve months and the remainder thereafter.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Costs to Obtain a Contract. </w:t>
      </w:r>
      <w:r>
        <w:rPr>
          <w:rFonts w:ascii="Arial" w:cs="Arial" w:eastAsia="Arial" w:hAnsi="Arial"/>
          <w:sz w:val="18"/>
          <w:szCs w:val="18"/>
          <w:color w:val="auto"/>
        </w:rPr>
        <w:t>The following table presents changes in the Company’s costs to obtain a contract asset: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126"/>
              <w:spacing w:after="0"/>
              <w:rPr>
                <w:sz w:val="20"/>
                <w:szCs w:val="20"/>
                <w:color w:val="auto"/>
              </w:rPr>
            </w:pPr>
            <w:r>
              <w:rPr>
                <w:rFonts w:ascii="Arial" w:cs="Arial" w:eastAsia="Arial" w:hAnsi="Arial"/>
                <w:sz w:val="14"/>
                <w:szCs w:val="14"/>
                <w:b w:val="1"/>
                <w:bCs w:val="1"/>
                <w:color w:val="auto"/>
              </w:rPr>
              <w:t>Balance</w:t>
            </w:r>
          </w:p>
        </w:tc>
      </w:tr>
      <w:tr>
        <w:trPr>
          <w:trHeight w:val="162"/>
        </w:trPr>
        <w:tc>
          <w:tcPr>
            <w:tcW w:w="3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80" w:type="dxa"/>
            <w:vAlign w:val="bottom"/>
          </w:tcPr>
          <w:p>
            <w:pPr>
              <w:jc w:val="center"/>
              <w:ind w:right="106"/>
              <w:spacing w:after="0"/>
              <w:rPr>
                <w:sz w:val="20"/>
                <w:szCs w:val="20"/>
                <w:color w:val="auto"/>
              </w:rPr>
            </w:pPr>
            <w:r>
              <w:rPr>
                <w:rFonts w:ascii="Arial" w:cs="Arial" w:eastAsia="Arial" w:hAnsi="Arial"/>
                <w:sz w:val="14"/>
                <w:szCs w:val="14"/>
                <w:b w:val="1"/>
                <w:bCs w:val="1"/>
                <w:color w:val="auto"/>
              </w:rPr>
              <w:t>Balance at</w:t>
            </w:r>
          </w:p>
        </w:tc>
        <w:tc>
          <w:tcPr>
            <w:tcW w:w="320" w:type="dxa"/>
            <w:vAlign w:val="bottom"/>
          </w:tcPr>
          <w:p>
            <w:pPr>
              <w:spacing w:after="0"/>
              <w:rPr>
                <w:sz w:val="14"/>
                <w:szCs w:val="14"/>
                <w:color w:val="auto"/>
              </w:rPr>
            </w:pPr>
          </w:p>
        </w:tc>
        <w:tc>
          <w:tcPr>
            <w:tcW w:w="940" w:type="dxa"/>
            <w:vAlign w:val="bottom"/>
          </w:tcPr>
          <w:p>
            <w:pPr>
              <w:jc w:val="center"/>
              <w:ind w:right="224"/>
              <w:spacing w:after="0"/>
              <w:rPr>
                <w:sz w:val="20"/>
                <w:szCs w:val="20"/>
                <w:color w:val="auto"/>
              </w:rPr>
            </w:pPr>
            <w:r>
              <w:rPr>
                <w:rFonts w:ascii="Arial" w:cs="Arial" w:eastAsia="Arial" w:hAnsi="Arial"/>
                <w:sz w:val="14"/>
                <w:szCs w:val="14"/>
                <w:b w:val="1"/>
                <w:bCs w:val="1"/>
                <w:color w:val="auto"/>
              </w:rPr>
              <w:t>Costs</w:t>
            </w:r>
          </w:p>
        </w:tc>
        <w:tc>
          <w:tcPr>
            <w:tcW w:w="220" w:type="dxa"/>
            <w:vAlign w:val="bottom"/>
          </w:tcPr>
          <w:p>
            <w:pPr>
              <w:spacing w:after="0"/>
              <w:rPr>
                <w:sz w:val="14"/>
                <w:szCs w:val="14"/>
                <w:color w:val="auto"/>
              </w:rPr>
            </w:pPr>
          </w:p>
        </w:tc>
        <w:tc>
          <w:tcPr>
            <w:tcW w:w="1140" w:type="dxa"/>
            <w:vAlign w:val="bottom"/>
          </w:tcPr>
          <w:p>
            <w:pPr>
              <w:jc w:val="center"/>
              <w:ind w:right="125"/>
              <w:spacing w:after="0"/>
              <w:rPr>
                <w:sz w:val="20"/>
                <w:szCs w:val="20"/>
                <w:color w:val="auto"/>
              </w:rPr>
            </w:pPr>
            <w:r>
              <w:rPr>
                <w:rFonts w:ascii="Arial" w:cs="Arial" w:eastAsia="Arial" w:hAnsi="Arial"/>
                <w:sz w:val="14"/>
                <w:szCs w:val="14"/>
                <w:b w:val="1"/>
                <w:bCs w:val="1"/>
                <w:color w:val="auto"/>
              </w:rPr>
              <w:t>Less: Costs</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126"/>
              <w:spacing w:after="0"/>
              <w:rPr>
                <w:sz w:val="20"/>
                <w:szCs w:val="20"/>
                <w:color w:val="auto"/>
              </w:rPr>
            </w:pPr>
            <w:r>
              <w:rPr>
                <w:rFonts w:ascii="Arial" w:cs="Arial" w:eastAsia="Arial" w:hAnsi="Arial"/>
                <w:sz w:val="14"/>
                <w:szCs w:val="14"/>
                <w:b w:val="1"/>
                <w:bCs w:val="1"/>
                <w:color w:val="auto"/>
              </w:rPr>
              <w:t>at</w:t>
            </w:r>
          </w:p>
        </w:tc>
      </w:tr>
      <w:tr>
        <w:trPr>
          <w:trHeight w:val="162"/>
        </w:trPr>
        <w:tc>
          <w:tcPr>
            <w:tcW w:w="3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80" w:type="dxa"/>
            <w:vAlign w:val="bottom"/>
          </w:tcPr>
          <w:p>
            <w:pPr>
              <w:jc w:val="center"/>
              <w:ind w:right="126"/>
              <w:spacing w:after="0"/>
              <w:rPr>
                <w:sz w:val="20"/>
                <w:szCs w:val="20"/>
                <w:color w:val="auto"/>
              </w:rPr>
            </w:pPr>
            <w:r>
              <w:rPr>
                <w:rFonts w:ascii="Arial" w:cs="Arial" w:eastAsia="Arial" w:hAnsi="Arial"/>
                <w:sz w:val="14"/>
                <w:szCs w:val="14"/>
                <w:b w:val="1"/>
                <w:bCs w:val="1"/>
                <w:color w:val="auto"/>
              </w:rPr>
              <w:t>Beginning</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associated with</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amortized during</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146"/>
              <w:spacing w:after="0"/>
              <w:rPr>
                <w:sz w:val="20"/>
                <w:szCs w:val="20"/>
                <w:color w:val="auto"/>
              </w:rPr>
            </w:pPr>
            <w:r>
              <w:rPr>
                <w:rFonts w:ascii="Arial" w:cs="Arial" w:eastAsia="Arial" w:hAnsi="Arial"/>
                <w:sz w:val="14"/>
                <w:szCs w:val="14"/>
                <w:b w:val="1"/>
                <w:bCs w:val="1"/>
                <w:color w:val="auto"/>
              </w:rPr>
              <w:t>End of</w:t>
            </w:r>
          </w:p>
        </w:tc>
      </w:tr>
      <w:tr>
        <w:trPr>
          <w:trHeight w:val="205"/>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rPr>
              <w:t>of Period</w:t>
            </w: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new contracts</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rPr>
              <w:t>the period</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Other</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rPr>
              <w:t>Period</w:t>
            </w:r>
          </w:p>
        </w:tc>
      </w:tr>
      <w:tr>
        <w:trPr>
          <w:trHeight w:val="223"/>
        </w:trPr>
        <w:tc>
          <w:tcPr>
            <w:tcW w:w="3100" w:type="dxa"/>
            <w:vAlign w:val="bottom"/>
          </w:tcPr>
          <w:p>
            <w:pPr>
              <w:ind w:left="20"/>
              <w:spacing w:after="0"/>
              <w:rPr>
                <w:sz w:val="20"/>
                <w:szCs w:val="20"/>
                <w:color w:val="auto"/>
              </w:rPr>
            </w:pPr>
            <w:r>
              <w:rPr>
                <w:rFonts w:ascii="Arial" w:cs="Arial" w:eastAsia="Arial" w:hAnsi="Arial"/>
                <w:sz w:val="16"/>
                <w:szCs w:val="16"/>
                <w:b w:val="1"/>
                <w:bCs w:val="1"/>
                <w:color w:val="auto"/>
              </w:rPr>
              <w:t>2024</w:t>
            </w:r>
          </w:p>
        </w:tc>
        <w:tc>
          <w:tcPr>
            <w:tcW w:w="2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26"/>
              <w:spacing w:after="0"/>
              <w:rPr>
                <w:sz w:val="20"/>
                <w:szCs w:val="20"/>
                <w:color w:val="auto"/>
              </w:rPr>
            </w:pPr>
            <w:r>
              <w:rPr>
                <w:rFonts w:ascii="Arial" w:cs="Arial" w:eastAsia="Arial" w:hAnsi="Arial"/>
                <w:sz w:val="16"/>
                <w:szCs w:val="16"/>
                <w:b w:val="1"/>
                <w:bCs w:val="1"/>
                <w:color w:val="auto"/>
              </w:rPr>
              <w:t>41,634</w:t>
            </w:r>
          </w:p>
        </w:tc>
        <w:tc>
          <w:tcPr>
            <w:tcW w:w="320" w:type="dxa"/>
            <w:vAlign w:val="bottom"/>
          </w:tcPr>
          <w:p>
            <w:pPr>
              <w:jc w:val="right"/>
              <w:ind w:right="65"/>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4"/>
              <w:spacing w:after="0"/>
              <w:rPr>
                <w:sz w:val="20"/>
                <w:szCs w:val="20"/>
                <w:color w:val="auto"/>
              </w:rPr>
            </w:pPr>
            <w:r>
              <w:rPr>
                <w:rFonts w:ascii="Arial" w:cs="Arial" w:eastAsia="Arial" w:hAnsi="Arial"/>
                <w:sz w:val="16"/>
                <w:szCs w:val="16"/>
                <w:b w:val="1"/>
                <w:bCs w:val="1"/>
                <w:color w:val="auto"/>
              </w:rPr>
              <w:t>31,159</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(48,645)</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(712)</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23,436</w:t>
            </w:r>
          </w:p>
        </w:tc>
      </w:tr>
    </w:tbl>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other activity was related to currency translation adjustments for the six months ended June 30, 2024.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(LOSS) EARNINGS PER SHARE</w:t>
      </w:r>
    </w:p>
    <w:p>
      <w:pPr>
        <w:spacing w:after="0" w:line="158"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The Company’s unvested restricted stock awards contain nonforfeitable rights to dividends and, therefore, are considered participating securities for purposes of computing earnings per share pursuant to the two-class method. The diluted earnings per share computed under</w:t>
      </w:r>
    </w:p>
    <w:p>
      <w:pPr>
        <w:spacing w:after="0" w:line="235" w:lineRule="auto"/>
        <w:rPr>
          <w:sz w:val="20"/>
          <w:szCs w:val="20"/>
          <w:color w:val="auto"/>
        </w:rPr>
      </w:pPr>
      <w:r>
        <w:rPr>
          <w:rFonts w:ascii="Arial" w:cs="Arial" w:eastAsia="Arial" w:hAnsi="Arial"/>
          <w:sz w:val="18"/>
          <w:szCs w:val="18"/>
          <w:color w:val="auto"/>
        </w:rPr>
        <w:t>the two-class method is lower than the diluted earnings per share computed under the treasury stock method, resulting in the presentation of</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the lower amount in diluted earnings per share. The computation of the earnings per share under the two-class method excludes the income attributable to the unvested restricted stock awards from the numerator and excludes the dilutive impact of those underlying shares from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denominator.</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9" w:name="page20"/>
    <w:bookmarkEnd w:id="19"/>
    <w:p>
      <w:pPr>
        <w:ind w:right="140"/>
        <w:spacing w:after="0" w:line="271" w:lineRule="auto"/>
        <w:rPr>
          <w:sz w:val="20"/>
          <w:szCs w:val="20"/>
          <w:color w:val="auto"/>
        </w:rPr>
      </w:pPr>
      <w:r>
        <w:rPr>
          <w:rFonts w:ascii="Arial" w:cs="Arial" w:eastAsia="Arial" w:hAnsi="Arial"/>
          <w:sz w:val="18"/>
          <w:szCs w:val="18"/>
          <w:color w:val="auto"/>
        </w:rPr>
        <w:t>The following reflects the Company’s net (loss) income and share data used in the basic and diluted (loss) earnings per share computations using the two-class method: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54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53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color w:val="auto"/>
              </w:rPr>
              <w:t>2023</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Numerator:</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140"/>
              <w:spacing w:after="0"/>
              <w:rPr>
                <w:sz w:val="20"/>
                <w:szCs w:val="20"/>
                <w:color w:val="auto"/>
              </w:rPr>
            </w:pPr>
            <w:r>
              <w:rPr>
                <w:rFonts w:ascii="Arial" w:cs="Arial" w:eastAsia="Arial" w:hAnsi="Arial"/>
                <w:sz w:val="16"/>
                <w:szCs w:val="16"/>
                <w:color w:val="auto"/>
              </w:rPr>
              <w:t>Numerator for basic (loss) earnings per share: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320" w:type="dxa"/>
            <w:vAlign w:val="bottom"/>
          </w:tcPr>
          <w:p>
            <w:pPr>
              <w:ind w:left="220"/>
              <w:spacing w:after="0"/>
              <w:rPr>
                <w:sz w:val="20"/>
                <w:szCs w:val="20"/>
                <w:color w:val="auto"/>
              </w:rPr>
            </w:pPr>
            <w:r>
              <w:rPr>
                <w:rFonts w:ascii="Arial" w:cs="Arial" w:eastAsia="Arial" w:hAnsi="Arial"/>
                <w:sz w:val="16"/>
                <w:szCs w:val="16"/>
                <w:color w:val="auto"/>
              </w:rPr>
              <w:t>Net (loss) income attributable to Graham Holdings Company common</w:t>
            </w:r>
          </w:p>
        </w:tc>
        <w:tc>
          <w:tcPr>
            <w:tcW w:w="34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vMerge w:val="restart"/>
          </w:tcPr>
          <w:p>
            <w:pPr>
              <w:jc w:val="right"/>
              <w:ind w:right="141"/>
              <w:spacing w:after="0"/>
              <w:rPr>
                <w:sz w:val="20"/>
                <w:szCs w:val="20"/>
                <w:color w:val="auto"/>
              </w:rPr>
            </w:pPr>
            <w:r>
              <w:rPr>
                <w:rFonts w:ascii="Arial" w:cs="Arial" w:eastAsia="Arial" w:hAnsi="Arial"/>
                <w:sz w:val="16"/>
                <w:szCs w:val="16"/>
                <w:b w:val="1"/>
                <w:bCs w:val="1"/>
                <w:color w:val="auto"/>
              </w:rPr>
              <w:t>(21,040)</w:t>
            </w:r>
          </w:p>
        </w:tc>
        <w:tc>
          <w:tcPr>
            <w:tcW w:w="440" w:type="dxa"/>
            <w:vAlign w:val="bottom"/>
            <w:vMerge w:val="restart"/>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ind w:right="180"/>
              <w:spacing w:after="0"/>
              <w:rPr>
                <w:sz w:val="20"/>
                <w:szCs w:val="20"/>
                <w:color w:val="auto"/>
              </w:rPr>
            </w:pPr>
            <w:r>
              <w:rPr>
                <w:rFonts w:ascii="Arial" w:cs="Arial" w:eastAsia="Arial" w:hAnsi="Arial"/>
                <w:sz w:val="16"/>
                <w:szCs w:val="16"/>
                <w:color w:val="auto"/>
              </w:rPr>
              <w:t>122,788</w:t>
            </w:r>
          </w:p>
        </w:tc>
        <w:tc>
          <w:tcPr>
            <w:tcW w:w="38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vMerge w:val="restart"/>
          </w:tcPr>
          <w:p>
            <w:pPr>
              <w:jc w:val="right"/>
              <w:ind w:right="181"/>
              <w:spacing w:after="0"/>
              <w:rPr>
                <w:sz w:val="20"/>
                <w:szCs w:val="20"/>
                <w:color w:val="auto"/>
              </w:rPr>
            </w:pPr>
            <w:r>
              <w:rPr>
                <w:rFonts w:ascii="Arial" w:cs="Arial" w:eastAsia="Arial" w:hAnsi="Arial"/>
                <w:sz w:val="16"/>
                <w:szCs w:val="16"/>
                <w:b w:val="1"/>
                <w:bCs w:val="1"/>
                <w:color w:val="auto"/>
              </w:rPr>
              <w:t>103,340</w:t>
            </w:r>
          </w:p>
        </w:tc>
        <w:tc>
          <w:tcPr>
            <w:tcW w:w="440" w:type="dxa"/>
            <w:vAlign w:val="bottom"/>
            <w:vMerge w:val="restart"/>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120"/>
              <w:spacing w:after="0"/>
              <w:rPr>
                <w:sz w:val="20"/>
                <w:szCs w:val="20"/>
                <w:color w:val="auto"/>
              </w:rPr>
            </w:pPr>
            <w:r>
              <w:rPr>
                <w:rFonts w:ascii="Arial" w:cs="Arial" w:eastAsia="Arial" w:hAnsi="Arial"/>
                <w:sz w:val="16"/>
                <w:szCs w:val="16"/>
                <w:color w:val="auto"/>
              </w:rPr>
              <w:t>175,060</w:t>
            </w:r>
          </w:p>
        </w:tc>
        <w:tc>
          <w:tcPr>
            <w:tcW w:w="0" w:type="dxa"/>
            <w:vAlign w:val="bottom"/>
          </w:tcPr>
          <w:p>
            <w:pPr>
              <w:spacing w:after="0"/>
              <w:rPr>
                <w:sz w:val="1"/>
                <w:szCs w:val="1"/>
                <w:color w:val="auto"/>
              </w:rPr>
            </w:pPr>
          </w:p>
        </w:tc>
      </w:tr>
      <w:tr>
        <w:trPr>
          <w:trHeight w:val="215"/>
        </w:trPr>
        <w:tc>
          <w:tcPr>
            <w:tcW w:w="5320" w:type="dxa"/>
            <w:vAlign w:val="bottom"/>
          </w:tcPr>
          <w:p>
            <w:pPr>
              <w:ind w:left="400"/>
              <w:spacing w:after="0"/>
              <w:rPr>
                <w:sz w:val="20"/>
                <w:szCs w:val="20"/>
                <w:color w:val="auto"/>
              </w:rPr>
            </w:pPr>
            <w:r>
              <w:rPr>
                <w:rFonts w:ascii="Arial" w:cs="Arial" w:eastAsia="Arial" w:hAnsi="Arial"/>
                <w:sz w:val="16"/>
                <w:szCs w:val="16"/>
                <w:color w:val="auto"/>
              </w:rPr>
              <w:t>stockholders</w:t>
            </w:r>
          </w:p>
        </w:tc>
        <w:tc>
          <w:tcPr>
            <w:tcW w:w="34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320" w:type="dxa"/>
            <w:vAlign w:val="bottom"/>
          </w:tcPr>
          <w:p>
            <w:pPr>
              <w:ind w:left="220"/>
              <w:spacing w:after="0"/>
              <w:rPr>
                <w:sz w:val="20"/>
                <w:szCs w:val="20"/>
                <w:color w:val="auto"/>
              </w:rPr>
            </w:pPr>
            <w:r>
              <w:rPr>
                <w:rFonts w:ascii="Arial" w:cs="Arial" w:eastAsia="Arial" w:hAnsi="Arial"/>
                <w:sz w:val="16"/>
                <w:szCs w:val="16"/>
                <w:color w:val="auto"/>
              </w:rPr>
              <w:t>Less: Dividends paid-common stock outstanding and unvested</w:t>
            </w:r>
          </w:p>
        </w:tc>
        <w:tc>
          <w:tcPr>
            <w:tcW w:w="340" w:type="dxa"/>
            <w:vAlign w:val="bottom"/>
          </w:tcPr>
          <w:p>
            <w:pPr>
              <w:spacing w:after="0"/>
              <w:rPr>
                <w:sz w:val="16"/>
                <w:szCs w:val="16"/>
                <w:color w:val="auto"/>
              </w:rPr>
            </w:pPr>
          </w:p>
        </w:tc>
        <w:tc>
          <w:tcPr>
            <w:tcW w:w="1140" w:type="dxa"/>
            <w:vAlign w:val="bottom"/>
            <w:vMerge w:val="restart"/>
          </w:tcPr>
          <w:p>
            <w:pPr>
              <w:jc w:val="right"/>
              <w:ind w:right="141"/>
              <w:spacing w:after="0"/>
              <w:rPr>
                <w:sz w:val="20"/>
                <w:szCs w:val="20"/>
                <w:color w:val="auto"/>
              </w:rPr>
            </w:pPr>
            <w:r>
              <w:rPr>
                <w:rFonts w:ascii="Arial" w:cs="Arial" w:eastAsia="Arial" w:hAnsi="Arial"/>
                <w:sz w:val="16"/>
                <w:szCs w:val="16"/>
                <w:b w:val="1"/>
                <w:bCs w:val="1"/>
                <w:color w:val="auto"/>
              </w:rPr>
              <w:t>(7,574)</w:t>
            </w:r>
          </w:p>
        </w:tc>
        <w:tc>
          <w:tcPr>
            <w:tcW w:w="440" w:type="dxa"/>
            <w:vAlign w:val="bottom"/>
          </w:tcPr>
          <w:p>
            <w:pPr>
              <w:spacing w:after="0"/>
              <w:rPr>
                <w:sz w:val="16"/>
                <w:szCs w:val="16"/>
                <w:color w:val="auto"/>
              </w:rPr>
            </w:pPr>
          </w:p>
        </w:tc>
        <w:tc>
          <w:tcPr>
            <w:tcW w:w="1080" w:type="dxa"/>
            <w:vAlign w:val="bottom"/>
            <w:vMerge w:val="restart"/>
          </w:tcPr>
          <w:p>
            <w:pPr>
              <w:jc w:val="right"/>
              <w:ind w:right="140"/>
              <w:spacing w:after="0"/>
              <w:rPr>
                <w:sz w:val="20"/>
                <w:szCs w:val="20"/>
                <w:color w:val="auto"/>
              </w:rPr>
            </w:pPr>
            <w:r>
              <w:rPr>
                <w:rFonts w:ascii="Arial" w:cs="Arial" w:eastAsia="Arial" w:hAnsi="Arial"/>
                <w:sz w:val="16"/>
                <w:szCs w:val="16"/>
                <w:color w:val="auto"/>
              </w:rPr>
              <w:t>(7,722)</w:t>
            </w:r>
          </w:p>
        </w:tc>
        <w:tc>
          <w:tcPr>
            <w:tcW w:w="380" w:type="dxa"/>
            <w:vAlign w:val="bottom"/>
          </w:tcPr>
          <w:p>
            <w:pPr>
              <w:spacing w:after="0"/>
              <w:rPr>
                <w:sz w:val="16"/>
                <w:szCs w:val="16"/>
                <w:color w:val="auto"/>
              </w:rPr>
            </w:pPr>
          </w:p>
        </w:tc>
        <w:tc>
          <w:tcPr>
            <w:tcW w:w="1100" w:type="dxa"/>
            <w:vAlign w:val="bottom"/>
            <w:vMerge w:val="restart"/>
          </w:tcPr>
          <w:p>
            <w:pPr>
              <w:jc w:val="right"/>
              <w:ind w:right="121"/>
              <w:spacing w:after="0"/>
              <w:rPr>
                <w:sz w:val="20"/>
                <w:szCs w:val="20"/>
                <w:color w:val="auto"/>
              </w:rPr>
            </w:pPr>
            <w:r>
              <w:rPr>
                <w:rFonts w:ascii="Arial" w:cs="Arial" w:eastAsia="Arial" w:hAnsi="Arial"/>
                <w:sz w:val="16"/>
                <w:szCs w:val="16"/>
                <w:b w:val="1"/>
                <w:bCs w:val="1"/>
                <w:color w:val="auto"/>
              </w:rPr>
              <w:t>(22,926)</w:t>
            </w:r>
          </w:p>
        </w:tc>
        <w:tc>
          <w:tcPr>
            <w:tcW w:w="440" w:type="dxa"/>
            <w:vAlign w:val="bottom"/>
          </w:tcPr>
          <w:p>
            <w:pPr>
              <w:spacing w:after="0"/>
              <w:rPr>
                <w:sz w:val="16"/>
                <w:szCs w:val="16"/>
                <w:color w:val="auto"/>
              </w:rPr>
            </w:pPr>
          </w:p>
        </w:tc>
        <w:tc>
          <w:tcPr>
            <w:tcW w:w="1000" w:type="dxa"/>
            <w:vAlign w:val="bottom"/>
            <w:vMerge w:val="restart"/>
          </w:tcPr>
          <w:p>
            <w:pPr>
              <w:jc w:val="right"/>
              <w:ind w:right="80"/>
              <w:spacing w:after="0"/>
              <w:rPr>
                <w:sz w:val="20"/>
                <w:szCs w:val="20"/>
                <w:color w:val="auto"/>
              </w:rPr>
            </w:pPr>
            <w:r>
              <w:rPr>
                <w:rFonts w:ascii="Arial" w:cs="Arial" w:eastAsia="Arial" w:hAnsi="Arial"/>
                <w:sz w:val="16"/>
                <w:szCs w:val="16"/>
                <w:color w:val="auto"/>
              </w:rPr>
              <w:t>(23,534)</w:t>
            </w:r>
          </w:p>
        </w:tc>
        <w:tc>
          <w:tcPr>
            <w:tcW w:w="0" w:type="dxa"/>
            <w:vAlign w:val="bottom"/>
          </w:tcPr>
          <w:p>
            <w:pPr>
              <w:spacing w:after="0"/>
              <w:rPr>
                <w:sz w:val="1"/>
                <w:szCs w:val="1"/>
                <w:color w:val="auto"/>
              </w:rPr>
            </w:pPr>
          </w:p>
        </w:tc>
      </w:tr>
      <w:tr>
        <w:trPr>
          <w:trHeight w:val="215"/>
        </w:trPr>
        <w:tc>
          <w:tcPr>
            <w:tcW w:w="5320" w:type="dxa"/>
            <w:vAlign w:val="bottom"/>
          </w:tcPr>
          <w:p>
            <w:pPr>
              <w:ind w:left="400"/>
              <w:spacing w:after="0"/>
              <w:rPr>
                <w:sz w:val="20"/>
                <w:szCs w:val="20"/>
                <w:color w:val="auto"/>
              </w:rPr>
            </w:pPr>
            <w:r>
              <w:rPr>
                <w:rFonts w:ascii="Arial" w:cs="Arial" w:eastAsia="Arial" w:hAnsi="Arial"/>
                <w:sz w:val="16"/>
                <w:szCs w:val="16"/>
                <w:color w:val="auto"/>
              </w:rPr>
              <w:t>restricted shares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320" w:type="dxa"/>
            <w:vAlign w:val="bottom"/>
          </w:tcPr>
          <w:p>
            <w:pPr>
              <w:ind w:left="220"/>
              <w:spacing w:after="0"/>
              <w:rPr>
                <w:sz w:val="20"/>
                <w:szCs w:val="20"/>
                <w:color w:val="auto"/>
              </w:rPr>
            </w:pPr>
            <w:r>
              <w:rPr>
                <w:rFonts w:ascii="Arial" w:cs="Arial" w:eastAsia="Arial" w:hAnsi="Arial"/>
                <w:sz w:val="16"/>
                <w:szCs w:val="16"/>
                <w:color w:val="auto"/>
              </w:rPr>
              <w:t>Undistributed (loss) earnings</w:t>
            </w:r>
          </w:p>
        </w:tc>
        <w:tc>
          <w:tcPr>
            <w:tcW w:w="340" w:type="dxa"/>
            <w:vAlign w:val="bottom"/>
          </w:tcPr>
          <w:p>
            <w:pPr>
              <w:spacing w:after="0"/>
              <w:rPr>
                <w:sz w:val="18"/>
                <w:szCs w:val="18"/>
                <w:color w:val="auto"/>
              </w:rPr>
            </w:pPr>
          </w:p>
        </w:tc>
        <w:tc>
          <w:tcPr>
            <w:tcW w:w="1140" w:type="dxa"/>
            <w:vAlign w:val="bottom"/>
          </w:tcPr>
          <w:p>
            <w:pPr>
              <w:jc w:val="right"/>
              <w:ind w:right="141"/>
              <w:spacing w:after="0"/>
              <w:rPr>
                <w:sz w:val="20"/>
                <w:szCs w:val="20"/>
                <w:color w:val="auto"/>
              </w:rPr>
            </w:pPr>
            <w:r>
              <w:rPr>
                <w:rFonts w:ascii="Arial" w:cs="Arial" w:eastAsia="Arial" w:hAnsi="Arial"/>
                <w:sz w:val="16"/>
                <w:szCs w:val="16"/>
                <w:b w:val="1"/>
                <w:bCs w:val="1"/>
                <w:color w:val="auto"/>
              </w:rPr>
              <w:t>(28,614)</w:t>
            </w:r>
          </w:p>
        </w:tc>
        <w:tc>
          <w:tcPr>
            <w:tcW w:w="440" w:type="dxa"/>
            <w:vAlign w:val="bottom"/>
          </w:tcPr>
          <w:p>
            <w:pPr>
              <w:spacing w:after="0"/>
              <w:rPr>
                <w:sz w:val="18"/>
                <w:szCs w:val="18"/>
                <w:color w:val="auto"/>
              </w:rPr>
            </w:pP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115,066</w:t>
            </w:r>
          </w:p>
        </w:tc>
        <w:tc>
          <w:tcPr>
            <w:tcW w:w="380" w:type="dxa"/>
            <w:vAlign w:val="bottom"/>
          </w:tcPr>
          <w:p>
            <w:pPr>
              <w:spacing w:after="0"/>
              <w:rPr>
                <w:sz w:val="18"/>
                <w:szCs w:val="18"/>
                <w:color w:val="auto"/>
              </w:rPr>
            </w:pPr>
          </w:p>
        </w:tc>
        <w:tc>
          <w:tcPr>
            <w:tcW w:w="1100" w:type="dxa"/>
            <w:vAlign w:val="bottom"/>
          </w:tcPr>
          <w:p>
            <w:pPr>
              <w:jc w:val="right"/>
              <w:ind w:right="181"/>
              <w:spacing w:after="0"/>
              <w:rPr>
                <w:sz w:val="20"/>
                <w:szCs w:val="20"/>
                <w:color w:val="auto"/>
              </w:rPr>
            </w:pPr>
            <w:r>
              <w:rPr>
                <w:rFonts w:ascii="Arial" w:cs="Arial" w:eastAsia="Arial" w:hAnsi="Arial"/>
                <w:sz w:val="16"/>
                <w:szCs w:val="16"/>
                <w:b w:val="1"/>
                <w:bCs w:val="1"/>
                <w:color w:val="auto"/>
              </w:rPr>
              <w:t>80,414</w:t>
            </w:r>
          </w:p>
        </w:tc>
        <w:tc>
          <w:tcPr>
            <w:tcW w:w="440" w:type="dxa"/>
            <w:vAlign w:val="bottom"/>
          </w:tcPr>
          <w:p>
            <w:pPr>
              <w:spacing w:after="0"/>
              <w:rPr>
                <w:sz w:val="18"/>
                <w:szCs w:val="18"/>
                <w:color w:val="auto"/>
              </w:rPr>
            </w:pP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151,526</w:t>
            </w:r>
          </w:p>
        </w:tc>
        <w:tc>
          <w:tcPr>
            <w:tcW w:w="0" w:type="dxa"/>
            <w:vAlign w:val="bottom"/>
          </w:tcPr>
          <w:p>
            <w:pPr>
              <w:spacing w:after="0"/>
              <w:rPr>
                <w:sz w:val="1"/>
                <w:szCs w:val="1"/>
                <w:color w:val="auto"/>
              </w:rPr>
            </w:pPr>
          </w:p>
        </w:tc>
      </w:tr>
      <w:tr>
        <w:trPr>
          <w:trHeight w:val="236"/>
        </w:trPr>
        <w:tc>
          <w:tcPr>
            <w:tcW w:w="5320" w:type="dxa"/>
            <w:vAlign w:val="bottom"/>
          </w:tcPr>
          <w:p>
            <w:pPr>
              <w:ind w:left="220"/>
              <w:spacing w:after="0" w:line="236" w:lineRule="exact"/>
              <w:rPr>
                <w:sz w:val="20"/>
                <w:szCs w:val="20"/>
                <w:color w:val="auto"/>
              </w:rPr>
            </w:pPr>
            <w:r>
              <w:rPr>
                <w:rFonts w:ascii="Arial" w:cs="Arial" w:eastAsia="Arial" w:hAnsi="Arial"/>
                <w:sz w:val="16"/>
                <w:szCs w:val="16"/>
                <w:color w:val="auto"/>
              </w:rPr>
              <w:t xml:space="preserve">Percent allocated to common stockholders </w:t>
            </w:r>
            <w:r>
              <w:rPr>
                <w:rFonts w:ascii="Arial" w:cs="Arial" w:eastAsia="Arial" w:hAnsi="Arial"/>
                <w:sz w:val="21"/>
                <w:szCs w:val="21"/>
                <w:color w:val="auto"/>
                <w:vertAlign w:val="superscript"/>
              </w:rPr>
              <w:t>(1)</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100.00 %</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99.37 %</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99.32 %</w:t>
            </w: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99.37 %</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41"/>
              <w:spacing w:after="0"/>
              <w:rPr>
                <w:sz w:val="20"/>
                <w:szCs w:val="20"/>
                <w:color w:val="auto"/>
              </w:rPr>
            </w:pPr>
            <w:r>
              <w:rPr>
                <w:rFonts w:ascii="Arial" w:cs="Arial" w:eastAsia="Arial" w:hAnsi="Arial"/>
                <w:sz w:val="16"/>
                <w:szCs w:val="16"/>
                <w:b w:val="1"/>
                <w:bCs w:val="1"/>
                <w:color w:val="auto"/>
              </w:rPr>
              <w:t>(28,614)</w:t>
            </w:r>
          </w:p>
        </w:tc>
        <w:tc>
          <w:tcPr>
            <w:tcW w:w="440" w:type="dxa"/>
            <w:vAlign w:val="bottom"/>
          </w:tcPr>
          <w:p>
            <w:pPr>
              <w:spacing w:after="0"/>
              <w:rPr>
                <w:sz w:val="18"/>
                <w:szCs w:val="18"/>
                <w:color w:val="auto"/>
              </w:rPr>
            </w:pP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114,337</w:t>
            </w:r>
          </w:p>
        </w:tc>
        <w:tc>
          <w:tcPr>
            <w:tcW w:w="380" w:type="dxa"/>
            <w:vAlign w:val="bottom"/>
          </w:tcPr>
          <w:p>
            <w:pPr>
              <w:spacing w:after="0"/>
              <w:rPr>
                <w:sz w:val="18"/>
                <w:szCs w:val="18"/>
                <w:color w:val="auto"/>
              </w:rPr>
            </w:pPr>
          </w:p>
        </w:tc>
        <w:tc>
          <w:tcPr>
            <w:tcW w:w="1100" w:type="dxa"/>
            <w:vAlign w:val="bottom"/>
          </w:tcPr>
          <w:p>
            <w:pPr>
              <w:jc w:val="right"/>
              <w:ind w:right="181"/>
              <w:spacing w:after="0"/>
              <w:rPr>
                <w:sz w:val="20"/>
                <w:szCs w:val="20"/>
                <w:color w:val="auto"/>
              </w:rPr>
            </w:pPr>
            <w:r>
              <w:rPr>
                <w:rFonts w:ascii="Arial" w:cs="Arial" w:eastAsia="Arial" w:hAnsi="Arial"/>
                <w:sz w:val="16"/>
                <w:szCs w:val="16"/>
                <w:b w:val="1"/>
                <w:bCs w:val="1"/>
                <w:color w:val="auto"/>
              </w:rPr>
              <w:t>79,869</w:t>
            </w:r>
          </w:p>
        </w:tc>
        <w:tc>
          <w:tcPr>
            <w:tcW w:w="440" w:type="dxa"/>
            <w:vAlign w:val="bottom"/>
          </w:tcPr>
          <w:p>
            <w:pPr>
              <w:spacing w:after="0"/>
              <w:rPr>
                <w:sz w:val="18"/>
                <w:szCs w:val="18"/>
                <w:color w:val="auto"/>
              </w:rPr>
            </w:pP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150,566</w:t>
            </w:r>
          </w:p>
        </w:tc>
        <w:tc>
          <w:tcPr>
            <w:tcW w:w="0" w:type="dxa"/>
            <w:vAlign w:val="bottom"/>
          </w:tcPr>
          <w:p>
            <w:pPr>
              <w:spacing w:after="0"/>
              <w:rPr>
                <w:sz w:val="1"/>
                <w:szCs w:val="1"/>
                <w:color w:val="auto"/>
              </w:rPr>
            </w:pPr>
          </w:p>
        </w:tc>
      </w:tr>
      <w:tr>
        <w:trPr>
          <w:trHeight w:val="233"/>
        </w:trPr>
        <w:tc>
          <w:tcPr>
            <w:tcW w:w="5320" w:type="dxa"/>
            <w:vAlign w:val="bottom"/>
          </w:tcPr>
          <w:p>
            <w:pPr>
              <w:ind w:left="220"/>
              <w:spacing w:after="0"/>
              <w:rPr>
                <w:sz w:val="20"/>
                <w:szCs w:val="20"/>
                <w:color w:val="auto"/>
              </w:rPr>
            </w:pPr>
            <w:r>
              <w:rPr>
                <w:rFonts w:ascii="Arial" w:cs="Arial" w:eastAsia="Arial" w:hAnsi="Arial"/>
                <w:sz w:val="16"/>
                <w:szCs w:val="16"/>
                <w:color w:val="auto"/>
              </w:rPr>
              <w:t>Add: Dividends paid-common stock outstanding</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7,523</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7,673</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22,772</w:t>
            </w: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23,388</w:t>
            </w:r>
          </w:p>
        </w:tc>
        <w:tc>
          <w:tcPr>
            <w:tcW w:w="0" w:type="dxa"/>
            <w:vAlign w:val="bottom"/>
          </w:tcPr>
          <w:p>
            <w:pPr>
              <w:spacing w:after="0"/>
              <w:rPr>
                <w:sz w:val="1"/>
                <w:szCs w:val="1"/>
                <w:color w:val="auto"/>
              </w:rPr>
            </w:pPr>
          </w:p>
        </w:tc>
      </w:tr>
      <w:tr>
        <w:trPr>
          <w:trHeight w:val="227"/>
        </w:trPr>
        <w:tc>
          <w:tcPr>
            <w:tcW w:w="5320" w:type="dxa"/>
            <w:vAlign w:val="bottom"/>
          </w:tcPr>
          <w:p>
            <w:pPr>
              <w:ind w:left="220"/>
              <w:spacing w:after="0"/>
              <w:rPr>
                <w:sz w:val="20"/>
                <w:szCs w:val="20"/>
                <w:color w:val="auto"/>
              </w:rPr>
            </w:pPr>
            <w:r>
              <w:rPr>
                <w:rFonts w:ascii="Arial" w:cs="Arial" w:eastAsia="Arial" w:hAnsi="Arial"/>
                <w:sz w:val="16"/>
                <w:szCs w:val="16"/>
                <w:color w:val="auto"/>
              </w:rPr>
              <w:t>Numerator for basic (loss) earnings per share</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(21,091)</w:t>
            </w:r>
          </w:p>
        </w:tc>
        <w:tc>
          <w:tcPr>
            <w:tcW w:w="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122,010</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102,641</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173,954</w:t>
            </w:r>
          </w:p>
        </w:tc>
        <w:tc>
          <w:tcPr>
            <w:tcW w:w="0" w:type="dxa"/>
            <w:vAlign w:val="bottom"/>
          </w:tcPr>
          <w:p>
            <w:pPr>
              <w:spacing w:after="0"/>
              <w:rPr>
                <w:sz w:val="1"/>
                <w:szCs w:val="1"/>
                <w:color w:val="auto"/>
              </w:rPr>
            </w:pPr>
          </w:p>
        </w:tc>
      </w:tr>
      <w:tr>
        <w:trPr>
          <w:trHeight w:val="21"/>
        </w:trPr>
        <w:tc>
          <w:tcPr>
            <w:tcW w:w="5320" w:type="dxa"/>
            <w:vAlign w:val="bottom"/>
            <w:vMerge w:val="restart"/>
          </w:tcPr>
          <w:p>
            <w:pPr>
              <w:ind w:left="220"/>
              <w:spacing w:after="0"/>
              <w:rPr>
                <w:sz w:val="20"/>
                <w:szCs w:val="20"/>
                <w:color w:val="auto"/>
              </w:rPr>
            </w:pPr>
            <w:r>
              <w:rPr>
                <w:rFonts w:ascii="Arial" w:cs="Arial" w:eastAsia="Arial" w:hAnsi="Arial"/>
                <w:sz w:val="16"/>
                <w:szCs w:val="16"/>
                <w:color w:val="auto"/>
              </w:rPr>
              <w:t>Add: Additional undistributed earnings due to dilutive stock options</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5320" w:type="dxa"/>
            <w:vAlign w:val="bottom"/>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2</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3</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6"/>
        </w:trPr>
        <w:tc>
          <w:tcPr>
            <w:tcW w:w="5320" w:type="dxa"/>
            <w:vAlign w:val="bottom"/>
          </w:tcPr>
          <w:p>
            <w:pPr>
              <w:ind w:left="140"/>
              <w:spacing w:after="0"/>
              <w:rPr>
                <w:sz w:val="20"/>
                <w:szCs w:val="20"/>
                <w:color w:val="auto"/>
              </w:rPr>
            </w:pPr>
            <w:r>
              <w:rPr>
                <w:rFonts w:ascii="Arial" w:cs="Arial" w:eastAsia="Arial" w:hAnsi="Arial"/>
                <w:sz w:val="16"/>
                <w:szCs w:val="16"/>
                <w:color w:val="auto"/>
              </w:rPr>
              <w:t>Numerator for diluted (loss) earnings per share</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(21,091)</w:t>
            </w:r>
          </w:p>
        </w:tc>
        <w:tc>
          <w:tcPr>
            <w:tcW w:w="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122,012</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102,644</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173,957</w:t>
            </w:r>
          </w:p>
        </w:tc>
        <w:tc>
          <w:tcPr>
            <w:tcW w:w="0" w:type="dxa"/>
            <w:vAlign w:val="bottom"/>
          </w:tcPr>
          <w:p>
            <w:pPr>
              <w:spacing w:after="0"/>
              <w:rPr>
                <w:sz w:val="1"/>
                <w:szCs w:val="1"/>
                <w:color w:val="auto"/>
              </w:rPr>
            </w:pPr>
          </w:p>
        </w:tc>
      </w:tr>
      <w:tr>
        <w:trPr>
          <w:trHeight w:val="21"/>
        </w:trPr>
        <w:tc>
          <w:tcPr>
            <w:tcW w:w="5320" w:type="dxa"/>
            <w:vAlign w:val="bottom"/>
            <w:vMerge w:val="restart"/>
          </w:tcPr>
          <w:p>
            <w:pPr>
              <w:ind w:left="20"/>
              <w:spacing w:after="0"/>
              <w:rPr>
                <w:sz w:val="20"/>
                <w:szCs w:val="20"/>
                <w:color w:val="auto"/>
              </w:rPr>
            </w:pPr>
            <w:r>
              <w:rPr>
                <w:rFonts w:ascii="Arial" w:cs="Arial" w:eastAsia="Arial" w:hAnsi="Arial"/>
                <w:sz w:val="16"/>
                <w:szCs w:val="16"/>
                <w:color w:val="auto"/>
              </w:rPr>
              <w:t>Denominator:</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53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140"/>
              <w:spacing w:after="0"/>
              <w:rPr>
                <w:sz w:val="20"/>
                <w:szCs w:val="20"/>
                <w:color w:val="auto"/>
              </w:rPr>
            </w:pPr>
            <w:r>
              <w:rPr>
                <w:rFonts w:ascii="Arial" w:cs="Arial" w:eastAsia="Arial" w:hAnsi="Arial"/>
                <w:sz w:val="16"/>
                <w:szCs w:val="16"/>
                <w:color w:val="auto"/>
              </w:rPr>
              <w:t>Denominator for basic (loss) earnings per share: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320" w:type="dxa"/>
            <w:vAlign w:val="bottom"/>
          </w:tcPr>
          <w:p>
            <w:pPr>
              <w:ind w:left="220"/>
              <w:spacing w:after="0"/>
              <w:rPr>
                <w:sz w:val="20"/>
                <w:szCs w:val="20"/>
                <w:color w:val="auto"/>
              </w:rPr>
            </w:pPr>
            <w:r>
              <w:rPr>
                <w:rFonts w:ascii="Arial" w:cs="Arial" w:eastAsia="Arial" w:hAnsi="Arial"/>
                <w:sz w:val="16"/>
                <w:szCs w:val="16"/>
                <w:color w:val="auto"/>
              </w:rPr>
              <w:t>Weighted average shares outstanding</w:t>
            </w:r>
          </w:p>
        </w:tc>
        <w:tc>
          <w:tcPr>
            <w:tcW w:w="340" w:type="dxa"/>
            <w:vAlign w:val="bottom"/>
          </w:tcPr>
          <w:p>
            <w:pPr>
              <w:spacing w:after="0"/>
              <w:rPr>
                <w:sz w:val="20"/>
                <w:szCs w:val="20"/>
                <w:color w:val="auto"/>
              </w:rPr>
            </w:pPr>
          </w:p>
        </w:tc>
        <w:tc>
          <w:tcPr>
            <w:tcW w:w="1140" w:type="dxa"/>
            <w:vAlign w:val="bottom"/>
          </w:tcPr>
          <w:p>
            <w:pPr>
              <w:jc w:val="right"/>
              <w:ind w:right="181"/>
              <w:spacing w:after="0"/>
              <w:rPr>
                <w:sz w:val="20"/>
                <w:szCs w:val="20"/>
                <w:color w:val="auto"/>
              </w:rPr>
            </w:pPr>
            <w:r>
              <w:rPr>
                <w:rFonts w:ascii="Arial" w:cs="Arial" w:eastAsia="Arial" w:hAnsi="Arial"/>
                <w:sz w:val="16"/>
                <w:szCs w:val="16"/>
                <w:b w:val="1"/>
                <w:bCs w:val="1"/>
                <w:color w:val="auto"/>
              </w:rPr>
              <w:t>4,401</w:t>
            </w:r>
          </w:p>
        </w:tc>
        <w:tc>
          <w:tcPr>
            <w:tcW w:w="440" w:type="dxa"/>
            <w:vAlign w:val="bottom"/>
          </w:tcPr>
          <w:p>
            <w:pPr>
              <w:spacing w:after="0"/>
              <w:rPr>
                <w:sz w:val="20"/>
                <w:szCs w:val="20"/>
                <w:color w:val="auto"/>
              </w:rPr>
            </w:pP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4,700</w:t>
            </w:r>
          </w:p>
        </w:tc>
        <w:tc>
          <w:tcPr>
            <w:tcW w:w="380" w:type="dxa"/>
            <w:vAlign w:val="bottom"/>
          </w:tcPr>
          <w:p>
            <w:pPr>
              <w:spacing w:after="0"/>
              <w:rPr>
                <w:sz w:val="20"/>
                <w:szCs w:val="20"/>
                <w:color w:val="auto"/>
              </w:rPr>
            </w:pPr>
          </w:p>
        </w:tc>
        <w:tc>
          <w:tcPr>
            <w:tcW w:w="1100" w:type="dxa"/>
            <w:vAlign w:val="bottom"/>
          </w:tcPr>
          <w:p>
            <w:pPr>
              <w:jc w:val="right"/>
              <w:ind w:right="181"/>
              <w:spacing w:after="0"/>
              <w:rPr>
                <w:sz w:val="20"/>
                <w:szCs w:val="20"/>
                <w:color w:val="auto"/>
              </w:rPr>
            </w:pPr>
            <w:r>
              <w:rPr>
                <w:rFonts w:ascii="Arial" w:cs="Arial" w:eastAsia="Arial" w:hAnsi="Arial"/>
                <w:sz w:val="16"/>
                <w:szCs w:val="16"/>
                <w:b w:val="1"/>
                <w:bCs w:val="1"/>
                <w:color w:val="auto"/>
              </w:rPr>
              <w:t>4,416</w:t>
            </w:r>
          </w:p>
        </w:tc>
        <w:tc>
          <w:tcPr>
            <w:tcW w:w="440" w:type="dxa"/>
            <w:vAlign w:val="bottom"/>
          </w:tcPr>
          <w:p>
            <w:pPr>
              <w:spacing w:after="0"/>
              <w:rPr>
                <w:sz w:val="20"/>
                <w:szCs w:val="20"/>
                <w:color w:val="auto"/>
              </w:rPr>
            </w:pP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4,729</w:t>
            </w:r>
          </w:p>
        </w:tc>
        <w:tc>
          <w:tcPr>
            <w:tcW w:w="0" w:type="dxa"/>
            <w:vAlign w:val="bottom"/>
          </w:tcPr>
          <w:p>
            <w:pPr>
              <w:spacing w:after="0"/>
              <w:rPr>
                <w:sz w:val="1"/>
                <w:szCs w:val="1"/>
                <w:color w:val="auto"/>
              </w:rPr>
            </w:pPr>
          </w:p>
        </w:tc>
      </w:tr>
      <w:tr>
        <w:trPr>
          <w:trHeight w:val="233"/>
        </w:trPr>
        <w:tc>
          <w:tcPr>
            <w:tcW w:w="5320" w:type="dxa"/>
            <w:vAlign w:val="bottom"/>
          </w:tcPr>
          <w:p>
            <w:pPr>
              <w:ind w:left="220"/>
              <w:spacing w:after="0"/>
              <w:rPr>
                <w:sz w:val="20"/>
                <w:szCs w:val="20"/>
                <w:color w:val="auto"/>
              </w:rPr>
            </w:pPr>
            <w:r>
              <w:rPr>
                <w:rFonts w:ascii="Arial" w:cs="Arial" w:eastAsia="Arial" w:hAnsi="Arial"/>
                <w:sz w:val="16"/>
                <w:szCs w:val="16"/>
                <w:color w:val="auto"/>
              </w:rPr>
              <w:t>Add: Effect of dilutive stock options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13</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26</w:t>
            </w: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27"/>
        </w:trPr>
        <w:tc>
          <w:tcPr>
            <w:tcW w:w="5320" w:type="dxa"/>
            <w:vAlign w:val="bottom"/>
          </w:tcPr>
          <w:p>
            <w:pPr>
              <w:ind w:left="140"/>
              <w:spacing w:after="0"/>
              <w:rPr>
                <w:sz w:val="20"/>
                <w:szCs w:val="20"/>
                <w:color w:val="auto"/>
              </w:rPr>
            </w:pPr>
            <w:r>
              <w:rPr>
                <w:rFonts w:ascii="Arial" w:cs="Arial" w:eastAsia="Arial" w:hAnsi="Arial"/>
                <w:sz w:val="16"/>
                <w:szCs w:val="16"/>
                <w:color w:val="auto"/>
              </w:rPr>
              <w:t>Denominator for diluted (loss) earnings per share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4,401</w:t>
            </w: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4,713</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4,442</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4,744</w:t>
            </w:r>
          </w:p>
        </w:tc>
        <w:tc>
          <w:tcPr>
            <w:tcW w:w="0" w:type="dxa"/>
            <w:vAlign w:val="bottom"/>
          </w:tcPr>
          <w:p>
            <w:pPr>
              <w:spacing w:after="0"/>
              <w:rPr>
                <w:sz w:val="1"/>
                <w:szCs w:val="1"/>
                <w:color w:val="auto"/>
              </w:rPr>
            </w:pPr>
          </w:p>
        </w:tc>
      </w:tr>
      <w:tr>
        <w:trPr>
          <w:trHeight w:val="21"/>
        </w:trPr>
        <w:tc>
          <w:tcPr>
            <w:tcW w:w="53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Graham Holdings Company Common Stockholders:</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5320" w:type="dxa"/>
            <w:vAlign w:val="bottom"/>
            <w:vMerge w:val="continue"/>
          </w:tcPr>
          <w:p>
            <w:pPr>
              <w:spacing w:after="0"/>
              <w:rPr>
                <w:sz w:val="18"/>
                <w:szCs w:val="18"/>
                <w:color w:val="auto"/>
              </w:rPr>
            </w:pPr>
          </w:p>
        </w:tc>
        <w:tc>
          <w:tcPr>
            <w:tcW w:w="34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vMerge w:val="restart"/>
          </w:tcPr>
          <w:p>
            <w:pPr>
              <w:jc w:val="right"/>
              <w:ind w:right="141"/>
              <w:spacing w:after="0"/>
              <w:rPr>
                <w:sz w:val="20"/>
                <w:szCs w:val="20"/>
                <w:color w:val="auto"/>
              </w:rPr>
            </w:pPr>
            <w:r>
              <w:rPr>
                <w:rFonts w:ascii="Arial" w:cs="Arial" w:eastAsia="Arial" w:hAnsi="Arial"/>
                <w:sz w:val="16"/>
                <w:szCs w:val="16"/>
                <w:b w:val="1"/>
                <w:bCs w:val="1"/>
                <w:color w:val="auto"/>
              </w:rPr>
              <w:t>(4.79)</w:t>
            </w:r>
          </w:p>
        </w:tc>
        <w:tc>
          <w:tcPr>
            <w:tcW w:w="440" w:type="dxa"/>
            <w:vAlign w:val="bottom"/>
            <w:vMerge w:val="restart"/>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ind w:right="180"/>
              <w:spacing w:after="0"/>
              <w:rPr>
                <w:sz w:val="20"/>
                <w:szCs w:val="20"/>
                <w:color w:val="auto"/>
              </w:rPr>
            </w:pPr>
            <w:r>
              <w:rPr>
                <w:rFonts w:ascii="Arial" w:cs="Arial" w:eastAsia="Arial" w:hAnsi="Arial"/>
                <w:sz w:val="16"/>
                <w:szCs w:val="16"/>
                <w:color w:val="auto"/>
              </w:rPr>
              <w:t>25.96</w:t>
            </w:r>
          </w:p>
        </w:tc>
        <w:tc>
          <w:tcPr>
            <w:tcW w:w="38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vMerge w:val="restart"/>
          </w:tcPr>
          <w:p>
            <w:pPr>
              <w:jc w:val="right"/>
              <w:ind w:right="181"/>
              <w:spacing w:after="0"/>
              <w:rPr>
                <w:sz w:val="20"/>
                <w:szCs w:val="20"/>
                <w:color w:val="auto"/>
              </w:rPr>
            </w:pPr>
            <w:r>
              <w:rPr>
                <w:rFonts w:ascii="Arial" w:cs="Arial" w:eastAsia="Arial" w:hAnsi="Arial"/>
                <w:sz w:val="16"/>
                <w:szCs w:val="16"/>
                <w:b w:val="1"/>
                <w:bCs w:val="1"/>
                <w:color w:val="auto"/>
              </w:rPr>
              <w:t>23.24</w:t>
            </w:r>
          </w:p>
        </w:tc>
        <w:tc>
          <w:tcPr>
            <w:tcW w:w="440" w:type="dxa"/>
            <w:vAlign w:val="bottom"/>
            <w:vMerge w:val="restart"/>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120"/>
              <w:spacing w:after="0"/>
              <w:rPr>
                <w:sz w:val="20"/>
                <w:szCs w:val="20"/>
                <w:color w:val="auto"/>
              </w:rPr>
            </w:pPr>
            <w:r>
              <w:rPr>
                <w:rFonts w:ascii="Arial" w:cs="Arial" w:eastAsia="Arial" w:hAnsi="Arial"/>
                <w:sz w:val="16"/>
                <w:szCs w:val="16"/>
                <w:color w:val="auto"/>
              </w:rPr>
              <w:t>36.78</w:t>
            </w:r>
          </w:p>
        </w:tc>
        <w:tc>
          <w:tcPr>
            <w:tcW w:w="0" w:type="dxa"/>
            <w:vAlign w:val="bottom"/>
          </w:tcPr>
          <w:p>
            <w:pPr>
              <w:spacing w:after="0"/>
              <w:rPr>
                <w:sz w:val="1"/>
                <w:szCs w:val="1"/>
                <w:color w:val="auto"/>
              </w:rPr>
            </w:pPr>
          </w:p>
        </w:tc>
      </w:tr>
      <w:tr>
        <w:trPr>
          <w:trHeight w:val="242"/>
        </w:trPr>
        <w:tc>
          <w:tcPr>
            <w:tcW w:w="5320" w:type="dxa"/>
            <w:vAlign w:val="bottom"/>
          </w:tcPr>
          <w:p>
            <w:pPr>
              <w:ind w:left="140"/>
              <w:spacing w:after="0"/>
              <w:rPr>
                <w:sz w:val="20"/>
                <w:szCs w:val="20"/>
                <w:color w:val="auto"/>
              </w:rPr>
            </w:pPr>
            <w:r>
              <w:rPr>
                <w:rFonts w:ascii="Arial" w:cs="Arial" w:eastAsia="Arial" w:hAnsi="Arial"/>
                <w:sz w:val="16"/>
                <w:szCs w:val="16"/>
                <w:b w:val="1"/>
                <w:bCs w:val="1"/>
                <w:color w:val="auto"/>
              </w:rPr>
              <w:t>Basic (loss) earnings per share</w:t>
            </w:r>
          </w:p>
        </w:tc>
        <w:tc>
          <w:tcPr>
            <w:tcW w:w="34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44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4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140"/>
              <w:spacing w:after="0"/>
              <w:rPr>
                <w:sz w:val="20"/>
                <w:szCs w:val="20"/>
                <w:color w:val="auto"/>
              </w:rPr>
            </w:pPr>
            <w:r>
              <w:rPr>
                <w:rFonts w:ascii="Arial" w:cs="Arial" w:eastAsia="Arial" w:hAnsi="Arial"/>
                <w:sz w:val="16"/>
                <w:szCs w:val="16"/>
                <w:b w:val="1"/>
                <w:bCs w:val="1"/>
                <w:color w:val="auto"/>
              </w:rPr>
              <w:t>Diluted (loss) earnings per share</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(4.79)</w:t>
            </w:r>
          </w:p>
        </w:tc>
        <w:tc>
          <w:tcPr>
            <w:tcW w:w="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25.89</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23.11</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36.67</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(Loss) earnings per share amounts may not recalculate due to rounding.</w:t>
      </w:r>
    </w:p>
    <w:p>
      <w:pPr>
        <w:spacing w:after="0" w:line="123" w:lineRule="exact"/>
        <w:rPr>
          <w:sz w:val="20"/>
          <w:szCs w:val="20"/>
          <w:color w:val="auto"/>
        </w:rPr>
      </w:pPr>
    </w:p>
    <w:p>
      <w:pPr>
        <w:ind w:left="300" w:hanging="292"/>
        <w:spacing w:after="0"/>
        <w:tabs>
          <w:tab w:leader="none" w:pos="300" w:val="left"/>
        </w:tabs>
        <w:numPr>
          <w:ilvl w:val="0"/>
          <w:numId w:val="9"/>
        </w:numPr>
        <w:rPr>
          <w:rFonts w:ascii="Arial" w:cs="Arial" w:eastAsia="Arial" w:hAnsi="Arial"/>
          <w:sz w:val="12"/>
          <w:szCs w:val="12"/>
          <w:color w:val="auto"/>
        </w:rPr>
      </w:pPr>
      <w:r>
        <w:rPr>
          <w:rFonts w:ascii="Arial" w:cs="Arial" w:eastAsia="Arial" w:hAnsi="Arial"/>
          <w:sz w:val="12"/>
          <w:szCs w:val="12"/>
          <w:color w:val="auto"/>
        </w:rPr>
        <w:t>Percent of undistributed losses allocated to common stockholders is 100% in the three months ended June 30, 2024 as participating securities are not contractually obligated to share in losses.</w:t>
      </w:r>
    </w:p>
    <w:p>
      <w:pPr>
        <w:spacing w:after="0" w:line="158"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Diluted (loss) earnings per share excludes the following weighted average potential common shares, as the effect would be antidilutive, as computed under the treasury stock method: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2360" w:type="dxa"/>
            <w:vAlign w:val="bottom"/>
            <w:gridSpan w:val="2"/>
          </w:tcPr>
          <w:p>
            <w:pPr>
              <w:jc w:val="right"/>
              <w:ind w:right="224"/>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4"/>
                <w:szCs w:val="14"/>
                <w:color w:val="auto"/>
              </w:rPr>
            </w:pPr>
          </w:p>
        </w:tc>
        <w:tc>
          <w:tcPr>
            <w:tcW w:w="2500" w:type="dxa"/>
            <w:vAlign w:val="bottom"/>
            <w:gridSpan w:val="2"/>
          </w:tcPr>
          <w:p>
            <w:pPr>
              <w:jc w:val="right"/>
              <w:ind w:right="642"/>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76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24"/>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r>
      <w:tr>
        <w:trPr>
          <w:trHeight w:val="205"/>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2024</w:t>
            </w:r>
          </w:p>
        </w:tc>
        <w:tc>
          <w:tcPr>
            <w:tcW w:w="142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color w:val="auto"/>
              </w:rPr>
              <w:t>2023</w:t>
            </w:r>
          </w:p>
        </w:tc>
        <w:tc>
          <w:tcPr>
            <w:tcW w:w="6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864"/>
              <w:spacing w:after="0"/>
              <w:rPr>
                <w:sz w:val="20"/>
                <w:szCs w:val="20"/>
                <w:color w:val="auto"/>
              </w:rPr>
            </w:pPr>
            <w:r>
              <w:rPr>
                <w:rFonts w:ascii="Arial" w:cs="Arial" w:eastAsia="Arial" w:hAnsi="Arial"/>
                <w:sz w:val="14"/>
                <w:szCs w:val="14"/>
                <w:b w:val="1"/>
                <w:bCs w:val="1"/>
                <w:color w:val="auto"/>
              </w:rPr>
              <w:t>2024</w:t>
            </w:r>
          </w:p>
        </w:tc>
        <w:tc>
          <w:tcPr>
            <w:tcW w:w="92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2023</w:t>
            </w:r>
          </w:p>
        </w:tc>
      </w:tr>
      <w:tr>
        <w:trPr>
          <w:trHeight w:val="223"/>
        </w:trPr>
        <w:tc>
          <w:tcPr>
            <w:tcW w:w="5760" w:type="dxa"/>
            <w:vAlign w:val="bottom"/>
          </w:tcPr>
          <w:p>
            <w:pPr>
              <w:ind w:left="140"/>
              <w:spacing w:after="0"/>
              <w:rPr>
                <w:sz w:val="20"/>
                <w:szCs w:val="20"/>
                <w:color w:val="auto"/>
              </w:rPr>
            </w:pPr>
            <w:r>
              <w:rPr>
                <w:rFonts w:ascii="Arial" w:cs="Arial" w:eastAsia="Arial" w:hAnsi="Arial"/>
                <w:sz w:val="16"/>
                <w:szCs w:val="16"/>
                <w:color w:val="auto"/>
              </w:rPr>
              <w:t>Weighted average restricted stock</w:t>
            </w:r>
          </w:p>
        </w:tc>
        <w:tc>
          <w:tcPr>
            <w:tcW w:w="940" w:type="dxa"/>
            <w:vAlign w:val="bottom"/>
          </w:tcPr>
          <w:p>
            <w:pPr>
              <w:spacing w:after="0"/>
              <w:rPr>
                <w:sz w:val="19"/>
                <w:szCs w:val="19"/>
                <w:color w:val="auto"/>
              </w:rPr>
            </w:pPr>
          </w:p>
        </w:tc>
        <w:tc>
          <w:tcPr>
            <w:tcW w:w="1420" w:type="dxa"/>
            <w:vAlign w:val="bottom"/>
          </w:tcPr>
          <w:p>
            <w:pPr>
              <w:jc w:val="right"/>
              <w:ind w:right="1044"/>
              <w:spacing w:after="0"/>
              <w:rPr>
                <w:sz w:val="20"/>
                <w:szCs w:val="20"/>
                <w:color w:val="auto"/>
              </w:rPr>
            </w:pPr>
            <w:r>
              <w:rPr>
                <w:rFonts w:ascii="Arial" w:cs="Arial" w:eastAsia="Arial" w:hAnsi="Arial"/>
                <w:sz w:val="16"/>
                <w:szCs w:val="16"/>
                <w:b w:val="1"/>
                <w:bCs w:val="1"/>
                <w:color w:val="auto"/>
              </w:rPr>
              <w:t>20</w:t>
            </w:r>
          </w:p>
        </w:tc>
        <w:tc>
          <w:tcPr>
            <w:tcW w:w="620" w:type="dxa"/>
            <w:vAlign w:val="bottom"/>
          </w:tcPr>
          <w:p>
            <w:pPr>
              <w:jc w:val="right"/>
              <w:ind w:right="239"/>
              <w:spacing w:after="0"/>
              <w:rPr>
                <w:sz w:val="20"/>
                <w:szCs w:val="20"/>
                <w:color w:val="auto"/>
              </w:rPr>
            </w:pPr>
            <w:r>
              <w:rPr>
                <w:rFonts w:ascii="Arial" w:cs="Arial" w:eastAsia="Arial" w:hAnsi="Arial"/>
                <w:sz w:val="16"/>
                <w:szCs w:val="16"/>
                <w:color w:val="auto"/>
              </w:rPr>
              <w:t>10</w:t>
            </w:r>
          </w:p>
        </w:tc>
        <w:tc>
          <w:tcPr>
            <w:tcW w:w="1580" w:type="dxa"/>
            <w:vAlign w:val="bottom"/>
          </w:tcPr>
          <w:p>
            <w:pPr>
              <w:jc w:val="right"/>
              <w:ind w:right="444"/>
              <w:spacing w:after="0"/>
              <w:rPr>
                <w:sz w:val="20"/>
                <w:szCs w:val="20"/>
                <w:color w:val="auto"/>
              </w:rPr>
            </w:pPr>
            <w:r>
              <w:rPr>
                <w:rFonts w:ascii="Arial" w:cs="Arial" w:eastAsia="Arial" w:hAnsi="Arial"/>
                <w:sz w:val="16"/>
                <w:szCs w:val="16"/>
                <w:b w:val="1"/>
                <w:bCs w:val="1"/>
                <w:color w:val="auto"/>
              </w:rPr>
              <w:t>19</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10</w:t>
            </w:r>
          </w:p>
        </w:tc>
      </w:tr>
      <w:tr>
        <w:trPr>
          <w:trHeight w:val="229"/>
        </w:trPr>
        <w:tc>
          <w:tcPr>
            <w:tcW w:w="5760" w:type="dxa"/>
            <w:vAlign w:val="bottom"/>
          </w:tcPr>
          <w:p>
            <w:pPr>
              <w:ind w:left="140"/>
              <w:spacing w:after="0"/>
              <w:rPr>
                <w:sz w:val="20"/>
                <w:szCs w:val="20"/>
                <w:color w:val="auto"/>
              </w:rPr>
            </w:pPr>
            <w:r>
              <w:rPr>
                <w:rFonts w:ascii="Arial" w:cs="Arial" w:eastAsia="Arial" w:hAnsi="Arial"/>
                <w:sz w:val="16"/>
                <w:szCs w:val="16"/>
                <w:color w:val="auto"/>
              </w:rPr>
              <w:t>Weighted average stock options</w:t>
            </w:r>
          </w:p>
        </w:tc>
        <w:tc>
          <w:tcPr>
            <w:tcW w:w="940" w:type="dxa"/>
            <w:vAlign w:val="bottom"/>
          </w:tcPr>
          <w:p>
            <w:pPr>
              <w:spacing w:after="0"/>
              <w:rPr>
                <w:sz w:val="19"/>
                <w:szCs w:val="19"/>
                <w:color w:val="auto"/>
              </w:rPr>
            </w:pPr>
          </w:p>
        </w:tc>
        <w:tc>
          <w:tcPr>
            <w:tcW w:w="1420" w:type="dxa"/>
            <w:vAlign w:val="bottom"/>
          </w:tcPr>
          <w:p>
            <w:pPr>
              <w:jc w:val="right"/>
              <w:ind w:right="1044"/>
              <w:spacing w:after="0"/>
              <w:rPr>
                <w:sz w:val="20"/>
                <w:szCs w:val="20"/>
                <w:color w:val="auto"/>
              </w:rPr>
            </w:pPr>
            <w:r>
              <w:rPr>
                <w:rFonts w:ascii="Arial" w:cs="Arial" w:eastAsia="Arial" w:hAnsi="Arial"/>
                <w:sz w:val="16"/>
                <w:szCs w:val="16"/>
                <w:b w:val="1"/>
                <w:bCs w:val="1"/>
                <w:color w:val="auto"/>
              </w:rPr>
              <w:t>27</w:t>
            </w:r>
          </w:p>
        </w:tc>
        <w:tc>
          <w:tcPr>
            <w:tcW w:w="6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44"/>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w:t>
            </w:r>
          </w:p>
        </w:tc>
      </w:tr>
    </w:tbl>
    <w:p>
      <w:pPr>
        <w:spacing w:after="0" w:line="232"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The diluted (loss) earnings per share amounts for the three and six months ended June 30, 2024 exclude the effects of 27,742 stock options and contingently issuable shares as their inclusion would have been antidilutive due to a market condition. The diluted earnings per share</w:t>
      </w:r>
    </w:p>
    <w:p>
      <w:pPr>
        <w:spacing w:after="0" w:line="1"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color w:val="auto"/>
        </w:rPr>
        <w:t>amounts for the three and six months ended June 30, 2023 exclude the effects of 105,000 stock options and contingently issuable shares outstanding as their inclusion would have been antidilutive due to a market condition.</w:t>
      </w:r>
    </w:p>
    <w:p>
      <w:pPr>
        <w:spacing w:after="0" w:line="104"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color w:val="auto"/>
        </w:rPr>
        <w:t>In the three and six months ended June 30, 2024, the Company declared regular dividends totaling $1.72 and $5.16 per common share, respectively. In the three and six months ended June 30, 2023, the Company declared regular dividends totaling $1.65 and $4.95 per common share, respectively.</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11. PENSION AND POSTRETIREMENT PLANS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Defined Benefit Plans. </w:t>
      </w:r>
      <w:r>
        <w:rPr>
          <w:rFonts w:ascii="Arial" w:cs="Arial" w:eastAsia="Arial" w:hAnsi="Arial"/>
          <w:sz w:val="18"/>
          <w:szCs w:val="18"/>
          <w:color w:val="auto"/>
        </w:rPr>
        <w:t>The total benefit arising from the Company’s defined benefit pension plans consists of the following components: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4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r>
      <w:tr>
        <w:trPr>
          <w:trHeight w:val="205"/>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2023</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2023</w:t>
            </w:r>
          </w:p>
        </w:tc>
      </w:tr>
      <w:tr>
        <w:trPr>
          <w:trHeight w:val="223"/>
        </w:trPr>
        <w:tc>
          <w:tcPr>
            <w:tcW w:w="562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14,071</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7,573</w:t>
            </w:r>
          </w:p>
        </w:tc>
        <w:tc>
          <w:tcPr>
            <w:tcW w:w="38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28,105</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16,816</w:t>
            </w:r>
          </w:p>
        </w:tc>
      </w:tr>
      <w:tr>
        <w:trPr>
          <w:trHeight w:val="229"/>
        </w:trPr>
        <w:tc>
          <w:tcPr>
            <w:tcW w:w="56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11,246</w:t>
            </w:r>
          </w:p>
        </w:tc>
        <w:tc>
          <w:tcPr>
            <w:tcW w:w="4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11,559</w:t>
            </w:r>
          </w:p>
        </w:tc>
        <w:tc>
          <w:tcPr>
            <w:tcW w:w="3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22,440</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23,093</w:t>
            </w:r>
          </w:p>
        </w:tc>
      </w:tr>
      <w:tr>
        <w:trPr>
          <w:trHeight w:val="229"/>
        </w:trPr>
        <w:tc>
          <w:tcPr>
            <w:tcW w:w="562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(41,239)</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(38,085)</w:t>
            </w:r>
          </w:p>
        </w:tc>
        <w:tc>
          <w:tcPr>
            <w:tcW w:w="38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b w:val="1"/>
                <w:bCs w:val="1"/>
                <w:color w:val="auto"/>
              </w:rPr>
              <w:t>(82,929)</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(76,423)</w:t>
            </w:r>
          </w:p>
        </w:tc>
      </w:tr>
      <w:tr>
        <w:trPr>
          <w:trHeight w:val="230"/>
        </w:trPr>
        <w:tc>
          <w:tcPr>
            <w:tcW w:w="5620" w:type="dxa"/>
            <w:vAlign w:val="bottom"/>
          </w:tcPr>
          <w:p>
            <w:pPr>
              <w:ind w:left="20"/>
              <w:spacing w:after="0"/>
              <w:rPr>
                <w:sz w:val="20"/>
                <w:szCs w:val="20"/>
                <w:color w:val="auto"/>
              </w:rPr>
            </w:pPr>
            <w:r>
              <w:rPr>
                <w:rFonts w:ascii="Arial" w:cs="Arial" w:eastAsia="Arial" w:hAnsi="Arial"/>
                <w:sz w:val="16"/>
                <w:szCs w:val="16"/>
                <w:color w:val="auto"/>
              </w:rPr>
              <w:t>Amortization of prior service (credit) cost</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(482)</w:t>
            </w:r>
          </w:p>
        </w:tc>
        <w:tc>
          <w:tcPr>
            <w:tcW w:w="4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412</w:t>
            </w:r>
          </w:p>
        </w:tc>
        <w:tc>
          <w:tcPr>
            <w:tcW w:w="38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b w:val="1"/>
                <w:bCs w:val="1"/>
                <w:color w:val="auto"/>
              </w:rPr>
              <w:t>(976)</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822</w:t>
            </w:r>
          </w:p>
        </w:tc>
      </w:tr>
      <w:tr>
        <w:trPr>
          <w:trHeight w:val="230"/>
        </w:trPr>
        <w:tc>
          <w:tcPr>
            <w:tcW w:w="5620" w:type="dxa"/>
            <w:vAlign w:val="bottom"/>
          </w:tcPr>
          <w:p>
            <w:pPr>
              <w:ind w:left="20"/>
              <w:spacing w:after="0"/>
              <w:rPr>
                <w:sz w:val="20"/>
                <w:szCs w:val="20"/>
                <w:color w:val="auto"/>
              </w:rPr>
            </w:pPr>
            <w:r>
              <w:rPr>
                <w:rFonts w:ascii="Arial" w:cs="Arial" w:eastAsia="Arial" w:hAnsi="Arial"/>
                <w:sz w:val="16"/>
                <w:szCs w:val="16"/>
                <w:color w:val="auto"/>
              </w:rPr>
              <w:t>Recognized actuarial gain</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(11,263)</w:t>
            </w: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(9,888)</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(23,781)</w:t>
            </w: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(20,028)</w:t>
            </w:r>
          </w:p>
        </w:tc>
      </w:tr>
      <w:tr>
        <w:trPr>
          <w:trHeight w:val="223"/>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Net Periodic Benefit</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(27,667)</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(28,429)</w:t>
            </w:r>
          </w:p>
        </w:tc>
        <w:tc>
          <w:tcPr>
            <w:tcW w:w="38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b w:val="1"/>
                <w:bCs w:val="1"/>
                <w:color w:val="auto"/>
              </w:rPr>
              <w:t>(57,141)</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(55,720)</w:t>
            </w:r>
          </w:p>
        </w:tc>
      </w:tr>
      <w:tr>
        <w:trPr>
          <w:trHeight w:val="233"/>
        </w:trPr>
        <w:tc>
          <w:tcPr>
            <w:tcW w:w="5620" w:type="dxa"/>
            <w:vAlign w:val="bottom"/>
          </w:tcPr>
          <w:p>
            <w:pPr>
              <w:ind w:left="20"/>
              <w:spacing w:after="0"/>
              <w:rPr>
                <w:sz w:val="20"/>
                <w:szCs w:val="20"/>
                <w:color w:val="auto"/>
              </w:rPr>
            </w:pPr>
            <w:r>
              <w:rPr>
                <w:rFonts w:ascii="Arial" w:cs="Arial" w:eastAsia="Arial" w:hAnsi="Arial"/>
                <w:sz w:val="16"/>
                <w:szCs w:val="16"/>
                <w:color w:val="auto"/>
              </w:rPr>
              <w:t>Early retirement program and special separation benefit expense</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16,410</w:t>
            </w: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5,517</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16,828</w:t>
            </w: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9,646</w:t>
            </w:r>
          </w:p>
        </w:tc>
      </w:tr>
      <w:tr>
        <w:trPr>
          <w:trHeight w:val="227"/>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Total Benefit</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(11,257)</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(22,912)</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(40,313)</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(46,074)</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In the second quarter of 2024, the Company recorded $14.8 million in expenses related to a Voluntary Retirement Incentive Program (VRIP)</w:t>
      </w:r>
    </w:p>
    <w:p>
      <w:pPr>
        <w:spacing w:after="0" w:line="14"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for certain Graham Media Group and Corporate employees, which will be funded from the assets of the Company’s pension plan. Also in the second quarter of 2024, the Company recorded $1.6 million in expenses related to Separation Incentive Programs (SIPs) for certain</w:t>
      </w:r>
    </w:p>
    <w:p>
      <w:pPr>
        <w:spacing w:after="0" w:line="236" w:lineRule="auto"/>
        <w:rPr>
          <w:sz w:val="20"/>
          <w:szCs w:val="20"/>
          <w:color w:val="auto"/>
        </w:rPr>
      </w:pPr>
      <w:r>
        <w:rPr>
          <w:rFonts w:ascii="Arial" w:cs="Arial" w:eastAsia="Arial" w:hAnsi="Arial"/>
          <w:sz w:val="18"/>
          <w:szCs w:val="18"/>
          <w:color w:val="auto"/>
        </w:rPr>
        <w:t>Framebridge and Code3 employees, which will be funded from the assets of the Company’s pension plan. In the first quarter of 2024, the</w:t>
      </w:r>
    </w:p>
    <w:p>
      <w:pPr>
        <w:spacing w:after="0" w:line="1"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Company recorded $0.4 million in expenses related to a SIP for certain Framebridge employees, which was funded from the assets of the Company’s pension plans.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the second quarter of 2023, the Company recorded $5.5 million in expenses related to SIPs for certain Kaplan, Graham Media Group, Leaf</w:t>
      </w:r>
    </w:p>
    <w:p>
      <w:pPr>
        <w:spacing w:after="0" w:line="14"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Group, Code3 and Pinna employees, which was funded from the assets of the Company’s pension plans. In the first quarter of 2023, the Company recorded $4.1 million in expenses related to SIPs for certain Leaf and Code3 employees, which was funded from the assets of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Company’s pension plans.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total cost arising from the Company’s Supplemental Executive Retirement Plan (SERP) consists of the following components: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3"/>
          </w:tcPr>
          <w:p>
            <w:pPr>
              <w:jc w:val="right"/>
              <w:ind w:right="621"/>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440" w:type="dxa"/>
            <w:vAlign w:val="bottom"/>
            <w:gridSpan w:val="3"/>
          </w:tcPr>
          <w:p>
            <w:pPr>
              <w:jc w:val="right"/>
              <w:ind w:right="701"/>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r>
      <w:tr>
        <w:trPr>
          <w:trHeight w:val="205"/>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rPr>
              <w:t>2023</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2023</w:t>
            </w:r>
          </w:p>
        </w:tc>
      </w:tr>
      <w:tr>
        <w:trPr>
          <w:trHeight w:val="223"/>
        </w:trPr>
        <w:tc>
          <w:tcPr>
            <w:tcW w:w="562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24"/>
              <w:spacing w:after="0"/>
              <w:rPr>
                <w:sz w:val="20"/>
                <w:szCs w:val="20"/>
                <w:color w:val="auto"/>
              </w:rPr>
            </w:pPr>
            <w:r>
              <w:rPr>
                <w:rFonts w:ascii="Arial" w:cs="Arial" w:eastAsia="Arial" w:hAnsi="Arial"/>
                <w:sz w:val="16"/>
                <w:szCs w:val="16"/>
                <w:b w:val="1"/>
                <w:bCs w:val="1"/>
                <w:color w:val="auto"/>
              </w:rPr>
              <w:t>288</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148</w:t>
            </w:r>
          </w:p>
        </w:tc>
        <w:tc>
          <w:tcPr>
            <w:tcW w:w="40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24"/>
              <w:spacing w:after="0"/>
              <w:rPr>
                <w:sz w:val="20"/>
                <w:szCs w:val="20"/>
                <w:color w:val="auto"/>
              </w:rPr>
            </w:pPr>
            <w:r>
              <w:rPr>
                <w:rFonts w:ascii="Arial" w:cs="Arial" w:eastAsia="Arial" w:hAnsi="Arial"/>
                <w:sz w:val="16"/>
                <w:szCs w:val="16"/>
                <w:b w:val="1"/>
                <w:bCs w:val="1"/>
                <w:color w:val="auto"/>
              </w:rPr>
              <w:t>575</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296</w:t>
            </w:r>
          </w:p>
        </w:tc>
      </w:tr>
      <w:tr>
        <w:trPr>
          <w:trHeight w:val="233"/>
        </w:trPr>
        <w:tc>
          <w:tcPr>
            <w:tcW w:w="56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1,129</w:t>
            </w: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1,165</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2,257</w:t>
            </w: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2,330</w:t>
            </w:r>
          </w:p>
        </w:tc>
      </w:tr>
      <w:tr>
        <w:trPr>
          <w:trHeight w:val="227"/>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Net Periodic Cost</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1,417</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1,313</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2,832</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2,626</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Defined Benefit Plan Assets. </w:t>
      </w:r>
      <w:r>
        <w:rPr>
          <w:rFonts w:ascii="Arial" w:cs="Arial" w:eastAsia="Arial" w:hAnsi="Arial"/>
          <w:sz w:val="18"/>
          <w:szCs w:val="18"/>
          <w:color w:val="auto"/>
        </w:rPr>
        <w:t>The Company’s defined benefit pension obligations are funded by a portfolio made up of private investment</w:t>
      </w:r>
    </w:p>
    <w:p>
      <w:pPr>
        <w:spacing w:after="0" w:line="1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funds, a U.S. stock index fund, and a relatively small number of stocks and high-quality fixed-income securities that are held by a third-party trustee. The assets of the Company’s pension plans were allocated as follows:</w:t>
      </w:r>
    </w:p>
    <w:p>
      <w:pPr>
        <w:spacing w:after="0" w:line="190" w:lineRule="exact"/>
        <w:rPr>
          <w:sz w:val="20"/>
          <w:szCs w:val="20"/>
          <w:color w:val="auto"/>
        </w:rPr>
      </w:pPr>
    </w:p>
    <w:tbl>
      <w:tblPr>
        <w:tblLayout w:type="fixed"/>
        <w:tblInd w:w="8260" w:type="dxa"/>
        <w:tblCellMar>
          <w:top w:w="0" w:type="dxa"/>
          <w:left w:w="0" w:type="dxa"/>
          <w:bottom w:w="0" w:type="dxa"/>
          <w:right w:w="0" w:type="dxa"/>
        </w:tblCellMar>
      </w:tblPr>
      <w:tr>
        <w:trPr>
          <w:trHeight w:val="205"/>
        </w:trPr>
        <w:tc>
          <w:tcPr>
            <w:tcW w:w="11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As of</w:t>
            </w:r>
          </w:p>
        </w:tc>
      </w:tr>
      <w:tr>
        <w:trPr>
          <w:trHeight w:val="220"/>
        </w:trPr>
        <w:tc>
          <w:tcPr>
            <w:tcW w:w="1160" w:type="dxa"/>
            <w:vAlign w:val="bottom"/>
          </w:tcPr>
          <w:p>
            <w:pPr>
              <w:jc w:val="center"/>
              <w:ind w:left="188"/>
              <w:spacing w:after="0"/>
              <w:rPr>
                <w:sz w:val="20"/>
                <w:szCs w:val="20"/>
                <w:color w:val="auto"/>
              </w:rPr>
            </w:pPr>
            <w:r>
              <w:rPr>
                <w:rFonts w:ascii="Arial" w:cs="Arial" w:eastAsia="Arial" w:hAnsi="Arial"/>
                <w:sz w:val="14"/>
                <w:szCs w:val="14"/>
                <w:b w:val="1"/>
                <w:bCs w:val="1"/>
                <w:color w:val="auto"/>
              </w:rPr>
              <w:t>June 30,</w:t>
            </w:r>
          </w:p>
        </w:tc>
        <w:tc>
          <w:tcPr>
            <w:tcW w:w="1820" w:type="dxa"/>
            <w:vAlign w:val="bottom"/>
          </w:tcPr>
          <w:p>
            <w:pPr>
              <w:jc w:val="center"/>
              <w:ind w:left="288"/>
              <w:spacing w:after="0"/>
              <w:rPr>
                <w:sz w:val="20"/>
                <w:szCs w:val="20"/>
                <w:color w:val="auto"/>
              </w:rPr>
            </w:pPr>
            <w:r>
              <w:rPr>
                <w:rFonts w:ascii="Arial" w:cs="Arial" w:eastAsia="Arial" w:hAnsi="Arial"/>
                <w:sz w:val="14"/>
                <w:szCs w:val="14"/>
                <w:color w:val="auto"/>
              </w:rPr>
              <w:t>December 31,</w:t>
            </w:r>
          </w:p>
        </w:tc>
      </w:tr>
      <w:tr>
        <w:trPr>
          <w:trHeight w:val="196"/>
        </w:trPr>
        <w:tc>
          <w:tcPr>
            <w:tcW w:w="1160" w:type="dxa"/>
            <w:vAlign w:val="bottom"/>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1820" w:type="dxa"/>
            <w:vAlign w:val="bottom"/>
          </w:tcPr>
          <w:p>
            <w:pPr>
              <w:jc w:val="right"/>
              <w:ind w:right="488"/>
              <w:spacing w:after="0"/>
              <w:rPr>
                <w:sz w:val="20"/>
                <w:szCs w:val="20"/>
                <w:color w:val="auto"/>
              </w:rPr>
            </w:pPr>
            <w:r>
              <w:rPr>
                <w:rFonts w:ascii="Arial" w:cs="Arial" w:eastAsia="Arial" w:hAnsi="Arial"/>
                <w:sz w:val="14"/>
                <w:szCs w:val="14"/>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equities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fixed income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Private investment funds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International equities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stock index fund</w:t>
      </w:r>
    </w:p>
    <w:p>
      <w:pPr>
        <w:spacing w:after="0" w:line="20" w:lineRule="exact"/>
        <w:rPr>
          <w:sz w:val="20"/>
          <w:szCs w:val="20"/>
          <w:color w:val="auto"/>
        </w:rPr>
      </w:pPr>
      <w:r>
        <w:rPr>
          <w:sz w:val="20"/>
          <w:szCs w:val="20"/>
          <w:color w:val="auto"/>
        </w:rPr>
        <w:br w:type="column"/>
      </w:r>
    </w:p>
    <w:p>
      <w:pPr>
        <w:ind w:left="80"/>
        <w:spacing w:after="0"/>
        <w:tabs>
          <w:tab w:leader="none" w:pos="1620" w:val="left"/>
        </w:tabs>
        <w:rPr>
          <w:sz w:val="20"/>
          <w:szCs w:val="20"/>
          <w:color w:val="auto"/>
        </w:rPr>
      </w:pPr>
      <w:r>
        <w:rPr>
          <w:rFonts w:ascii="Arial" w:cs="Arial" w:eastAsia="Arial" w:hAnsi="Arial"/>
          <w:sz w:val="16"/>
          <w:szCs w:val="16"/>
          <w:b w:val="1"/>
          <w:bCs w:val="1"/>
          <w:color w:val="auto"/>
        </w:rPr>
        <w:t>56 %</w:t>
      </w:r>
      <w:r>
        <w:rPr>
          <w:sz w:val="20"/>
          <w:szCs w:val="20"/>
          <w:color w:val="auto"/>
        </w:rPr>
        <w:tab/>
      </w:r>
      <w:r>
        <w:rPr>
          <w:rFonts w:ascii="Arial" w:cs="Arial" w:eastAsia="Arial" w:hAnsi="Arial"/>
          <w:sz w:val="15"/>
          <w:szCs w:val="15"/>
          <w:color w:val="auto"/>
        </w:rPr>
        <w:t>59 %</w:t>
      </w:r>
    </w:p>
    <w:p>
      <w:pPr>
        <w:spacing w:after="0" w:line="46" w:lineRule="exact"/>
        <w:rPr>
          <w:sz w:val="20"/>
          <w:szCs w:val="20"/>
          <w:color w:val="auto"/>
        </w:rPr>
      </w:pPr>
    </w:p>
    <w:p>
      <w:pPr>
        <w:ind w:left="80"/>
        <w:spacing w:after="0"/>
        <w:tabs>
          <w:tab w:leader="none" w:pos="1700" w:val="left"/>
        </w:tabs>
        <w:rPr>
          <w:sz w:val="20"/>
          <w:szCs w:val="20"/>
          <w:color w:val="auto"/>
        </w:rPr>
      </w:pPr>
      <w:r>
        <w:rPr>
          <w:rFonts w:ascii="Arial" w:cs="Arial" w:eastAsia="Arial" w:hAnsi="Arial"/>
          <w:sz w:val="16"/>
          <w:szCs w:val="16"/>
          <w:b w:val="1"/>
          <w:bCs w:val="1"/>
          <w:color w:val="auto"/>
        </w:rPr>
        <w:t>18 %</w:t>
      </w:r>
      <w:r>
        <w:rPr>
          <w:sz w:val="20"/>
          <w:szCs w:val="20"/>
          <w:color w:val="auto"/>
        </w:rPr>
        <w:tab/>
      </w:r>
      <w:r>
        <w:rPr>
          <w:rFonts w:ascii="Arial" w:cs="Arial" w:eastAsia="Arial" w:hAnsi="Arial"/>
          <w:sz w:val="16"/>
          <w:szCs w:val="16"/>
          <w:color w:val="auto"/>
        </w:rPr>
        <w:t>7 %</w:t>
      </w:r>
    </w:p>
    <w:p>
      <w:pPr>
        <w:spacing w:after="0" w:line="46" w:lineRule="exact"/>
        <w:rPr>
          <w:sz w:val="20"/>
          <w:szCs w:val="20"/>
          <w:color w:val="auto"/>
        </w:rPr>
      </w:pPr>
    </w:p>
    <w:p>
      <w:pPr>
        <w:ind w:left="80"/>
        <w:spacing w:after="0"/>
        <w:tabs>
          <w:tab w:leader="none" w:pos="1620" w:val="left"/>
        </w:tabs>
        <w:rPr>
          <w:sz w:val="20"/>
          <w:szCs w:val="20"/>
          <w:color w:val="auto"/>
        </w:rPr>
      </w:pPr>
      <w:r>
        <w:rPr>
          <w:rFonts w:ascii="Arial" w:cs="Arial" w:eastAsia="Arial" w:hAnsi="Arial"/>
          <w:sz w:val="16"/>
          <w:szCs w:val="16"/>
          <w:b w:val="1"/>
          <w:bCs w:val="1"/>
          <w:color w:val="auto"/>
        </w:rPr>
        <w:t>15 %</w:t>
      </w:r>
      <w:r>
        <w:rPr>
          <w:sz w:val="20"/>
          <w:szCs w:val="20"/>
          <w:color w:val="auto"/>
        </w:rPr>
        <w:tab/>
      </w:r>
      <w:r>
        <w:rPr>
          <w:rFonts w:ascii="Arial" w:cs="Arial" w:eastAsia="Arial" w:hAnsi="Arial"/>
          <w:sz w:val="15"/>
          <w:szCs w:val="15"/>
          <w:color w:val="auto"/>
        </w:rPr>
        <w:t>17 %</w:t>
      </w:r>
    </w:p>
    <w:p>
      <w:pPr>
        <w:spacing w:after="0" w:line="46" w:lineRule="exact"/>
        <w:rPr>
          <w:sz w:val="20"/>
          <w:szCs w:val="20"/>
          <w:color w:val="auto"/>
        </w:rPr>
      </w:pPr>
    </w:p>
    <w:p>
      <w:pPr>
        <w:ind w:left="80"/>
        <w:spacing w:after="0"/>
        <w:tabs>
          <w:tab w:leader="none" w:pos="1620" w:val="left"/>
        </w:tabs>
        <w:rPr>
          <w:sz w:val="20"/>
          <w:szCs w:val="20"/>
          <w:color w:val="auto"/>
        </w:rPr>
      </w:pPr>
      <w:r>
        <w:rPr>
          <w:rFonts w:ascii="Arial" w:cs="Arial" w:eastAsia="Arial" w:hAnsi="Arial"/>
          <w:sz w:val="16"/>
          <w:szCs w:val="16"/>
          <w:b w:val="1"/>
          <w:bCs w:val="1"/>
          <w:color w:val="auto"/>
        </w:rPr>
        <w:t>11 %</w:t>
      </w:r>
      <w:r>
        <w:rPr>
          <w:sz w:val="20"/>
          <w:szCs w:val="20"/>
          <w:color w:val="auto"/>
        </w:rPr>
        <w:tab/>
      </w:r>
      <w:r>
        <w:rPr>
          <w:rFonts w:ascii="Arial" w:cs="Arial" w:eastAsia="Arial" w:hAnsi="Arial"/>
          <w:sz w:val="15"/>
          <w:szCs w:val="15"/>
          <w:color w:val="auto"/>
        </w:rPr>
        <w:t>14 %</w:t>
      </w:r>
    </w:p>
    <w:p>
      <w:pPr>
        <w:spacing w:after="0" w:line="46"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6"/>
          <w:szCs w:val="16"/>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29210</wp:posOffset>
            </wp:positionV>
            <wp:extent cx="18942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39" w:lineRule="exact"/>
        <w:rPr>
          <w:sz w:val="20"/>
          <w:szCs w:val="20"/>
          <w:color w:val="auto"/>
        </w:rPr>
      </w:pPr>
    </w:p>
    <w:p>
      <w:pPr>
        <w:spacing w:after="0"/>
        <w:tabs>
          <w:tab w:leader="none" w:pos="1520" w:val="left"/>
        </w:tabs>
        <w:rPr>
          <w:sz w:val="20"/>
          <w:szCs w:val="20"/>
          <w:color w:val="auto"/>
        </w:rPr>
      </w:pPr>
      <w:r>
        <w:rPr>
          <w:rFonts w:ascii="Arial" w:cs="Arial" w:eastAsia="Arial" w:hAnsi="Arial"/>
          <w:sz w:val="16"/>
          <w:szCs w:val="16"/>
          <w:b w:val="1"/>
          <w:bCs w:val="1"/>
          <w:color w:val="auto"/>
        </w:rPr>
        <w:t>100 %</w:t>
      </w:r>
      <w:r>
        <w:rPr>
          <w:sz w:val="20"/>
          <w:szCs w:val="20"/>
          <w:color w:val="auto"/>
        </w:rPr>
        <w:tab/>
      </w:r>
      <w:r>
        <w:rPr>
          <w:rFonts w:ascii="Arial" w:cs="Arial" w:eastAsia="Arial" w:hAnsi="Arial"/>
          <w:sz w:val="16"/>
          <w:szCs w:val="16"/>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29210</wp:posOffset>
            </wp:positionV>
            <wp:extent cx="18942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94205" cy="8890"/>
                    </a:xfrm>
                    <a:prstGeom prst="rect">
                      <a:avLst/>
                    </a:prstGeom>
                    <a:noFill/>
                  </pic:spPr>
                </pic:pic>
              </a:graphicData>
            </a:graphic>
          </wp:anchor>
        </w:drawing>
        <w:drawing>
          <wp:anchor simplePos="0" relativeHeight="251657728" behindDoc="1" locked="0" layoutInCell="0" allowOverlap="1">
            <wp:simplePos x="0" y="0"/>
            <wp:positionH relativeFrom="column">
              <wp:posOffset>-611505</wp:posOffset>
            </wp:positionH>
            <wp:positionV relativeFrom="paragraph">
              <wp:posOffset>55245</wp:posOffset>
            </wp:positionV>
            <wp:extent cx="18942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00" w:space="720"/>
            <w:col w:w="2020"/>
          </w:cols>
          <w:pgMar w:left="320" w:top="1039" w:right="339" w:bottom="1440" w:gutter="0" w:footer="0" w:header="0"/>
          <w:type w:val="continuous"/>
        </w:sectPr>
      </w:pPr>
    </w:p>
    <w:p>
      <w:pPr>
        <w:spacing w:after="0" w:line="111"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The Company manages approximately 48% of the pension assets internally, of which the majority is invested in private investment funds with the remaining investments in Berkshire Hathaway and Markel stock, and short-term fixed-income securities. The remaining 52% of plan</w:t>
      </w:r>
    </w:p>
    <w:p>
      <w:pPr>
        <w:ind w:right="340"/>
        <w:spacing w:after="0" w:line="226" w:lineRule="auto"/>
        <w:rPr>
          <w:sz w:val="20"/>
          <w:szCs w:val="20"/>
          <w:color w:val="auto"/>
        </w:rPr>
      </w:pPr>
      <w:r>
        <w:rPr>
          <w:rFonts w:ascii="Arial" w:cs="Arial" w:eastAsia="Arial" w:hAnsi="Arial"/>
          <w:sz w:val="18"/>
          <w:szCs w:val="18"/>
          <w:color w:val="auto"/>
        </w:rPr>
        <w:t>assets are managed by two investment companies. The goal of the investment managers is to produce moderate long-term growth in the value of these assets, while protecting them against large decreases in value. Both investment managers may invest in a combination of</w:t>
      </w:r>
    </w:p>
    <w:p>
      <w:pPr>
        <w:spacing w:after="0" w:line="236" w:lineRule="auto"/>
        <w:rPr>
          <w:sz w:val="20"/>
          <w:szCs w:val="20"/>
          <w:color w:val="auto"/>
        </w:rPr>
      </w:pPr>
      <w:r>
        <w:rPr>
          <w:rFonts w:ascii="Arial" w:cs="Arial" w:eastAsia="Arial" w:hAnsi="Arial"/>
          <w:sz w:val="18"/>
          <w:szCs w:val="18"/>
          <w:color w:val="auto"/>
        </w:rPr>
        <w:t>equity and fixed-income securities and cash. The managers are not permitted to invest in securities of the Company or in alternative</w:t>
      </w:r>
    </w:p>
    <w:p>
      <w:pPr>
        <w:spacing w:after="0" w:line="1" w:lineRule="exact"/>
        <w:rPr>
          <w:sz w:val="20"/>
          <w:szCs w:val="20"/>
          <w:color w:val="auto"/>
        </w:rPr>
      </w:pPr>
    </w:p>
    <w:p>
      <w:pPr>
        <w:ind w:right="560"/>
        <w:spacing w:after="0" w:line="237" w:lineRule="auto"/>
        <w:rPr>
          <w:sz w:val="20"/>
          <w:szCs w:val="20"/>
          <w:color w:val="auto"/>
        </w:rPr>
      </w:pPr>
      <w:r>
        <w:rPr>
          <w:rFonts w:ascii="Arial" w:cs="Arial" w:eastAsia="Arial" w:hAnsi="Arial"/>
          <w:sz w:val="18"/>
          <w:szCs w:val="18"/>
          <w:color w:val="auto"/>
        </w:rPr>
        <w:t>investments. One investment manager cannot invest more than 15% of the assets at the time of purchase in the stock of Alphabet and Berkshire Hathaway, and no more than 35% of the assets it manages in specified</w:t>
      </w:r>
    </w:p>
    <w:p>
      <w:pPr>
        <w:sectPr>
          <w:pgSz w:w="11900" w:h="16838" w:orient="portrait"/>
          <w:cols w:equalWidth="0" w:num="1">
            <w:col w:w="11240"/>
          </w:cols>
          <w:pgMar w:left="320" w:top="1039" w:right="339" w:bottom="1440" w:gutter="0" w:footer="0" w:header="0"/>
          <w:type w:val="continuous"/>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color w:val="auto"/>
        </w:rPr>
        <w:t>international exchanges at the time the investment is made. The other investment manager cannot invest more than 20% of the assets at the</w:t>
      </w:r>
    </w:p>
    <w:p>
      <w:pPr>
        <w:spacing w:after="0" w:line="14"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time of purchase in the stock of Berkshire Hathaway, and no more than 15% of the assets it manages in specified international exchanges at the time the investment is made, and no less than 5% of the assets could be invested in fixed-income securities. Excluding the exceptions</w:t>
      </w:r>
    </w:p>
    <w:p>
      <w:pPr>
        <w:spacing w:after="0" w:line="2" w:lineRule="exact"/>
        <w:rPr>
          <w:sz w:val="20"/>
          <w:szCs w:val="20"/>
          <w:color w:val="auto"/>
        </w:rPr>
      </w:pPr>
    </w:p>
    <w:p>
      <w:pPr>
        <w:ind w:right="440"/>
        <w:spacing w:after="0" w:line="250" w:lineRule="auto"/>
        <w:rPr>
          <w:sz w:val="20"/>
          <w:szCs w:val="20"/>
          <w:color w:val="auto"/>
        </w:rPr>
      </w:pPr>
      <w:r>
        <w:rPr>
          <w:rFonts w:ascii="Arial" w:cs="Arial" w:eastAsia="Arial" w:hAnsi="Arial"/>
          <w:sz w:val="18"/>
          <w:szCs w:val="18"/>
          <w:color w:val="auto"/>
        </w:rPr>
        <w:t>noted above, the investment managers cannot invest more than 10% of the assets in the securities of any other single issuer, except for obligations of the U.S. Government, without receiving prior approval from the Plan administrator.</w:t>
      </w:r>
    </w:p>
    <w:p>
      <w:pPr>
        <w:spacing w:after="0" w:line="104" w:lineRule="exact"/>
        <w:rPr>
          <w:sz w:val="20"/>
          <w:szCs w:val="20"/>
          <w:color w:val="auto"/>
        </w:rPr>
      </w:pPr>
    </w:p>
    <w:p>
      <w:pPr>
        <w:ind w:right="540"/>
        <w:spacing w:after="0" w:line="253" w:lineRule="auto"/>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101" w:lineRule="exact"/>
        <w:rPr>
          <w:sz w:val="20"/>
          <w:szCs w:val="20"/>
          <w:color w:val="auto"/>
        </w:rPr>
      </w:pPr>
    </w:p>
    <w:p>
      <w:pPr>
        <w:ind w:right="360"/>
        <w:spacing w:after="0" w:line="245" w:lineRule="auto"/>
        <w:rPr>
          <w:sz w:val="20"/>
          <w:szCs w:val="20"/>
          <w:color w:val="auto"/>
        </w:rPr>
      </w:pPr>
      <w:r>
        <w:rPr>
          <w:rFonts w:ascii="Arial" w:cs="Arial" w:eastAsia="Arial" w:hAnsi="Arial"/>
          <w:sz w:val="18"/>
          <w:szCs w:val="18"/>
          <w:color w:val="auto"/>
        </w:rPr>
        <w:t>The Company evaluated its defined benefit pension plan asset portfolio for the existence of significant concentrations (defined as greater than 10% of plan assets) of credit risk as of June 30, 2024. Types of concentrations that were evaluated include, but are not limited to,</w:t>
      </w:r>
    </w:p>
    <w:p>
      <w:pPr>
        <w:ind w:right="400"/>
        <w:spacing w:after="0"/>
        <w:rPr>
          <w:sz w:val="20"/>
          <w:szCs w:val="20"/>
          <w:color w:val="auto"/>
        </w:rPr>
      </w:pPr>
      <w:r>
        <w:rPr>
          <w:rFonts w:ascii="Arial" w:cs="Arial" w:eastAsia="Arial" w:hAnsi="Arial"/>
          <w:sz w:val="17"/>
          <w:szCs w:val="17"/>
          <w:color w:val="auto"/>
        </w:rPr>
        <w:t>investment concentrations in a single entity, type of industry, foreign country and individual fund. At June 30, 2024, the pension plan held investments in one common stock, one private investment fund, and one U.S. Treasury securities fund that exceeded 10% of total plan</w:t>
      </w:r>
    </w:p>
    <w:p>
      <w:pPr>
        <w:spacing w:after="0" w:line="235" w:lineRule="auto"/>
        <w:rPr>
          <w:sz w:val="20"/>
          <w:szCs w:val="20"/>
          <w:color w:val="auto"/>
        </w:rPr>
      </w:pPr>
      <w:r>
        <w:rPr>
          <w:rFonts w:ascii="Arial" w:cs="Arial" w:eastAsia="Arial" w:hAnsi="Arial"/>
          <w:sz w:val="18"/>
          <w:szCs w:val="18"/>
          <w:color w:val="auto"/>
        </w:rPr>
        <w:t>assets, valued at $1,602.3 million, or approximately 49% of total plan assets. At December 31, 2023, the pension plan held investments in</w:t>
      </w:r>
    </w:p>
    <w:p>
      <w:pPr>
        <w:spacing w:after="0" w:line="226" w:lineRule="auto"/>
        <w:rPr>
          <w:sz w:val="20"/>
          <w:szCs w:val="20"/>
          <w:color w:val="auto"/>
        </w:rPr>
      </w:pPr>
      <w:r>
        <w:rPr>
          <w:rFonts w:ascii="Arial" w:cs="Arial" w:eastAsia="Arial" w:hAnsi="Arial"/>
          <w:sz w:val="18"/>
          <w:szCs w:val="18"/>
          <w:color w:val="auto"/>
        </w:rPr>
        <w:t>one common stock and one private investment fund that exceeded 10% of total plan assets, valued at $1,011.1 million, or approximately 34% of total plan assets. Assets also included $91.4 million and $82.4 million of Markel shares at June 30, 2024 and December 31, 2023,</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Postretirement Plans. </w:t>
      </w:r>
      <w:r>
        <w:rPr>
          <w:rFonts w:ascii="Arial" w:cs="Arial" w:eastAsia="Arial" w:hAnsi="Arial"/>
          <w:sz w:val="18"/>
          <w:szCs w:val="18"/>
          <w:color w:val="auto"/>
        </w:rPr>
        <w:t>The total benefit arising from the Company’s other postretirement plans consists of the following components: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2300" w:type="dxa"/>
            <w:vAlign w:val="bottom"/>
            <w:gridSpan w:val="3"/>
          </w:tcPr>
          <w:p>
            <w:pPr>
              <w:jc w:val="right"/>
              <w:ind w:right="14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2820" w:type="dxa"/>
            <w:vAlign w:val="bottom"/>
            <w:gridSpan w:val="4"/>
          </w:tcPr>
          <w:p>
            <w:pPr>
              <w:jc w:val="right"/>
              <w:ind w:right="701"/>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6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562"/>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r>
      <w:tr>
        <w:trPr>
          <w:trHeight w:val="205"/>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2023</w:t>
            </w:r>
          </w:p>
        </w:tc>
      </w:tr>
      <w:tr>
        <w:trPr>
          <w:trHeight w:val="223"/>
        </w:trPr>
        <w:tc>
          <w:tcPr>
            <w:tcW w:w="56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880" w:type="dxa"/>
            <w:vAlign w:val="bottom"/>
          </w:tcPr>
          <w:p>
            <w:pPr>
              <w:jc w:val="right"/>
              <w:ind w:right="684"/>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ind w:right="41"/>
              <w:spacing w:after="0"/>
              <w:rPr>
                <w:sz w:val="20"/>
                <w:szCs w:val="20"/>
                <w:color w:val="auto"/>
              </w:rPr>
            </w:pPr>
            <w:r>
              <w:rPr>
                <w:rFonts w:ascii="Arial" w:cs="Arial" w:eastAsia="Arial" w:hAnsi="Arial"/>
                <w:sz w:val="16"/>
                <w:szCs w:val="16"/>
                <w:b w:val="1"/>
                <w:bCs w:val="1"/>
                <w:color w:val="auto"/>
              </w:rPr>
              <w:t>14</w:t>
            </w:r>
          </w:p>
        </w:tc>
        <w:tc>
          <w:tcPr>
            <w:tcW w:w="920" w:type="dxa"/>
            <w:vAlign w:val="bottom"/>
          </w:tcPr>
          <w:p>
            <w:pPr>
              <w:jc w:val="right"/>
              <w:ind w:right="682"/>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52</w:t>
            </w:r>
          </w:p>
        </w:tc>
        <w:tc>
          <w:tcPr>
            <w:tcW w:w="940" w:type="dxa"/>
            <w:vAlign w:val="bottom"/>
          </w:tcPr>
          <w:p>
            <w:pPr>
              <w:jc w:val="right"/>
              <w:ind w:right="684"/>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ind w:right="41"/>
              <w:spacing w:after="0"/>
              <w:rPr>
                <w:sz w:val="20"/>
                <w:szCs w:val="20"/>
                <w:color w:val="auto"/>
              </w:rPr>
            </w:pPr>
            <w:r>
              <w:rPr>
                <w:rFonts w:ascii="Arial" w:cs="Arial" w:eastAsia="Arial" w:hAnsi="Arial"/>
                <w:sz w:val="16"/>
                <w:szCs w:val="16"/>
                <w:b w:val="1"/>
                <w:bCs w:val="1"/>
                <w:color w:val="auto"/>
              </w:rPr>
              <w:t>28</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74</w:t>
            </w:r>
          </w:p>
        </w:tc>
      </w:tr>
      <w:tr>
        <w:trPr>
          <w:trHeight w:val="229"/>
        </w:trPr>
        <w:tc>
          <w:tcPr>
            <w:tcW w:w="5620" w:type="dxa"/>
            <w:vAlign w:val="bottom"/>
          </w:tcPr>
          <w:p>
            <w:pPr>
              <w:ind w:left="20"/>
              <w:spacing w:after="0"/>
              <w:rPr>
                <w:sz w:val="20"/>
                <w:szCs w:val="20"/>
                <w:color w:val="auto"/>
              </w:rPr>
            </w:pPr>
            <w:r>
              <w:rPr>
                <w:rFonts w:ascii="Arial" w:cs="Arial" w:eastAsia="Arial" w:hAnsi="Arial"/>
                <w:sz w:val="16"/>
                <w:szCs w:val="16"/>
                <w:color w:val="auto"/>
              </w:rPr>
              <w:t>Amortization of prior service credit</w:t>
            </w:r>
          </w:p>
        </w:tc>
        <w:tc>
          <w:tcPr>
            <w:tcW w:w="880" w:type="dxa"/>
            <w:vAlign w:val="bottom"/>
          </w:tcPr>
          <w:p>
            <w:pPr>
              <w:spacing w:after="0"/>
              <w:rPr>
                <w:sz w:val="19"/>
                <w:szCs w:val="19"/>
                <w:color w:val="auto"/>
              </w:rPr>
            </w:pPr>
          </w:p>
        </w:tc>
        <w:tc>
          <w:tcPr>
            <w:tcW w:w="5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940" w:type="dxa"/>
            <w:vAlign w:val="bottom"/>
          </w:tcPr>
          <w:p>
            <w:pPr>
              <w:spacing w:after="0"/>
              <w:rPr>
                <w:sz w:val="19"/>
                <w:szCs w:val="19"/>
                <w:color w:val="auto"/>
              </w:rPr>
            </w:pPr>
          </w:p>
        </w:tc>
        <w:tc>
          <w:tcPr>
            <w:tcW w:w="5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33"/>
        </w:trPr>
        <w:tc>
          <w:tcPr>
            <w:tcW w:w="5620" w:type="dxa"/>
            <w:vAlign w:val="bottom"/>
          </w:tcPr>
          <w:p>
            <w:pPr>
              <w:ind w:left="20"/>
              <w:spacing w:after="0"/>
              <w:rPr>
                <w:sz w:val="20"/>
                <w:szCs w:val="20"/>
                <w:color w:val="auto"/>
              </w:rPr>
            </w:pPr>
            <w:r>
              <w:rPr>
                <w:rFonts w:ascii="Arial" w:cs="Arial" w:eastAsia="Arial" w:hAnsi="Arial"/>
                <w:sz w:val="16"/>
                <w:szCs w:val="16"/>
                <w:color w:val="auto"/>
              </w:rPr>
              <w:t>Recognized actuarial gain</w:t>
            </w:r>
          </w:p>
        </w:tc>
        <w:tc>
          <w:tcPr>
            <w:tcW w:w="8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(470)</w:t>
            </w:r>
          </w:p>
        </w:tc>
        <w:tc>
          <w:tcPr>
            <w:tcW w:w="9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w:t>
            </w:r>
          </w:p>
        </w:tc>
        <w:tc>
          <w:tcPr>
            <w:tcW w:w="9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(939)</w:t>
            </w: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(1,172)</w:t>
            </w:r>
          </w:p>
        </w:tc>
      </w:tr>
      <w:tr>
        <w:trPr>
          <w:trHeight w:val="227"/>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Net Periodic Benefit</w:t>
            </w:r>
          </w:p>
        </w:tc>
        <w:tc>
          <w:tcPr>
            <w:tcW w:w="880" w:type="dxa"/>
            <w:vAlign w:val="bottom"/>
            <w:tcBorders>
              <w:bottom w:val="single" w:sz="8" w:color="auto"/>
            </w:tcBorders>
          </w:tcPr>
          <w:p>
            <w:pPr>
              <w:jc w:val="right"/>
              <w:ind w:right="684"/>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(456)</w:t>
            </w:r>
          </w:p>
        </w:tc>
        <w:tc>
          <w:tcPr>
            <w:tcW w:w="920" w:type="dxa"/>
            <w:vAlign w:val="bottom"/>
            <w:tcBorders>
              <w:bottom w:val="single" w:sz="8" w:color="auto"/>
            </w:tcBorders>
          </w:tcPr>
          <w:p>
            <w:pPr>
              <w:jc w:val="right"/>
              <w:ind w:right="68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w:t>
            </w:r>
          </w:p>
        </w:tc>
        <w:tc>
          <w:tcPr>
            <w:tcW w:w="940" w:type="dxa"/>
            <w:vAlign w:val="bottom"/>
            <w:tcBorders>
              <w:bottom w:val="single" w:sz="8" w:color="auto"/>
            </w:tcBorders>
          </w:tcPr>
          <w:p>
            <w:pPr>
              <w:jc w:val="right"/>
              <w:ind w:right="684"/>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(911)</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(1,100)</w:t>
            </w:r>
          </w:p>
        </w:tc>
      </w:tr>
      <w:tr>
        <w:trPr>
          <w:trHeight w:val="21"/>
        </w:trPr>
        <w:tc>
          <w:tcPr>
            <w:tcW w:w="5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NON-OPERATING INCOME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is as follows: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2820" w:type="dxa"/>
            <w:vAlign w:val="bottom"/>
            <w:gridSpan w:val="2"/>
          </w:tcPr>
          <w:p>
            <w:pPr>
              <w:jc w:val="right"/>
              <w:ind w:right="668"/>
              <w:spacing w:after="0"/>
              <w:rPr>
                <w:sz w:val="20"/>
                <w:szCs w:val="20"/>
                <w:color w:val="auto"/>
              </w:rPr>
            </w:pPr>
            <w:r>
              <w:rPr>
                <w:rFonts w:ascii="Arial" w:cs="Arial" w:eastAsia="Arial" w:hAnsi="Arial"/>
                <w:sz w:val="14"/>
                <w:szCs w:val="14"/>
                <w:b w:val="1"/>
                <w:bCs w:val="1"/>
                <w:color w:val="auto"/>
              </w:rPr>
              <w:t>Three Months Ended</w:t>
            </w:r>
          </w:p>
        </w:tc>
        <w:tc>
          <w:tcPr>
            <w:tcW w:w="2800" w:type="dxa"/>
            <w:vAlign w:val="bottom"/>
            <w:gridSpan w:val="2"/>
          </w:tcPr>
          <w:p>
            <w:pPr>
              <w:jc w:val="right"/>
              <w:ind w:right="708"/>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6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1088"/>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1008"/>
              <w:spacing w:after="0"/>
              <w:rPr>
                <w:sz w:val="20"/>
                <w:szCs w:val="20"/>
                <w:color w:val="auto"/>
              </w:rPr>
            </w:pPr>
            <w:r>
              <w:rPr>
                <w:rFonts w:ascii="Arial" w:cs="Arial" w:eastAsia="Arial" w:hAnsi="Arial"/>
                <w:sz w:val="14"/>
                <w:szCs w:val="14"/>
                <w:b w:val="1"/>
                <w:bCs w:val="1"/>
                <w:color w:val="auto"/>
              </w:rPr>
              <w:t>June 30</w:t>
            </w:r>
          </w:p>
        </w:tc>
      </w:tr>
      <w:tr>
        <w:trPr>
          <w:trHeight w:val="196"/>
        </w:trPr>
        <w:tc>
          <w:tcPr>
            <w:tcW w:w="5600" w:type="dxa"/>
            <w:vAlign w:val="bottom"/>
          </w:tcPr>
          <w:p>
            <w:pPr>
              <w:spacing w:after="0"/>
              <w:rPr>
                <w:sz w:val="20"/>
                <w:szCs w:val="20"/>
                <w:color w:val="auto"/>
              </w:rPr>
            </w:pPr>
            <w:r>
              <w:rPr>
                <w:rFonts w:ascii="Arial" w:cs="Arial" w:eastAsia="Arial" w:hAnsi="Arial"/>
                <w:sz w:val="14"/>
                <w:szCs w:val="14"/>
                <w:color w:val="auto"/>
              </w:rPr>
              <w:t>(in thousands)</w:t>
            </w:r>
          </w:p>
        </w:tc>
        <w:tc>
          <w:tcPr>
            <w:tcW w:w="980" w:type="dxa"/>
            <w:vAlign w:val="bottom"/>
          </w:tcPr>
          <w:p>
            <w:pPr>
              <w:jc w:val="right"/>
              <w:ind w:right="88"/>
              <w:spacing w:after="0"/>
              <w:rPr>
                <w:sz w:val="20"/>
                <w:szCs w:val="20"/>
                <w:color w:val="auto"/>
              </w:rPr>
            </w:pPr>
            <w:r>
              <w:rPr>
                <w:rFonts w:ascii="Arial" w:cs="Arial" w:eastAsia="Arial" w:hAnsi="Arial"/>
                <w:sz w:val="14"/>
                <w:szCs w:val="14"/>
                <w:b w:val="1"/>
                <w:bCs w:val="1"/>
                <w:color w:val="auto"/>
              </w:rPr>
              <w:t>2024</w:t>
            </w:r>
          </w:p>
        </w:tc>
        <w:tc>
          <w:tcPr>
            <w:tcW w:w="1840" w:type="dxa"/>
            <w:vAlign w:val="bottom"/>
          </w:tcPr>
          <w:p>
            <w:pPr>
              <w:jc w:val="right"/>
              <w:ind w:right="488"/>
              <w:spacing w:after="0"/>
              <w:rPr>
                <w:sz w:val="20"/>
                <w:szCs w:val="20"/>
                <w:color w:val="auto"/>
              </w:rPr>
            </w:pPr>
            <w:r>
              <w:rPr>
                <w:rFonts w:ascii="Arial" w:cs="Arial" w:eastAsia="Arial" w:hAnsi="Arial"/>
                <w:sz w:val="14"/>
                <w:szCs w:val="14"/>
                <w:color w:val="auto"/>
              </w:rPr>
              <w:t>2023</w:t>
            </w:r>
          </w:p>
        </w:tc>
        <w:tc>
          <w:tcPr>
            <w:tcW w:w="1020" w:type="dxa"/>
            <w:vAlign w:val="bottom"/>
          </w:tcPr>
          <w:p>
            <w:pPr>
              <w:jc w:val="right"/>
              <w:ind w:right="88"/>
              <w:spacing w:after="0"/>
              <w:rPr>
                <w:sz w:val="20"/>
                <w:szCs w:val="20"/>
                <w:color w:val="auto"/>
              </w:rPr>
            </w:pPr>
            <w:r>
              <w:rPr>
                <w:rFonts w:ascii="Arial" w:cs="Arial" w:eastAsia="Arial" w:hAnsi="Arial"/>
                <w:sz w:val="14"/>
                <w:szCs w:val="14"/>
                <w:b w:val="1"/>
                <w:bCs w:val="1"/>
                <w:color w:val="auto"/>
              </w:rPr>
              <w:t>2024</w:t>
            </w:r>
          </w:p>
        </w:tc>
        <w:tc>
          <w:tcPr>
            <w:tcW w:w="1780" w:type="dxa"/>
            <w:vAlign w:val="bottom"/>
          </w:tcPr>
          <w:p>
            <w:pPr>
              <w:jc w:val="right"/>
              <w:ind w:right="428"/>
              <w:spacing w:after="0"/>
              <w:rPr>
                <w:sz w:val="20"/>
                <w:szCs w:val="20"/>
                <w:color w:val="auto"/>
              </w:rPr>
            </w:pPr>
            <w:r>
              <w:rPr>
                <w:rFonts w:ascii="Arial" w:cs="Arial" w:eastAsia="Arial" w:hAnsi="Arial"/>
                <w:sz w:val="14"/>
                <w:szCs w:val="14"/>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Gain on sale of businesses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Foreign currency (loss) gain, net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Impairment of cost method investments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Gain on sale of investment in affiliate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Gain on sale of cost method investments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Gain on cost method investments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gain, net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Other Non-Operating Income</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44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3,483</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12,232</w:t>
            </w:r>
          </w:p>
        </w:tc>
        <w:tc>
          <w:tcPr>
            <w:tcW w:w="54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4,358</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13,232</w:t>
            </w:r>
          </w:p>
        </w:tc>
      </w:tr>
      <w:tr>
        <w:trPr>
          <w:trHeight w:val="230"/>
        </w:trPr>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(1,700)</w:t>
            </w:r>
          </w:p>
        </w:tc>
        <w:tc>
          <w:tcPr>
            <w:tcW w:w="48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1,604</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(1,083)</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29"/>
        </w:trPr>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(338)</w:t>
            </w:r>
          </w:p>
        </w:tc>
        <w:tc>
          <w:tcPr>
            <w:tcW w:w="48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(744)</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44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15</w:t>
            </w:r>
          </w:p>
        </w:tc>
        <w:tc>
          <w:tcPr>
            <w:tcW w:w="48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15</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30"/>
        </w:trPr>
        <w:tc>
          <w:tcPr>
            <w:tcW w:w="44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46</w:t>
            </w:r>
          </w:p>
        </w:tc>
        <w:tc>
          <w:tcPr>
            <w:tcW w:w="5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6</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831</w:t>
            </w:r>
          </w:p>
        </w:tc>
      </w:tr>
      <w:tr>
        <w:trPr>
          <w:trHeight w:val="230"/>
        </w:trPr>
        <w:tc>
          <w:tcPr>
            <w:tcW w:w="44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1,273</w:t>
            </w:r>
          </w:p>
        </w:tc>
        <w:tc>
          <w:tcPr>
            <w:tcW w:w="5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3,104</w:t>
            </w:r>
          </w:p>
        </w:tc>
      </w:tr>
      <w:tr>
        <w:trPr>
          <w:trHeight w:val="233"/>
        </w:trPr>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331</w:t>
            </w: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639</w:t>
            </w:r>
          </w:p>
        </w:tc>
        <w:tc>
          <w:tcPr>
            <w:tcW w:w="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886</w:t>
            </w: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1,595</w:t>
            </w:r>
          </w:p>
        </w:tc>
      </w:tr>
      <w:tr>
        <w:trPr>
          <w:trHeight w:val="223"/>
        </w:trPr>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1,791</w:t>
            </w:r>
          </w:p>
        </w:tc>
        <w:tc>
          <w:tcPr>
            <w:tcW w:w="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15,794</w:t>
            </w:r>
          </w:p>
        </w:tc>
        <w:tc>
          <w:tcPr>
            <w:tcW w:w="5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3,438</w:t>
            </w:r>
          </w:p>
        </w:tc>
        <w:tc>
          <w:tcPr>
            <w:tcW w:w="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18,877</w:t>
            </w:r>
          </w:p>
        </w:tc>
      </w:tr>
      <w:tr>
        <w:trPr>
          <w:trHeight w:val="24"/>
        </w:trPr>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4900" w:space="720"/>
            <w:col w:w="5620"/>
          </w:cols>
          <w:pgMar w:left="320" w:top="931" w:right="339" w:bottom="1440" w:gutter="0" w:footer="0" w:header="0"/>
          <w:type w:val="continuous"/>
        </w:sectPr>
      </w:pPr>
    </w:p>
    <w:p>
      <w:pPr>
        <w:spacing w:after="0" w:line="2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gain on cost method investments results from observable price changes in the fair value of the underlying equity securities accounted for under the cost method (see Notes 3 and 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2024, the Company recorded contingent consideration gains of $0.9 million related to the disposition</w:t>
      </w:r>
    </w:p>
    <w:p>
      <w:pPr>
        <w:spacing w:after="0" w:line="14"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of Kaplan University (KU) in 2018. During the three and six months ended June 30, 2023, the Company recorded contingent consideration gains of $2.2 million and $3.2 million, respectively.</w:t>
      </w:r>
    </w:p>
    <w:p>
      <w:pPr>
        <w:spacing w:after="0" w:line="127"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In the second quarter of 2024, the Company recorded a $3.5 million gain related to the sale of a small business by WGB, which included five websites (see Note 2).</w:t>
      </w:r>
    </w:p>
    <w:p>
      <w:pPr>
        <w:spacing w:after="0" w:line="86"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In the second quarter of 2023, the Company recorded a $10.0 million gain related to the Pinna transaction (see Notes 2 and 3). The Company used a market approach to determine the fair value of the noncontrolling financial interest received in Realm in exchange for the Pinna business.</w:t>
      </w:r>
    </w:p>
    <w:p>
      <w:pPr>
        <w:sectPr>
          <w:pgSz w:w="11900" w:h="16838" w:orient="portrait"/>
          <w:cols w:equalWidth="0" w:num="1">
            <w:col w:w="11240"/>
          </w:cols>
          <w:pgMar w:left="320" w:top="931" w:right="339" w:bottom="1440" w:gutter="0" w:footer="0" w:header="0"/>
          <w:type w:val="continuous"/>
        </w:sect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13. ACCUMULATED OTHER COMPREHENSIVE INCOME (LOSS)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other comprehensive loss consists of the following components: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4"/>
          </w:tcPr>
          <w:p>
            <w:pPr>
              <w:jc w:val="right"/>
              <w:ind w:right="61"/>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color w:val="auto"/>
              </w:rPr>
              <w:t>2023</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right="101"/>
              <w:spacing w:after="0"/>
              <w:rPr>
                <w:sz w:val="20"/>
                <w:szCs w:val="20"/>
                <w:color w:val="auto"/>
              </w:rPr>
            </w:pPr>
            <w:r>
              <w:rPr>
                <w:rFonts w:ascii="Arial" w:cs="Arial" w:eastAsia="Arial" w:hAnsi="Arial"/>
                <w:sz w:val="14"/>
                <w:szCs w:val="14"/>
                <w:b w:val="1"/>
                <w:bCs w:val="1"/>
                <w:color w:val="auto"/>
              </w:rPr>
              <w:t>Before-Tax</w:t>
            </w:r>
          </w:p>
        </w:tc>
        <w:tc>
          <w:tcPr>
            <w:tcW w:w="220" w:type="dxa"/>
            <w:vAlign w:val="bottom"/>
          </w:tcPr>
          <w:p>
            <w:pPr>
              <w:spacing w:after="0"/>
              <w:rPr>
                <w:sz w:val="17"/>
                <w:szCs w:val="17"/>
                <w:color w:val="auto"/>
              </w:rPr>
            </w:pPr>
          </w:p>
        </w:tc>
        <w:tc>
          <w:tcPr>
            <w:tcW w:w="820" w:type="dxa"/>
            <w:vAlign w:val="bottom"/>
          </w:tcPr>
          <w:p>
            <w:pPr>
              <w:jc w:val="right"/>
              <w:ind w:right="162"/>
              <w:spacing w:after="0"/>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7"/>
                <w:szCs w:val="17"/>
                <w:color w:val="auto"/>
              </w:rPr>
            </w:pPr>
          </w:p>
        </w:tc>
        <w:tc>
          <w:tcPr>
            <w:tcW w:w="920" w:type="dxa"/>
            <w:vAlign w:val="bottom"/>
          </w:tcPr>
          <w:p>
            <w:pPr>
              <w:ind w:left="60"/>
              <w:spacing w:after="0"/>
              <w:rPr>
                <w:sz w:val="20"/>
                <w:szCs w:val="20"/>
                <w:color w:val="auto"/>
              </w:rPr>
            </w:pPr>
            <w:r>
              <w:rPr>
                <w:rFonts w:ascii="Arial" w:cs="Arial" w:eastAsia="Arial" w:hAnsi="Arial"/>
                <w:sz w:val="14"/>
                <w:szCs w:val="14"/>
                <w:b w:val="1"/>
                <w:bCs w:val="1"/>
                <w:color w:val="auto"/>
              </w:rPr>
              <w:t>After-Tax</w:t>
            </w:r>
          </w:p>
        </w:tc>
        <w:tc>
          <w:tcPr>
            <w:tcW w:w="200" w:type="dxa"/>
            <w:vAlign w:val="bottom"/>
          </w:tcPr>
          <w:p>
            <w:pPr>
              <w:spacing w:after="0"/>
              <w:rPr>
                <w:sz w:val="17"/>
                <w:szCs w:val="17"/>
                <w:color w:val="auto"/>
              </w:rPr>
            </w:pPr>
          </w:p>
        </w:tc>
        <w:tc>
          <w:tcPr>
            <w:tcW w:w="940" w:type="dxa"/>
            <w:vAlign w:val="bottom"/>
          </w:tcPr>
          <w:p>
            <w:pPr>
              <w:jc w:val="center"/>
              <w:ind w:right="121"/>
              <w:spacing w:after="0"/>
              <w:rPr>
                <w:sz w:val="20"/>
                <w:szCs w:val="20"/>
                <w:color w:val="auto"/>
              </w:rPr>
            </w:pPr>
            <w:r>
              <w:rPr>
                <w:rFonts w:ascii="Arial" w:cs="Arial" w:eastAsia="Arial" w:hAnsi="Arial"/>
                <w:sz w:val="14"/>
                <w:szCs w:val="14"/>
                <w:color w:val="auto"/>
              </w:rPr>
              <w:t>Before-Tax</w:t>
            </w:r>
          </w:p>
        </w:tc>
        <w:tc>
          <w:tcPr>
            <w:tcW w:w="220" w:type="dxa"/>
            <w:vAlign w:val="bottom"/>
          </w:tcPr>
          <w:p>
            <w:pPr>
              <w:spacing w:after="0"/>
              <w:rPr>
                <w:sz w:val="17"/>
                <w:szCs w:val="17"/>
                <w:color w:val="auto"/>
              </w:rPr>
            </w:pPr>
          </w:p>
        </w:tc>
        <w:tc>
          <w:tcPr>
            <w:tcW w:w="840" w:type="dxa"/>
            <w:vAlign w:val="bottom"/>
          </w:tcPr>
          <w:p>
            <w:pPr>
              <w:jc w:val="center"/>
              <w:ind w:right="102"/>
              <w:spacing w:after="0"/>
              <w:rPr>
                <w:sz w:val="20"/>
                <w:szCs w:val="20"/>
                <w:color w:val="auto"/>
              </w:rPr>
            </w:pPr>
            <w:r>
              <w:rPr>
                <w:rFonts w:ascii="Arial" w:cs="Arial" w:eastAsia="Arial" w:hAnsi="Arial"/>
                <w:sz w:val="14"/>
                <w:szCs w:val="14"/>
                <w:color w:val="auto"/>
              </w:rPr>
              <w:t>Income</w:t>
            </w:r>
          </w:p>
        </w:tc>
        <w:tc>
          <w:tcPr>
            <w:tcW w:w="220" w:type="dxa"/>
            <w:vAlign w:val="bottom"/>
          </w:tcPr>
          <w:p>
            <w:pPr>
              <w:spacing w:after="0"/>
              <w:rPr>
                <w:sz w:val="17"/>
                <w:szCs w:val="17"/>
                <w:color w:val="auto"/>
              </w:rPr>
            </w:pPr>
          </w:p>
        </w:tc>
        <w:tc>
          <w:tcPr>
            <w:tcW w:w="860" w:type="dxa"/>
            <w:vAlign w:val="bottom"/>
          </w:tcPr>
          <w:p>
            <w:pPr>
              <w:jc w:val="right"/>
              <w:ind w:right="141"/>
              <w:spacing w:after="0"/>
              <w:rPr>
                <w:sz w:val="20"/>
                <w:szCs w:val="20"/>
                <w:color w:val="auto"/>
              </w:rPr>
            </w:pPr>
            <w:r>
              <w:rPr>
                <w:rFonts w:ascii="Arial" w:cs="Arial" w:eastAsia="Arial" w:hAnsi="Arial"/>
                <w:sz w:val="14"/>
                <w:szCs w:val="14"/>
                <w:color w:val="auto"/>
              </w:rPr>
              <w:t>After-Tax</w:t>
            </w:r>
          </w:p>
        </w:tc>
        <w:tc>
          <w:tcPr>
            <w:tcW w:w="0" w:type="dxa"/>
            <w:vAlign w:val="bottom"/>
          </w:tcPr>
          <w:p>
            <w:pPr>
              <w:spacing w:after="0"/>
              <w:rPr>
                <w:sz w:val="1"/>
                <w:szCs w:val="1"/>
                <w:color w:val="auto"/>
              </w:rPr>
            </w:pPr>
          </w:p>
        </w:tc>
      </w:tr>
      <w:tr>
        <w:trPr>
          <w:trHeight w:val="225"/>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Tax</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color w:val="auto"/>
              </w:rPr>
              <w:t>Amount</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color w:val="auto"/>
                <w:w w:val="94"/>
              </w:rPr>
              <w:t>Tax</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15"/>
        </w:trPr>
        <w:tc>
          <w:tcPr>
            <w:tcW w:w="4660" w:type="dxa"/>
            <w:vAlign w:val="bottom"/>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60" w:type="dxa"/>
            <w:vAlign w:val="bottom"/>
          </w:tcPr>
          <w:p>
            <w:pPr>
              <w:ind w:left="140"/>
              <w:spacing w:after="0"/>
              <w:rPr>
                <w:sz w:val="20"/>
                <w:szCs w:val="20"/>
                <w:color w:val="auto"/>
              </w:rPr>
            </w:pPr>
            <w:r>
              <w:rPr>
                <w:rFonts w:ascii="Arial" w:cs="Arial" w:eastAsia="Arial" w:hAnsi="Arial"/>
                <w:sz w:val="16"/>
                <w:szCs w:val="16"/>
                <w:color w:val="auto"/>
              </w:rPr>
              <w:t>Translation adjustments arising during the period</w:t>
            </w:r>
          </w:p>
        </w:tc>
        <w:tc>
          <w:tcPr>
            <w:tcW w:w="1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3,517</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2"/>
              <w:spacing w:after="0"/>
              <w:rPr>
                <w:sz w:val="20"/>
                <w:szCs w:val="20"/>
                <w:color w:val="auto"/>
              </w:rPr>
            </w:pPr>
            <w:r>
              <w:rPr>
                <w:rFonts w:ascii="Arial" w:cs="Arial" w:eastAsia="Arial" w:hAnsi="Arial"/>
                <w:sz w:val="16"/>
                <w:szCs w:val="16"/>
                <w:b w:val="1"/>
                <w:bCs w:val="1"/>
                <w:color w:val="auto"/>
              </w:rPr>
              <w:t>3,517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2,384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2,384</w:t>
            </w:r>
          </w:p>
        </w:tc>
        <w:tc>
          <w:tcPr>
            <w:tcW w:w="0" w:type="dxa"/>
            <w:vAlign w:val="bottom"/>
          </w:tcPr>
          <w:p>
            <w:pPr>
              <w:spacing w:after="0"/>
              <w:rPr>
                <w:sz w:val="1"/>
                <w:szCs w:val="1"/>
                <w:color w:val="auto"/>
              </w:rPr>
            </w:pPr>
          </w:p>
        </w:tc>
      </w:tr>
      <w:tr>
        <w:trPr>
          <w:trHeight w:val="221"/>
        </w:trPr>
        <w:tc>
          <w:tcPr>
            <w:tcW w:w="4660" w:type="dxa"/>
            <w:vAlign w:val="bottom"/>
          </w:tcPr>
          <w:p>
            <w:pPr>
              <w:ind w:left="20"/>
              <w:spacing w:after="0"/>
              <w:rPr>
                <w:sz w:val="20"/>
                <w:szCs w:val="20"/>
                <w:color w:val="auto"/>
              </w:rPr>
            </w:pPr>
            <w:r>
              <w:rPr>
                <w:rFonts w:ascii="Arial" w:cs="Arial" w:eastAsia="Arial" w:hAnsi="Arial"/>
                <w:sz w:val="16"/>
                <w:szCs w:val="16"/>
                <w:color w:val="auto"/>
              </w:rPr>
              <w:t>Pension and other postretirement plans: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660" w:type="dxa"/>
            <w:vAlign w:val="bottom"/>
          </w:tcPr>
          <w:p>
            <w:pPr>
              <w:ind w:left="140"/>
              <w:spacing w:after="0"/>
              <w:rPr>
                <w:sz w:val="20"/>
                <w:szCs w:val="20"/>
                <w:color w:val="auto"/>
              </w:rPr>
            </w:pPr>
            <w:r>
              <w:rPr>
                <w:rFonts w:ascii="Arial" w:cs="Arial" w:eastAsia="Arial" w:hAnsi="Arial"/>
                <w:sz w:val="16"/>
                <w:szCs w:val="16"/>
                <w:color w:val="auto"/>
              </w:rPr>
              <w:t>Amortization of net prior service (credit) cost included in net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(482)</w:t>
            </w:r>
          </w:p>
        </w:tc>
        <w:tc>
          <w:tcPr>
            <w:tcW w:w="220" w:type="dxa"/>
            <w:vAlign w:val="bottom"/>
          </w:tcPr>
          <w:p>
            <w:pPr>
              <w:spacing w:after="0"/>
              <w:rPr>
                <w:sz w:val="17"/>
                <w:szCs w:val="17"/>
                <w:color w:val="auto"/>
              </w:rPr>
            </w:pPr>
          </w:p>
        </w:tc>
        <w:tc>
          <w:tcPr>
            <w:tcW w:w="82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124</w:t>
            </w:r>
          </w:p>
        </w:tc>
        <w:tc>
          <w:tcPr>
            <w:tcW w:w="220" w:type="dxa"/>
            <w:vAlign w:val="bottom"/>
          </w:tcPr>
          <w:p>
            <w:pPr>
              <w:spacing w:after="0"/>
              <w:rPr>
                <w:sz w:val="17"/>
                <w:szCs w:val="17"/>
                <w:color w:val="auto"/>
              </w:rPr>
            </w:pPr>
          </w:p>
        </w:tc>
        <w:tc>
          <w:tcPr>
            <w:tcW w:w="92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(358)</w:t>
            </w:r>
          </w:p>
        </w:tc>
        <w:tc>
          <w:tcPr>
            <w:tcW w:w="200" w:type="dxa"/>
            <w:vAlign w:val="bottom"/>
          </w:tcPr>
          <w:p>
            <w:pPr>
              <w:spacing w:after="0"/>
              <w:rPr>
                <w:sz w:val="17"/>
                <w:szCs w:val="17"/>
                <w:color w:val="auto"/>
              </w:rPr>
            </w:pPr>
          </w:p>
        </w:tc>
        <w:tc>
          <w:tcPr>
            <w:tcW w:w="940" w:type="dxa"/>
            <w:vAlign w:val="bottom"/>
            <w:vMerge w:val="restart"/>
          </w:tcPr>
          <w:p>
            <w:pPr>
              <w:jc w:val="right"/>
              <w:ind w:right="41"/>
              <w:spacing w:after="0"/>
              <w:rPr>
                <w:sz w:val="20"/>
                <w:szCs w:val="20"/>
                <w:color w:val="auto"/>
              </w:rPr>
            </w:pPr>
            <w:r>
              <w:rPr>
                <w:rFonts w:ascii="Arial" w:cs="Arial" w:eastAsia="Arial" w:hAnsi="Arial"/>
                <w:sz w:val="16"/>
                <w:szCs w:val="16"/>
                <w:color w:val="auto"/>
              </w:rPr>
              <w:t>411</w:t>
            </w:r>
          </w:p>
        </w:tc>
        <w:tc>
          <w:tcPr>
            <w:tcW w:w="22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(106)</w:t>
            </w:r>
          </w:p>
        </w:tc>
        <w:tc>
          <w:tcPr>
            <w:tcW w:w="220" w:type="dxa"/>
            <w:vAlign w:val="bottom"/>
          </w:tcPr>
          <w:p>
            <w:pPr>
              <w:spacing w:after="0"/>
              <w:rPr>
                <w:sz w:val="17"/>
                <w:szCs w:val="17"/>
                <w:color w:val="auto"/>
              </w:rPr>
            </w:pPr>
          </w:p>
        </w:tc>
        <w:tc>
          <w:tcPr>
            <w:tcW w:w="860" w:type="dxa"/>
            <w:vAlign w:val="bottom"/>
            <w:vMerge w:val="restart"/>
          </w:tcPr>
          <w:p>
            <w:pPr>
              <w:jc w:val="right"/>
              <w:ind w:right="1"/>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15"/>
        </w:trPr>
        <w:tc>
          <w:tcPr>
            <w:tcW w:w="4660" w:type="dxa"/>
            <w:vAlign w:val="bottom"/>
          </w:tcPr>
          <w:p>
            <w:pPr>
              <w:ind w:left="300"/>
              <w:spacing w:after="0"/>
              <w:rPr>
                <w:sz w:val="20"/>
                <w:szCs w:val="20"/>
                <w:color w:val="auto"/>
              </w:rPr>
            </w:pPr>
            <w:r>
              <w:rPr>
                <w:rFonts w:ascii="Arial" w:cs="Arial" w:eastAsia="Arial" w:hAnsi="Arial"/>
                <w:sz w:val="16"/>
                <w:szCs w:val="16"/>
                <w:color w:val="auto"/>
              </w:rPr>
              <w:t>income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60" w:type="dxa"/>
            <w:vAlign w:val="bottom"/>
          </w:tcPr>
          <w:p>
            <w:pPr>
              <w:ind w:left="140"/>
              <w:spacing w:after="0"/>
              <w:rPr>
                <w:sz w:val="20"/>
                <w:szCs w:val="20"/>
                <w:color w:val="auto"/>
              </w:rPr>
            </w:pPr>
            <w:r>
              <w:rPr>
                <w:rFonts w:ascii="Arial" w:cs="Arial" w:eastAsia="Arial" w:hAnsi="Arial"/>
                <w:sz w:val="16"/>
                <w:szCs w:val="16"/>
                <w:color w:val="auto"/>
              </w:rPr>
              <w:t>Amortization of net actuarial gain included in net income</w:t>
            </w: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(11,733)</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3,004</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(8,729)</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(10,434)</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2,684</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(7,750)</w:t>
            </w:r>
          </w:p>
        </w:tc>
        <w:tc>
          <w:tcPr>
            <w:tcW w:w="0" w:type="dxa"/>
            <w:vAlign w:val="bottom"/>
          </w:tcPr>
          <w:p>
            <w:pPr>
              <w:spacing w:after="0"/>
              <w:rPr>
                <w:sz w:val="1"/>
                <w:szCs w:val="1"/>
                <w:color w:val="auto"/>
              </w:rPr>
            </w:pPr>
          </w:p>
        </w:tc>
      </w:tr>
      <w:tr>
        <w:trPr>
          <w:trHeight w:val="220"/>
        </w:trPr>
        <w:tc>
          <w:tcPr>
            <w:tcW w:w="4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(12,215)</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3,128</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(9,087)</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(10,023)</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2,578</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(7,445)</w:t>
            </w:r>
          </w:p>
        </w:tc>
        <w:tc>
          <w:tcPr>
            <w:tcW w:w="0" w:type="dxa"/>
            <w:vAlign w:val="bottom"/>
          </w:tcPr>
          <w:p>
            <w:pPr>
              <w:spacing w:after="0"/>
              <w:rPr>
                <w:sz w:val="1"/>
                <w:szCs w:val="1"/>
                <w:color w:val="auto"/>
              </w:rPr>
            </w:pPr>
          </w:p>
        </w:tc>
      </w:tr>
      <w:tr>
        <w:trPr>
          <w:trHeight w:val="214"/>
        </w:trPr>
        <w:tc>
          <w:tcPr>
            <w:tcW w:w="4660" w:type="dxa"/>
            <w:vAlign w:val="bottom"/>
          </w:tcPr>
          <w:p>
            <w:pPr>
              <w:ind w:left="20"/>
              <w:spacing w:after="0"/>
              <w:rPr>
                <w:sz w:val="20"/>
                <w:szCs w:val="20"/>
                <w:color w:val="auto"/>
              </w:rPr>
            </w:pPr>
            <w:r>
              <w:rPr>
                <w:rFonts w:ascii="Arial" w:cs="Arial" w:eastAsia="Arial" w:hAnsi="Arial"/>
                <w:sz w:val="16"/>
                <w:szCs w:val="16"/>
                <w:color w:val="auto"/>
              </w:rPr>
              <w:t>Cash flow hedges: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60" w:type="dxa"/>
            <w:vAlign w:val="bottom"/>
          </w:tcPr>
          <w:p>
            <w:pPr>
              <w:ind w:left="140"/>
              <w:spacing w:after="0"/>
              <w:rPr>
                <w:sz w:val="20"/>
                <w:szCs w:val="20"/>
                <w:color w:val="auto"/>
              </w:rPr>
            </w:pPr>
            <w:r>
              <w:rPr>
                <w:rFonts w:ascii="Arial" w:cs="Arial" w:eastAsia="Arial" w:hAnsi="Arial"/>
                <w:sz w:val="16"/>
                <w:szCs w:val="16"/>
                <w:color w:val="auto"/>
              </w:rPr>
              <w:t>Gains for the period</w:t>
            </w: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346</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255</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1,188</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915</w:t>
            </w:r>
          </w:p>
        </w:tc>
        <w:tc>
          <w:tcPr>
            <w:tcW w:w="0" w:type="dxa"/>
            <w:vAlign w:val="bottom"/>
          </w:tcPr>
          <w:p>
            <w:pPr>
              <w:spacing w:after="0"/>
              <w:rPr>
                <w:sz w:val="1"/>
                <w:szCs w:val="1"/>
                <w:color w:val="auto"/>
              </w:rPr>
            </w:pPr>
          </w:p>
        </w:tc>
      </w:tr>
      <w:tr>
        <w:trPr>
          <w:trHeight w:val="227"/>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Loss</w:t>
            </w:r>
          </w:p>
        </w:tc>
        <w:tc>
          <w:tcPr>
            <w:tcW w:w="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(8,352)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3,037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(5,315)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(6,451)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2,305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(4,146)</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gridSpan w:val="3"/>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4"/>
        </w:trPr>
        <w:tc>
          <w:tcPr>
            <w:tcW w:w="46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161"/>
              <w:spacing w:after="0"/>
              <w:rPr>
                <w:sz w:val="20"/>
                <w:szCs w:val="20"/>
                <w:color w:val="auto"/>
              </w:rPr>
            </w:pPr>
            <w:r>
              <w:rPr>
                <w:rFonts w:ascii="Arial" w:cs="Arial" w:eastAsia="Arial" w:hAnsi="Arial"/>
                <w:sz w:val="14"/>
                <w:szCs w:val="14"/>
                <w:b w:val="1"/>
                <w:bCs w:val="1"/>
                <w:color w:val="auto"/>
              </w:rPr>
              <w:t>Six Months Ended June 30</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6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color w:val="auto"/>
              </w:rPr>
              <w:t>2023</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right="141"/>
              <w:spacing w:after="0"/>
              <w:rPr>
                <w:sz w:val="20"/>
                <w:szCs w:val="20"/>
                <w:color w:val="auto"/>
              </w:rPr>
            </w:pPr>
            <w:r>
              <w:rPr>
                <w:rFonts w:ascii="Arial" w:cs="Arial" w:eastAsia="Arial" w:hAnsi="Arial"/>
                <w:sz w:val="14"/>
                <w:szCs w:val="14"/>
                <w:b w:val="1"/>
                <w:bCs w:val="1"/>
                <w:color w:val="auto"/>
              </w:rPr>
              <w:t>Before-Tax</w:t>
            </w:r>
          </w:p>
        </w:tc>
        <w:tc>
          <w:tcPr>
            <w:tcW w:w="220" w:type="dxa"/>
            <w:vAlign w:val="bottom"/>
          </w:tcPr>
          <w:p>
            <w:pPr>
              <w:spacing w:after="0"/>
              <w:rPr>
                <w:sz w:val="17"/>
                <w:szCs w:val="17"/>
                <w:color w:val="auto"/>
              </w:rPr>
            </w:pPr>
          </w:p>
        </w:tc>
        <w:tc>
          <w:tcPr>
            <w:tcW w:w="820" w:type="dxa"/>
            <w:vAlign w:val="bottom"/>
          </w:tcPr>
          <w:p>
            <w:pPr>
              <w:jc w:val="center"/>
              <w:ind w:right="162"/>
              <w:spacing w:after="0"/>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7"/>
                <w:szCs w:val="17"/>
                <w:color w:val="auto"/>
              </w:rPr>
            </w:pPr>
          </w:p>
        </w:tc>
        <w:tc>
          <w:tcPr>
            <w:tcW w:w="920" w:type="dxa"/>
            <w:vAlign w:val="bottom"/>
          </w:tcPr>
          <w:p>
            <w:pPr>
              <w:jc w:val="right"/>
              <w:ind w:right="202"/>
              <w:spacing w:after="0"/>
              <w:rPr>
                <w:sz w:val="20"/>
                <w:szCs w:val="20"/>
                <w:color w:val="auto"/>
              </w:rPr>
            </w:pPr>
            <w:r>
              <w:rPr>
                <w:rFonts w:ascii="Arial" w:cs="Arial" w:eastAsia="Arial" w:hAnsi="Arial"/>
                <w:sz w:val="14"/>
                <w:szCs w:val="14"/>
                <w:b w:val="1"/>
                <w:bCs w:val="1"/>
                <w:color w:val="auto"/>
              </w:rPr>
              <w:t>After-Tax</w:t>
            </w:r>
          </w:p>
        </w:tc>
        <w:tc>
          <w:tcPr>
            <w:tcW w:w="200" w:type="dxa"/>
            <w:vAlign w:val="bottom"/>
          </w:tcPr>
          <w:p>
            <w:pPr>
              <w:spacing w:after="0"/>
              <w:rPr>
                <w:sz w:val="17"/>
                <w:szCs w:val="17"/>
                <w:color w:val="auto"/>
              </w:rPr>
            </w:pPr>
          </w:p>
        </w:tc>
        <w:tc>
          <w:tcPr>
            <w:tcW w:w="940" w:type="dxa"/>
            <w:vAlign w:val="bottom"/>
          </w:tcPr>
          <w:p>
            <w:pPr>
              <w:jc w:val="center"/>
              <w:ind w:right="121"/>
              <w:spacing w:after="0"/>
              <w:rPr>
                <w:sz w:val="20"/>
                <w:szCs w:val="20"/>
                <w:color w:val="auto"/>
              </w:rPr>
            </w:pPr>
            <w:r>
              <w:rPr>
                <w:rFonts w:ascii="Arial" w:cs="Arial" w:eastAsia="Arial" w:hAnsi="Arial"/>
                <w:sz w:val="14"/>
                <w:szCs w:val="14"/>
                <w:color w:val="auto"/>
              </w:rPr>
              <w:t>Before-Tax</w:t>
            </w:r>
          </w:p>
        </w:tc>
        <w:tc>
          <w:tcPr>
            <w:tcW w:w="220" w:type="dxa"/>
            <w:vAlign w:val="bottom"/>
          </w:tcPr>
          <w:p>
            <w:pPr>
              <w:spacing w:after="0"/>
              <w:rPr>
                <w:sz w:val="17"/>
                <w:szCs w:val="17"/>
                <w:color w:val="auto"/>
              </w:rPr>
            </w:pPr>
          </w:p>
        </w:tc>
        <w:tc>
          <w:tcPr>
            <w:tcW w:w="840" w:type="dxa"/>
            <w:vAlign w:val="bottom"/>
          </w:tcPr>
          <w:p>
            <w:pPr>
              <w:jc w:val="right"/>
              <w:ind w:right="242"/>
              <w:spacing w:after="0"/>
              <w:rPr>
                <w:sz w:val="20"/>
                <w:szCs w:val="20"/>
                <w:color w:val="auto"/>
              </w:rPr>
            </w:pPr>
            <w:r>
              <w:rPr>
                <w:rFonts w:ascii="Arial" w:cs="Arial" w:eastAsia="Arial" w:hAnsi="Arial"/>
                <w:sz w:val="14"/>
                <w:szCs w:val="14"/>
                <w:color w:val="auto"/>
              </w:rPr>
              <w:t>Income</w:t>
            </w:r>
          </w:p>
        </w:tc>
        <w:tc>
          <w:tcPr>
            <w:tcW w:w="220" w:type="dxa"/>
            <w:vAlign w:val="bottom"/>
          </w:tcPr>
          <w:p>
            <w:pPr>
              <w:spacing w:after="0"/>
              <w:rPr>
                <w:sz w:val="17"/>
                <w:szCs w:val="17"/>
                <w:color w:val="auto"/>
              </w:rPr>
            </w:pPr>
          </w:p>
        </w:tc>
        <w:tc>
          <w:tcPr>
            <w:tcW w:w="860" w:type="dxa"/>
            <w:vAlign w:val="bottom"/>
          </w:tcPr>
          <w:p>
            <w:pPr>
              <w:jc w:val="right"/>
              <w:ind w:right="161"/>
              <w:spacing w:after="0"/>
              <w:rPr>
                <w:sz w:val="20"/>
                <w:szCs w:val="20"/>
                <w:color w:val="auto"/>
              </w:rPr>
            </w:pPr>
            <w:r>
              <w:rPr>
                <w:rFonts w:ascii="Arial" w:cs="Arial" w:eastAsia="Arial" w:hAnsi="Arial"/>
                <w:sz w:val="14"/>
                <w:szCs w:val="14"/>
                <w:color w:val="auto"/>
              </w:rPr>
              <w:t>After-Tax</w:t>
            </w:r>
          </w:p>
        </w:tc>
        <w:tc>
          <w:tcPr>
            <w:tcW w:w="0" w:type="dxa"/>
            <w:vAlign w:val="bottom"/>
          </w:tcPr>
          <w:p>
            <w:pPr>
              <w:spacing w:after="0"/>
              <w:rPr>
                <w:sz w:val="1"/>
                <w:szCs w:val="1"/>
                <w:color w:val="auto"/>
              </w:rPr>
            </w:pPr>
          </w:p>
        </w:tc>
      </w:tr>
      <w:tr>
        <w:trPr>
          <w:trHeight w:val="225"/>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9"/>
              </w:rPr>
              <w:t>Tax</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color w:val="auto"/>
              </w:rPr>
              <w:t>Amount</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color w:val="auto"/>
              </w:rPr>
              <w:t>Tax</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15"/>
        </w:trPr>
        <w:tc>
          <w:tcPr>
            <w:tcW w:w="4660" w:type="dxa"/>
            <w:vAlign w:val="bottom"/>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60" w:type="dxa"/>
            <w:vAlign w:val="bottom"/>
          </w:tcPr>
          <w:p>
            <w:pPr>
              <w:ind w:left="140"/>
              <w:spacing w:after="0"/>
              <w:rPr>
                <w:sz w:val="20"/>
                <w:szCs w:val="20"/>
                <w:color w:val="auto"/>
              </w:rPr>
            </w:pPr>
            <w:r>
              <w:rPr>
                <w:rFonts w:ascii="Arial" w:cs="Arial" w:eastAsia="Arial" w:hAnsi="Arial"/>
                <w:sz w:val="16"/>
                <w:szCs w:val="16"/>
                <w:color w:val="auto"/>
              </w:rPr>
              <w:t>Translation adjustments arising during the period</w:t>
            </w:r>
          </w:p>
        </w:tc>
        <w:tc>
          <w:tcPr>
            <w:tcW w:w="1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(9,767)</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62"/>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
              <w:spacing w:after="0"/>
              <w:rPr>
                <w:sz w:val="20"/>
                <w:szCs w:val="20"/>
                <w:color w:val="auto"/>
              </w:rPr>
            </w:pPr>
            <w:r>
              <w:rPr>
                <w:rFonts w:ascii="Arial" w:cs="Arial" w:eastAsia="Arial" w:hAnsi="Arial"/>
                <w:sz w:val="16"/>
                <w:szCs w:val="16"/>
                <w:b w:val="1"/>
                <w:bCs w:val="1"/>
                <w:color w:val="auto"/>
              </w:rPr>
              <w:t>(9,767)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11,378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11,378</w:t>
            </w:r>
          </w:p>
        </w:tc>
        <w:tc>
          <w:tcPr>
            <w:tcW w:w="0" w:type="dxa"/>
            <w:vAlign w:val="bottom"/>
          </w:tcPr>
          <w:p>
            <w:pPr>
              <w:spacing w:after="0"/>
              <w:rPr>
                <w:sz w:val="1"/>
                <w:szCs w:val="1"/>
                <w:color w:val="auto"/>
              </w:rPr>
            </w:pPr>
          </w:p>
        </w:tc>
      </w:tr>
      <w:tr>
        <w:trPr>
          <w:trHeight w:val="221"/>
        </w:trPr>
        <w:tc>
          <w:tcPr>
            <w:tcW w:w="4660" w:type="dxa"/>
            <w:vAlign w:val="bottom"/>
          </w:tcPr>
          <w:p>
            <w:pPr>
              <w:ind w:left="20"/>
              <w:spacing w:after="0"/>
              <w:rPr>
                <w:sz w:val="20"/>
                <w:szCs w:val="20"/>
                <w:color w:val="auto"/>
              </w:rPr>
            </w:pPr>
            <w:r>
              <w:rPr>
                <w:rFonts w:ascii="Arial" w:cs="Arial" w:eastAsia="Arial" w:hAnsi="Arial"/>
                <w:sz w:val="16"/>
                <w:szCs w:val="16"/>
                <w:color w:val="auto"/>
              </w:rPr>
              <w:t>Pension and other postretirement plans: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660" w:type="dxa"/>
            <w:vAlign w:val="bottom"/>
          </w:tcPr>
          <w:p>
            <w:pPr>
              <w:ind w:left="140"/>
              <w:spacing w:after="0"/>
              <w:rPr>
                <w:sz w:val="20"/>
                <w:szCs w:val="20"/>
                <w:color w:val="auto"/>
              </w:rPr>
            </w:pPr>
            <w:r>
              <w:rPr>
                <w:rFonts w:ascii="Arial" w:cs="Arial" w:eastAsia="Arial" w:hAnsi="Arial"/>
                <w:sz w:val="16"/>
                <w:szCs w:val="16"/>
                <w:color w:val="auto"/>
              </w:rPr>
              <w:t>Amortization of net prior service (credit) cost included in net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(976)</w:t>
            </w:r>
          </w:p>
        </w:tc>
        <w:tc>
          <w:tcPr>
            <w:tcW w:w="220" w:type="dxa"/>
            <w:vAlign w:val="bottom"/>
          </w:tcPr>
          <w:p>
            <w:pPr>
              <w:spacing w:after="0"/>
              <w:rPr>
                <w:sz w:val="16"/>
                <w:szCs w:val="16"/>
                <w:color w:val="auto"/>
              </w:rPr>
            </w:pPr>
          </w:p>
        </w:tc>
        <w:tc>
          <w:tcPr>
            <w:tcW w:w="820" w:type="dxa"/>
            <w:vAlign w:val="bottom"/>
            <w:vMerge w:val="restart"/>
          </w:tcPr>
          <w:p>
            <w:pPr>
              <w:jc w:val="right"/>
              <w:ind w:right="62"/>
              <w:spacing w:after="0"/>
              <w:rPr>
                <w:sz w:val="20"/>
                <w:szCs w:val="20"/>
                <w:color w:val="auto"/>
              </w:rPr>
            </w:pPr>
            <w:r>
              <w:rPr>
                <w:rFonts w:ascii="Arial" w:cs="Arial" w:eastAsia="Arial" w:hAnsi="Arial"/>
                <w:sz w:val="16"/>
                <w:szCs w:val="16"/>
                <w:b w:val="1"/>
                <w:bCs w:val="1"/>
                <w:color w:val="auto"/>
              </w:rPr>
              <w:t>250</w:t>
            </w:r>
          </w:p>
        </w:tc>
        <w:tc>
          <w:tcPr>
            <w:tcW w:w="220" w:type="dxa"/>
            <w:vAlign w:val="bottom"/>
          </w:tcPr>
          <w:p>
            <w:pPr>
              <w:spacing w:after="0"/>
              <w:rPr>
                <w:sz w:val="16"/>
                <w:szCs w:val="16"/>
                <w:color w:val="auto"/>
              </w:rPr>
            </w:pPr>
          </w:p>
        </w:tc>
        <w:tc>
          <w:tcPr>
            <w:tcW w:w="92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(726)</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660" w:type="dxa"/>
            <w:vAlign w:val="bottom"/>
          </w:tcPr>
          <w:p>
            <w:pPr>
              <w:ind w:left="300"/>
              <w:spacing w:after="0"/>
              <w:rPr>
                <w:sz w:val="20"/>
                <w:szCs w:val="20"/>
                <w:color w:val="auto"/>
              </w:rPr>
            </w:pPr>
            <w:r>
              <w:rPr>
                <w:rFonts w:ascii="Arial" w:cs="Arial" w:eastAsia="Arial" w:hAnsi="Arial"/>
                <w:sz w:val="16"/>
                <w:szCs w:val="16"/>
                <w:color w:val="auto"/>
              </w:rPr>
              <w:t>income</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820</w:t>
            </w:r>
          </w:p>
        </w:tc>
        <w:tc>
          <w:tcPr>
            <w:tcW w:w="220" w:type="dxa"/>
            <w:vAlign w:val="bottom"/>
          </w:tcPr>
          <w:p>
            <w:pPr>
              <w:spacing w:after="0"/>
              <w:rPr>
                <w:sz w:val="19"/>
                <w:szCs w:val="19"/>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(211)</w:t>
            </w:r>
          </w:p>
        </w:tc>
        <w:tc>
          <w:tcPr>
            <w:tcW w:w="22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609</w:t>
            </w:r>
          </w:p>
        </w:tc>
        <w:tc>
          <w:tcPr>
            <w:tcW w:w="0" w:type="dxa"/>
            <w:vAlign w:val="bottom"/>
          </w:tcPr>
          <w:p>
            <w:pPr>
              <w:spacing w:after="0"/>
              <w:rPr>
                <w:sz w:val="1"/>
                <w:szCs w:val="1"/>
                <w:color w:val="auto"/>
              </w:rPr>
            </w:pPr>
          </w:p>
        </w:tc>
      </w:tr>
      <w:tr>
        <w:trPr>
          <w:trHeight w:val="233"/>
        </w:trPr>
        <w:tc>
          <w:tcPr>
            <w:tcW w:w="4660" w:type="dxa"/>
            <w:vAlign w:val="bottom"/>
          </w:tcPr>
          <w:p>
            <w:pPr>
              <w:ind w:left="140"/>
              <w:spacing w:after="0"/>
              <w:rPr>
                <w:sz w:val="20"/>
                <w:szCs w:val="20"/>
                <w:color w:val="auto"/>
              </w:rPr>
            </w:pPr>
            <w:r>
              <w:rPr>
                <w:rFonts w:ascii="Arial" w:cs="Arial" w:eastAsia="Arial" w:hAnsi="Arial"/>
                <w:sz w:val="16"/>
                <w:szCs w:val="16"/>
                <w:color w:val="auto"/>
              </w:rPr>
              <w:t>Amortization of net actuarial gain included in net income</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(24,720)</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6,329</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(18,391)</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(21,200)</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5,453</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(15,747)</w:t>
            </w:r>
          </w:p>
        </w:tc>
        <w:tc>
          <w:tcPr>
            <w:tcW w:w="0" w:type="dxa"/>
            <w:vAlign w:val="bottom"/>
          </w:tcPr>
          <w:p>
            <w:pPr>
              <w:spacing w:after="0"/>
              <w:rPr>
                <w:sz w:val="1"/>
                <w:szCs w:val="1"/>
                <w:color w:val="auto"/>
              </w:rPr>
            </w:pPr>
          </w:p>
        </w:tc>
      </w:tr>
      <w:tr>
        <w:trPr>
          <w:trHeight w:val="220"/>
        </w:trPr>
        <w:tc>
          <w:tcPr>
            <w:tcW w:w="46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(25,696)</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6,579</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(19,117)</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(20,380)</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5,242</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(15,138)</w:t>
            </w:r>
          </w:p>
        </w:tc>
        <w:tc>
          <w:tcPr>
            <w:tcW w:w="0" w:type="dxa"/>
            <w:vAlign w:val="bottom"/>
          </w:tcPr>
          <w:p>
            <w:pPr>
              <w:spacing w:after="0"/>
              <w:rPr>
                <w:sz w:val="1"/>
                <w:szCs w:val="1"/>
                <w:color w:val="auto"/>
              </w:rPr>
            </w:pPr>
          </w:p>
        </w:tc>
      </w:tr>
      <w:tr>
        <w:trPr>
          <w:trHeight w:val="214"/>
        </w:trPr>
        <w:tc>
          <w:tcPr>
            <w:tcW w:w="4660" w:type="dxa"/>
            <w:vAlign w:val="bottom"/>
          </w:tcPr>
          <w:p>
            <w:pPr>
              <w:ind w:left="20"/>
              <w:spacing w:after="0"/>
              <w:rPr>
                <w:sz w:val="20"/>
                <w:szCs w:val="20"/>
                <w:color w:val="auto"/>
              </w:rPr>
            </w:pPr>
            <w:r>
              <w:rPr>
                <w:rFonts w:ascii="Arial" w:cs="Arial" w:eastAsia="Arial" w:hAnsi="Arial"/>
                <w:sz w:val="16"/>
                <w:szCs w:val="16"/>
                <w:color w:val="auto"/>
              </w:rPr>
              <w:t>Cash flow hedges: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60" w:type="dxa"/>
            <w:vAlign w:val="bottom"/>
          </w:tcPr>
          <w:p>
            <w:pPr>
              <w:ind w:left="140"/>
              <w:spacing w:after="0"/>
              <w:rPr>
                <w:sz w:val="20"/>
                <w:szCs w:val="20"/>
                <w:color w:val="auto"/>
              </w:rPr>
            </w:pPr>
            <w:r>
              <w:rPr>
                <w:rFonts w:ascii="Arial" w:cs="Arial" w:eastAsia="Arial" w:hAnsi="Arial"/>
                <w:sz w:val="16"/>
                <w:szCs w:val="16"/>
                <w:color w:val="auto"/>
              </w:rPr>
              <w:t>Gains for the period</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1,457</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(380)</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1,077</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258</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(59)</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27"/>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Loss</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(34,006)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6,199</w:t>
            </w: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(27,807)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(8,744)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5,183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(3,561)</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balances related to each component of other comprehensive income (loss)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64"/>
              <w:spacing w:after="0"/>
              <w:rPr>
                <w:sz w:val="20"/>
                <w:szCs w:val="20"/>
                <w:color w:val="auto"/>
              </w:rPr>
            </w:pPr>
            <w:r>
              <w:rPr>
                <w:rFonts w:ascii="Arial" w:cs="Arial" w:eastAsia="Arial" w:hAnsi="Arial"/>
                <w:sz w:val="14"/>
                <w:szCs w:val="14"/>
                <w:b w:val="1"/>
                <w:bCs w:val="1"/>
                <w:color w:val="auto"/>
              </w:rPr>
              <w:t>Cumulative</w:t>
            </w:r>
          </w:p>
        </w:tc>
        <w:tc>
          <w:tcPr>
            <w:tcW w:w="200" w:type="dxa"/>
            <w:vAlign w:val="bottom"/>
          </w:tcPr>
          <w:p>
            <w:pPr>
              <w:spacing w:after="0"/>
              <w:rPr>
                <w:sz w:val="14"/>
                <w:szCs w:val="14"/>
                <w:color w:val="auto"/>
              </w:rPr>
            </w:pPr>
          </w:p>
        </w:tc>
        <w:tc>
          <w:tcPr>
            <w:tcW w:w="1360" w:type="dxa"/>
            <w:vAlign w:val="bottom"/>
          </w:tcPr>
          <w:p>
            <w:pPr>
              <w:jc w:val="center"/>
              <w:ind w:right="144"/>
              <w:spacing w:after="0"/>
              <w:rPr>
                <w:sz w:val="20"/>
                <w:szCs w:val="20"/>
                <w:color w:val="auto"/>
              </w:rPr>
            </w:pPr>
            <w:r>
              <w:rPr>
                <w:rFonts w:ascii="Arial" w:cs="Arial" w:eastAsia="Arial" w:hAnsi="Arial"/>
                <w:sz w:val="14"/>
                <w:szCs w:val="14"/>
                <w:b w:val="1"/>
                <w:bCs w:val="1"/>
                <w:color w:val="auto"/>
              </w:rPr>
              <w:t>Unrealized Gain</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64"/>
              <w:spacing w:after="0"/>
              <w:rPr>
                <w:sz w:val="20"/>
                <w:szCs w:val="20"/>
                <w:color w:val="auto"/>
              </w:rPr>
            </w:pPr>
            <w:r>
              <w:rPr>
                <w:rFonts w:ascii="Arial" w:cs="Arial" w:eastAsia="Arial" w:hAnsi="Arial"/>
                <w:sz w:val="14"/>
                <w:szCs w:val="14"/>
                <w:b w:val="1"/>
                <w:bCs w:val="1"/>
                <w:color w:val="auto"/>
              </w:rPr>
              <w:t>Foreign</w:t>
            </w:r>
          </w:p>
        </w:tc>
        <w:tc>
          <w:tcPr>
            <w:tcW w:w="200" w:type="dxa"/>
            <w:vAlign w:val="bottom"/>
          </w:tcPr>
          <w:p>
            <w:pPr>
              <w:spacing w:after="0"/>
              <w:rPr>
                <w:sz w:val="14"/>
                <w:szCs w:val="14"/>
                <w:color w:val="auto"/>
              </w:rPr>
            </w:pPr>
          </w:p>
        </w:tc>
        <w:tc>
          <w:tcPr>
            <w:tcW w:w="1360" w:type="dxa"/>
            <w:vAlign w:val="bottom"/>
          </w:tcPr>
          <w:p>
            <w:pPr>
              <w:jc w:val="center"/>
              <w:ind w:right="144"/>
              <w:spacing w:after="0"/>
              <w:rPr>
                <w:sz w:val="20"/>
                <w:szCs w:val="20"/>
                <w:color w:val="auto"/>
              </w:rPr>
            </w:pPr>
            <w:r>
              <w:rPr>
                <w:rFonts w:ascii="Arial" w:cs="Arial" w:eastAsia="Arial" w:hAnsi="Arial"/>
                <w:sz w:val="14"/>
                <w:szCs w:val="14"/>
                <w:b w:val="1"/>
                <w:bCs w:val="1"/>
                <w:color w:val="auto"/>
              </w:rPr>
              <w:t>on Pensions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center"/>
              <w:ind w:right="123"/>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164"/>
              <w:spacing w:after="0" w:line="149" w:lineRule="exact"/>
              <w:rPr>
                <w:sz w:val="20"/>
                <w:szCs w:val="20"/>
                <w:color w:val="auto"/>
              </w:rPr>
            </w:pPr>
            <w:r>
              <w:rPr>
                <w:rFonts w:ascii="Arial" w:cs="Arial" w:eastAsia="Arial" w:hAnsi="Arial"/>
                <w:sz w:val="14"/>
                <w:szCs w:val="14"/>
                <w:b w:val="1"/>
                <w:bCs w:val="1"/>
                <w:color w:val="auto"/>
              </w:rPr>
              <w:t>Currency</w:t>
            </w:r>
          </w:p>
        </w:tc>
        <w:tc>
          <w:tcPr>
            <w:tcW w:w="200" w:type="dxa"/>
            <w:vAlign w:val="bottom"/>
          </w:tcPr>
          <w:p>
            <w:pPr>
              <w:spacing w:after="0"/>
              <w:rPr>
                <w:sz w:val="12"/>
                <w:szCs w:val="12"/>
                <w:color w:val="auto"/>
              </w:rPr>
            </w:pPr>
          </w:p>
        </w:tc>
        <w:tc>
          <w:tcPr>
            <w:tcW w:w="136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rPr>
              <w:t>and Other</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62"/>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64"/>
              <w:spacing w:after="0"/>
              <w:rPr>
                <w:sz w:val="20"/>
                <w:szCs w:val="20"/>
                <w:color w:val="auto"/>
              </w:rPr>
            </w:pPr>
            <w:r>
              <w:rPr>
                <w:rFonts w:ascii="Arial" w:cs="Arial" w:eastAsia="Arial" w:hAnsi="Arial"/>
                <w:sz w:val="14"/>
                <w:szCs w:val="14"/>
                <w:b w:val="1"/>
                <w:bCs w:val="1"/>
                <w:color w:val="auto"/>
              </w:rPr>
              <w:t>Translation</w:t>
            </w:r>
          </w:p>
        </w:tc>
        <w:tc>
          <w:tcPr>
            <w:tcW w:w="200" w:type="dxa"/>
            <w:vAlign w:val="bottom"/>
          </w:tcPr>
          <w:p>
            <w:pPr>
              <w:spacing w:after="0"/>
              <w:rPr>
                <w:sz w:val="14"/>
                <w:szCs w:val="14"/>
                <w:color w:val="auto"/>
              </w:rPr>
            </w:pPr>
          </w:p>
        </w:tc>
        <w:tc>
          <w:tcPr>
            <w:tcW w:w="1360" w:type="dxa"/>
            <w:vAlign w:val="bottom"/>
          </w:tcPr>
          <w:p>
            <w:pPr>
              <w:jc w:val="center"/>
              <w:ind w:right="144"/>
              <w:spacing w:after="0"/>
              <w:rPr>
                <w:sz w:val="20"/>
                <w:szCs w:val="20"/>
                <w:color w:val="auto"/>
              </w:rPr>
            </w:pPr>
            <w:r>
              <w:rPr>
                <w:rFonts w:ascii="Arial" w:cs="Arial" w:eastAsia="Arial" w:hAnsi="Arial"/>
                <w:sz w:val="14"/>
                <w:szCs w:val="14"/>
                <w:b w:val="1"/>
                <w:bCs w:val="1"/>
                <w:color w:val="auto"/>
              </w:rPr>
              <w:t>Postretirement</w:t>
            </w:r>
          </w:p>
        </w:tc>
        <w:tc>
          <w:tcPr>
            <w:tcW w:w="180" w:type="dxa"/>
            <w:vAlign w:val="bottom"/>
          </w:tcPr>
          <w:p>
            <w:pPr>
              <w:spacing w:after="0"/>
              <w:rPr>
                <w:sz w:val="14"/>
                <w:szCs w:val="14"/>
                <w:color w:val="auto"/>
              </w:rPr>
            </w:pPr>
          </w:p>
        </w:tc>
        <w:tc>
          <w:tcPr>
            <w:tcW w:w="940" w:type="dxa"/>
            <w:vAlign w:val="bottom"/>
          </w:tcPr>
          <w:p>
            <w:pPr>
              <w:jc w:val="right"/>
              <w:ind w:right="142"/>
              <w:spacing w:after="0"/>
              <w:rPr>
                <w:sz w:val="20"/>
                <w:szCs w:val="20"/>
                <w:color w:val="auto"/>
              </w:rPr>
            </w:pPr>
            <w:r>
              <w:rPr>
                <w:rFonts w:ascii="Arial" w:cs="Arial" w:eastAsia="Arial" w:hAnsi="Arial"/>
                <w:sz w:val="14"/>
                <w:szCs w:val="14"/>
                <w:b w:val="1"/>
                <w:bCs w:val="1"/>
                <w:color w:val="auto"/>
                <w:w w:val="99"/>
              </w:rPr>
              <w:t>Cash Flow</w:t>
            </w:r>
          </w:p>
        </w:tc>
        <w:tc>
          <w:tcPr>
            <w:tcW w:w="200" w:type="dxa"/>
            <w:vAlign w:val="bottom"/>
          </w:tcPr>
          <w:p>
            <w:pPr>
              <w:spacing w:after="0"/>
              <w:rPr>
                <w:sz w:val="14"/>
                <w:szCs w:val="14"/>
                <w:color w:val="auto"/>
              </w:rPr>
            </w:pPr>
          </w:p>
        </w:tc>
        <w:tc>
          <w:tcPr>
            <w:tcW w:w="1300" w:type="dxa"/>
            <w:vAlign w:val="bottom"/>
          </w:tcPr>
          <w:p>
            <w:pPr>
              <w:jc w:val="center"/>
              <w:ind w:right="103"/>
              <w:spacing w:after="0"/>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211"/>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net of taxes)</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Adjustment</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Plans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Hedges</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9"/>
        </w:trPr>
        <w:tc>
          <w:tcPr>
            <w:tcW w:w="5760" w:type="dxa"/>
            <w:vAlign w:val="bottom"/>
          </w:tcPr>
          <w:p>
            <w:pPr>
              <w:ind w:left="20"/>
              <w:spacing w:after="0"/>
              <w:rPr>
                <w:sz w:val="20"/>
                <w:szCs w:val="20"/>
                <w:color w:val="auto"/>
              </w:rPr>
            </w:pPr>
            <w:r>
              <w:rPr>
                <w:rFonts w:ascii="Arial" w:cs="Arial" w:eastAsia="Arial" w:hAnsi="Arial"/>
                <w:sz w:val="16"/>
                <w:szCs w:val="16"/>
                <w:color w:val="auto"/>
              </w:rPr>
              <w:t>Balance as of December 31, 2023</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(32,711)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44"/>
              <w:spacing w:after="0"/>
              <w:rPr>
                <w:sz w:val="20"/>
                <w:szCs w:val="20"/>
                <w:color w:val="auto"/>
              </w:rPr>
            </w:pPr>
            <w:r>
              <w:rPr>
                <w:rFonts w:ascii="Arial" w:cs="Arial" w:eastAsia="Arial" w:hAnsi="Arial"/>
                <w:sz w:val="16"/>
                <w:szCs w:val="16"/>
                <w:color w:val="auto"/>
              </w:rPr>
              <w:t>649,185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(2,137)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
              <w:spacing w:after="0"/>
              <w:rPr>
                <w:sz w:val="20"/>
                <w:szCs w:val="20"/>
                <w:color w:val="auto"/>
              </w:rPr>
            </w:pPr>
            <w:r>
              <w:rPr>
                <w:rFonts w:ascii="Arial" w:cs="Arial" w:eastAsia="Arial" w:hAnsi="Arial"/>
                <w:sz w:val="16"/>
                <w:szCs w:val="16"/>
                <w:color w:val="auto"/>
              </w:rPr>
              <w:t>614,337</w:t>
            </w:r>
          </w:p>
        </w:tc>
        <w:tc>
          <w:tcPr>
            <w:tcW w:w="0" w:type="dxa"/>
            <w:vAlign w:val="bottom"/>
          </w:tcPr>
          <w:p>
            <w:pPr>
              <w:spacing w:after="0"/>
              <w:rPr>
                <w:sz w:val="1"/>
                <w:szCs w:val="1"/>
                <w:color w:val="auto"/>
              </w:rPr>
            </w:pPr>
          </w:p>
        </w:tc>
      </w:tr>
      <w:tr>
        <w:trPr>
          <w:trHeight w:val="237"/>
        </w:trPr>
        <w:tc>
          <w:tcPr>
            <w:tcW w:w="5760" w:type="dxa"/>
            <w:vAlign w:val="bottom"/>
          </w:tcPr>
          <w:p>
            <w:pPr>
              <w:ind w:left="140"/>
              <w:spacing w:after="0"/>
              <w:rPr>
                <w:sz w:val="20"/>
                <w:szCs w:val="20"/>
                <w:color w:val="auto"/>
              </w:rPr>
            </w:pPr>
            <w:r>
              <w:rPr>
                <w:rFonts w:ascii="Arial" w:cs="Arial" w:eastAsia="Arial" w:hAnsi="Arial"/>
                <w:sz w:val="16"/>
                <w:szCs w:val="16"/>
                <w:b w:val="1"/>
                <w:bCs w:val="1"/>
                <w:color w:val="auto"/>
              </w:rPr>
              <w:t>Other comprehensive (loss) income before reclassifications</w:t>
            </w:r>
          </w:p>
        </w:tc>
        <w:tc>
          <w:tcPr>
            <w:tcW w:w="160" w:type="dxa"/>
            <w:vAlign w:val="bottom"/>
          </w:tcPr>
          <w:p>
            <w:pPr>
              <w:spacing w:after="0"/>
              <w:rPr>
                <w:sz w:val="20"/>
                <w:szCs w:val="20"/>
                <w:color w:val="auto"/>
              </w:rPr>
            </w:pPr>
          </w:p>
        </w:tc>
        <w:tc>
          <w:tcPr>
            <w:tcW w:w="1140" w:type="dxa"/>
            <w:vAlign w:val="bottom"/>
          </w:tcPr>
          <w:p>
            <w:pPr>
              <w:jc w:val="right"/>
              <w:ind w:right="4"/>
              <w:spacing w:after="0"/>
              <w:rPr>
                <w:sz w:val="20"/>
                <w:szCs w:val="20"/>
                <w:color w:val="auto"/>
              </w:rPr>
            </w:pPr>
            <w:r>
              <w:rPr>
                <w:rFonts w:ascii="Arial" w:cs="Arial" w:eastAsia="Arial" w:hAnsi="Arial"/>
                <w:sz w:val="16"/>
                <w:szCs w:val="16"/>
                <w:b w:val="1"/>
                <w:bCs w:val="1"/>
                <w:color w:val="auto"/>
              </w:rPr>
              <w:t>(9,767)</w:t>
            </w:r>
          </w:p>
        </w:tc>
        <w:tc>
          <w:tcPr>
            <w:tcW w:w="200" w:type="dxa"/>
            <w:vAlign w:val="bottom"/>
          </w:tcPr>
          <w:p>
            <w:pPr>
              <w:spacing w:after="0"/>
              <w:rPr>
                <w:sz w:val="20"/>
                <w:szCs w:val="20"/>
                <w:color w:val="auto"/>
              </w:rPr>
            </w:pPr>
          </w:p>
        </w:tc>
        <w:tc>
          <w:tcPr>
            <w:tcW w:w="1360" w:type="dxa"/>
            <w:vAlign w:val="bottom"/>
          </w:tcPr>
          <w:p>
            <w:pPr>
              <w:jc w:val="right"/>
              <w:ind w:right="44"/>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b w:val="1"/>
                <w:bCs w:val="1"/>
                <w:color w:val="auto"/>
              </w:rPr>
              <w:t>1,322</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(8,445)</w:t>
            </w:r>
          </w:p>
        </w:tc>
        <w:tc>
          <w:tcPr>
            <w:tcW w:w="0" w:type="dxa"/>
            <w:vAlign w:val="bottom"/>
          </w:tcPr>
          <w:p>
            <w:pPr>
              <w:spacing w:after="0"/>
              <w:rPr>
                <w:sz w:val="1"/>
                <w:szCs w:val="1"/>
                <w:color w:val="auto"/>
              </w:rPr>
            </w:pPr>
          </w:p>
        </w:tc>
      </w:tr>
      <w:tr>
        <w:trPr>
          <w:trHeight w:val="182"/>
        </w:trPr>
        <w:tc>
          <w:tcPr>
            <w:tcW w:w="5760" w:type="dxa"/>
            <w:vAlign w:val="bottom"/>
          </w:tcPr>
          <w:p>
            <w:pPr>
              <w:ind w:left="140"/>
              <w:spacing w:after="0" w:line="182" w:lineRule="exact"/>
              <w:rPr>
                <w:sz w:val="20"/>
                <w:szCs w:val="20"/>
                <w:color w:val="auto"/>
              </w:rPr>
            </w:pPr>
            <w:r>
              <w:rPr>
                <w:rFonts w:ascii="Arial" w:cs="Arial" w:eastAsia="Arial" w:hAnsi="Arial"/>
                <w:sz w:val="16"/>
                <w:szCs w:val="16"/>
                <w:b w:val="1"/>
                <w:bCs w:val="1"/>
                <w:color w:val="auto"/>
              </w:rPr>
              <w:t>Net amount reclassified from accumulated other comprehensive income</w:t>
            </w:r>
          </w:p>
        </w:tc>
        <w:tc>
          <w:tcPr>
            <w:tcW w:w="160" w:type="dxa"/>
            <w:vAlign w:val="bottom"/>
          </w:tcPr>
          <w:p>
            <w:pPr>
              <w:spacing w:after="0"/>
              <w:rPr>
                <w:sz w:val="15"/>
                <w:szCs w:val="15"/>
                <w:color w:val="auto"/>
              </w:rPr>
            </w:pPr>
          </w:p>
        </w:tc>
        <w:tc>
          <w:tcPr>
            <w:tcW w:w="1140" w:type="dxa"/>
            <w:vAlign w:val="bottom"/>
            <w:vMerge w:val="restart"/>
          </w:tcPr>
          <w:p>
            <w:pPr>
              <w:jc w:val="right"/>
              <w:ind w:right="44"/>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(19,117)</w:t>
            </w:r>
          </w:p>
        </w:tc>
        <w:tc>
          <w:tcPr>
            <w:tcW w:w="180" w:type="dxa"/>
            <w:vAlign w:val="bottom"/>
          </w:tcPr>
          <w:p>
            <w:pPr>
              <w:spacing w:after="0"/>
              <w:rPr>
                <w:sz w:val="15"/>
                <w:szCs w:val="15"/>
                <w:color w:val="auto"/>
              </w:rPr>
            </w:pPr>
          </w:p>
        </w:tc>
        <w:tc>
          <w:tcPr>
            <w:tcW w:w="94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(245)</w:t>
            </w:r>
          </w:p>
        </w:tc>
        <w:tc>
          <w:tcPr>
            <w:tcW w:w="2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(19,362)</w:t>
            </w:r>
          </w:p>
        </w:tc>
        <w:tc>
          <w:tcPr>
            <w:tcW w:w="0" w:type="dxa"/>
            <w:vAlign w:val="bottom"/>
          </w:tcPr>
          <w:p>
            <w:pPr>
              <w:spacing w:after="0"/>
              <w:rPr>
                <w:sz w:val="1"/>
                <w:szCs w:val="1"/>
                <w:color w:val="auto"/>
              </w:rPr>
            </w:pPr>
          </w:p>
        </w:tc>
      </w:tr>
      <w:tr>
        <w:trPr>
          <w:trHeight w:val="224"/>
        </w:trPr>
        <w:tc>
          <w:tcPr>
            <w:tcW w:w="5760" w:type="dxa"/>
            <w:vAlign w:val="bottom"/>
          </w:tcPr>
          <w:p>
            <w:pPr>
              <w:ind w:left="220"/>
              <w:spacing w:after="0"/>
              <w:rPr>
                <w:sz w:val="20"/>
                <w:szCs w:val="20"/>
                <w:color w:val="auto"/>
              </w:rPr>
            </w:pPr>
            <w:r>
              <w:rPr>
                <w:rFonts w:ascii="Arial" w:cs="Arial" w:eastAsia="Arial" w:hAnsi="Arial"/>
                <w:sz w:val="16"/>
                <w:szCs w:val="16"/>
                <w:b w:val="1"/>
                <w:bCs w:val="1"/>
                <w:color w:val="auto"/>
              </w:rPr>
              <w:t>(loss)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60" w:type="dxa"/>
            <w:vAlign w:val="bottom"/>
          </w:tcPr>
          <w:p>
            <w:pPr>
              <w:ind w:left="140"/>
              <w:spacing w:after="0"/>
              <w:rPr>
                <w:sz w:val="20"/>
                <w:szCs w:val="20"/>
                <w:color w:val="auto"/>
              </w:rPr>
            </w:pPr>
            <w:r>
              <w:rPr>
                <w:rFonts w:ascii="Arial" w:cs="Arial" w:eastAsia="Arial" w:hAnsi="Arial"/>
                <w:sz w:val="16"/>
                <w:szCs w:val="16"/>
                <w:b w:val="1"/>
                <w:bCs w:val="1"/>
                <w:color w:val="auto"/>
              </w:rPr>
              <w:t>Net other comprehensive (loss) income</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(9,767)</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(19,117)</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1,077</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(27,807)</w:t>
            </w:r>
          </w:p>
        </w:tc>
        <w:tc>
          <w:tcPr>
            <w:tcW w:w="0" w:type="dxa"/>
            <w:vAlign w:val="bottom"/>
          </w:tcPr>
          <w:p>
            <w:pPr>
              <w:spacing w:after="0"/>
              <w:rPr>
                <w:sz w:val="1"/>
                <w:szCs w:val="1"/>
                <w:color w:val="auto"/>
              </w:rPr>
            </w:pPr>
          </w:p>
        </w:tc>
      </w:tr>
      <w:tr>
        <w:trPr>
          <w:trHeight w:val="226"/>
        </w:trPr>
        <w:tc>
          <w:tcPr>
            <w:tcW w:w="5760" w:type="dxa"/>
            <w:vAlign w:val="bottom"/>
          </w:tcPr>
          <w:p>
            <w:pPr>
              <w:ind w:left="20"/>
              <w:spacing w:after="0"/>
              <w:rPr>
                <w:sz w:val="20"/>
                <w:szCs w:val="20"/>
                <w:color w:val="auto"/>
              </w:rPr>
            </w:pPr>
            <w:r>
              <w:rPr>
                <w:rFonts w:ascii="Arial" w:cs="Arial" w:eastAsia="Arial" w:hAnsi="Arial"/>
                <w:sz w:val="16"/>
                <w:szCs w:val="16"/>
                <w:b w:val="1"/>
                <w:bCs w:val="1"/>
                <w:color w:val="auto"/>
              </w:rPr>
              <w:t>Balance as of June 30, 2024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(42,478)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rPr>
              <w:t>630,068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(1,060)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586,530</w:t>
            </w:r>
          </w:p>
        </w:tc>
        <w:tc>
          <w:tcPr>
            <w:tcW w:w="0" w:type="dxa"/>
            <w:vAlign w:val="bottom"/>
          </w:tcPr>
          <w:p>
            <w:pPr>
              <w:spacing w:after="0"/>
              <w:rPr>
                <w:sz w:val="1"/>
                <w:szCs w:val="1"/>
                <w:color w:val="auto"/>
              </w:rPr>
            </w:pPr>
          </w:p>
        </w:tc>
      </w:tr>
      <w:tr>
        <w:trPr>
          <w:trHeight w:val="21"/>
        </w:trPr>
        <w:tc>
          <w:tcPr>
            <w:tcW w:w="5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The amounts and line items of reclassifications out of Accumulated Other Comprehensive Income (Loss) are as follows:</w:t>
      </w: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214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Three Months Ended</w:t>
            </w:r>
          </w:p>
        </w:tc>
        <w:tc>
          <w:tcPr>
            <w:tcW w:w="2380" w:type="dxa"/>
            <w:vAlign w:val="bottom"/>
            <w:gridSpan w:val="2"/>
          </w:tcPr>
          <w:p>
            <w:pPr>
              <w:jc w:val="right"/>
              <w:ind w:right="508"/>
              <w:spacing w:after="0"/>
              <w:rPr>
                <w:sz w:val="20"/>
                <w:szCs w:val="20"/>
                <w:color w:val="auto"/>
              </w:rPr>
            </w:pPr>
            <w:r>
              <w:rPr>
                <w:rFonts w:ascii="Arial" w:cs="Arial" w:eastAsia="Arial" w:hAnsi="Arial"/>
                <w:sz w:val="14"/>
                <w:szCs w:val="14"/>
                <w:b w:val="1"/>
                <w:bCs w:val="1"/>
                <w:color w:val="auto"/>
              </w:rPr>
              <w:t>Six Months Ended</w:t>
            </w:r>
          </w:p>
        </w:tc>
        <w:tc>
          <w:tcPr>
            <w:tcW w:w="2180" w:type="dxa"/>
            <w:vAlign w:val="bottom"/>
            <w:vMerge w:val="restart"/>
          </w:tcPr>
          <w:p>
            <w:pPr>
              <w:jc w:val="center"/>
              <w:ind w:left="368"/>
              <w:spacing w:after="0"/>
              <w:rPr>
                <w:sz w:val="20"/>
                <w:szCs w:val="20"/>
                <w:color w:val="auto"/>
              </w:rPr>
            </w:pPr>
            <w:r>
              <w:rPr>
                <w:rFonts w:ascii="Arial" w:cs="Arial" w:eastAsia="Arial" w:hAnsi="Arial"/>
                <w:sz w:val="14"/>
                <w:szCs w:val="14"/>
                <w:b w:val="1"/>
                <w:bCs w:val="1"/>
                <w:color w:val="auto"/>
              </w:rPr>
              <w:t>Affected Line Item in the</w:t>
            </w:r>
          </w:p>
        </w:tc>
        <w:tc>
          <w:tcPr>
            <w:tcW w:w="0" w:type="dxa"/>
            <w:vAlign w:val="bottom"/>
          </w:tcPr>
          <w:p>
            <w:pPr>
              <w:spacing w:after="0"/>
              <w:rPr>
                <w:sz w:val="1"/>
                <w:szCs w:val="1"/>
                <w:color w:val="auto"/>
              </w:rPr>
            </w:pPr>
          </w:p>
        </w:tc>
      </w:tr>
      <w:tr>
        <w:trPr>
          <w:trHeight w:val="68"/>
        </w:trPr>
        <w:tc>
          <w:tcPr>
            <w:tcW w:w="4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40" w:type="dxa"/>
            <w:vAlign w:val="bottom"/>
            <w:vMerge w:val="restart"/>
          </w:tcPr>
          <w:p>
            <w:pPr>
              <w:jc w:val="right"/>
              <w:ind w:right="748"/>
              <w:spacing w:after="0"/>
              <w:rPr>
                <w:sz w:val="20"/>
                <w:szCs w:val="20"/>
                <w:color w:val="auto"/>
              </w:rPr>
            </w:pPr>
            <w:r>
              <w:rPr>
                <w:rFonts w:ascii="Arial" w:cs="Arial" w:eastAsia="Arial" w:hAnsi="Arial"/>
                <w:sz w:val="14"/>
                <w:szCs w:val="14"/>
                <w:b w:val="1"/>
                <w:bCs w:val="1"/>
                <w:color w:val="auto"/>
              </w:rPr>
              <w:t>June 30</w:t>
            </w:r>
          </w:p>
        </w:tc>
        <w:tc>
          <w:tcPr>
            <w:tcW w:w="840" w:type="dxa"/>
            <w:vAlign w:val="bottom"/>
          </w:tcPr>
          <w:p>
            <w:pPr>
              <w:spacing w:after="0"/>
              <w:rPr>
                <w:sz w:val="5"/>
                <w:szCs w:val="5"/>
                <w:color w:val="auto"/>
              </w:rPr>
            </w:pPr>
          </w:p>
        </w:tc>
        <w:tc>
          <w:tcPr>
            <w:tcW w:w="1540" w:type="dxa"/>
            <w:vAlign w:val="bottom"/>
            <w:vMerge w:val="restart"/>
          </w:tcPr>
          <w:p>
            <w:pPr>
              <w:jc w:val="right"/>
              <w:ind w:right="828"/>
              <w:spacing w:after="0"/>
              <w:rPr>
                <w:sz w:val="20"/>
                <w:szCs w:val="20"/>
                <w:color w:val="auto"/>
              </w:rPr>
            </w:pPr>
            <w:r>
              <w:rPr>
                <w:rFonts w:ascii="Arial" w:cs="Arial" w:eastAsia="Arial" w:hAnsi="Arial"/>
                <w:sz w:val="14"/>
                <w:szCs w:val="14"/>
                <w:b w:val="1"/>
                <w:bCs w:val="1"/>
                <w:color w:val="auto"/>
              </w:rPr>
              <w:t>June 30</w:t>
            </w:r>
          </w:p>
        </w:tc>
        <w:tc>
          <w:tcPr>
            <w:tcW w:w="2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418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vMerge w:val="continue"/>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vMerge w:val="continue"/>
          </w:tcPr>
          <w:p>
            <w:pPr>
              <w:spacing w:after="0"/>
              <w:rPr>
                <w:sz w:val="12"/>
                <w:szCs w:val="12"/>
                <w:color w:val="auto"/>
              </w:rPr>
            </w:pPr>
          </w:p>
        </w:tc>
        <w:tc>
          <w:tcPr>
            <w:tcW w:w="2180" w:type="dxa"/>
            <w:vAlign w:val="bottom"/>
          </w:tcPr>
          <w:p>
            <w:pPr>
              <w:jc w:val="center"/>
              <w:ind w:left="368"/>
              <w:spacing w:after="0" w:line="125" w:lineRule="exact"/>
              <w:rPr>
                <w:sz w:val="20"/>
                <w:szCs w:val="20"/>
                <w:color w:val="auto"/>
              </w:rPr>
            </w:pPr>
            <w:r>
              <w:rPr>
                <w:rFonts w:ascii="Arial" w:cs="Arial" w:eastAsia="Arial" w:hAnsi="Arial"/>
                <w:sz w:val="14"/>
                <w:szCs w:val="14"/>
                <w:b w:val="1"/>
                <w:bCs w:val="1"/>
                <w:color w:val="auto"/>
              </w:rPr>
              <w:t>Condensed Consolidated</w:t>
            </w:r>
          </w:p>
        </w:tc>
        <w:tc>
          <w:tcPr>
            <w:tcW w:w="0" w:type="dxa"/>
            <w:vAlign w:val="bottom"/>
          </w:tcPr>
          <w:p>
            <w:pPr>
              <w:spacing w:after="0"/>
              <w:rPr>
                <w:sz w:val="1"/>
                <w:szCs w:val="1"/>
                <w:color w:val="auto"/>
              </w:rPr>
            </w:pPr>
          </w:p>
        </w:tc>
      </w:tr>
      <w:tr>
        <w:trPr>
          <w:trHeight w:val="194"/>
        </w:trPr>
        <w:tc>
          <w:tcPr>
            <w:tcW w:w="4180" w:type="dxa"/>
            <w:vAlign w:val="bottom"/>
          </w:tcPr>
          <w:p>
            <w:pPr>
              <w:spacing w:after="0"/>
              <w:rPr>
                <w:sz w:val="20"/>
                <w:szCs w:val="20"/>
                <w:color w:val="auto"/>
              </w:rPr>
            </w:pPr>
            <w:r>
              <w:rPr>
                <w:rFonts w:ascii="Arial" w:cs="Arial" w:eastAsia="Arial" w:hAnsi="Arial"/>
                <w:sz w:val="14"/>
                <w:szCs w:val="14"/>
                <w:color w:val="auto"/>
              </w:rPr>
              <w:t>(in thousands)</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2024</w:t>
            </w:r>
          </w:p>
        </w:tc>
        <w:tc>
          <w:tcPr>
            <w:tcW w:w="1440" w:type="dxa"/>
            <w:vAlign w:val="bottom"/>
          </w:tcPr>
          <w:p>
            <w:pPr>
              <w:jc w:val="right"/>
              <w:ind w:right="348"/>
              <w:spacing w:after="0"/>
              <w:rPr>
                <w:sz w:val="20"/>
                <w:szCs w:val="20"/>
                <w:color w:val="auto"/>
              </w:rPr>
            </w:pPr>
            <w:r>
              <w:rPr>
                <w:rFonts w:ascii="Arial" w:cs="Arial" w:eastAsia="Arial" w:hAnsi="Arial"/>
                <w:sz w:val="14"/>
                <w:szCs w:val="14"/>
                <w:color w:val="auto"/>
              </w:rPr>
              <w:t>2023</w:t>
            </w: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2024</w:t>
            </w:r>
          </w:p>
        </w:tc>
        <w:tc>
          <w:tcPr>
            <w:tcW w:w="1540" w:type="dxa"/>
            <w:vAlign w:val="bottom"/>
          </w:tcPr>
          <w:p>
            <w:pPr>
              <w:jc w:val="right"/>
              <w:ind w:right="328"/>
              <w:spacing w:after="0"/>
              <w:rPr>
                <w:sz w:val="20"/>
                <w:szCs w:val="20"/>
                <w:color w:val="auto"/>
              </w:rPr>
            </w:pPr>
            <w:r>
              <w:rPr>
                <w:rFonts w:ascii="Arial" w:cs="Arial" w:eastAsia="Arial" w:hAnsi="Arial"/>
                <w:sz w:val="14"/>
                <w:szCs w:val="14"/>
                <w:color w:val="auto"/>
              </w:rPr>
              <w:t>2023</w:t>
            </w:r>
          </w:p>
        </w:tc>
        <w:tc>
          <w:tcPr>
            <w:tcW w:w="2180" w:type="dxa"/>
            <w:vAlign w:val="bottom"/>
          </w:tcPr>
          <w:p>
            <w:pPr>
              <w:jc w:val="center"/>
              <w:ind w:left="368"/>
              <w:spacing w:after="0"/>
              <w:rPr>
                <w:sz w:val="20"/>
                <w:szCs w:val="20"/>
                <w:color w:val="auto"/>
              </w:rPr>
            </w:pPr>
            <w:r>
              <w:rPr>
                <w:rFonts w:ascii="Arial" w:cs="Arial" w:eastAsia="Arial" w:hAnsi="Arial"/>
                <w:sz w:val="14"/>
                <w:szCs w:val="14"/>
                <w:b w:val="1"/>
                <w:bCs w:val="1"/>
                <w:color w:val="auto"/>
              </w:rPr>
              <w:t>Statements of Operations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2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Pension and Other Postretirement Plans: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5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Arial" w:cs="Arial" w:eastAsia="Arial" w:hAnsi="Arial"/>
                <w:sz w:val="16"/>
                <w:szCs w:val="16"/>
                <w:color w:val="auto"/>
              </w:rPr>
              <w:t>Amortization of net prior service (credit) cost</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(482)</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411</w:t>
            </w:r>
          </w:p>
        </w:tc>
        <w:tc>
          <w:tcPr>
            <w:tcW w:w="36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(976)</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820</w:t>
            </w:r>
          </w:p>
        </w:tc>
        <w:tc>
          <w:tcPr>
            <w:tcW w:w="2520" w:type="dxa"/>
            <w:vAlign w:val="bottom"/>
          </w:tcPr>
          <w:p>
            <w:pPr>
              <w:ind w:left="12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33"/>
        </w:trPr>
        <w:tc>
          <w:tcPr>
            <w:tcW w:w="4200" w:type="dxa"/>
            <w:vAlign w:val="bottom"/>
          </w:tcPr>
          <w:p>
            <w:pPr>
              <w:ind w:left="140"/>
              <w:spacing w:after="0"/>
              <w:rPr>
                <w:sz w:val="20"/>
                <w:szCs w:val="20"/>
                <w:color w:val="auto"/>
              </w:rPr>
            </w:pPr>
            <w:r>
              <w:rPr>
                <w:rFonts w:ascii="Arial" w:cs="Arial" w:eastAsia="Arial" w:hAnsi="Arial"/>
                <w:sz w:val="16"/>
                <w:szCs w:val="16"/>
                <w:color w:val="auto"/>
              </w:rPr>
              <w:t>Amortization of net actuarial gain</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(11,733)</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(10,434)</w:t>
            </w: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(24,720)</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(21,200)</w:t>
            </w:r>
          </w:p>
        </w:tc>
        <w:tc>
          <w:tcPr>
            <w:tcW w:w="2520" w:type="dxa"/>
            <w:vAlign w:val="bottom"/>
          </w:tcPr>
          <w:p>
            <w:pPr>
              <w:ind w:left="12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0"/>
        </w:trPr>
        <w:tc>
          <w:tcPr>
            <w:tcW w:w="4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(12,215)</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(10,023)</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(25,696)</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(20,380)</w:t>
            </w:r>
          </w:p>
        </w:tc>
        <w:tc>
          <w:tcPr>
            <w:tcW w:w="2520" w:type="dxa"/>
            <w:vAlign w:val="bottom"/>
          </w:tcPr>
          <w:p>
            <w:pPr>
              <w:ind w:left="120"/>
              <w:spacing w:after="0"/>
              <w:rPr>
                <w:sz w:val="20"/>
                <w:szCs w:val="20"/>
                <w:color w:val="auto"/>
              </w:rPr>
            </w:pPr>
            <w:r>
              <w:rPr>
                <w:rFonts w:ascii="Arial" w:cs="Arial" w:eastAsia="Arial" w:hAnsi="Arial"/>
                <w:sz w:val="14"/>
                <w:szCs w:val="14"/>
                <w:color w:val="auto"/>
              </w:rPr>
              <w:t>Before tax</w:t>
            </w:r>
          </w:p>
        </w:tc>
        <w:tc>
          <w:tcPr>
            <w:tcW w:w="0" w:type="dxa"/>
            <w:vAlign w:val="bottom"/>
          </w:tcPr>
          <w:p>
            <w:pPr>
              <w:spacing w:after="0"/>
              <w:rPr>
                <w:sz w:val="1"/>
                <w:szCs w:val="1"/>
                <w:color w:val="auto"/>
              </w:rPr>
            </w:pPr>
          </w:p>
        </w:tc>
      </w:tr>
      <w:tr>
        <w:trPr>
          <w:trHeight w:val="233"/>
        </w:trPr>
        <w:tc>
          <w:tcPr>
            <w:tcW w:w="4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3,128</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2,578</w:t>
            </w: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6,579</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5,242</w:t>
            </w:r>
          </w:p>
        </w:tc>
        <w:tc>
          <w:tcPr>
            <w:tcW w:w="2520" w:type="dxa"/>
            <w:vAlign w:val="bottom"/>
          </w:tcPr>
          <w:p>
            <w:pPr>
              <w:ind w:left="120"/>
              <w:spacing w:after="0"/>
              <w:rPr>
                <w:sz w:val="20"/>
                <w:szCs w:val="20"/>
                <w:color w:val="auto"/>
              </w:rPr>
            </w:pPr>
            <w:r>
              <w:rPr>
                <w:rFonts w:ascii="Arial" w:cs="Arial" w:eastAsia="Arial" w:hAnsi="Arial"/>
                <w:sz w:val="14"/>
                <w:szCs w:val="14"/>
                <w:color w:val="auto"/>
              </w:rPr>
              <w:t>Provision for Income Taxes</w:t>
            </w:r>
          </w:p>
        </w:tc>
        <w:tc>
          <w:tcPr>
            <w:tcW w:w="0" w:type="dxa"/>
            <w:vAlign w:val="bottom"/>
          </w:tcPr>
          <w:p>
            <w:pPr>
              <w:spacing w:after="0"/>
              <w:rPr>
                <w:sz w:val="1"/>
                <w:szCs w:val="1"/>
                <w:color w:val="auto"/>
              </w:rPr>
            </w:pPr>
          </w:p>
        </w:tc>
      </w:tr>
      <w:tr>
        <w:trPr>
          <w:trHeight w:val="220"/>
        </w:trPr>
        <w:tc>
          <w:tcPr>
            <w:tcW w:w="4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(9,087)</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(7,445)</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(19,117)</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(15,138)</w:t>
            </w:r>
          </w:p>
        </w:tc>
        <w:tc>
          <w:tcPr>
            <w:tcW w:w="2520" w:type="dxa"/>
            <w:vAlign w:val="bottom"/>
          </w:tcPr>
          <w:p>
            <w:pPr>
              <w:ind w:left="12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26"/>
        </w:trPr>
        <w:tc>
          <w:tcPr>
            <w:tcW w:w="4200" w:type="dxa"/>
            <w:vAlign w:val="bottom"/>
          </w:tcPr>
          <w:p>
            <w:pPr>
              <w:ind w:left="40"/>
              <w:spacing w:after="0"/>
              <w:rPr>
                <w:sz w:val="20"/>
                <w:szCs w:val="20"/>
                <w:color w:val="auto"/>
              </w:rPr>
            </w:pPr>
            <w:r>
              <w:rPr>
                <w:rFonts w:ascii="Arial" w:cs="Arial" w:eastAsia="Arial" w:hAnsi="Arial"/>
                <w:sz w:val="16"/>
                <w:szCs w:val="16"/>
                <w:b w:val="1"/>
                <w:bCs w:val="1"/>
                <w:color w:val="auto"/>
              </w:rPr>
              <w:t>Cash Flow Hedges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(120)</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(245)</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w:t>
            </w:r>
          </w:p>
        </w:tc>
        <w:tc>
          <w:tcPr>
            <w:tcW w:w="2520" w:type="dxa"/>
            <w:vAlign w:val="bottom"/>
          </w:tcPr>
          <w:p>
            <w:pPr>
              <w:ind w:left="120"/>
              <w:spacing w:after="0"/>
              <w:rPr>
                <w:sz w:val="20"/>
                <w:szCs w:val="20"/>
                <w:color w:val="auto"/>
              </w:rPr>
            </w:pPr>
            <w:r>
              <w:rPr>
                <w:rFonts w:ascii="Arial" w:cs="Arial" w:eastAsia="Arial" w:hAnsi="Arial"/>
                <w:sz w:val="14"/>
                <w:szCs w:val="14"/>
                <w:color w:val="auto"/>
              </w:rPr>
              <w:t>Interest expense</w:t>
            </w:r>
          </w:p>
        </w:tc>
        <w:tc>
          <w:tcPr>
            <w:tcW w:w="0" w:type="dxa"/>
            <w:vAlign w:val="bottom"/>
          </w:tcPr>
          <w:p>
            <w:pPr>
              <w:spacing w:after="0"/>
              <w:rPr>
                <w:sz w:val="1"/>
                <w:szCs w:val="1"/>
                <w:color w:val="auto"/>
              </w:rPr>
            </w:pPr>
          </w:p>
        </w:tc>
      </w:tr>
      <w:tr>
        <w:trPr>
          <w:trHeight w:val="226"/>
        </w:trPr>
        <w:tc>
          <w:tcPr>
            <w:tcW w:w="4200" w:type="dxa"/>
            <w:vAlign w:val="bottom"/>
          </w:tcPr>
          <w:p>
            <w:pPr>
              <w:ind w:left="20"/>
              <w:spacing w:after="0"/>
              <w:rPr>
                <w:sz w:val="20"/>
                <w:szCs w:val="20"/>
                <w:color w:val="auto"/>
              </w:rPr>
            </w:pPr>
            <w:r>
              <w:rPr>
                <w:rFonts w:ascii="Arial" w:cs="Arial" w:eastAsia="Arial" w:hAnsi="Arial"/>
                <w:sz w:val="16"/>
                <w:szCs w:val="16"/>
                <w:b w:val="1"/>
                <w:bCs w:val="1"/>
                <w:color w:val="auto"/>
              </w:rPr>
              <w:t>Total reclassification for the period</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(9,207)</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(7,680)</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(19,362)</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(15,547)</w:t>
            </w:r>
          </w:p>
        </w:tc>
        <w:tc>
          <w:tcPr>
            <w:tcW w:w="2520" w:type="dxa"/>
            <w:vAlign w:val="bottom"/>
          </w:tcPr>
          <w:p>
            <w:pPr>
              <w:ind w:left="12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1"/>
        </w:trPr>
        <w:tc>
          <w:tcPr>
            <w:tcW w:w="420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2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20" w:right="260" w:hanging="412"/>
        <w:spacing w:after="0" w:line="264" w:lineRule="auto"/>
        <w:tabs>
          <w:tab w:leader="none" w:pos="348"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These accumulated other comprehensive income (loss) components are included in the computation of net periodic pension and postretirement plan cost (see Note 11) and are included in non-operating pension and postretirement benefit income in the Company’s Condensed Consolidated Statements of Operations.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CONTINGENCIES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Legal and Other Matters</w:t>
      </w:r>
      <w:r>
        <w:rPr>
          <w:rFonts w:ascii="Arial" w:cs="Arial" w:eastAsia="Arial" w:hAnsi="Arial"/>
          <w:sz w:val="18"/>
          <w:szCs w:val="18"/>
          <w:color w:val="auto"/>
        </w:rPr>
        <w:t>. The Company and its subsidiaries are subject to complaints and administrative proceedings and are</w:t>
      </w:r>
    </w:p>
    <w:p>
      <w:pPr>
        <w:spacing w:after="0" w:line="14"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defendants in various civil lawsuits that have arisen in the ordinary course of their businesses, including contract disputes; actions alleging negligence, libel, defamation and invasion of privacy; trademark, copyright and patent infringement; real estate lease and sublease disputes;</w:t>
      </w:r>
    </w:p>
    <w:p>
      <w:pPr>
        <w:spacing w:after="0" w:line="236" w:lineRule="auto"/>
        <w:rPr>
          <w:sz w:val="20"/>
          <w:szCs w:val="20"/>
          <w:color w:val="auto"/>
        </w:rPr>
      </w:pPr>
      <w:r>
        <w:rPr>
          <w:rFonts w:ascii="Arial" w:cs="Arial" w:eastAsia="Arial" w:hAnsi="Arial"/>
          <w:sz w:val="18"/>
          <w:szCs w:val="18"/>
          <w:color w:val="auto"/>
        </w:rPr>
        <w:t>violations of employment laws and applicable wage and hour laws; and statutory or common law claims involving current and former students</w:t>
      </w:r>
    </w:p>
    <w:p>
      <w:pPr>
        <w:spacing w:after="0" w:line="1"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and employees. Although the outcomes of the legal claims and proceedings against the Company cannot be predicted with certainty, based on currently available information, management believes that there are no existing claims or proceedings that are likely to have a material</w:t>
      </w:r>
    </w:p>
    <w:p>
      <w:pPr>
        <w:spacing w:after="0" w:line="235" w:lineRule="auto"/>
        <w:rPr>
          <w:sz w:val="20"/>
          <w:szCs w:val="20"/>
          <w:color w:val="auto"/>
        </w:rPr>
      </w:pPr>
      <w:r>
        <w:rPr>
          <w:rFonts w:ascii="Arial" w:cs="Arial" w:eastAsia="Arial" w:hAnsi="Arial"/>
          <w:sz w:val="18"/>
          <w:szCs w:val="18"/>
          <w:color w:val="auto"/>
        </w:rPr>
        <w:t>effect on the Company’s business, financial condition, results of operations or cash flows. However, based on currently available information,</w:t>
      </w:r>
    </w:p>
    <w:p>
      <w:pPr>
        <w:ind w:right="400"/>
        <w:spacing w:after="0" w:line="237" w:lineRule="auto"/>
        <w:rPr>
          <w:sz w:val="20"/>
          <w:szCs w:val="20"/>
          <w:color w:val="auto"/>
        </w:rPr>
      </w:pPr>
      <w:r>
        <w:rPr>
          <w:rFonts w:ascii="Arial" w:cs="Arial" w:eastAsia="Arial" w:hAnsi="Arial"/>
          <w:sz w:val="18"/>
          <w:szCs w:val="18"/>
          <w:color w:val="auto"/>
        </w:rPr>
        <w:t>management believes it is reasonably possible that future losses from existing and threatened legal, regulatory and other proceedings in excess of the amounts recorded could reach approximately $10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BUSINESS SEGMENTS</w:t>
      </w:r>
    </w:p>
    <w:p>
      <w:pPr>
        <w:spacing w:after="0" w:line="15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Company has seven reportable segments: Kaplan International, Kaplan Higher Education, Kaplan Supplemental Education, Television Broadcasting, Manufacturing, Healthcare and Automotive.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2024, Kaplan had a total outstanding accounts receivable balance of $114.0 million from Purdue Global related to amounts</w:t>
      </w:r>
    </w:p>
    <w:p>
      <w:pPr>
        <w:spacing w:after="0" w:line="14"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due for reimbursements for services, fees earned and a deferred fee. Included in this total, Kaplan has a $19.6 million long-term receivable balance due from Purdue Global at June 30, 2024, related to the advance of $20.0 million during the initial KU Transaction.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six months ended June 30, 2024, the automotive group recorded expense of $2.0 million and $4.0 million, respectively,</w:t>
      </w:r>
    </w:p>
    <w:p>
      <w:pPr>
        <w:spacing w:after="0" w:line="1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for operating and management services provided by Christopher J. Ourisman and his team of industry professionals. During the three and six months ended June 30, 2023, the automotive group recorded expense of $1.8 million and $3.4 million, respectively, for these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The following tables summarize the financial information related to each of the Company’s business segments: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3"/>
          </w:tcPr>
          <w:p>
            <w:pPr>
              <w:jc w:val="right"/>
              <w:ind w:right="539"/>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280" w:type="dxa"/>
            <w:vAlign w:val="bottom"/>
            <w:gridSpan w:val="3"/>
          </w:tcPr>
          <w:p>
            <w:pPr>
              <w:jc w:val="right"/>
              <w:ind w:right="579"/>
              <w:spacing w:after="0"/>
              <w:rPr>
                <w:sz w:val="20"/>
                <w:szCs w:val="20"/>
                <w:color w:val="auto"/>
              </w:rPr>
            </w:pPr>
            <w:r>
              <w:rPr>
                <w:rFonts w:ascii="Arial" w:cs="Arial" w:eastAsia="Arial" w:hAnsi="Arial"/>
                <w:sz w:val="14"/>
                <w:szCs w:val="14"/>
                <w:b w:val="1"/>
                <w:bCs w:val="1"/>
                <w:color w:val="auto"/>
              </w:rPr>
              <w:t>Six Months Ended</w:t>
            </w:r>
          </w:p>
        </w:tc>
      </w:tr>
      <w:tr>
        <w:trPr>
          <w:trHeight w:val="205"/>
        </w:trPr>
        <w:tc>
          <w:tcPr>
            <w:tcW w:w="60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r>
      <w:tr>
        <w:trPr>
          <w:trHeight w:val="210"/>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rPr>
              <w:t>2023</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2023</w:t>
            </w:r>
          </w:p>
        </w:tc>
      </w:tr>
      <w:tr>
        <w:trPr>
          <w:trHeight w:val="223"/>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422,899</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402,227</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845,497</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780,268</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115,478</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118,829</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228,536</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231,706</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103,626</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120,082</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205,529</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234,666</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147,528</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113,282</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275,729</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215,341</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308,814</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260,672</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612,654</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493,233</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86,991</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90,449</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170,289</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182,457</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575</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850</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1,151</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850</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(631)</w:t>
            </w: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(1,392)</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(1,443)</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(1,976)</w:t>
            </w:r>
          </w:p>
        </w:tc>
      </w:tr>
      <w:tr>
        <w:trPr>
          <w:trHeight w:val="220"/>
        </w:trPr>
        <w:tc>
          <w:tcPr>
            <w:tcW w:w="606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1,185,280</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1,104,999</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2,337,942</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2,136,545</w:t>
            </w:r>
          </w:p>
        </w:tc>
      </w:tr>
      <w:tr>
        <w:trPr>
          <w:trHeight w:val="161"/>
        </w:trPr>
        <w:tc>
          <w:tcPr>
            <w:tcW w:w="606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Income (Loss) from Operations before Amortization of Intangible Assets and</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23"/>
        </w:trPr>
        <w:tc>
          <w:tcPr>
            <w:tcW w:w="6060" w:type="dxa"/>
            <w:vAlign w:val="bottom"/>
          </w:tcPr>
          <w:p>
            <w:pPr>
              <w:ind w:left="180"/>
              <w:spacing w:after="0"/>
              <w:rPr>
                <w:sz w:val="20"/>
                <w:szCs w:val="20"/>
                <w:color w:val="auto"/>
              </w:rPr>
            </w:pPr>
            <w:r>
              <w:rPr>
                <w:rFonts w:ascii="Arial" w:cs="Arial" w:eastAsia="Arial" w:hAnsi="Arial"/>
                <w:sz w:val="16"/>
                <w:szCs w:val="16"/>
                <w:b w:val="1"/>
                <w:bCs w:val="1"/>
                <w:color w:val="auto"/>
              </w:rPr>
              <w:t>Impairment of Goodwill and Other Long-Lived Assets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38,149</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34,100</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71,710</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61,556</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32,488</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34,553</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63,471</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64,498</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6,913</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16,314</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13,102</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28,504</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13,335</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9,259</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20,062</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13,149</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10,208</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9,460</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19,860</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20,303</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(24,100)</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(21,118)</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(50,383)</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(49,024)</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(14,737)</w:t>
            </w: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(11,209)</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(29,373)</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(25,282)</w:t>
            </w:r>
          </w:p>
        </w:tc>
      </w:tr>
      <w:tr>
        <w:trPr>
          <w:trHeight w:val="220"/>
        </w:trPr>
        <w:tc>
          <w:tcPr>
            <w:tcW w:w="606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62,256</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71,359</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108,449</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113,704</w:t>
            </w:r>
          </w:p>
        </w:tc>
      </w:tr>
      <w:tr>
        <w:trPr>
          <w:trHeight w:val="161"/>
        </w:trPr>
        <w:tc>
          <w:tcPr>
            <w:tcW w:w="606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Amortization of Intangible Assets and Impairment of Goodwill and Other</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23"/>
        </w:trPr>
        <w:tc>
          <w:tcPr>
            <w:tcW w:w="6060" w:type="dxa"/>
            <w:vAlign w:val="bottom"/>
          </w:tcPr>
          <w:p>
            <w:pPr>
              <w:ind w:left="180"/>
              <w:spacing w:after="0"/>
              <w:rPr>
                <w:sz w:val="20"/>
                <w:szCs w:val="20"/>
                <w:color w:val="auto"/>
              </w:rPr>
            </w:pPr>
            <w:r>
              <w:rPr>
                <w:rFonts w:ascii="Arial" w:cs="Arial" w:eastAsia="Arial" w:hAnsi="Arial"/>
                <w:sz w:val="16"/>
                <w:szCs w:val="16"/>
                <w:b w:val="1"/>
                <w:bCs w:val="1"/>
                <w:color w:val="auto"/>
              </w:rPr>
              <w:t>Long-Lived Assets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2,872</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3,984</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5,846</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8,400</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1,360</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1,363</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2,710</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2,725</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2,648</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4,332</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5,768</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9,194</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598</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882</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1,234</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1,836</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5</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5</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28,862</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2,743</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31,533</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5,838</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606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36,345</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13,304</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47,096</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27,993</w:t>
            </w:r>
          </w:p>
        </w:tc>
      </w:tr>
      <w:tr>
        <w:trPr>
          <w:trHeight w:val="208"/>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35,277</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30,116</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65,864</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53,156</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31,128</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33,190</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60,761</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61,773</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4,265</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11,982</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7,334</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19,310</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12,737</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8,377</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18,828</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11,313</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10,203</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9,460</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19,855</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20,303</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(52,962)</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(23,861)</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(81,916)</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(54,862)</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(14,737)</w:t>
            </w: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(11,209)</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(29,373)</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(25,282)</w:t>
            </w:r>
          </w:p>
        </w:tc>
      </w:tr>
      <w:tr>
        <w:trPr>
          <w:trHeight w:val="220"/>
        </w:trPr>
        <w:tc>
          <w:tcPr>
            <w:tcW w:w="606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25,911</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58,055</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61,353</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85,711</w:t>
            </w:r>
          </w:p>
        </w:tc>
      </w:tr>
      <w:tr>
        <w:trPr>
          <w:trHeight w:val="223"/>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Equity in Earnings (Losses) of Affiliates, Net</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2,560</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(6,115)</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4,891</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(1,454)</w:t>
            </w:r>
          </w:p>
        </w:tc>
      </w:tr>
      <w:tr>
        <w:trPr>
          <w:trHeight w:val="229"/>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Interest Expense, Net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(89,272)</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(10,226)</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(106,422)</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(23,316)</w:t>
            </w:r>
          </w:p>
        </w:tc>
      </w:tr>
      <w:tr>
        <w:trPr>
          <w:trHeight w:val="229"/>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Non-Operating Pension and Postretirement Benefit Income, Net</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24,655</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29,815</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67,072</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61,660</w:t>
            </w:r>
          </w:p>
        </w:tc>
      </w:tr>
      <w:tr>
        <w:trPr>
          <w:trHeight w:val="230"/>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Gain on Marketable Equity Securities, Net</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19,628</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78,648</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123,780</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96,670</w:t>
            </w:r>
          </w:p>
        </w:tc>
      </w:tr>
      <w:tr>
        <w:trPr>
          <w:trHeight w:val="233"/>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Other Income, Net</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1,791</w:t>
            </w: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15,794</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3,438</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18,877</w:t>
            </w:r>
          </w:p>
        </w:tc>
      </w:tr>
      <w:tr>
        <w:trPr>
          <w:trHeight w:val="227"/>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(Loss) Income Before Income Taxes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(14,727)</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165,971</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154,112</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238,148</w:t>
            </w: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3"/>
          </w:tcPr>
          <w:p>
            <w:pPr>
              <w:jc w:val="right"/>
              <w:ind w:right="519"/>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260" w:type="dxa"/>
            <w:vAlign w:val="bottom"/>
            <w:gridSpan w:val="3"/>
          </w:tcPr>
          <w:p>
            <w:pPr>
              <w:jc w:val="right"/>
              <w:ind w:right="579"/>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0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r>
      <w:tr>
        <w:trPr>
          <w:trHeight w:val="205"/>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color w:val="auto"/>
              </w:rPr>
              <w:t>2023</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2023</w:t>
            </w:r>
          </w:p>
        </w:tc>
      </w:tr>
      <w:tr>
        <w:trPr>
          <w:trHeight w:val="223"/>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8,855</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9,460</w:t>
            </w:r>
          </w:p>
        </w:tc>
        <w:tc>
          <w:tcPr>
            <w:tcW w:w="36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18,160</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18,428</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2,870</w:t>
            </w:r>
          </w:p>
        </w:tc>
        <w:tc>
          <w:tcPr>
            <w:tcW w:w="42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3,087</w:t>
            </w:r>
          </w:p>
        </w:tc>
        <w:tc>
          <w:tcPr>
            <w:tcW w:w="3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5,738</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6,123</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2,694</w:t>
            </w:r>
          </w:p>
        </w:tc>
        <w:tc>
          <w:tcPr>
            <w:tcW w:w="42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2,287</w:t>
            </w:r>
          </w:p>
        </w:tc>
        <w:tc>
          <w:tcPr>
            <w:tcW w:w="3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5,409</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4,569</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1,683</w:t>
            </w:r>
          </w:p>
        </w:tc>
        <w:tc>
          <w:tcPr>
            <w:tcW w:w="42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1,287</w:t>
            </w:r>
          </w:p>
        </w:tc>
        <w:tc>
          <w:tcPr>
            <w:tcW w:w="3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3,277</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2,391</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1,716</w:t>
            </w:r>
          </w:p>
        </w:tc>
        <w:tc>
          <w:tcPr>
            <w:tcW w:w="42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1,148</w:t>
            </w:r>
          </w:p>
        </w:tc>
        <w:tc>
          <w:tcPr>
            <w:tcW w:w="3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3,429</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2,261</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4,204</w:t>
            </w:r>
          </w:p>
        </w:tc>
        <w:tc>
          <w:tcPr>
            <w:tcW w:w="42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3,681</w:t>
            </w:r>
          </w:p>
        </w:tc>
        <w:tc>
          <w:tcPr>
            <w:tcW w:w="3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8,387</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7,050</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151</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153</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300</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w:t>
            </w:r>
          </w:p>
        </w:tc>
      </w:tr>
      <w:tr>
        <w:trPr>
          <w:trHeight w:val="220"/>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22,173</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21,103</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44,700</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41,128</w:t>
            </w:r>
          </w:p>
        </w:tc>
      </w:tr>
      <w:tr>
        <w:trPr>
          <w:trHeight w:val="222"/>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Pension Service Cost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4,712</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2,256</w:t>
            </w:r>
          </w:p>
        </w:tc>
        <w:tc>
          <w:tcPr>
            <w:tcW w:w="36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8,822</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4,454</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1,416</w:t>
            </w:r>
          </w:p>
        </w:tc>
        <w:tc>
          <w:tcPr>
            <w:tcW w:w="42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805</w:t>
            </w:r>
          </w:p>
        </w:tc>
        <w:tc>
          <w:tcPr>
            <w:tcW w:w="3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3,055</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1,665</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292</w:t>
            </w:r>
          </w:p>
        </w:tc>
        <w:tc>
          <w:tcPr>
            <w:tcW w:w="42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281</w:t>
            </w:r>
          </w:p>
        </w:tc>
        <w:tc>
          <w:tcPr>
            <w:tcW w:w="3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919</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556</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4,851</w:t>
            </w:r>
          </w:p>
        </w:tc>
        <w:tc>
          <w:tcPr>
            <w:tcW w:w="42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2,685</w:t>
            </w:r>
          </w:p>
        </w:tc>
        <w:tc>
          <w:tcPr>
            <w:tcW w:w="3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9,609</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7,042</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42</w:t>
            </w:r>
          </w:p>
        </w:tc>
        <w:tc>
          <w:tcPr>
            <w:tcW w:w="42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3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57</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1,674</w:t>
            </w:r>
          </w:p>
        </w:tc>
        <w:tc>
          <w:tcPr>
            <w:tcW w:w="42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613</w:t>
            </w:r>
          </w:p>
        </w:tc>
        <w:tc>
          <w:tcPr>
            <w:tcW w:w="3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3,614</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1,185</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1,084</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928</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2,029</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1,904</w:t>
            </w:r>
          </w:p>
        </w:tc>
      </w:tr>
      <w:tr>
        <w:trPr>
          <w:trHeight w:val="234"/>
        </w:trPr>
        <w:tc>
          <w:tcPr>
            <w:tcW w:w="606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14,071</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7,573</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28,105</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16,816</w:t>
            </w:r>
          </w:p>
        </w:tc>
      </w:tr>
      <w:tr>
        <w:trPr>
          <w:trHeight w:val="209"/>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Capital Expenditures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5,138</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7,166</w:t>
            </w:r>
          </w:p>
        </w:tc>
        <w:tc>
          <w:tcPr>
            <w:tcW w:w="36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12,657</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15,200</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1,708</w:t>
            </w:r>
          </w:p>
        </w:tc>
        <w:tc>
          <w:tcPr>
            <w:tcW w:w="42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1,680</w:t>
            </w:r>
          </w:p>
        </w:tc>
        <w:tc>
          <w:tcPr>
            <w:tcW w:w="3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3,337</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3,177</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2,608</w:t>
            </w:r>
          </w:p>
        </w:tc>
        <w:tc>
          <w:tcPr>
            <w:tcW w:w="42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4,805</w:t>
            </w:r>
          </w:p>
        </w:tc>
        <w:tc>
          <w:tcPr>
            <w:tcW w:w="3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8,268</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10,591</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2,890</w:t>
            </w:r>
          </w:p>
        </w:tc>
        <w:tc>
          <w:tcPr>
            <w:tcW w:w="42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3,446</w:t>
            </w:r>
          </w:p>
        </w:tc>
        <w:tc>
          <w:tcPr>
            <w:tcW w:w="3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4,826</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5,153</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1,165</w:t>
            </w:r>
          </w:p>
        </w:tc>
        <w:tc>
          <w:tcPr>
            <w:tcW w:w="42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1,854</w:t>
            </w:r>
          </w:p>
        </w:tc>
        <w:tc>
          <w:tcPr>
            <w:tcW w:w="3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2,369</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4,103</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6,898</w:t>
            </w:r>
          </w:p>
        </w:tc>
        <w:tc>
          <w:tcPr>
            <w:tcW w:w="42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3,574</w:t>
            </w:r>
          </w:p>
        </w:tc>
        <w:tc>
          <w:tcPr>
            <w:tcW w:w="3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10,375</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6,612</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357</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405</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23"/>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20,764</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22,525</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42,237</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44,839</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for the Company’s business segments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5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5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4"/>
                <w:szCs w:val="14"/>
                <w:color w:val="auto"/>
              </w:rPr>
            </w:pPr>
          </w:p>
        </w:tc>
        <w:tc>
          <w:tcPr>
            <w:tcW w:w="118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June 30, 2024</w:t>
            </w:r>
          </w:p>
        </w:tc>
        <w:tc>
          <w:tcPr>
            <w:tcW w:w="240" w:type="dxa"/>
            <w:vAlign w:val="bottom"/>
          </w:tcPr>
          <w:p>
            <w:pPr>
              <w:spacing w:after="0"/>
              <w:rPr>
                <w:sz w:val="14"/>
                <w:szCs w:val="14"/>
                <w:color w:val="auto"/>
              </w:rPr>
            </w:pPr>
          </w:p>
        </w:tc>
        <w:tc>
          <w:tcPr>
            <w:tcW w:w="1120" w:type="dxa"/>
            <w:vAlign w:val="bottom"/>
          </w:tcPr>
          <w:p>
            <w:pPr>
              <w:jc w:val="right"/>
              <w:ind w:right="10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4"/>
        </w:trPr>
        <w:tc>
          <w:tcPr>
            <w:tcW w:w="85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20"/>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Identifiable Assets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20"/>
              <w:spacing w:after="0"/>
              <w:rPr>
                <w:sz w:val="20"/>
                <w:szCs w:val="20"/>
                <w:color w:val="auto"/>
              </w:rPr>
            </w:pPr>
            <w:r>
              <w:rPr>
                <w:rFonts w:ascii="Arial" w:cs="Arial" w:eastAsia="Arial" w:hAnsi="Arial"/>
                <w:sz w:val="16"/>
                <w:szCs w:val="16"/>
                <w:b w:val="1"/>
                <w:bCs w:val="1"/>
                <w:color w:val="auto"/>
              </w:rPr>
              <w:t>1,924,838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2,021,471</w:t>
            </w: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140" w:type="dxa"/>
            <w:vAlign w:val="bottom"/>
          </w:tcPr>
          <w:p>
            <w:pPr>
              <w:spacing w:after="0"/>
              <w:rPr>
                <w:sz w:val="19"/>
                <w:szCs w:val="19"/>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b w:val="1"/>
                <w:bCs w:val="1"/>
                <w:color w:val="auto"/>
              </w:rPr>
              <w:t>413,786</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419,557</w:t>
            </w: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140" w:type="dxa"/>
            <w:vAlign w:val="bottom"/>
          </w:tcPr>
          <w:p>
            <w:pPr>
              <w:spacing w:after="0"/>
              <w:rPr>
                <w:sz w:val="19"/>
                <w:szCs w:val="19"/>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b w:val="1"/>
                <w:bCs w:val="1"/>
                <w:color w:val="auto"/>
              </w:rPr>
              <w:t>420,789</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431,712</w:t>
            </w:r>
          </w:p>
        </w:tc>
        <w:tc>
          <w:tcPr>
            <w:tcW w:w="0" w:type="dxa"/>
            <w:vAlign w:val="bottom"/>
          </w:tcPr>
          <w:p>
            <w:pPr>
              <w:spacing w:after="0"/>
              <w:rPr>
                <w:sz w:val="1"/>
                <w:szCs w:val="1"/>
                <w:color w:val="auto"/>
              </w:rPr>
            </w:pPr>
          </w:p>
        </w:tc>
      </w:tr>
      <w:tr>
        <w:trPr>
          <w:trHeight w:val="229"/>
        </w:trPr>
        <w:tc>
          <w:tcPr>
            <w:tcW w:w="85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140" w:type="dxa"/>
            <w:vAlign w:val="bottom"/>
          </w:tcPr>
          <w:p>
            <w:pPr>
              <w:spacing w:after="0"/>
              <w:rPr>
                <w:sz w:val="19"/>
                <w:szCs w:val="19"/>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b w:val="1"/>
                <w:bCs w:val="1"/>
                <w:color w:val="auto"/>
              </w:rPr>
              <w:t>293,406</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265,150</w:t>
            </w: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140" w:type="dxa"/>
            <w:vAlign w:val="bottom"/>
          </w:tcPr>
          <w:p>
            <w:pPr>
              <w:spacing w:after="0"/>
              <w:rPr>
                <w:sz w:val="19"/>
                <w:szCs w:val="19"/>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b w:val="1"/>
                <w:bCs w:val="1"/>
                <w:color w:val="auto"/>
              </w:rPr>
              <w:t>616,260</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597,267</w:t>
            </w: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140" w:type="dxa"/>
            <w:vAlign w:val="bottom"/>
          </w:tcPr>
          <w:p>
            <w:pPr>
              <w:spacing w:after="0"/>
              <w:rPr>
                <w:sz w:val="19"/>
                <w:szCs w:val="19"/>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b w:val="1"/>
                <w:bCs w:val="1"/>
                <w:color w:val="auto"/>
              </w:rPr>
              <w:t>333,875</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368,542</w:t>
            </w:r>
          </w:p>
        </w:tc>
        <w:tc>
          <w:tcPr>
            <w:tcW w:w="0" w:type="dxa"/>
            <w:vAlign w:val="bottom"/>
          </w:tcPr>
          <w:p>
            <w:pPr>
              <w:spacing w:after="0"/>
              <w:rPr>
                <w:sz w:val="1"/>
                <w:szCs w:val="1"/>
                <w:color w:val="auto"/>
              </w:rPr>
            </w:pPr>
          </w:p>
        </w:tc>
      </w:tr>
      <w:tr>
        <w:trPr>
          <w:trHeight w:val="233"/>
        </w:trPr>
        <w:tc>
          <w:tcPr>
            <w:tcW w:w="85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102,959</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93,760</w:t>
            </w:r>
          </w:p>
        </w:tc>
        <w:tc>
          <w:tcPr>
            <w:tcW w:w="0" w:type="dxa"/>
            <w:vAlign w:val="bottom"/>
          </w:tcPr>
          <w:p>
            <w:pPr>
              <w:spacing w:after="0"/>
              <w:rPr>
                <w:sz w:val="1"/>
                <w:szCs w:val="1"/>
                <w:color w:val="auto"/>
              </w:rPr>
            </w:pPr>
          </w:p>
        </w:tc>
      </w:tr>
      <w:tr>
        <w:trPr>
          <w:trHeight w:val="220"/>
        </w:trPr>
        <w:tc>
          <w:tcPr>
            <w:tcW w:w="85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4,105,913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4,197,459</w:t>
            </w:r>
          </w:p>
        </w:tc>
        <w:tc>
          <w:tcPr>
            <w:tcW w:w="0" w:type="dxa"/>
            <w:vAlign w:val="bottom"/>
          </w:tcPr>
          <w:p>
            <w:pPr>
              <w:spacing w:after="0"/>
              <w:rPr>
                <w:sz w:val="1"/>
                <w:szCs w:val="1"/>
                <w:color w:val="auto"/>
              </w:rPr>
            </w:pPr>
          </w:p>
        </w:tc>
      </w:tr>
      <w:tr>
        <w:trPr>
          <w:trHeight w:val="223"/>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Investments in Marketable Equity Securities</w:t>
            </w:r>
          </w:p>
        </w:tc>
        <w:tc>
          <w:tcPr>
            <w:tcW w:w="140" w:type="dxa"/>
            <w:vAlign w:val="bottom"/>
          </w:tcPr>
          <w:p>
            <w:pPr>
              <w:spacing w:after="0"/>
              <w:rPr>
                <w:sz w:val="19"/>
                <w:szCs w:val="19"/>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b w:val="1"/>
                <w:bCs w:val="1"/>
                <w:color w:val="auto"/>
              </w:rPr>
              <w:t>813,444</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690,153</w:t>
            </w:r>
          </w:p>
        </w:tc>
        <w:tc>
          <w:tcPr>
            <w:tcW w:w="0" w:type="dxa"/>
            <w:vAlign w:val="bottom"/>
          </w:tcPr>
          <w:p>
            <w:pPr>
              <w:spacing w:after="0"/>
              <w:rPr>
                <w:sz w:val="1"/>
                <w:szCs w:val="1"/>
                <w:color w:val="auto"/>
              </w:rPr>
            </w:pPr>
          </w:p>
        </w:tc>
      </w:tr>
      <w:tr>
        <w:trPr>
          <w:trHeight w:val="229"/>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Investments in Affiliates</w:t>
            </w:r>
          </w:p>
        </w:tc>
        <w:tc>
          <w:tcPr>
            <w:tcW w:w="140" w:type="dxa"/>
            <w:vAlign w:val="bottom"/>
          </w:tcPr>
          <w:p>
            <w:pPr>
              <w:spacing w:after="0"/>
              <w:rPr>
                <w:sz w:val="19"/>
                <w:szCs w:val="19"/>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b w:val="1"/>
                <w:bCs w:val="1"/>
                <w:color w:val="auto"/>
              </w:rPr>
              <w:t>185,500</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186,480</w:t>
            </w:r>
          </w:p>
        </w:tc>
        <w:tc>
          <w:tcPr>
            <w:tcW w:w="0" w:type="dxa"/>
            <w:vAlign w:val="bottom"/>
          </w:tcPr>
          <w:p>
            <w:pPr>
              <w:spacing w:after="0"/>
              <w:rPr>
                <w:sz w:val="1"/>
                <w:szCs w:val="1"/>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Prepaid Pension Cost</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2,129,196</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2,113,638</w:t>
            </w:r>
          </w:p>
        </w:tc>
        <w:tc>
          <w:tcPr>
            <w:tcW w:w="0" w:type="dxa"/>
            <w:vAlign w:val="bottom"/>
          </w:tcPr>
          <w:p>
            <w:pPr>
              <w:spacing w:after="0"/>
              <w:rPr>
                <w:sz w:val="1"/>
                <w:szCs w:val="1"/>
                <w:color w:val="auto"/>
              </w:rPr>
            </w:pPr>
          </w:p>
        </w:tc>
      </w:tr>
      <w:tr>
        <w:trPr>
          <w:trHeight w:val="226"/>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7,234,053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7,187,730</w:t>
            </w:r>
          </w:p>
        </w:tc>
        <w:tc>
          <w:tcPr>
            <w:tcW w:w="0" w:type="dxa"/>
            <w:vAlign w:val="bottom"/>
          </w:tcPr>
          <w:p>
            <w:pPr>
              <w:spacing w:after="0"/>
              <w:rPr>
                <w:sz w:val="1"/>
                <w:szCs w:val="1"/>
                <w:color w:val="auto"/>
              </w:rPr>
            </w:pPr>
          </w:p>
        </w:tc>
      </w:tr>
      <w:tr>
        <w:trPr>
          <w:trHeight w:val="24"/>
        </w:trPr>
        <w:tc>
          <w:tcPr>
            <w:tcW w:w="8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3"/>
          </w:tcPr>
          <w:p>
            <w:pPr>
              <w:jc w:val="right"/>
              <w:ind w:right="539"/>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260" w:type="dxa"/>
            <w:vAlign w:val="bottom"/>
            <w:gridSpan w:val="3"/>
          </w:tcPr>
          <w:p>
            <w:pPr>
              <w:jc w:val="right"/>
              <w:ind w:right="579"/>
              <w:spacing w:after="0"/>
              <w:rPr>
                <w:sz w:val="20"/>
                <w:szCs w:val="20"/>
                <w:color w:val="auto"/>
              </w:rPr>
            </w:pPr>
            <w:r>
              <w:rPr>
                <w:rFonts w:ascii="Arial" w:cs="Arial" w:eastAsia="Arial" w:hAnsi="Arial"/>
                <w:sz w:val="14"/>
                <w:szCs w:val="14"/>
                <w:b w:val="1"/>
                <w:bCs w:val="1"/>
                <w:color w:val="auto"/>
              </w:rPr>
              <w:t>Six Months Ended</w:t>
            </w:r>
          </w:p>
        </w:tc>
      </w:tr>
      <w:tr>
        <w:trPr>
          <w:trHeight w:val="205"/>
        </w:trPr>
        <w:tc>
          <w:tcPr>
            <w:tcW w:w="60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r>
      <w:tr>
        <w:trPr>
          <w:trHeight w:val="210"/>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rPr>
              <w:t>2023</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2023</w:t>
            </w:r>
          </w:p>
        </w:tc>
      </w:tr>
      <w:tr>
        <w:trPr>
          <w:trHeight w:val="223"/>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267,026</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237,663</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536,824</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464,739</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81,041</w:t>
            </w:r>
          </w:p>
        </w:tc>
        <w:tc>
          <w:tcPr>
            <w:tcW w:w="40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90,291</w:t>
            </w:r>
          </w:p>
        </w:tc>
        <w:tc>
          <w:tcPr>
            <w:tcW w:w="3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161,163</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168,632</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73,133</w:t>
            </w:r>
          </w:p>
        </w:tc>
        <w:tc>
          <w:tcPr>
            <w:tcW w:w="40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74,616</w:t>
            </w:r>
          </w:p>
        </w:tc>
        <w:tc>
          <w:tcPr>
            <w:tcW w:w="3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145,255</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148,203</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2,993</w:t>
            </w:r>
          </w:p>
        </w:tc>
        <w:tc>
          <w:tcPr>
            <w:tcW w:w="40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2,887</w:t>
            </w:r>
          </w:p>
        </w:tc>
        <w:tc>
          <w:tcPr>
            <w:tcW w:w="3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5,581</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5,259</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(1,294)</w:t>
            </w: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(3,230)</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(3,326)</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(6,565)</w:t>
            </w:r>
          </w:p>
        </w:tc>
      </w:tr>
      <w:tr>
        <w:trPr>
          <w:trHeight w:val="220"/>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422,899</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402,227</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845,497</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780,268</w:t>
            </w:r>
          </w:p>
        </w:tc>
      </w:tr>
      <w:tr>
        <w:trPr>
          <w:trHeight w:val="161"/>
        </w:trPr>
        <w:tc>
          <w:tcPr>
            <w:tcW w:w="606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Income (Loss) from Operations before Amortization of Intangible Assets and</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23"/>
        </w:trPr>
        <w:tc>
          <w:tcPr>
            <w:tcW w:w="6060" w:type="dxa"/>
            <w:vAlign w:val="bottom"/>
          </w:tcPr>
          <w:p>
            <w:pPr>
              <w:ind w:left="180"/>
              <w:spacing w:after="0"/>
              <w:rPr>
                <w:sz w:val="20"/>
                <w:szCs w:val="20"/>
                <w:color w:val="auto"/>
              </w:rPr>
            </w:pPr>
            <w:r>
              <w:rPr>
                <w:rFonts w:ascii="Arial" w:cs="Arial" w:eastAsia="Arial" w:hAnsi="Arial"/>
                <w:sz w:val="16"/>
                <w:szCs w:val="16"/>
                <w:b w:val="1"/>
                <w:bCs w:val="1"/>
                <w:color w:val="auto"/>
              </w:rPr>
              <w:t>Impairment of Long-Lived Assets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25,824</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20,751</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57,136</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42,052</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14,354</w:t>
            </w:r>
          </w:p>
        </w:tc>
        <w:tc>
          <w:tcPr>
            <w:tcW w:w="40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17,795</w:t>
            </w:r>
          </w:p>
        </w:tc>
        <w:tc>
          <w:tcPr>
            <w:tcW w:w="3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19,873</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24,878</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5,672</w:t>
            </w:r>
          </w:p>
        </w:tc>
        <w:tc>
          <w:tcPr>
            <w:tcW w:w="40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3,512</w:t>
            </w:r>
          </w:p>
        </w:tc>
        <w:tc>
          <w:tcPr>
            <w:tcW w:w="3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10,252</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7,263</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(8,055)</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(7,824)</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(15,640)</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(12,662)</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354</w:t>
            </w: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89</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220"/>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38,149</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34,100</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71,710</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61,556</w:t>
            </w:r>
          </w:p>
        </w:tc>
      </w:tr>
      <w:tr>
        <w:trPr>
          <w:trHeight w:val="223"/>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Amortization of Intangible Assets</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2,872</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3,984</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5,846</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7,923</w:t>
            </w:r>
          </w:p>
        </w:tc>
      </w:tr>
      <w:tr>
        <w:trPr>
          <w:trHeight w:val="229"/>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Impairment of Long-Lived Assets</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477</w:t>
            </w:r>
          </w:p>
        </w:tc>
      </w:tr>
      <w:tr>
        <w:trPr>
          <w:trHeight w:val="229"/>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25,824</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20,751</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57,136</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42,052</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14,354</w:t>
            </w:r>
          </w:p>
        </w:tc>
        <w:tc>
          <w:tcPr>
            <w:tcW w:w="40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17,795</w:t>
            </w:r>
          </w:p>
        </w:tc>
        <w:tc>
          <w:tcPr>
            <w:tcW w:w="3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19,873</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24,878</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5,672</w:t>
            </w:r>
          </w:p>
        </w:tc>
        <w:tc>
          <w:tcPr>
            <w:tcW w:w="40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3,512</w:t>
            </w:r>
          </w:p>
        </w:tc>
        <w:tc>
          <w:tcPr>
            <w:tcW w:w="3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10,252</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7,263</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(10,927)</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(11,808)</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(21,486)</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(21,062)</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354</w:t>
            </w: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89</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220"/>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35,277</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30,116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65,864</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53,156</w:t>
            </w:r>
          </w:p>
        </w:tc>
      </w:tr>
      <w:tr>
        <w:trPr>
          <w:trHeight w:val="222"/>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7,177</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6,903</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14,533</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13,233</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799</w:t>
            </w:r>
          </w:p>
        </w:tc>
        <w:tc>
          <w:tcPr>
            <w:tcW w:w="40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1,071</w:t>
            </w:r>
          </w:p>
        </w:tc>
        <w:tc>
          <w:tcPr>
            <w:tcW w:w="3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1,702</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2,173</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857</w:t>
            </w:r>
          </w:p>
        </w:tc>
        <w:tc>
          <w:tcPr>
            <w:tcW w:w="40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1,461</w:t>
            </w:r>
          </w:p>
        </w:tc>
        <w:tc>
          <w:tcPr>
            <w:tcW w:w="3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1,876</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2,970</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w:t>
            </w: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49</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r>
      <w:tr>
        <w:trPr>
          <w:trHeight w:val="220"/>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8,855</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9,460</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18,160</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18,428</w:t>
            </w:r>
          </w:p>
        </w:tc>
      </w:tr>
      <w:tr>
        <w:trPr>
          <w:trHeight w:val="222"/>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Pension Service Cost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166</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81</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329</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161</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2,045</w:t>
            </w:r>
          </w:p>
        </w:tc>
        <w:tc>
          <w:tcPr>
            <w:tcW w:w="40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923</w:t>
            </w:r>
          </w:p>
        </w:tc>
        <w:tc>
          <w:tcPr>
            <w:tcW w:w="3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3,826</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1,845</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2,094</w:t>
            </w:r>
          </w:p>
        </w:tc>
        <w:tc>
          <w:tcPr>
            <w:tcW w:w="40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1,023</w:t>
            </w:r>
          </w:p>
        </w:tc>
        <w:tc>
          <w:tcPr>
            <w:tcW w:w="3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3,912</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2,047</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407</w:t>
            </w: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229</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755</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w:t>
            </w:r>
          </w:p>
        </w:tc>
      </w:tr>
      <w:tr>
        <w:trPr>
          <w:trHeight w:val="220"/>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4,712</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2,256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8,822</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4,454</w:t>
            </w:r>
          </w:p>
        </w:tc>
      </w:tr>
      <w:tr>
        <w:trPr>
          <w:trHeight w:val="208"/>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Capital Expenditures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4,503</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6,161</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11,520</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13,302</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174</w:t>
            </w:r>
          </w:p>
        </w:tc>
        <w:tc>
          <w:tcPr>
            <w:tcW w:w="40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566</w:t>
            </w:r>
          </w:p>
        </w:tc>
        <w:tc>
          <w:tcPr>
            <w:tcW w:w="3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233</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638</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461</w:t>
            </w:r>
          </w:p>
        </w:tc>
        <w:tc>
          <w:tcPr>
            <w:tcW w:w="40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417</w:t>
            </w:r>
          </w:p>
        </w:tc>
        <w:tc>
          <w:tcPr>
            <w:tcW w:w="3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904</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1,238</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223"/>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5,138</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7,166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12,657</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15,200</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for the Company’s education division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5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5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4"/>
                <w:szCs w:val="14"/>
                <w:color w:val="auto"/>
              </w:rPr>
            </w:pPr>
          </w:p>
        </w:tc>
        <w:tc>
          <w:tcPr>
            <w:tcW w:w="118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June 30, 2024</w:t>
            </w:r>
          </w:p>
        </w:tc>
        <w:tc>
          <w:tcPr>
            <w:tcW w:w="240" w:type="dxa"/>
            <w:vAlign w:val="bottom"/>
          </w:tcPr>
          <w:p>
            <w:pPr>
              <w:spacing w:after="0"/>
              <w:rPr>
                <w:sz w:val="14"/>
                <w:szCs w:val="14"/>
                <w:color w:val="auto"/>
              </w:rPr>
            </w:pPr>
          </w:p>
        </w:tc>
        <w:tc>
          <w:tcPr>
            <w:tcW w:w="1120" w:type="dxa"/>
            <w:vAlign w:val="bottom"/>
          </w:tcPr>
          <w:p>
            <w:pPr>
              <w:jc w:val="right"/>
              <w:ind w:right="102"/>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4"/>
        </w:trPr>
        <w:tc>
          <w:tcPr>
            <w:tcW w:w="85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20"/>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Identifiable Assets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22"/>
              <w:spacing w:after="0"/>
              <w:rPr>
                <w:sz w:val="20"/>
                <w:szCs w:val="20"/>
                <w:color w:val="auto"/>
              </w:rPr>
            </w:pPr>
            <w:r>
              <w:rPr>
                <w:rFonts w:ascii="Arial" w:cs="Arial" w:eastAsia="Arial" w:hAnsi="Arial"/>
                <w:sz w:val="16"/>
                <w:szCs w:val="16"/>
                <w:b w:val="1"/>
                <w:bCs w:val="1"/>
                <w:color w:val="auto"/>
              </w:rPr>
              <w:t>1,440,409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1,537,989</w:t>
            </w:r>
          </w:p>
        </w:tc>
        <w:tc>
          <w:tcPr>
            <w:tcW w:w="0" w:type="dxa"/>
            <w:vAlign w:val="bottom"/>
          </w:tcPr>
          <w:p>
            <w:pPr>
              <w:spacing w:after="0"/>
              <w:rPr>
                <w:sz w:val="1"/>
                <w:szCs w:val="1"/>
                <w:color w:val="auto"/>
              </w:rPr>
            </w:pPr>
          </w:p>
        </w:tc>
      </w:tr>
      <w:tr>
        <w:trPr>
          <w:trHeight w:val="229"/>
        </w:trPr>
        <w:tc>
          <w:tcPr>
            <w:tcW w:w="85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140" w:type="dxa"/>
            <w:vAlign w:val="bottom"/>
          </w:tcPr>
          <w:p>
            <w:pPr>
              <w:spacing w:after="0"/>
              <w:rPr>
                <w:sz w:val="19"/>
                <w:szCs w:val="19"/>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b w:val="1"/>
                <w:bCs w:val="1"/>
                <w:color w:val="auto"/>
              </w:rPr>
              <w:t>205,601</w:t>
            </w:r>
          </w:p>
        </w:tc>
        <w:tc>
          <w:tcPr>
            <w:tcW w:w="24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187,972</w:t>
            </w: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140" w:type="dxa"/>
            <w:vAlign w:val="bottom"/>
          </w:tcPr>
          <w:p>
            <w:pPr>
              <w:spacing w:after="0"/>
              <w:rPr>
                <w:sz w:val="19"/>
                <w:szCs w:val="19"/>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b w:val="1"/>
                <w:bCs w:val="1"/>
                <w:color w:val="auto"/>
              </w:rPr>
              <w:t>231,916</w:t>
            </w:r>
          </w:p>
        </w:tc>
        <w:tc>
          <w:tcPr>
            <w:tcW w:w="24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249,519</w:t>
            </w:r>
          </w:p>
        </w:tc>
        <w:tc>
          <w:tcPr>
            <w:tcW w:w="0" w:type="dxa"/>
            <w:vAlign w:val="bottom"/>
          </w:tcPr>
          <w:p>
            <w:pPr>
              <w:spacing w:after="0"/>
              <w:rPr>
                <w:sz w:val="1"/>
                <w:szCs w:val="1"/>
                <w:color w:val="auto"/>
              </w:rPr>
            </w:pPr>
          </w:p>
        </w:tc>
      </w:tr>
      <w:tr>
        <w:trPr>
          <w:trHeight w:val="233"/>
        </w:trPr>
        <w:tc>
          <w:tcPr>
            <w:tcW w:w="85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46,912</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45,991</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1,924,838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2,021,471</w:t>
            </w:r>
          </w:p>
        </w:tc>
        <w:tc>
          <w:tcPr>
            <w:tcW w:w="0" w:type="dxa"/>
            <w:vAlign w:val="bottom"/>
          </w:tcPr>
          <w:p>
            <w:pPr>
              <w:spacing w:after="0"/>
              <w:rPr>
                <w:sz w:val="1"/>
                <w:szCs w:val="1"/>
                <w:color w:val="auto"/>
              </w:rPr>
            </w:pPr>
          </w:p>
        </w:tc>
      </w:tr>
      <w:tr>
        <w:trPr>
          <w:trHeight w:val="24"/>
        </w:trPr>
        <w:tc>
          <w:tcPr>
            <w:tcW w:w="8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31" w:right="339" w:bottom="6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608"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Management’s Discussion and Analysis of Results of Operations and Financial Condition.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condensed consolidated financial statements and the notes thereto.</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5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Company reported a net loss attributable to common shares of $ 21.0 million ($4.79 per share) for the second quarter of 2024, compared to income of $122.8 million ($25.89 per share) for the second quarter of 2023.</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loss for the second quarter of 2024:</w:t>
      </w:r>
    </w:p>
    <w:p>
      <w:pPr>
        <w:spacing w:after="0" w:line="158" w:lineRule="exact"/>
        <w:rPr>
          <w:sz w:val="20"/>
          <w:szCs w:val="20"/>
          <w:color w:val="auto"/>
        </w:rPr>
      </w:pPr>
    </w:p>
    <w:p>
      <w:pPr>
        <w:ind w:left="180" w:right="360" w:hanging="172"/>
        <w:spacing w:after="0" w:line="271" w:lineRule="auto"/>
        <w:tabs>
          <w:tab w:leader="none" w:pos="1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$26.3 million in goodwill and intangible asset impairment charges at World of Good Brands (WGB) (after tax impact of $20.6 million, or $4.62 per share);</w:t>
      </w:r>
    </w:p>
    <w:p>
      <w:pPr>
        <w:spacing w:after="0" w:line="86" w:lineRule="exact"/>
        <w:rPr>
          <w:rFonts w:ascii="Arial" w:cs="Arial" w:eastAsia="Arial" w:hAnsi="Arial"/>
          <w:sz w:val="18"/>
          <w:szCs w:val="18"/>
          <w:color w:val="auto"/>
        </w:rPr>
      </w:pPr>
    </w:p>
    <w:p>
      <w:pPr>
        <w:ind w:left="180" w:right="40" w:hanging="172"/>
        <w:spacing w:after="0" w:line="253" w:lineRule="auto"/>
        <w:tabs>
          <w:tab w:leader="none" w:pos="1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$16.4 million in non-operating expenses related to a Voluntary Retirement Incentive Program (VRIP) at the television broadcasting division and the corporate office, and Separation Incentive Programs (SIPs) at other businesses (after tax-impact of $12.2 million, or $2.74 per share);</w:t>
      </w:r>
    </w:p>
    <w:p>
      <w:pPr>
        <w:spacing w:after="0" w:line="101" w:lineRule="exact"/>
        <w:rPr>
          <w:rFonts w:ascii="Arial" w:cs="Arial" w:eastAsia="Arial" w:hAnsi="Arial"/>
          <w:sz w:val="18"/>
          <w:szCs w:val="18"/>
          <w:color w:val="auto"/>
        </w:rPr>
      </w:pPr>
    </w:p>
    <w:p>
      <w:pPr>
        <w:ind w:left="180" w:right="320" w:hanging="172"/>
        <w:spacing w:after="0" w:line="271" w:lineRule="auto"/>
        <w:tabs>
          <w:tab w:leader="none" w:pos="1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$73.5 million in interest expense to adjust the fair value of the mandatorily redeemable noncontrolling interest (after-tax impact of $61.4 million, or $13.77 per share);</w:t>
      </w:r>
    </w:p>
    <w:p>
      <w:pPr>
        <w:spacing w:after="0" w:line="99" w:lineRule="exact"/>
        <w:rPr>
          <w:rFonts w:ascii="Arial" w:cs="Arial" w:eastAsia="Arial" w:hAnsi="Arial"/>
          <w:sz w:val="18"/>
          <w:szCs w:val="18"/>
          <w:color w:val="auto"/>
        </w:rPr>
      </w:pPr>
    </w:p>
    <w:p>
      <w:pPr>
        <w:ind w:left="160" w:hanging="152"/>
        <w:spacing w:after="0"/>
        <w:tabs>
          <w:tab w:leader="none" w:pos="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$19.6 million in net gains on marketable equity securities (after-tax impact of $14.6 million, or $3.28 per share);</w:t>
      </w:r>
    </w:p>
    <w:p>
      <w:pPr>
        <w:spacing w:after="0" w:line="144" w:lineRule="exact"/>
        <w:rPr>
          <w:rFonts w:ascii="Arial" w:cs="Arial" w:eastAsia="Arial" w:hAnsi="Arial"/>
          <w:sz w:val="18"/>
          <w:szCs w:val="18"/>
          <w:color w:val="auto"/>
        </w:rPr>
      </w:pPr>
    </w:p>
    <w:p>
      <w:pPr>
        <w:ind w:left="180" w:right="360" w:hanging="172"/>
        <w:spacing w:after="0" w:line="271" w:lineRule="auto"/>
        <w:tabs>
          <w:tab w:leader="none" w:pos="1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$1.1 million in net losses of affiliates whose operations are not managed by the Company (after-tax impact of $0.8 million, or $0.19 per share);</w:t>
      </w:r>
    </w:p>
    <w:p>
      <w:pPr>
        <w:spacing w:after="0" w:line="99" w:lineRule="exact"/>
        <w:rPr>
          <w:rFonts w:ascii="Arial" w:cs="Arial" w:eastAsia="Arial" w:hAnsi="Arial"/>
          <w:sz w:val="18"/>
          <w:szCs w:val="18"/>
          <w:color w:val="auto"/>
        </w:rPr>
      </w:pPr>
    </w:p>
    <w:p>
      <w:pPr>
        <w:ind w:left="160" w:hanging="152"/>
        <w:spacing w:after="0"/>
        <w:tabs>
          <w:tab w:leader="none" w:pos="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non-operating gain of $3.5 million from the sale of certain WGB websites (after-tax impact of $2.7 million, or $0.61 per share); and</w:t>
      </w:r>
    </w:p>
    <w:p>
      <w:pPr>
        <w:spacing w:after="0" w:line="144" w:lineRule="exact"/>
        <w:rPr>
          <w:rFonts w:ascii="Arial" w:cs="Arial" w:eastAsia="Arial" w:hAnsi="Arial"/>
          <w:sz w:val="18"/>
          <w:szCs w:val="18"/>
          <w:color w:val="auto"/>
        </w:rPr>
      </w:pPr>
    </w:p>
    <w:p>
      <w:pPr>
        <w:ind w:right="260" w:firstLine="8"/>
        <w:spacing w:after="0" w:line="414" w:lineRule="auto"/>
        <w:tabs>
          <w:tab w:leader="none" w:pos="157"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non-operating loss of $0.3 million from the impairment of a cost method investment (after-tax impact of $0.3 million, or $0.06 per share). Items included in the Company’s net income for the second quarter of 2023:</w:t>
      </w:r>
    </w:p>
    <w:p>
      <w:pPr>
        <w:spacing w:after="0" w:line="1" w:lineRule="exact"/>
        <w:rPr>
          <w:rFonts w:ascii="Arial" w:cs="Arial" w:eastAsia="Arial" w:hAnsi="Arial"/>
          <w:sz w:val="18"/>
          <w:szCs w:val="18"/>
          <w:color w:val="auto"/>
        </w:rPr>
      </w:pPr>
    </w:p>
    <w:p>
      <w:pPr>
        <w:ind w:left="180" w:right="40" w:hanging="172"/>
        <w:spacing w:after="0" w:line="271" w:lineRule="auto"/>
        <w:tabs>
          <w:tab w:leader="none" w:pos="1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$4.8 million net credit related to a fair value change in contingent consideration from prior acquisitions (after-tax impact of $4.7 million, or $0.98 per share);</w:t>
      </w:r>
    </w:p>
    <w:p>
      <w:pPr>
        <w:spacing w:after="0" w:line="99" w:lineRule="exact"/>
        <w:rPr>
          <w:rFonts w:ascii="Arial" w:cs="Arial" w:eastAsia="Arial" w:hAnsi="Arial"/>
          <w:sz w:val="18"/>
          <w:szCs w:val="18"/>
          <w:color w:val="auto"/>
        </w:rPr>
      </w:pPr>
    </w:p>
    <w:p>
      <w:pPr>
        <w:ind w:left="180" w:right="140" w:hanging="172"/>
        <w:spacing w:after="0" w:line="256" w:lineRule="auto"/>
        <w:tabs>
          <w:tab w:leader="none" w:pos="1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$5.5 million in expenses related to non-operating SIPs at other businesses and the education and television broadcasting divisions (after-tax impact of $4.1 million, or $0.86 per share);</w:t>
      </w:r>
    </w:p>
    <w:p>
      <w:pPr>
        <w:spacing w:after="0" w:line="111" w:lineRule="exact"/>
        <w:rPr>
          <w:rFonts w:ascii="Arial" w:cs="Arial" w:eastAsia="Arial" w:hAnsi="Arial"/>
          <w:sz w:val="18"/>
          <w:szCs w:val="18"/>
          <w:color w:val="auto"/>
        </w:rPr>
      </w:pPr>
    </w:p>
    <w:p>
      <w:pPr>
        <w:ind w:left="180" w:right="260" w:hanging="172"/>
        <w:spacing w:after="0" w:line="271" w:lineRule="auto"/>
        <w:tabs>
          <w:tab w:leader="none" w:pos="1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$1.2 million credit to interest expense to adjust the fair value of the mandatorily redeemable noncontrolling interest (after-tax impact of $1.2 million, or $0.24 per share);</w:t>
      </w:r>
    </w:p>
    <w:p>
      <w:pPr>
        <w:spacing w:after="0" w:line="86" w:lineRule="exact"/>
        <w:rPr>
          <w:rFonts w:ascii="Arial" w:cs="Arial" w:eastAsia="Arial" w:hAnsi="Arial"/>
          <w:sz w:val="18"/>
          <w:szCs w:val="18"/>
          <w:color w:val="auto"/>
        </w:rPr>
      </w:pPr>
    </w:p>
    <w:p>
      <w:pPr>
        <w:ind w:left="160" w:hanging="152"/>
        <w:spacing w:after="0"/>
        <w:tabs>
          <w:tab w:leader="none" w:pos="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$78.6 million in net gains on marketable equity securities (after-tax impact of $57.9 million, or $12.22 per share);</w:t>
      </w:r>
    </w:p>
    <w:p>
      <w:pPr>
        <w:spacing w:after="0" w:line="157" w:lineRule="exact"/>
        <w:rPr>
          <w:rFonts w:ascii="Arial" w:cs="Arial" w:eastAsia="Arial" w:hAnsi="Arial"/>
          <w:sz w:val="18"/>
          <w:szCs w:val="18"/>
          <w:color w:val="auto"/>
        </w:rPr>
      </w:pPr>
    </w:p>
    <w:p>
      <w:pPr>
        <w:ind w:left="180" w:right="360" w:hanging="172"/>
        <w:spacing w:after="0" w:line="271" w:lineRule="auto"/>
        <w:tabs>
          <w:tab w:leader="none" w:pos="1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$8.6 million in net losses of affiliates whose operations are not managed by the Company (after-tax impact of $6.4 million, or $1.34 per share);</w:t>
      </w:r>
    </w:p>
    <w:p>
      <w:pPr>
        <w:spacing w:after="0" w:line="86" w:lineRule="exact"/>
        <w:rPr>
          <w:rFonts w:ascii="Arial" w:cs="Arial" w:eastAsia="Arial" w:hAnsi="Arial"/>
          <w:sz w:val="18"/>
          <w:szCs w:val="18"/>
          <w:color w:val="auto"/>
        </w:rPr>
      </w:pPr>
    </w:p>
    <w:p>
      <w:pPr>
        <w:ind w:left="160" w:hanging="152"/>
        <w:spacing w:after="0"/>
        <w:tabs>
          <w:tab w:leader="none" w:pos="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non-operating gain of $10.0 million on the sale of Pinna (after-tax impact of $7.4 million, or $1.56 per share); and</w:t>
      </w:r>
    </w:p>
    <w:p>
      <w:pPr>
        <w:spacing w:after="0" w:line="157" w:lineRule="exact"/>
        <w:rPr>
          <w:rFonts w:ascii="Arial" w:cs="Arial" w:eastAsia="Arial" w:hAnsi="Arial"/>
          <w:sz w:val="18"/>
          <w:szCs w:val="18"/>
          <w:color w:val="auto"/>
        </w:rPr>
      </w:pPr>
    </w:p>
    <w:p>
      <w:pPr>
        <w:ind w:left="180" w:right="420" w:hanging="172"/>
        <w:spacing w:after="0" w:line="271" w:lineRule="auto"/>
        <w:tabs>
          <w:tab w:leader="none" w:pos="1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non-operating gain of $1.3 million from the write-up and sale of cost method investments (after-tax impact of $1.0 million, or $0.21 per share).</w:t>
      </w:r>
    </w:p>
    <w:p>
      <w:pPr>
        <w:spacing w:after="0" w:line="86" w:lineRule="exact"/>
        <w:rPr>
          <w:sz w:val="20"/>
          <w:szCs w:val="20"/>
          <w:color w:val="auto"/>
        </w:rPr>
      </w:pPr>
    </w:p>
    <w:p>
      <w:pPr>
        <w:ind w:right="700"/>
        <w:spacing w:after="0" w:line="245" w:lineRule="auto"/>
        <w:rPr>
          <w:sz w:val="20"/>
          <w:szCs w:val="20"/>
          <w:color w:val="auto"/>
        </w:rPr>
      </w:pPr>
      <w:r>
        <w:rPr>
          <w:rFonts w:ascii="Arial" w:cs="Arial" w:eastAsia="Arial" w:hAnsi="Arial"/>
          <w:sz w:val="18"/>
          <w:szCs w:val="18"/>
          <w:color w:val="auto"/>
        </w:rPr>
        <w:t>Revenue for the second quarter of 2024 was $1,185.3 million, up 7% from $1,105.0 million in the second quarter of 2023. Revenues increased at education, healthcare and automotive, partially offset by declines at television broadcasting, manufacturing and other</w:t>
      </w:r>
    </w:p>
    <w:p>
      <w:pPr>
        <w:ind w:right="120"/>
        <w:spacing w:after="0" w:line="226" w:lineRule="auto"/>
        <w:rPr>
          <w:sz w:val="20"/>
          <w:szCs w:val="20"/>
          <w:color w:val="auto"/>
        </w:rPr>
      </w:pPr>
      <w:r>
        <w:rPr>
          <w:rFonts w:ascii="Arial" w:cs="Arial" w:eastAsia="Arial" w:hAnsi="Arial"/>
          <w:sz w:val="18"/>
          <w:szCs w:val="18"/>
          <w:color w:val="auto"/>
        </w:rPr>
        <w:t>businesses. The Company reported operating income of $ 25.9 million for the second quarter of 2024, compared to $58.1 million for the second quarter of 2023. The decrease in operating results is due to goodwill and intangible asset impairment charges at WGB and declines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at television broadcasting, manufacturing and other businesses, partially offset by increases at education, healthcare and automotive.</w:t>
      </w:r>
    </w:p>
    <w:p>
      <w:pPr>
        <w:spacing w:after="0" w:line="140"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For the first six months of 2024, the Company recorded net income attributable to common shares of $103.3 million ($23.11 per share), compared to $175.1 million ($36.67 per share) for the first six months of 2023.</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Items included in the Company’s net income for the first six months of 2024:</w:t>
      </w:r>
    </w:p>
    <w:p>
      <w:pPr>
        <w:spacing w:after="0" w:line="158" w:lineRule="exact"/>
        <w:rPr>
          <w:sz w:val="20"/>
          <w:szCs w:val="20"/>
          <w:color w:val="auto"/>
        </w:rPr>
      </w:pPr>
    </w:p>
    <w:p>
      <w:pPr>
        <w:ind w:left="160" w:hanging="152"/>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$26.3 million in goodwill and intangible asset impairment charges at WGB (after tax impact of $20.6 million, or $4.60 per share);</w:t>
      </w:r>
    </w:p>
    <w:p>
      <w:pPr>
        <w:spacing w:after="0" w:line="144" w:lineRule="exact"/>
        <w:rPr>
          <w:rFonts w:ascii="Arial" w:cs="Arial" w:eastAsia="Arial" w:hAnsi="Arial"/>
          <w:sz w:val="18"/>
          <w:szCs w:val="18"/>
          <w:color w:val="auto"/>
        </w:rPr>
      </w:pPr>
    </w:p>
    <w:p>
      <w:pPr>
        <w:ind w:left="180" w:hanging="172"/>
        <w:spacing w:after="0" w:line="271" w:lineRule="auto"/>
        <w:tabs>
          <w:tab w:leader="none" w:pos="1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$16.8 million in non-operating expenses related to a VRIP at the television broadcasting division and the corporate office, and SIPs at other businesses (after tax-impact of $12.5 million, or $2.80 per share);</w:t>
      </w:r>
    </w:p>
    <w:p>
      <w:pPr>
        <w:spacing w:after="0" w:line="99" w:lineRule="exact"/>
        <w:rPr>
          <w:rFonts w:ascii="Arial" w:cs="Arial" w:eastAsia="Arial" w:hAnsi="Arial"/>
          <w:sz w:val="18"/>
          <w:szCs w:val="18"/>
          <w:color w:val="auto"/>
        </w:rPr>
      </w:pPr>
    </w:p>
    <w:p>
      <w:pPr>
        <w:ind w:left="180" w:right="340" w:hanging="172"/>
        <w:spacing w:after="0" w:line="256" w:lineRule="auto"/>
        <w:tabs>
          <w:tab w:leader="none" w:pos="1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$75.4 million in interest expense to adjust the fair value of the mandatorily redeemable noncontrolling interest (after-tax impact of $63.2 million, or $14.13 per share);</w:t>
      </w:r>
    </w:p>
    <w:p>
      <w:pPr>
        <w:spacing w:after="0" w:line="111" w:lineRule="exact"/>
        <w:rPr>
          <w:rFonts w:ascii="Arial" w:cs="Arial" w:eastAsia="Arial" w:hAnsi="Arial"/>
          <w:sz w:val="18"/>
          <w:szCs w:val="18"/>
          <w:color w:val="auto"/>
        </w:rPr>
      </w:pPr>
    </w:p>
    <w:p>
      <w:pPr>
        <w:ind w:left="160" w:hanging="152"/>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$123.8 million in net gains on marketable equity securities (after-tax impact of $92.1 million, or $20.59 per share);</w:t>
      </w:r>
    </w:p>
    <w:p>
      <w:pPr>
        <w:spacing w:after="0" w:line="157" w:lineRule="exact"/>
        <w:rPr>
          <w:rFonts w:ascii="Arial" w:cs="Arial" w:eastAsia="Arial" w:hAnsi="Arial"/>
          <w:sz w:val="18"/>
          <w:szCs w:val="18"/>
          <w:color w:val="auto"/>
        </w:rPr>
      </w:pPr>
    </w:p>
    <w:p>
      <w:pPr>
        <w:ind w:left="180" w:right="380" w:hanging="172"/>
        <w:spacing w:after="0" w:line="256" w:lineRule="auto"/>
        <w:tabs>
          <w:tab w:leader="none" w:pos="1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$2.6 million in net losses of affiliates whose operations are not managed by the Company (after-tax impact of $1.9 million, or $0.43 per share);</w:t>
      </w:r>
    </w:p>
    <w:p>
      <w:pPr>
        <w:spacing w:after="0" w:line="111" w:lineRule="exact"/>
        <w:rPr>
          <w:rFonts w:ascii="Arial" w:cs="Arial" w:eastAsia="Arial" w:hAnsi="Arial"/>
          <w:sz w:val="18"/>
          <w:szCs w:val="18"/>
          <w:color w:val="auto"/>
        </w:rPr>
      </w:pPr>
    </w:p>
    <w:p>
      <w:pPr>
        <w:ind w:left="160" w:hanging="152"/>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non-operating gain of $3.5 million from the sale of certain WGB websites (after-tax impact of $2.7 million, or $0.61 per share); and</w:t>
      </w:r>
    </w:p>
    <w:p>
      <w:pPr>
        <w:spacing w:after="0" w:line="157" w:lineRule="exact"/>
        <w:rPr>
          <w:rFonts w:ascii="Arial" w:cs="Arial" w:eastAsia="Arial" w:hAnsi="Arial"/>
          <w:sz w:val="18"/>
          <w:szCs w:val="18"/>
          <w:color w:val="auto"/>
        </w:rPr>
      </w:pPr>
    </w:p>
    <w:p>
      <w:pPr>
        <w:ind w:right="340" w:firstLine="8"/>
        <w:spacing w:after="0" w:line="414" w:lineRule="auto"/>
        <w:tabs>
          <w:tab w:leader="none" w:pos="157"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non-operating loss of $0.7 million from the impairment of cost method investments (after-tax impact of $0.6 million, or $0.12 per share). Items included in the Company’s net income for the first six months of 2023:</w:t>
      </w:r>
    </w:p>
    <w:p>
      <w:pPr>
        <w:spacing w:after="0" w:line="1" w:lineRule="exact"/>
        <w:rPr>
          <w:rFonts w:ascii="Arial" w:cs="Arial" w:eastAsia="Arial" w:hAnsi="Arial"/>
          <w:sz w:val="18"/>
          <w:szCs w:val="18"/>
          <w:color w:val="auto"/>
        </w:rPr>
      </w:pPr>
    </w:p>
    <w:p>
      <w:pPr>
        <w:ind w:left="180" w:right="60" w:hanging="172"/>
        <w:spacing w:after="0" w:line="271" w:lineRule="auto"/>
        <w:tabs>
          <w:tab w:leader="none" w:pos="1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$4.7 million net credit related to a fair value change in contingent consideration from prior acquisitions (after-tax impact of $4.5 million, or $0.95 per share);</w:t>
      </w:r>
    </w:p>
    <w:p>
      <w:pPr>
        <w:spacing w:after="0" w:line="86" w:lineRule="exact"/>
        <w:rPr>
          <w:rFonts w:ascii="Arial" w:cs="Arial" w:eastAsia="Arial" w:hAnsi="Arial"/>
          <w:sz w:val="18"/>
          <w:szCs w:val="18"/>
          <w:color w:val="auto"/>
        </w:rPr>
      </w:pPr>
    </w:p>
    <w:p>
      <w:pPr>
        <w:ind w:left="180" w:right="160" w:hanging="172"/>
        <w:spacing w:after="0" w:line="271" w:lineRule="auto"/>
        <w:tabs>
          <w:tab w:leader="none" w:pos="1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$9.6 million in expenses related to non-operating SIPs at other businesses and the education and television broadcasting divisions (after-tax impact of $7.2 million, or $1.50 per share);</w:t>
      </w:r>
    </w:p>
    <w:p>
      <w:pPr>
        <w:spacing w:after="0" w:line="99" w:lineRule="exact"/>
        <w:rPr>
          <w:rFonts w:ascii="Arial" w:cs="Arial" w:eastAsia="Arial" w:hAnsi="Arial"/>
          <w:sz w:val="18"/>
          <w:szCs w:val="18"/>
          <w:color w:val="auto"/>
        </w:rPr>
      </w:pPr>
    </w:p>
    <w:p>
      <w:pPr>
        <w:ind w:left="180" w:right="540" w:hanging="172"/>
        <w:spacing w:after="0" w:line="256" w:lineRule="auto"/>
        <w:tabs>
          <w:tab w:leader="none" w:pos="1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$0.3 million in interest expense to adjust the fair value of the mandatorily redeemable noncontrolling interest (after-tax impact of $0.2 million, or $0.05 per share);</w:t>
      </w:r>
    </w:p>
    <w:p>
      <w:pPr>
        <w:spacing w:after="0" w:line="111" w:lineRule="exact"/>
        <w:rPr>
          <w:rFonts w:ascii="Arial" w:cs="Arial" w:eastAsia="Arial" w:hAnsi="Arial"/>
          <w:sz w:val="18"/>
          <w:szCs w:val="18"/>
          <w:color w:val="auto"/>
        </w:rPr>
      </w:pPr>
    </w:p>
    <w:p>
      <w:pPr>
        <w:ind w:left="160" w:hanging="152"/>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$96.7 million in net gains on marketable equity securities (after-tax impact of $71.2 million, or $14.92 per share);</w:t>
      </w:r>
    </w:p>
    <w:p>
      <w:pPr>
        <w:spacing w:after="0" w:line="144" w:lineRule="exact"/>
        <w:rPr>
          <w:rFonts w:ascii="Arial" w:cs="Arial" w:eastAsia="Arial" w:hAnsi="Arial"/>
          <w:sz w:val="18"/>
          <w:szCs w:val="18"/>
          <w:color w:val="auto"/>
        </w:rPr>
      </w:pPr>
    </w:p>
    <w:p>
      <w:pPr>
        <w:ind w:left="180" w:right="380" w:hanging="172"/>
        <w:spacing w:after="0" w:line="271" w:lineRule="auto"/>
        <w:tabs>
          <w:tab w:leader="none" w:pos="1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$6.8 million in net losses of affiliates whose operations are not managed by the Company (after-tax impact of $5.0 million, or $1.05 per share);</w:t>
      </w:r>
    </w:p>
    <w:p>
      <w:pPr>
        <w:spacing w:after="0" w:line="99" w:lineRule="exact"/>
        <w:rPr>
          <w:rFonts w:ascii="Arial" w:cs="Arial" w:eastAsia="Arial" w:hAnsi="Arial"/>
          <w:sz w:val="18"/>
          <w:szCs w:val="18"/>
          <w:color w:val="auto"/>
        </w:rPr>
      </w:pPr>
    </w:p>
    <w:p>
      <w:pPr>
        <w:ind w:left="160" w:hanging="152"/>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non-operating gain of $10.0 million on the sale of Pinna (after-tax impact of $7.4 million, or $1.55 per share); and</w:t>
      </w:r>
    </w:p>
    <w:p>
      <w:pPr>
        <w:spacing w:after="0" w:line="144" w:lineRule="exact"/>
        <w:rPr>
          <w:rFonts w:ascii="Arial" w:cs="Arial" w:eastAsia="Arial" w:hAnsi="Arial"/>
          <w:sz w:val="18"/>
          <w:szCs w:val="18"/>
          <w:color w:val="auto"/>
        </w:rPr>
      </w:pPr>
    </w:p>
    <w:p>
      <w:pPr>
        <w:ind w:left="180" w:right="360" w:hanging="172"/>
        <w:spacing w:after="0" w:line="271" w:lineRule="auto"/>
        <w:tabs>
          <w:tab w:leader="none" w:pos="1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non-operating gain of $3.9 million from the write-up and sales of cost method investments (after-tax impact of $2.9 million, or $0.61 per share).</w:t>
      </w:r>
    </w:p>
    <w:p>
      <w:pPr>
        <w:spacing w:after="0" w:line="100" w:lineRule="exact"/>
        <w:rPr>
          <w:sz w:val="20"/>
          <w:szCs w:val="20"/>
          <w:color w:val="auto"/>
        </w:rPr>
      </w:pPr>
    </w:p>
    <w:p>
      <w:pPr>
        <w:ind w:right="720"/>
        <w:spacing w:after="0" w:line="237" w:lineRule="auto"/>
        <w:rPr>
          <w:sz w:val="20"/>
          <w:szCs w:val="20"/>
          <w:color w:val="auto"/>
        </w:rPr>
      </w:pPr>
      <w:r>
        <w:rPr>
          <w:rFonts w:ascii="Arial" w:cs="Arial" w:eastAsia="Arial" w:hAnsi="Arial"/>
          <w:sz w:val="18"/>
          <w:szCs w:val="18"/>
          <w:color w:val="auto"/>
        </w:rPr>
        <w:t>Revenue for the first six months of 2024 was $2,337.9 million, up 9% from $2,136.5 million in the first six months of 2023. Revenues increased at education, healthcare and automotive, partially offset by declines at television broadcasting, manufacturing and other</w:t>
      </w:r>
    </w:p>
    <w:p>
      <w:pPr>
        <w:spacing w:after="0" w:line="235" w:lineRule="auto"/>
        <w:rPr>
          <w:sz w:val="20"/>
          <w:szCs w:val="20"/>
          <w:color w:val="auto"/>
        </w:rPr>
      </w:pPr>
      <w:r>
        <w:rPr>
          <w:rFonts w:ascii="Arial" w:cs="Arial" w:eastAsia="Arial" w:hAnsi="Arial"/>
          <w:sz w:val="18"/>
          <w:szCs w:val="18"/>
          <w:color w:val="auto"/>
        </w:rPr>
        <w:t>businesses. The Company recorded operated income of $61.4 million for the first six months of 2024, compared to $85.7 million for the first</w:t>
      </w:r>
    </w:p>
    <w:p>
      <w:pPr>
        <w:spacing w:after="0" w:line="1"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six months of 2023. The decrease in operating results is due to goodwill and intangible asset impairment charges at WGB and declines at television broadcasting, manufacturing, automotive and other businesses, partially offset by increases at education and healthcare.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Education division revenue totaled $422.9 million for the second quarter of 2024, up 5% from $402.2 million for the same period of 2023.</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Kaplan reported operating income of $35.3 million for the second quarter of 2024, compared to $30.1 million for the second quarter of 2023.</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For the first six months of 2024, education division revenue totaled $845.5 million, up 8% from $780.3 million for the same period of 2023.</w:t>
      </w:r>
    </w:p>
    <w:p>
      <w:pPr>
        <w:spacing w:after="0"/>
        <w:rPr>
          <w:sz w:val="20"/>
          <w:szCs w:val="20"/>
          <w:color w:val="auto"/>
        </w:rPr>
      </w:pPr>
      <w:r>
        <w:rPr>
          <w:rFonts w:ascii="Arial" w:cs="Arial" w:eastAsia="Arial" w:hAnsi="Arial"/>
          <w:sz w:val="18"/>
          <w:szCs w:val="18"/>
          <w:color w:val="auto"/>
        </w:rPr>
        <w:t>Kaplan reported operating income of $65.9 million for the first six months of 2024, compared to $53.2 million for the first six months of 2023.</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2023</w:t>
            </w:r>
          </w:p>
        </w:tc>
        <w:tc>
          <w:tcPr>
            <w:tcW w:w="13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2023</w:t>
            </w:r>
          </w:p>
        </w:tc>
        <w:tc>
          <w:tcPr>
            <w:tcW w:w="12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267,026</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237,663</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12</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536,824</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464,739</w:t>
            </w:r>
          </w:p>
        </w:tc>
        <w:tc>
          <w:tcPr>
            <w:tcW w:w="120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29"/>
        </w:trPr>
        <w:tc>
          <w:tcPr>
            <w:tcW w:w="404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81,041</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90,291</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161,163</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168,632</w:t>
            </w: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9"/>
        </w:trPr>
        <w:tc>
          <w:tcPr>
            <w:tcW w:w="404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73,133</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74,616</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145,255</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148,203</w:t>
            </w: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0"/>
        </w:trPr>
        <w:tc>
          <w:tcPr>
            <w:tcW w:w="404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2,993</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2,887</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5,581</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5,259</w:t>
            </w:r>
          </w:p>
        </w:tc>
        <w:tc>
          <w:tcPr>
            <w:tcW w:w="12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3"/>
        </w:trPr>
        <w:tc>
          <w:tcPr>
            <w:tcW w:w="404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(1,294)</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(3,230)</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(3,326)</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(6,565)</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04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422,899</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402,227</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5</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845,497</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780,268</w:t>
            </w:r>
          </w:p>
        </w:tc>
        <w:tc>
          <w:tcPr>
            <w:tcW w:w="12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
        </w:trPr>
        <w:tc>
          <w:tcPr>
            <w:tcW w:w="40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0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25,824</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20,751</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24</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57,136</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42,052</w:t>
            </w:r>
          </w:p>
        </w:tc>
        <w:tc>
          <w:tcPr>
            <w:tcW w:w="120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30"/>
        </w:trPr>
        <w:tc>
          <w:tcPr>
            <w:tcW w:w="404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14,354</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17,795</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(19)</w:t>
            </w:r>
          </w:p>
        </w:tc>
        <w:tc>
          <w:tcPr>
            <w:tcW w:w="26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19,873</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24,878</w:t>
            </w:r>
          </w:p>
        </w:tc>
        <w:tc>
          <w:tcPr>
            <w:tcW w:w="120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29"/>
        </w:trPr>
        <w:tc>
          <w:tcPr>
            <w:tcW w:w="404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5,672</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3,512</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62</w:t>
            </w:r>
          </w:p>
        </w:tc>
        <w:tc>
          <w:tcPr>
            <w:tcW w:w="26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10,252</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7,263</w:t>
            </w:r>
          </w:p>
        </w:tc>
        <w:tc>
          <w:tcPr>
            <w:tcW w:w="120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29"/>
        </w:trPr>
        <w:tc>
          <w:tcPr>
            <w:tcW w:w="404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(8,055)</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(7,824)</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(15,640)</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(12,662)</w:t>
            </w:r>
          </w:p>
        </w:tc>
        <w:tc>
          <w:tcPr>
            <w:tcW w:w="120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0"/>
        </w:trPr>
        <w:tc>
          <w:tcPr>
            <w:tcW w:w="404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(2,872)</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(3,984)</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28</w:t>
            </w:r>
          </w:p>
        </w:tc>
        <w:tc>
          <w:tcPr>
            <w:tcW w:w="26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(5,846)</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(7,923)</w:t>
            </w:r>
          </w:p>
        </w:tc>
        <w:tc>
          <w:tcPr>
            <w:tcW w:w="120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29"/>
        </w:trPr>
        <w:tc>
          <w:tcPr>
            <w:tcW w:w="4040" w:type="dxa"/>
            <w:vAlign w:val="bottom"/>
          </w:tcPr>
          <w:p>
            <w:pPr>
              <w:ind w:left="220"/>
              <w:spacing w:after="0"/>
              <w:rPr>
                <w:sz w:val="20"/>
                <w:szCs w:val="20"/>
                <w:color w:val="auto"/>
              </w:rPr>
            </w:pPr>
            <w:r>
              <w:rPr>
                <w:rFonts w:ascii="Arial" w:cs="Arial" w:eastAsia="Arial" w:hAnsi="Arial"/>
                <w:sz w:val="16"/>
                <w:szCs w:val="16"/>
                <w:color w:val="auto"/>
              </w:rPr>
              <w:t>Impairment of long-lived assets</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(477)</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404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354</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89</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04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35,277</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30,116</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17</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65,864</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53,156</w:t>
            </w:r>
          </w:p>
        </w:tc>
        <w:tc>
          <w:tcPr>
            <w:tcW w:w="120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Kaplan International includes postsecondary education, professional training and language training businesses largely outside the United</w:t>
      </w:r>
    </w:p>
    <w:p>
      <w:pPr>
        <w:spacing w:after="0" w:line="14" w:lineRule="exact"/>
        <w:rPr>
          <w:sz w:val="20"/>
          <w:szCs w:val="20"/>
          <w:color w:val="auto"/>
        </w:rPr>
      </w:pPr>
    </w:p>
    <w:p>
      <w:pPr>
        <w:ind w:right="220"/>
        <w:spacing w:after="0" w:line="223" w:lineRule="auto"/>
        <w:rPr>
          <w:sz w:val="20"/>
          <w:szCs w:val="20"/>
          <w:color w:val="auto"/>
        </w:rPr>
      </w:pPr>
      <w:r>
        <w:rPr>
          <w:rFonts w:ascii="Arial" w:cs="Arial" w:eastAsia="Arial" w:hAnsi="Arial"/>
          <w:sz w:val="18"/>
          <w:szCs w:val="18"/>
          <w:color w:val="auto"/>
        </w:rPr>
        <w:t>States (U.S.). Kaplan International revenue increased 12% and 16% for the second quarter and first six months of 2024, respectively (12% and 14%, respectively, on a constant currency basis). The increase is due largely to growth at Pathways, Australia, UK Professional and Singapore. Kaplan International reported operating income of $25.8 million in the second quarter of 2024, compared to $20.8 million in the second quarter of 2023. The increase is due largely to improved results at Australia, UK Professional and Pathways. Operating income</w:t>
      </w:r>
    </w:p>
    <w:p>
      <w:pPr>
        <w:spacing w:after="0" w:line="237" w:lineRule="auto"/>
        <w:rPr>
          <w:sz w:val="20"/>
          <w:szCs w:val="20"/>
          <w:color w:val="auto"/>
        </w:rPr>
      </w:pPr>
      <w:r>
        <w:rPr>
          <w:rFonts w:ascii="Arial" w:cs="Arial" w:eastAsia="Arial" w:hAnsi="Arial"/>
          <w:sz w:val="18"/>
          <w:szCs w:val="18"/>
          <w:color w:val="auto"/>
        </w:rPr>
        <w:t>increased to $57.1 million in the first six months of 2024, compared to $42.1 million in the first six months of 2023. The increase is due largely to improved results at Australia, UK Professional, Pathways and Singapore, partially offset by a decline at Languages.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Higher Education includes the results of Kaplan as a service provider to higher education institutions. Higher Education revenue declined</w:t>
      </w:r>
    </w:p>
    <w:p>
      <w:pPr>
        <w:spacing w:after="0" w:line="14"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10% and 4% for the second quarter and first six months of 2024, respectively, due primarily to a decrease in the Purdue Global fee recorded and reduced reimbursable expenses. The lower Purdue Global fee recorded was primarily due to timing of academic term starts. Enrollments</w:t>
      </w:r>
    </w:p>
    <w:p>
      <w:pPr>
        <w:spacing w:after="0" w:line="236" w:lineRule="auto"/>
        <w:rPr>
          <w:sz w:val="20"/>
          <w:szCs w:val="20"/>
          <w:color w:val="auto"/>
        </w:rPr>
      </w:pPr>
      <w:r>
        <w:rPr>
          <w:rFonts w:ascii="Arial" w:cs="Arial" w:eastAsia="Arial" w:hAnsi="Arial"/>
          <w:sz w:val="18"/>
          <w:szCs w:val="18"/>
          <w:color w:val="auto"/>
        </w:rPr>
        <w:t>at Purdue Global, the largest institutional client, increased 3% for the first half of 2024 compared to the first half of 2023. For the second</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quarter and first six months of 2024 and 2023, Kaplan recorded a portion of the fee from Purdue Global. The Company will continue to assess the fee it records from Purdue Global on a quarterly basis to make a determination as to whether to record all or part of the fee in the</w:t>
      </w:r>
    </w:p>
    <w:p>
      <w:pPr>
        <w:spacing w:after="0" w:line="235" w:lineRule="auto"/>
        <w:rPr>
          <w:sz w:val="20"/>
          <w:szCs w:val="20"/>
          <w:color w:val="auto"/>
        </w:rPr>
      </w:pPr>
      <w:r>
        <w:rPr>
          <w:rFonts w:ascii="Arial" w:cs="Arial" w:eastAsia="Arial" w:hAnsi="Arial"/>
          <w:sz w:val="18"/>
          <w:szCs w:val="18"/>
          <w:color w:val="auto"/>
        </w:rPr>
        <w:t>future and whether to adjust fee amounts recognized in earlier periods. Higher Education operating results declined in the second quarter</w:t>
      </w:r>
    </w:p>
    <w:p>
      <w:pPr>
        <w:ind w:right="140"/>
        <w:spacing w:after="0" w:line="237" w:lineRule="auto"/>
        <w:rPr>
          <w:sz w:val="20"/>
          <w:szCs w:val="20"/>
          <w:color w:val="auto"/>
        </w:rPr>
      </w:pPr>
      <w:r>
        <w:rPr>
          <w:rFonts w:ascii="Arial" w:cs="Arial" w:eastAsia="Arial" w:hAnsi="Arial"/>
          <w:sz w:val="18"/>
          <w:szCs w:val="18"/>
          <w:color w:val="auto"/>
        </w:rPr>
        <w:t>and first six months of 2024 due to a lower Purdue Global fee recorded compared to the second quarter and first six months of 2023 and an increase in higher education development costs.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Supplemental Education includes Kaplan’s standardized test preparation programs and domestic professional and other continuing</w:t>
      </w:r>
    </w:p>
    <w:p>
      <w:pPr>
        <w:spacing w:after="0" w:line="14"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education businesses. Supplemental Education revenue declined 2% for the second quarter and first six months of 2024, driven mostly by softness in Medical Licensure test preparation and publishing activities and Real Estate, offset in part by growth in Insurance, CFA,</w:t>
      </w:r>
    </w:p>
    <w:p>
      <w:pPr>
        <w:spacing w:after="0" w:line="2"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Architecture and Engineering and MCAT test preparation. Operating results improved in the second quarter and first six months of 2024 due to cost reductions from lower headcount, partially offset by lower revenues.</w:t>
      </w:r>
    </w:p>
    <w:p>
      <w:pPr>
        <w:spacing w:after="0" w:line="104"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 Kaplan corporate and other expenses increased in the second quarter and first six months of 2024, largely due to increased employee benefit and incentive compensation costs.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television broadcasting’s operating results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Six Months Ended</w:t>
            </w:r>
          </w:p>
        </w:tc>
        <w:tc>
          <w:tcPr>
            <w:tcW w:w="1200" w:type="dxa"/>
            <w:vAlign w:val="bottom"/>
          </w:tcPr>
          <w:p>
            <w:pPr>
              <w:spacing w:after="0"/>
              <w:rPr>
                <w:sz w:val="17"/>
                <w:szCs w:val="17"/>
                <w:color w:val="auto"/>
              </w:rPr>
            </w:pPr>
          </w:p>
        </w:tc>
      </w:tr>
      <w:tr>
        <w:trPr>
          <w:trHeight w:val="225"/>
        </w:trPr>
        <w:tc>
          <w:tcPr>
            <w:tcW w:w="40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left="464"/>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left="464"/>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1200" w:type="dxa"/>
            <w:vAlign w:val="bottom"/>
          </w:tcPr>
          <w:p>
            <w:pPr>
              <w:spacing w:after="0"/>
              <w:rPr>
                <w:sz w:val="19"/>
                <w:szCs w:val="19"/>
                <w:color w:val="auto"/>
              </w:rPr>
            </w:pPr>
          </w:p>
        </w:tc>
      </w:tr>
      <w:tr>
        <w:trPr>
          <w:trHeight w:val="210"/>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2023</w:t>
            </w:r>
          </w:p>
        </w:tc>
        <w:tc>
          <w:tcPr>
            <w:tcW w:w="13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2023</w:t>
            </w: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23"/>
        </w:trPr>
        <w:tc>
          <w:tcPr>
            <w:tcW w:w="402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115,478</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118,829</w:t>
            </w:r>
          </w:p>
        </w:tc>
        <w:tc>
          <w:tcPr>
            <w:tcW w:w="1320" w:type="dxa"/>
            <w:vAlign w:val="bottom"/>
          </w:tcPr>
          <w:p>
            <w:pPr>
              <w:jc w:val="right"/>
              <w:ind w:right="62"/>
              <w:spacing w:after="0"/>
              <w:rPr>
                <w:sz w:val="20"/>
                <w:szCs w:val="20"/>
                <w:color w:val="auto"/>
              </w:rPr>
            </w:pPr>
            <w:r>
              <w:rPr>
                <w:rFonts w:ascii="Arial" w:cs="Arial" w:eastAsia="Arial" w:hAnsi="Arial"/>
                <w:sz w:val="16"/>
                <w:szCs w:val="16"/>
                <w:color w:val="auto"/>
              </w:rPr>
              <w:t>(3)</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228,536</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231,706</w:t>
            </w: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9"/>
        </w:trPr>
        <w:tc>
          <w:tcPr>
            <w:tcW w:w="402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31,128</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33,190</w:t>
            </w:r>
          </w:p>
        </w:tc>
        <w:tc>
          <w:tcPr>
            <w:tcW w:w="1320" w:type="dxa"/>
            <w:vAlign w:val="bottom"/>
          </w:tcPr>
          <w:p>
            <w:pPr>
              <w:jc w:val="right"/>
              <w:ind w:right="62"/>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60,761</w:t>
            </w:r>
          </w:p>
        </w:tc>
        <w:tc>
          <w:tcPr>
            <w:tcW w:w="40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61,773</w:t>
            </w: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r>
    </w:tbl>
    <w:p>
      <w:pPr>
        <w:spacing w:after="0" w:line="200" w:lineRule="exact"/>
        <w:rPr>
          <w:sz w:val="20"/>
          <w:szCs w:val="20"/>
          <w:color w:val="auto"/>
        </w:rPr>
      </w:pP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color w:val="auto"/>
        </w:rPr>
        <w:t>Graham Media Group, Inc. owns seven television stations located in Houston, TX; Detroit, MI; Orlando, FL; San Antonio, TX; Jacksonville,</w:t>
      </w:r>
    </w:p>
    <w:p>
      <w:pPr>
        <w:spacing w:after="0" w:line="14"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FL; and Roanoke, VA, as well as SocialNewsDesk, a provider of social media management tools designed to connect newsrooms with their users. Revenue at the television broadcasting division decreased 3% to $115.5 million in the second quarter of 2024, from $118.8 million in</w:t>
      </w:r>
    </w:p>
    <w:p>
      <w:pPr>
        <w:spacing w:after="0" w:line="235" w:lineRule="auto"/>
        <w:rPr>
          <w:sz w:val="20"/>
          <w:szCs w:val="20"/>
          <w:color w:val="auto"/>
        </w:rPr>
      </w:pPr>
      <w:r>
        <w:rPr>
          <w:rFonts w:ascii="Arial" w:cs="Arial" w:eastAsia="Arial" w:hAnsi="Arial"/>
          <w:sz w:val="18"/>
          <w:szCs w:val="18"/>
          <w:color w:val="auto"/>
        </w:rPr>
        <w:t>the same period of 2023. The revenue decline is due to a $2.7 million decrease in retransmission revenue and declines in local and digital</w:t>
      </w:r>
    </w:p>
    <w:p>
      <w:pPr>
        <w:ind w:right="200"/>
        <w:spacing w:after="0" w:line="226" w:lineRule="auto"/>
        <w:rPr>
          <w:sz w:val="20"/>
          <w:szCs w:val="20"/>
          <w:color w:val="auto"/>
        </w:rPr>
      </w:pPr>
      <w:r>
        <w:rPr>
          <w:rFonts w:ascii="Arial" w:cs="Arial" w:eastAsia="Arial" w:hAnsi="Arial"/>
          <w:sz w:val="18"/>
          <w:szCs w:val="18"/>
          <w:color w:val="auto"/>
        </w:rPr>
        <w:t>advertising revenues, partially offset by a $4.8 million increase in political advertising revenue. Operating income for the second quarter of 2024 was down 6% to $31.1 million, from $33.2 million in the same period of 2023, due to lower revenues and increased pension expense,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 lower network fees.</w:t>
      </w:r>
    </w:p>
    <w:p>
      <w:pPr>
        <w:spacing w:after="0" w:line="140" w:lineRule="exact"/>
        <w:rPr>
          <w:sz w:val="20"/>
          <w:szCs w:val="20"/>
          <w:color w:val="auto"/>
        </w:rPr>
      </w:pPr>
    </w:p>
    <w:p>
      <w:pPr>
        <w:ind w:right="460"/>
        <w:spacing w:after="0" w:line="251" w:lineRule="auto"/>
        <w:rPr>
          <w:sz w:val="20"/>
          <w:szCs w:val="20"/>
          <w:color w:val="auto"/>
        </w:rPr>
      </w:pPr>
      <w:r>
        <w:rPr>
          <w:rFonts w:ascii="Arial" w:cs="Arial" w:eastAsia="Arial" w:hAnsi="Arial"/>
          <w:sz w:val="17"/>
          <w:szCs w:val="17"/>
          <w:color w:val="auto"/>
        </w:rPr>
        <w:t>Revenue at the television broadcasting division was down 1% to $ 228.5 million in the first six months of 2024, from $ 231.7 million in the same period of 2023. The revenue decline is due to a $2.7 million decrease in retransmission revenue and a decline in local advertising</w:t>
      </w:r>
    </w:p>
    <w:p>
      <w:pPr>
        <w:spacing w:after="0" w:line="235" w:lineRule="auto"/>
        <w:rPr>
          <w:sz w:val="20"/>
          <w:szCs w:val="20"/>
          <w:color w:val="auto"/>
        </w:rPr>
      </w:pPr>
      <w:r>
        <w:rPr>
          <w:rFonts w:ascii="Arial" w:cs="Arial" w:eastAsia="Arial" w:hAnsi="Arial"/>
          <w:sz w:val="18"/>
          <w:szCs w:val="18"/>
          <w:color w:val="auto"/>
        </w:rPr>
        <w:t>revenue, partially offset by a $6.2 million increase in political advertising revenue; digital advertising revenue was flat in the first six months of</w:t>
      </w:r>
    </w:p>
    <w:p>
      <w:pPr>
        <w:ind w:right="40"/>
        <w:spacing w:after="0"/>
        <w:rPr>
          <w:sz w:val="20"/>
          <w:szCs w:val="20"/>
          <w:color w:val="auto"/>
        </w:rPr>
      </w:pPr>
      <w:r>
        <w:rPr>
          <w:rFonts w:ascii="Arial" w:cs="Arial" w:eastAsia="Arial" w:hAnsi="Arial"/>
          <w:sz w:val="17"/>
          <w:szCs w:val="17"/>
          <w:color w:val="auto"/>
        </w:rPr>
        <w:t>2024. Operating income for the first six months of 2024 was down 2% to $60.8 million, from $61.8 million in the same period of 2023, due to modestly lower revenues and increased pension expense, partially offset by lower network fees and lower overall costs. While per subscriber</w:t>
      </w:r>
    </w:p>
    <w:p>
      <w:pPr>
        <w:spacing w:after="0" w:line="1"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color w:val="auto"/>
        </w:rPr>
        <w:t>rates from cable, satellite and OTT providers have grown, overall cable and satellite subscribers are down due to cord cutting, resulting in retransmission revenue net of network fees in 2024 expected to decline compared with 2023, and this trend is expected to continue.</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second quarter of 2024, the Company offered a VRIP to certain employees at the television broadcasting division. The early retirement program expense for this program will be funded by the assets of the Company’s pension plan; $14.3 million in related non-operating pension expense was recorded in the second quarter of 2024.</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manufacturing’s operating results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Six Months Ended</w:t>
            </w:r>
          </w:p>
        </w:tc>
        <w:tc>
          <w:tcPr>
            <w:tcW w:w="1200" w:type="dxa"/>
            <w:vAlign w:val="bottom"/>
          </w:tcPr>
          <w:p>
            <w:pPr>
              <w:spacing w:after="0"/>
              <w:rPr>
                <w:sz w:val="17"/>
                <w:szCs w:val="17"/>
                <w:color w:val="auto"/>
              </w:rPr>
            </w:pPr>
          </w:p>
        </w:tc>
      </w:tr>
      <w:tr>
        <w:trPr>
          <w:trHeight w:val="225"/>
        </w:trPr>
        <w:tc>
          <w:tcPr>
            <w:tcW w:w="40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left="464"/>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left="464"/>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1200" w:type="dxa"/>
            <w:vAlign w:val="bottom"/>
          </w:tcPr>
          <w:p>
            <w:pPr>
              <w:spacing w:after="0"/>
              <w:rPr>
                <w:sz w:val="19"/>
                <w:szCs w:val="19"/>
                <w:color w:val="auto"/>
              </w:rPr>
            </w:pPr>
          </w:p>
        </w:tc>
      </w:tr>
      <w:tr>
        <w:trPr>
          <w:trHeight w:val="210"/>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2023</w:t>
            </w:r>
          </w:p>
        </w:tc>
        <w:tc>
          <w:tcPr>
            <w:tcW w:w="13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2023</w:t>
            </w: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23"/>
        </w:trPr>
        <w:tc>
          <w:tcPr>
            <w:tcW w:w="402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103,626</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120,082</w:t>
            </w:r>
          </w:p>
        </w:tc>
        <w:tc>
          <w:tcPr>
            <w:tcW w:w="1320" w:type="dxa"/>
            <w:vAlign w:val="bottom"/>
          </w:tcPr>
          <w:p>
            <w:pPr>
              <w:jc w:val="right"/>
              <w:ind w:right="62"/>
              <w:spacing w:after="0"/>
              <w:rPr>
                <w:sz w:val="20"/>
                <w:szCs w:val="20"/>
                <w:color w:val="auto"/>
              </w:rPr>
            </w:pPr>
            <w:r>
              <w:rPr>
                <w:rFonts w:ascii="Arial" w:cs="Arial" w:eastAsia="Arial" w:hAnsi="Arial"/>
                <w:sz w:val="16"/>
                <w:szCs w:val="16"/>
                <w:color w:val="auto"/>
              </w:rPr>
              <w:t>(14)</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205,529</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234,666</w:t>
            </w:r>
          </w:p>
        </w:tc>
        <w:tc>
          <w:tcPr>
            <w:tcW w:w="12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29"/>
        </w:trPr>
        <w:tc>
          <w:tcPr>
            <w:tcW w:w="402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4,265</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11,982</w:t>
            </w:r>
          </w:p>
        </w:tc>
        <w:tc>
          <w:tcPr>
            <w:tcW w:w="1320" w:type="dxa"/>
            <w:vAlign w:val="bottom"/>
          </w:tcPr>
          <w:p>
            <w:pPr>
              <w:jc w:val="right"/>
              <w:ind w:right="62"/>
              <w:spacing w:after="0"/>
              <w:rPr>
                <w:sz w:val="20"/>
                <w:szCs w:val="20"/>
                <w:color w:val="auto"/>
              </w:rPr>
            </w:pPr>
            <w:r>
              <w:rPr>
                <w:rFonts w:ascii="Arial" w:cs="Arial" w:eastAsia="Arial" w:hAnsi="Arial"/>
                <w:sz w:val="16"/>
                <w:szCs w:val="16"/>
                <w:color w:val="auto"/>
              </w:rPr>
              <w:t>(64)</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7,334</w:t>
            </w:r>
          </w:p>
        </w:tc>
        <w:tc>
          <w:tcPr>
            <w:tcW w:w="40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19,310</w:t>
            </w:r>
          </w:p>
        </w:tc>
        <w:tc>
          <w:tcPr>
            <w:tcW w:w="1200" w:type="dxa"/>
            <w:vAlign w:val="bottom"/>
          </w:tcPr>
          <w:p>
            <w:pPr>
              <w:jc w:val="right"/>
              <w:spacing w:after="0"/>
              <w:rPr>
                <w:sz w:val="20"/>
                <w:szCs w:val="20"/>
                <w:color w:val="auto"/>
              </w:rPr>
            </w:pPr>
            <w:r>
              <w:rPr>
                <w:rFonts w:ascii="Arial" w:cs="Arial" w:eastAsia="Arial" w:hAnsi="Arial"/>
                <w:sz w:val="16"/>
                <w:szCs w:val="16"/>
                <w:color w:val="auto"/>
              </w:rPr>
              <w:t>(62)</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Manufacturing includes four businesses: Hoover, a supplier of pressure impregnated kiln-dried lumber and plywood products for fire retardant</w:t>
      </w:r>
    </w:p>
    <w:p>
      <w:pPr>
        <w:spacing w:after="0" w:line="14"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and preservative applications; Dekko, a manufacturer of electrical workspace solutions, architectural lighting and electrical components and assemblies; Joyce/Dayton, a manufacturer of screw jacks and other linear motion systems; and Forney, a global supplier of products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systems that control and monitor combustion processes in electric utility and industrial applications.</w:t>
      </w:r>
    </w:p>
    <w:p>
      <w:pPr>
        <w:spacing w:after="0" w:line="140"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Manufacturing revenues decreased 14% and 12% in the second quarter and first six months of 2024, respectively. The revenue decline in the second quarter of 2024 is due to lower revenues at Hoover, Forney and Joyce, partially offset by a modest increase in revenues at</w:t>
      </w:r>
    </w:p>
    <w:p>
      <w:pPr>
        <w:spacing w:after="0" w:line="235" w:lineRule="auto"/>
        <w:rPr>
          <w:sz w:val="20"/>
          <w:szCs w:val="20"/>
          <w:color w:val="auto"/>
        </w:rPr>
      </w:pPr>
      <w:r>
        <w:rPr>
          <w:rFonts w:ascii="Arial" w:cs="Arial" w:eastAsia="Arial" w:hAnsi="Arial"/>
          <w:sz w:val="18"/>
          <w:szCs w:val="18"/>
          <w:color w:val="auto"/>
        </w:rPr>
        <w:t>Dekko. The revenue decline in the first six months of 2024 is due to lower revenues at all of the manufacturing businesses. The revenue</w:t>
      </w:r>
    </w:p>
    <w:p>
      <w:pPr>
        <w:spacing w:after="0" w:line="1"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decline at Hoover is due largely to a decrease in volumes and overall product demand, particularly for multi-family housing. Revenues declined at Dekko due to lower product demand. Overall, Hoover results included wood gains on inventory sales in the first half of 2024 and</w:t>
      </w:r>
    </w:p>
    <w:p>
      <w:pPr>
        <w:spacing w:after="0" w:line="236" w:lineRule="auto"/>
        <w:rPr>
          <w:sz w:val="20"/>
          <w:szCs w:val="20"/>
          <w:color w:val="auto"/>
        </w:rPr>
      </w:pPr>
      <w:r>
        <w:rPr>
          <w:rFonts w:ascii="Arial" w:cs="Arial" w:eastAsia="Arial" w:hAnsi="Arial"/>
          <w:sz w:val="18"/>
          <w:szCs w:val="18"/>
          <w:color w:val="auto"/>
        </w:rPr>
        <w:t>2023, with gains in the first half of 2024 lower than the prior year. For the second quarter of 2024, Hoover results included modest wood</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losses on inventory sales compared with wood gains on inventory sales in the second quarter of 2023. Manufacturing operating results were down in the second quarter and first six months 2024 due largely to significant declines at Hoover and Dekko, along with declines at Joyce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and Forney.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A summary of healthcare’s operating results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Six Months Ended</w:t>
            </w:r>
          </w:p>
        </w:tc>
        <w:tc>
          <w:tcPr>
            <w:tcW w:w="1200" w:type="dxa"/>
            <w:vAlign w:val="bottom"/>
          </w:tcPr>
          <w:p>
            <w:pPr>
              <w:spacing w:after="0"/>
              <w:rPr>
                <w:sz w:val="17"/>
                <w:szCs w:val="17"/>
                <w:color w:val="auto"/>
              </w:rPr>
            </w:pPr>
          </w:p>
        </w:tc>
      </w:tr>
      <w:tr>
        <w:trPr>
          <w:trHeight w:val="225"/>
        </w:trPr>
        <w:tc>
          <w:tcPr>
            <w:tcW w:w="40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left="464"/>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left="464"/>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1200" w:type="dxa"/>
            <w:vAlign w:val="bottom"/>
          </w:tcPr>
          <w:p>
            <w:pPr>
              <w:spacing w:after="0"/>
              <w:rPr>
                <w:sz w:val="19"/>
                <w:szCs w:val="19"/>
                <w:color w:val="auto"/>
              </w:rPr>
            </w:pPr>
          </w:p>
        </w:tc>
      </w:tr>
      <w:tr>
        <w:trPr>
          <w:trHeight w:val="210"/>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2023</w:t>
            </w:r>
          </w:p>
        </w:tc>
        <w:tc>
          <w:tcPr>
            <w:tcW w:w="13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2023</w:t>
            </w: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23"/>
        </w:trPr>
        <w:tc>
          <w:tcPr>
            <w:tcW w:w="402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147,528</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113,282</w:t>
            </w: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30</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275,729</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215,341</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28</w:t>
            </w:r>
          </w:p>
        </w:tc>
      </w:tr>
      <w:tr>
        <w:trPr>
          <w:trHeight w:val="229"/>
        </w:trPr>
        <w:tc>
          <w:tcPr>
            <w:tcW w:w="402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12,737</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8,377</w:t>
            </w: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52</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18,828</w:t>
            </w:r>
          </w:p>
        </w:tc>
        <w:tc>
          <w:tcPr>
            <w:tcW w:w="40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11,313</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66</w:t>
            </w:r>
          </w:p>
        </w:tc>
      </w:tr>
    </w:tbl>
    <w:p>
      <w:pPr>
        <w:spacing w:after="0" w:line="232" w:lineRule="exact"/>
        <w:rPr>
          <w:sz w:val="20"/>
          <w:szCs w:val="20"/>
          <w:color w:val="auto"/>
        </w:rPr>
      </w:pPr>
    </w:p>
    <w:p>
      <w:pPr>
        <w:ind w:right="220"/>
        <w:spacing w:after="0" w:line="251" w:lineRule="auto"/>
        <w:rPr>
          <w:sz w:val="20"/>
          <w:szCs w:val="20"/>
          <w:color w:val="auto"/>
        </w:rPr>
      </w:pPr>
      <w:r>
        <w:rPr>
          <w:rFonts w:ascii="Arial" w:cs="Arial" w:eastAsia="Arial" w:hAnsi="Arial"/>
          <w:sz w:val="17"/>
          <w:szCs w:val="17"/>
          <w:color w:val="auto"/>
        </w:rPr>
        <w:t>Graham Healthcare Group (GHG) provides home health and hospice services in seven states. GHG also provides nursing care and prescription services for patients receiving in-home infusion treatments through its 86.7% interest in CSI Pharmacy Holding Company, LLC</w:t>
      </w:r>
    </w:p>
    <w:p>
      <w:pPr>
        <w:spacing w:after="0" w:line="235" w:lineRule="auto"/>
        <w:rPr>
          <w:sz w:val="20"/>
          <w:szCs w:val="20"/>
          <w:color w:val="auto"/>
        </w:rPr>
      </w:pPr>
      <w:r>
        <w:rPr>
          <w:rFonts w:ascii="Arial" w:cs="Arial" w:eastAsia="Arial" w:hAnsi="Arial"/>
          <w:sz w:val="18"/>
          <w:szCs w:val="18"/>
          <w:color w:val="auto"/>
        </w:rPr>
        <w:t>(CSI), and other healthcare services. Healthcare revenues increased 30% and 28% for the second quarter and first six months of 2024,</w:t>
      </w:r>
    </w:p>
    <w:p>
      <w:pPr>
        <w:ind w:right="280"/>
        <w:spacing w:after="0" w:line="237" w:lineRule="auto"/>
        <w:rPr>
          <w:sz w:val="20"/>
          <w:szCs w:val="20"/>
          <w:color w:val="auto"/>
        </w:rPr>
      </w:pPr>
      <w:r>
        <w:rPr>
          <w:rFonts w:ascii="Arial" w:cs="Arial" w:eastAsia="Arial" w:hAnsi="Arial"/>
          <w:sz w:val="18"/>
          <w:szCs w:val="18"/>
          <w:color w:val="auto"/>
        </w:rPr>
        <w:t>respectively, due largely to significant growth at CSI from an expansion of infusion treatment offerings and patient service areas; revenues also grew in home health and</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color w:val="auto"/>
        </w:rPr>
        <w:t>hospice services and at the other healthcare businesses. The increase in GHG operating results in the second quarter and first six months of</w:t>
      </w:r>
    </w:p>
    <w:p>
      <w:pPr>
        <w:spacing w:after="0" w:line="14"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2024 is due to substantially higher operating results at CSI from significant revenue growth, along with improved results at home health, partially offset by a decline in hospice results and increased pension expense. In January 2022, GHC implemented a pension credit retention</w:t>
      </w:r>
    </w:p>
    <w:p>
      <w:pPr>
        <w:spacing w:after="0" w:line="2"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program offering a pension credit up to $50,000 per employee, cliff vested after three years of continuous employment for certain existing employees and new employees. Effective April 1, 2024, this program is no longer being offered to new employees.</w:t>
      </w:r>
    </w:p>
    <w:p>
      <w:pPr>
        <w:spacing w:after="0" w:line="104"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The Company also holds interests in four home health and hospice joint ventures managed by GHG, whose results are included in equity in earnings of affiliates in the Company’s Condensed Consolidated Statements of Operations. The Company recorded equity in earnings of</w:t>
      </w:r>
    </w:p>
    <w:p>
      <w:pPr>
        <w:ind w:right="120"/>
        <w:spacing w:after="0" w:line="237" w:lineRule="auto"/>
        <w:rPr>
          <w:sz w:val="20"/>
          <w:szCs w:val="20"/>
          <w:color w:val="auto"/>
        </w:rPr>
      </w:pPr>
      <w:r>
        <w:rPr>
          <w:rFonts w:ascii="Arial" w:cs="Arial" w:eastAsia="Arial" w:hAnsi="Arial"/>
          <w:sz w:val="18"/>
          <w:szCs w:val="18"/>
          <w:color w:val="auto"/>
        </w:rPr>
        <w:t>$3.4 million and $2.3 million for the second quarter of 2024 and 2023, respectively, from these joint ventures. The Company recorded equity in earnings of $6.8 million and $5.0 million for the first six months of 2024 and 2023,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automotive’s operating results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Six Months Ended</w:t>
            </w:r>
          </w:p>
        </w:tc>
        <w:tc>
          <w:tcPr>
            <w:tcW w:w="1200" w:type="dxa"/>
            <w:vAlign w:val="bottom"/>
          </w:tcPr>
          <w:p>
            <w:pPr>
              <w:spacing w:after="0"/>
              <w:rPr>
                <w:sz w:val="17"/>
                <w:szCs w:val="17"/>
                <w:color w:val="auto"/>
              </w:rPr>
            </w:pPr>
          </w:p>
        </w:tc>
      </w:tr>
      <w:tr>
        <w:trPr>
          <w:trHeight w:val="225"/>
        </w:trPr>
        <w:tc>
          <w:tcPr>
            <w:tcW w:w="40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left="464"/>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left="464"/>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1200" w:type="dxa"/>
            <w:vAlign w:val="bottom"/>
          </w:tcPr>
          <w:p>
            <w:pPr>
              <w:spacing w:after="0"/>
              <w:rPr>
                <w:sz w:val="19"/>
                <w:szCs w:val="19"/>
                <w:color w:val="auto"/>
              </w:rPr>
            </w:pPr>
          </w:p>
        </w:tc>
      </w:tr>
      <w:tr>
        <w:trPr>
          <w:trHeight w:val="209"/>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2023</w:t>
            </w:r>
          </w:p>
        </w:tc>
        <w:tc>
          <w:tcPr>
            <w:tcW w:w="13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2023</w:t>
            </w: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23"/>
        </w:trPr>
        <w:tc>
          <w:tcPr>
            <w:tcW w:w="402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308,814</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260,672</w:t>
            </w: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18</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612,654</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493,233</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24</w:t>
            </w:r>
          </w:p>
        </w:tc>
      </w:tr>
      <w:tr>
        <w:trPr>
          <w:trHeight w:val="229"/>
        </w:trPr>
        <w:tc>
          <w:tcPr>
            <w:tcW w:w="402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10,203</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9,460</w:t>
            </w: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8</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19,855</w:t>
            </w:r>
          </w:p>
        </w:tc>
        <w:tc>
          <w:tcPr>
            <w:tcW w:w="40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20,303</w:t>
            </w: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Automotive includes eight automotive dealerships in the Washington, DC metropolitan area and Richmond, VA: Ourisman Lexus of Rockville,</w:t>
      </w:r>
    </w:p>
    <w:p>
      <w:pPr>
        <w:spacing w:after="0" w:line="14"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Ourisman Honda of Tysons Corner, Ourisman Jeep Bethesda, Ourisman Ford of Manassas, Toyota of Woodbridge, Ourisman Chrysler-Dodge-Jeep-Ram (CDJR) of Woodbridge and Ourisman Toyota of Richmond, which was acquired on September 27, 2023 from McGeorge</w:t>
      </w:r>
    </w:p>
    <w:p>
      <w:pPr>
        <w:spacing w:after="0" w:line="235" w:lineRule="auto"/>
        <w:rPr>
          <w:sz w:val="20"/>
          <w:szCs w:val="20"/>
          <w:color w:val="auto"/>
        </w:rPr>
      </w:pPr>
      <w:r>
        <w:rPr>
          <w:rFonts w:ascii="Arial" w:cs="Arial" w:eastAsia="Arial" w:hAnsi="Arial"/>
          <w:sz w:val="18"/>
          <w:szCs w:val="18"/>
          <w:color w:val="auto"/>
        </w:rPr>
        <w:t>Toyota. The automotive group was awarded a Kia Open Point dealership in Bethesda, MD, which commenced operations at the end of</w:t>
      </w:r>
    </w:p>
    <w:p>
      <w:pPr>
        <w:ind w:right="460"/>
        <w:spacing w:after="0" w:line="237" w:lineRule="auto"/>
        <w:rPr>
          <w:sz w:val="20"/>
          <w:szCs w:val="20"/>
          <w:color w:val="auto"/>
        </w:rPr>
      </w:pPr>
      <w:r>
        <w:rPr>
          <w:rFonts w:ascii="Arial" w:cs="Arial" w:eastAsia="Arial" w:hAnsi="Arial"/>
          <w:sz w:val="18"/>
          <w:szCs w:val="18"/>
          <w:color w:val="auto"/>
        </w:rPr>
        <w:t>December 2023. Christopher J. Ourisman, a member of the Ourisman Automotive Group family of dealerships, and his team of industry professionals operate and manage the dealerships; the Company holds a 90% stake.</w:t>
      </w:r>
    </w:p>
    <w:p>
      <w:pPr>
        <w:spacing w:after="0" w:line="127"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Revenues for the second quarter of 2024 increased 18% due largely to the Toyota of Richmond acquisition and the addition of the Kia dealership, as well as sales growth for new vehicles and for services and parts, partially offset by a decline in used vehicle sales. Revenues</w:t>
      </w:r>
    </w:p>
    <w:p>
      <w:pPr>
        <w:spacing w:after="0" w:line="235" w:lineRule="auto"/>
        <w:rPr>
          <w:sz w:val="20"/>
          <w:szCs w:val="20"/>
          <w:color w:val="auto"/>
        </w:rPr>
      </w:pPr>
      <w:r>
        <w:rPr>
          <w:rFonts w:ascii="Arial" w:cs="Arial" w:eastAsia="Arial" w:hAnsi="Arial"/>
          <w:sz w:val="18"/>
          <w:szCs w:val="18"/>
          <w:color w:val="auto"/>
        </w:rPr>
        <w:t>for the first six months of 2024 increased 24% due largely to the Toyota of Richmond acquisition and the addition of the Kia dealership, as</w:t>
      </w:r>
    </w:p>
    <w:p>
      <w:pPr>
        <w:ind w:right="160"/>
        <w:spacing w:after="0"/>
        <w:rPr>
          <w:sz w:val="20"/>
          <w:szCs w:val="20"/>
          <w:color w:val="auto"/>
        </w:rPr>
      </w:pPr>
      <w:r>
        <w:rPr>
          <w:rFonts w:ascii="Arial" w:cs="Arial" w:eastAsia="Arial" w:hAnsi="Arial"/>
          <w:sz w:val="17"/>
          <w:szCs w:val="17"/>
          <w:color w:val="auto"/>
        </w:rPr>
        <w:t>well as sales growth for new and used vehicles and for services and parts. Operating results increased for the second quarter of 2024 due largely to earnings from the Toyota of Richmond acquisition and higher overall gross margins on services and parts, partially offset by lower</w:t>
      </w:r>
    </w:p>
    <w:p>
      <w:pPr>
        <w:spacing w:after="0" w:line="235" w:lineRule="auto"/>
        <w:rPr>
          <w:sz w:val="20"/>
          <w:szCs w:val="20"/>
          <w:color w:val="auto"/>
        </w:rPr>
      </w:pPr>
      <w:r>
        <w:rPr>
          <w:rFonts w:ascii="Arial" w:cs="Arial" w:eastAsia="Arial" w:hAnsi="Arial"/>
          <w:sz w:val="18"/>
          <w:szCs w:val="18"/>
          <w:color w:val="auto"/>
        </w:rPr>
        <w:t>overall gross margins on new and used vehicles. Operating results declined modestly for first six months of 2024 due largely to lower overall</w:t>
      </w:r>
    </w:p>
    <w:p>
      <w:pPr>
        <w:ind w:right="580"/>
        <w:spacing w:after="0" w:line="237" w:lineRule="auto"/>
        <w:rPr>
          <w:sz w:val="20"/>
          <w:szCs w:val="20"/>
          <w:color w:val="auto"/>
        </w:rPr>
      </w:pPr>
      <w:r>
        <w:rPr>
          <w:rFonts w:ascii="Arial" w:cs="Arial" w:eastAsia="Arial" w:hAnsi="Arial"/>
          <w:sz w:val="18"/>
          <w:szCs w:val="18"/>
          <w:color w:val="auto"/>
        </w:rPr>
        <w:t>gross margins on new and used vehicles, partially offset by earnings from the Toyota of Richmond acquisition and higher overall gross margins on services and parts.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revenue by category for other businesses: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right"/>
              <w:ind w:right="381"/>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3"/>
          </w:tcPr>
          <w:p>
            <w:pPr>
              <w:jc w:val="right"/>
              <w:ind w:right="481"/>
              <w:spacing w:after="0"/>
              <w:rPr>
                <w:sz w:val="20"/>
                <w:szCs w:val="20"/>
                <w:color w:val="auto"/>
              </w:rPr>
            </w:pPr>
            <w:r>
              <w:rPr>
                <w:rFonts w:ascii="Arial" w:cs="Arial" w:eastAsia="Arial" w:hAnsi="Arial"/>
                <w:sz w:val="14"/>
                <w:szCs w:val="14"/>
                <w:b w:val="1"/>
                <w:bCs w:val="1"/>
                <w:color w:val="auto"/>
              </w:rPr>
              <w:t>Six Months Ended</w:t>
            </w:r>
          </w:p>
        </w:tc>
        <w:tc>
          <w:tcPr>
            <w:tcW w:w="1200" w:type="dxa"/>
            <w:vAlign w:val="bottom"/>
          </w:tcPr>
          <w:p>
            <w:pPr>
              <w:spacing w:after="0"/>
              <w:rPr>
                <w:sz w:val="17"/>
                <w:szCs w:val="17"/>
                <w:color w:val="auto"/>
              </w:rPr>
            </w:pPr>
          </w:p>
        </w:tc>
      </w:tr>
      <w:tr>
        <w:trPr>
          <w:trHeight w:val="225"/>
        </w:trPr>
        <w:tc>
          <w:tcPr>
            <w:tcW w:w="40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1320" w:type="dxa"/>
            <w:vAlign w:val="bottom"/>
          </w:tcPr>
          <w:p>
            <w:pPr>
              <w:jc w:val="right"/>
              <w:ind w:right="52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1200" w:type="dxa"/>
            <w:vAlign w:val="bottom"/>
          </w:tcPr>
          <w:p>
            <w:pPr>
              <w:jc w:val="right"/>
              <w:ind w:right="402"/>
              <w:spacing w:after="0"/>
              <w:rPr>
                <w:sz w:val="20"/>
                <w:szCs w:val="20"/>
                <w:color w:val="auto"/>
              </w:rPr>
            </w:pPr>
            <w:r>
              <w:rPr>
                <w:rFonts w:ascii="Arial" w:cs="Arial" w:eastAsia="Arial" w:hAnsi="Arial"/>
                <w:sz w:val="14"/>
                <w:szCs w:val="14"/>
                <w:color w:val="auto"/>
              </w:rPr>
              <w:t>%</w:t>
            </w:r>
          </w:p>
        </w:tc>
      </w:tr>
      <w:tr>
        <w:trPr>
          <w:trHeight w:val="210"/>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2023</w:t>
            </w:r>
          </w:p>
        </w:tc>
        <w:tc>
          <w:tcPr>
            <w:tcW w:w="13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Change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2023</w:t>
            </w:r>
          </w:p>
        </w:tc>
        <w:tc>
          <w:tcPr>
            <w:tcW w:w="120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color w:val="auto"/>
              </w:rPr>
              <w:t>Change</w:t>
            </w:r>
          </w:p>
        </w:tc>
      </w:tr>
      <w:tr>
        <w:trPr>
          <w:trHeight w:val="223"/>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6"/>
        </w:trPr>
        <w:tc>
          <w:tcPr>
            <w:tcW w:w="4020" w:type="dxa"/>
            <w:vAlign w:val="bottom"/>
          </w:tcPr>
          <w:p>
            <w:pPr>
              <w:ind w:left="140"/>
              <w:spacing w:after="0" w:line="236" w:lineRule="exact"/>
              <w:rPr>
                <w:sz w:val="20"/>
                <w:szCs w:val="20"/>
                <w:color w:val="auto"/>
              </w:rPr>
            </w:pPr>
            <w:r>
              <w:rPr>
                <w:rFonts w:ascii="Arial" w:cs="Arial" w:eastAsia="Arial" w:hAnsi="Arial"/>
                <w:sz w:val="16"/>
                <w:szCs w:val="16"/>
                <w:color w:val="auto"/>
              </w:rPr>
              <w:t xml:space="preserve">Retail </w:t>
            </w:r>
            <w:r>
              <w:rPr>
                <w:rFonts w:ascii="Arial" w:cs="Arial" w:eastAsia="Arial" w:hAnsi="Arial"/>
                <w:sz w:val="21"/>
                <w:szCs w:val="21"/>
                <w:color w:val="auto"/>
                <w:vertAlign w:val="superscript"/>
              </w:rPr>
              <w:t>(1)</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3"/>
              <w:spacing w:after="0"/>
              <w:rPr>
                <w:sz w:val="20"/>
                <w:szCs w:val="20"/>
                <w:color w:val="auto"/>
              </w:rPr>
            </w:pPr>
            <w:r>
              <w:rPr>
                <w:rFonts w:ascii="Arial" w:cs="Arial" w:eastAsia="Arial" w:hAnsi="Arial"/>
                <w:sz w:val="16"/>
                <w:szCs w:val="16"/>
                <w:b w:val="1"/>
                <w:bCs w:val="1"/>
                <w:color w:val="auto"/>
              </w:rPr>
              <w:t>26,573</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29,373</w:t>
            </w:r>
          </w:p>
        </w:tc>
        <w:tc>
          <w:tcPr>
            <w:tcW w:w="1320" w:type="dxa"/>
            <w:vAlign w:val="bottom"/>
          </w:tcPr>
          <w:p>
            <w:pPr>
              <w:jc w:val="right"/>
              <w:ind w:right="62"/>
              <w:spacing w:after="0"/>
              <w:rPr>
                <w:sz w:val="20"/>
                <w:szCs w:val="20"/>
                <w:color w:val="auto"/>
              </w:rPr>
            </w:pPr>
            <w:r>
              <w:rPr>
                <w:rFonts w:ascii="Arial" w:cs="Arial" w:eastAsia="Arial" w:hAnsi="Arial"/>
                <w:sz w:val="16"/>
                <w:szCs w:val="16"/>
                <w:color w:val="auto"/>
              </w:rPr>
              <w:t>(10)</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3"/>
              <w:spacing w:after="0"/>
              <w:rPr>
                <w:sz w:val="20"/>
                <w:szCs w:val="20"/>
                <w:color w:val="auto"/>
              </w:rPr>
            </w:pPr>
            <w:r>
              <w:rPr>
                <w:rFonts w:ascii="Arial" w:cs="Arial" w:eastAsia="Arial" w:hAnsi="Arial"/>
                <w:sz w:val="16"/>
                <w:szCs w:val="16"/>
                <w:b w:val="1"/>
                <w:bCs w:val="1"/>
                <w:color w:val="auto"/>
              </w:rPr>
              <w:t>52,610</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61,770</w:t>
            </w:r>
          </w:p>
        </w:tc>
        <w:tc>
          <w:tcPr>
            <w:tcW w:w="12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30"/>
        </w:trPr>
        <w:tc>
          <w:tcPr>
            <w:tcW w:w="4020" w:type="dxa"/>
            <w:vAlign w:val="bottom"/>
          </w:tcPr>
          <w:p>
            <w:pPr>
              <w:ind w:left="140"/>
              <w:spacing w:after="0" w:line="230" w:lineRule="exact"/>
              <w:rPr>
                <w:sz w:val="20"/>
                <w:szCs w:val="20"/>
                <w:color w:val="auto"/>
              </w:rPr>
            </w:pPr>
            <w:r>
              <w:rPr>
                <w:rFonts w:ascii="Arial" w:cs="Arial" w:eastAsia="Arial" w:hAnsi="Arial"/>
                <w:sz w:val="16"/>
                <w:szCs w:val="16"/>
                <w:color w:val="auto"/>
              </w:rPr>
              <w:t xml:space="preserve">Media </w:t>
            </w:r>
            <w:r>
              <w:rPr>
                <w:rFonts w:ascii="Arial" w:cs="Arial" w:eastAsia="Arial" w:hAnsi="Arial"/>
                <w:sz w:val="21"/>
                <w:szCs w:val="21"/>
                <w:color w:val="auto"/>
                <w:vertAlign w:val="superscript"/>
              </w:rPr>
              <w:t>(2)</w:t>
            </w:r>
          </w:p>
        </w:tc>
        <w:tc>
          <w:tcPr>
            <w:tcW w:w="260" w:type="dxa"/>
            <w:vAlign w:val="bottom"/>
          </w:tcPr>
          <w:p>
            <w:pPr>
              <w:spacing w:after="0"/>
              <w:rPr>
                <w:sz w:val="19"/>
                <w:szCs w:val="19"/>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b w:val="1"/>
                <w:bCs w:val="1"/>
                <w:color w:val="auto"/>
              </w:rPr>
              <w:t>22,948</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25,283</w:t>
            </w:r>
          </w:p>
        </w:tc>
        <w:tc>
          <w:tcPr>
            <w:tcW w:w="1320" w:type="dxa"/>
            <w:vAlign w:val="bottom"/>
          </w:tcPr>
          <w:p>
            <w:pPr>
              <w:jc w:val="right"/>
              <w:ind w:right="62"/>
              <w:spacing w:after="0"/>
              <w:rPr>
                <w:sz w:val="20"/>
                <w:szCs w:val="20"/>
                <w:color w:val="auto"/>
              </w:rPr>
            </w:pPr>
            <w:r>
              <w:rPr>
                <w:rFonts w:ascii="Arial" w:cs="Arial" w:eastAsia="Arial" w:hAnsi="Arial"/>
                <w:sz w:val="16"/>
                <w:szCs w:val="16"/>
                <w:color w:val="auto"/>
              </w:rPr>
              <w:t>(9)</w:t>
            </w:r>
          </w:p>
        </w:tc>
        <w:tc>
          <w:tcPr>
            <w:tcW w:w="260" w:type="dxa"/>
            <w:vAlign w:val="bottom"/>
          </w:tcPr>
          <w:p>
            <w:pPr>
              <w:spacing w:after="0"/>
              <w:rPr>
                <w:sz w:val="19"/>
                <w:szCs w:val="19"/>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b w:val="1"/>
                <w:bCs w:val="1"/>
                <w:color w:val="auto"/>
              </w:rPr>
              <w:t>46,044</w:t>
            </w:r>
          </w:p>
        </w:tc>
        <w:tc>
          <w:tcPr>
            <w:tcW w:w="40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50,686</w:t>
            </w:r>
          </w:p>
        </w:tc>
        <w:tc>
          <w:tcPr>
            <w:tcW w:w="12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30"/>
        </w:trPr>
        <w:tc>
          <w:tcPr>
            <w:tcW w:w="4020" w:type="dxa"/>
            <w:vAlign w:val="bottom"/>
          </w:tcPr>
          <w:p>
            <w:pPr>
              <w:ind w:left="140"/>
              <w:spacing w:after="0" w:line="230" w:lineRule="exact"/>
              <w:rPr>
                <w:sz w:val="20"/>
                <w:szCs w:val="20"/>
                <w:color w:val="auto"/>
              </w:rPr>
            </w:pPr>
            <w:r>
              <w:rPr>
                <w:rFonts w:ascii="Arial" w:cs="Arial" w:eastAsia="Arial" w:hAnsi="Arial"/>
                <w:sz w:val="16"/>
                <w:szCs w:val="16"/>
                <w:color w:val="auto"/>
              </w:rPr>
              <w:t xml:space="preserve">Specialty </w:t>
            </w:r>
            <w:r>
              <w:rPr>
                <w:rFonts w:ascii="Arial" w:cs="Arial" w:eastAsia="Arial" w:hAnsi="Arial"/>
                <w:sz w:val="21"/>
                <w:szCs w:val="21"/>
                <w:color w:val="auto"/>
                <w:vertAlign w:val="superscript"/>
              </w:rPr>
              <w:t>(3)</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37,470</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35,793</w:t>
            </w: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5</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71,635</w:t>
            </w: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70,001</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w:t>
            </w:r>
          </w:p>
        </w:tc>
      </w:tr>
      <w:tr>
        <w:trPr>
          <w:trHeight w:val="220"/>
        </w:trPr>
        <w:tc>
          <w:tcPr>
            <w:tcW w:w="402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86,991</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90,449</w:t>
            </w:r>
          </w:p>
        </w:tc>
        <w:tc>
          <w:tcPr>
            <w:tcW w:w="1320" w:type="dxa"/>
            <w:vAlign w:val="bottom"/>
          </w:tcPr>
          <w:p>
            <w:pPr>
              <w:jc w:val="right"/>
              <w:ind w:right="62"/>
              <w:spacing w:after="0"/>
              <w:rPr>
                <w:sz w:val="20"/>
                <w:szCs w:val="20"/>
                <w:color w:val="auto"/>
              </w:rPr>
            </w:pPr>
            <w:r>
              <w:rPr>
                <w:rFonts w:ascii="Arial" w:cs="Arial" w:eastAsia="Arial" w:hAnsi="Arial"/>
                <w:sz w:val="16"/>
                <w:szCs w:val="16"/>
                <w:color w:val="auto"/>
              </w:rPr>
              <w:t>(4)</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170,289</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182,457</w:t>
            </w:r>
          </w:p>
        </w:tc>
        <w:tc>
          <w:tcPr>
            <w:tcW w:w="1200" w:type="dxa"/>
            <w:vAlign w:val="bottom"/>
          </w:tcPr>
          <w:p>
            <w:pPr>
              <w:jc w:val="right"/>
              <w:spacing w:after="0"/>
              <w:rPr>
                <w:sz w:val="20"/>
                <w:szCs w:val="20"/>
                <w:color w:val="auto"/>
              </w:rPr>
            </w:pPr>
            <w:r>
              <w:rPr>
                <w:rFonts w:ascii="Arial" w:cs="Arial" w:eastAsia="Arial" w:hAnsi="Arial"/>
                <w:sz w:val="16"/>
                <w:szCs w:val="16"/>
                <w:color w:val="auto"/>
              </w:rPr>
              <w:t>(7)</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55" w:lineRule="exact"/>
        <w:rPr>
          <w:sz w:val="20"/>
          <w:szCs w:val="20"/>
          <w:color w:val="auto"/>
        </w:rPr>
      </w:pPr>
    </w:p>
    <w:p>
      <w:pPr>
        <w:ind w:left="360" w:hanging="334"/>
        <w:spacing w:after="0"/>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Society6 and Saatchi Art (formerly Leaf Marketplace) and Framebridge</w:t>
      </w:r>
    </w:p>
    <w:p>
      <w:pPr>
        <w:spacing w:after="0" w:line="55" w:lineRule="exact"/>
        <w:rPr>
          <w:rFonts w:ascii="Arial" w:cs="Arial" w:eastAsia="Arial" w:hAnsi="Arial"/>
          <w:sz w:val="14"/>
          <w:szCs w:val="14"/>
          <w:color w:val="auto"/>
        </w:rPr>
      </w:pPr>
    </w:p>
    <w:p>
      <w:pPr>
        <w:ind w:left="360" w:hanging="334"/>
        <w:spacing w:after="0"/>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World of Good Brands (formerly Leaf Media), Code3, Slate, Foreign Policy, Pinna and City Cast</w:t>
      </w:r>
    </w:p>
    <w:p>
      <w:pPr>
        <w:spacing w:after="0" w:line="55" w:lineRule="exact"/>
        <w:rPr>
          <w:rFonts w:ascii="Arial" w:cs="Arial" w:eastAsia="Arial" w:hAnsi="Arial"/>
          <w:sz w:val="14"/>
          <w:szCs w:val="14"/>
          <w:color w:val="auto"/>
        </w:rPr>
      </w:pPr>
    </w:p>
    <w:p>
      <w:pPr>
        <w:ind w:left="360" w:hanging="334"/>
        <w:spacing w:after="0"/>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Clyde’s Restaurant Group, Decile and Supporting Cast</w:t>
      </w:r>
    </w:p>
    <w:p>
      <w:pPr>
        <w:spacing w:after="0" w:line="261" w:lineRule="exact"/>
        <w:rPr>
          <w:sz w:val="20"/>
          <w:szCs w:val="20"/>
          <w:color w:val="auto"/>
        </w:rPr>
      </w:pPr>
    </w:p>
    <w:p>
      <w:pPr>
        <w:jc w:val="both"/>
        <w:ind w:right="120"/>
        <w:spacing w:after="0" w:line="259" w:lineRule="auto"/>
        <w:rPr>
          <w:sz w:val="20"/>
          <w:szCs w:val="20"/>
          <w:color w:val="auto"/>
        </w:rPr>
      </w:pPr>
      <w:r>
        <w:rPr>
          <w:rFonts w:ascii="Arial" w:cs="Arial" w:eastAsia="Arial" w:hAnsi="Arial"/>
          <w:sz w:val="17"/>
          <w:szCs w:val="17"/>
          <w:color w:val="auto"/>
        </w:rPr>
        <w:t>Overall, revenue from other businesses declined 4% and 7% in the second quarter and first six months of 2024, respectively. Retail revenue declined in the first half of 2024 largely due to lower revenue at Society6, partially offset by revenue growth at Saatchi Art and Framebridge.</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Media revenue declined in the first half of 2024 due to lower revenue at WGB and Code3, partially offset by revenue growth at Slate and City Cast. Specialty revenue increased modestly in the first half of 2024 due to revenue growth at Clyde’s Restaurant Group (CRG), Decile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Supporting</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color w:val="auto"/>
        </w:rPr>
        <w:t>Cast. Excluding the former Leaf businesses, revenue from other businesses grew in the second quarter and first six months of 2024.</w:t>
      </w:r>
    </w:p>
    <w:p>
      <w:pPr>
        <w:spacing w:after="0" w:line="158"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Overall, operating results at other businesses declined significantly in the first six months of 2024 due to $26.3 million in goodwill and intangible asset impairment charges at WGB and increased pension expense. Excluding these impairment charges and increased pension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expense, operating results at other businesses improved modestly in the first half of 2024.</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Leaf Group</w:t>
      </w:r>
    </w:p>
    <w:p>
      <w:pPr>
        <w:spacing w:after="0" w:line="142"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On June 14, 2021, the Company acquired Leaf Group Ltd. (Leaf), a consumer internet company headquartered in Santa Monica, CA, that builds enduring, creator-driven brands that reach passionate audiences in large and growing lifestyle categories, including fitness and wellness (Well+Good and Livestrong.com), and home, art and design (Saatchi Art and Society6).</w:t>
      </w:r>
    </w:p>
    <w:p>
      <w:pPr>
        <w:spacing w:after="0" w:line="101" w:lineRule="exact"/>
        <w:rPr>
          <w:sz w:val="20"/>
          <w:szCs w:val="20"/>
          <w:color w:val="auto"/>
        </w:rPr>
      </w:pPr>
    </w:p>
    <w:p>
      <w:pPr>
        <w:ind w:right="660"/>
        <w:spacing w:after="0" w:line="245" w:lineRule="auto"/>
        <w:rPr>
          <w:sz w:val="20"/>
          <w:szCs w:val="20"/>
          <w:color w:val="auto"/>
        </w:rPr>
      </w:pPr>
      <w:r>
        <w:rPr>
          <w:rFonts w:ascii="Arial" w:cs="Arial" w:eastAsia="Arial" w:hAnsi="Arial"/>
          <w:sz w:val="18"/>
          <w:szCs w:val="18"/>
          <w:color w:val="auto"/>
        </w:rPr>
        <w:t>In the second quarter of 2023, the Company restructured Leaf into three stand-alone businesses: Society6 (formerly included in Leaf Marketplace), Saatchi Art (formerly included in Leaf Marketplace) and WGB (formerly Leaf Media). The transition process for this</w:t>
      </w:r>
    </w:p>
    <w:p>
      <w:pPr>
        <w:ind w:right="300"/>
        <w:spacing w:after="0" w:line="226" w:lineRule="auto"/>
        <w:rPr>
          <w:sz w:val="20"/>
          <w:szCs w:val="20"/>
          <w:color w:val="auto"/>
        </w:rPr>
      </w:pPr>
      <w:r>
        <w:rPr>
          <w:rFonts w:ascii="Arial" w:cs="Arial" w:eastAsia="Arial" w:hAnsi="Arial"/>
          <w:sz w:val="18"/>
          <w:szCs w:val="18"/>
          <w:color w:val="auto"/>
        </w:rPr>
        <w:t>restructuring involves various cost reduction initiatives, including elimination of shared services costs and functions; transitioning financial and human resources systems; and rationalizing physical facilities and data centers. In the first and second quarters of 2023, Leaf</w:t>
      </w:r>
    </w:p>
    <w:p>
      <w:pPr>
        <w:spacing w:after="0" w:line="236" w:lineRule="auto"/>
        <w:rPr>
          <w:sz w:val="20"/>
          <w:szCs w:val="20"/>
          <w:color w:val="auto"/>
        </w:rPr>
      </w:pPr>
      <w:r>
        <w:rPr>
          <w:rFonts w:ascii="Arial" w:cs="Arial" w:eastAsia="Arial" w:hAnsi="Arial"/>
          <w:sz w:val="18"/>
          <w:szCs w:val="18"/>
          <w:color w:val="auto"/>
        </w:rPr>
        <w:t>implemented a SIP to reduce the number of employees, which was funded by the assets of the Company’s pension plan; $2.9 million and</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$3.9 million in related non-operating pension expense was recorded in the first and second quarters of 2023, respectively. Each of Society6, Saatchi Art and WGB has continued with the transition and cost reduction process, which was largely complete at the end of the second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quarter of 2024.</w:t>
      </w:r>
    </w:p>
    <w:p>
      <w:pPr>
        <w:spacing w:after="0" w:line="140" w:lineRule="exact"/>
        <w:rPr>
          <w:sz w:val="20"/>
          <w:szCs w:val="20"/>
          <w:color w:val="auto"/>
        </w:rPr>
      </w:pPr>
    </w:p>
    <w:p>
      <w:pPr>
        <w:jc w:val="both"/>
        <w:ind w:right="80"/>
        <w:spacing w:after="0" w:line="237" w:lineRule="auto"/>
        <w:rPr>
          <w:sz w:val="20"/>
          <w:szCs w:val="20"/>
          <w:color w:val="auto"/>
        </w:rPr>
      </w:pPr>
      <w:r>
        <w:rPr>
          <w:rFonts w:ascii="Arial" w:cs="Arial" w:eastAsia="Arial" w:hAnsi="Arial"/>
          <w:sz w:val="18"/>
          <w:szCs w:val="18"/>
          <w:color w:val="auto"/>
        </w:rPr>
        <w:t>Revenues at Society6 and WGB declined substantially in the second quarter and first six months of 2024. Revenue declines at Society6 are due to declines in traffic, largely driven by a significant decrease in advertising spend, as well as softer demand in the home decor category.</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Revenue declines at WGB are due to reduced traffic and the soft digital advertising market for programmatic. Revenues at Saatchi Art grew in the second quarter and first six months of 2024. Overall, the Leaf businesses reported significant operating losses in each of the second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quarters and first six months of 2024 and 2023.</w:t>
      </w:r>
    </w:p>
    <w:p>
      <w:pPr>
        <w:spacing w:after="0" w:line="140"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In the second quarter of 2024, the Company recorded $26.3 million in goodwill and intangible asset impairment charges at WGB, resulting from continued sustained weakness in digital advertising demand. Excluding impairment charges, losses increased modestly at the Leaf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businesses in the second quarter and first six months of 2024.</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Clyde’s Restaurant Group</w:t>
      </w:r>
    </w:p>
    <w:p>
      <w:pPr>
        <w:spacing w:after="0" w:line="142" w:lineRule="exact"/>
        <w:rPr>
          <w:sz w:val="20"/>
          <w:szCs w:val="20"/>
          <w:color w:val="auto"/>
        </w:rPr>
      </w:pPr>
    </w:p>
    <w:p>
      <w:pPr>
        <w:ind w:right="220"/>
        <w:spacing w:after="0" w:line="245" w:lineRule="auto"/>
        <w:rPr>
          <w:sz w:val="20"/>
          <w:szCs w:val="20"/>
          <w:color w:val="auto"/>
        </w:rPr>
      </w:pPr>
      <w:r>
        <w:rPr>
          <w:rFonts w:ascii="Arial" w:cs="Arial" w:eastAsia="Arial" w:hAnsi="Arial"/>
          <w:sz w:val="18"/>
          <w:szCs w:val="18"/>
          <w:color w:val="auto"/>
        </w:rPr>
        <w:t>CRG owns and operates 13 restaurants and entertainment venues in the Washington, DC metropolitan area, including Old Ebbitt Grill and The Hamilton. Revenue increased in the second quarter and first six months of 2024 due to overall higher guest traffic and modest price</w:t>
      </w:r>
    </w:p>
    <w:p>
      <w:pPr>
        <w:ind w:right="380"/>
        <w:spacing w:after="0" w:line="226" w:lineRule="auto"/>
        <w:rPr>
          <w:sz w:val="20"/>
          <w:szCs w:val="20"/>
          <w:color w:val="auto"/>
        </w:rPr>
      </w:pPr>
      <w:r>
        <w:rPr>
          <w:rFonts w:ascii="Arial" w:cs="Arial" w:eastAsia="Arial" w:hAnsi="Arial"/>
          <w:sz w:val="18"/>
          <w:szCs w:val="18"/>
          <w:color w:val="auto"/>
        </w:rPr>
        <w:t>increases. Operating results were flat in the second quarter of 2024 and declined in the first six months of 2024. Excluding pre-opening expenses incurred for new restaurants, operating results improved for the second quarter and first six months of 2024. CRG reported an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in each of the second quarters and first six months of 2024 and 2023.</w:t>
      </w:r>
    </w:p>
    <w:p>
      <w:pPr>
        <w:spacing w:after="0" w:line="14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CRG opened a new restaurant in Baltimore, MD in July 2024 and plans to open new restaurants in Washington, DC and Reston, VA in late 2024 and late 2025,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Framebridge</w:t>
      </w:r>
    </w:p>
    <w:p>
      <w:pPr>
        <w:spacing w:after="0" w:line="156" w:lineRule="exact"/>
        <w:rPr>
          <w:sz w:val="20"/>
          <w:szCs w:val="20"/>
          <w:color w:val="auto"/>
        </w:rPr>
      </w:pPr>
    </w:p>
    <w:p>
      <w:pPr>
        <w:ind w:right="220"/>
        <w:spacing w:after="0" w:line="251" w:lineRule="auto"/>
        <w:rPr>
          <w:sz w:val="20"/>
          <w:szCs w:val="20"/>
          <w:color w:val="auto"/>
        </w:rPr>
      </w:pPr>
      <w:r>
        <w:rPr>
          <w:rFonts w:ascii="Arial" w:cs="Arial" w:eastAsia="Arial" w:hAnsi="Arial"/>
          <w:sz w:val="17"/>
          <w:szCs w:val="17"/>
          <w:color w:val="auto"/>
        </w:rPr>
        <w:t>Framebridge is a custom framing service company, headquartered in Washington, DC, with 23 retail locations, and two manufacturing facilities in Kentucky and New Jersey. In the second quarter of 2024, Framebridge opened one new retail store in Austin, TX. Framebridge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plans to open additional stores in the second half of 2024 and continues to actively explore other opportunities for further store expansion.</w:t>
      </w:r>
    </w:p>
    <w:p>
      <w:pPr>
        <w:spacing w:after="0" w:line="14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Revenues increased modestly in the second quarter and first six months of 2024 due to an increase in retail revenue from same-store sales growth and operating additional retail stores compared to the same periods in 2023. Framebridge is an investment stage business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reported significant operating losses in the first six months of 2024 and 2023, with increased losses in the first six months of 2024.</w:t>
      </w:r>
    </w:p>
    <w:p>
      <w:pPr>
        <w:spacing w:after="0" w:line="140"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In the first and second quarters of 2024, Framebridge implemented a SIP, which will be funded by the assets of the Company’s pension plan; $0.4 million and $1.0 million in related non-operating pension expense was recorded in the first and second quarters of 2024, respectively.</w:t>
      </w: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Other</w:t>
      </w:r>
    </w:p>
    <w:p>
      <w:pPr>
        <w:spacing w:after="0" w:line="156" w:lineRule="exact"/>
        <w:rPr>
          <w:sz w:val="20"/>
          <w:szCs w:val="20"/>
          <w:color w:val="auto"/>
        </w:rPr>
      </w:pPr>
    </w:p>
    <w:p>
      <w:pPr>
        <w:ind w:right="620"/>
        <w:spacing w:after="0" w:line="251" w:lineRule="auto"/>
        <w:rPr>
          <w:sz w:val="20"/>
          <w:szCs w:val="20"/>
          <w:color w:val="auto"/>
        </w:rPr>
      </w:pPr>
      <w:r>
        <w:rPr>
          <w:rFonts w:ascii="Arial" w:cs="Arial" w:eastAsia="Arial" w:hAnsi="Arial"/>
          <w:sz w:val="17"/>
          <w:szCs w:val="17"/>
          <w:color w:val="auto"/>
        </w:rPr>
        <w:t>Other businesses also include Code3, a performance marketing agency focused on driving performance for brands though three core elements of digital success: media, creative and commerce; Slate and Foreign Policy, which publish online and print magazines and</w:t>
      </w:r>
    </w:p>
    <w:p>
      <w:pPr>
        <w:spacing w:after="0" w:line="235" w:lineRule="auto"/>
        <w:rPr>
          <w:sz w:val="20"/>
          <w:szCs w:val="20"/>
          <w:color w:val="auto"/>
        </w:rPr>
      </w:pPr>
      <w:r>
        <w:rPr>
          <w:rFonts w:ascii="Arial" w:cs="Arial" w:eastAsia="Arial" w:hAnsi="Arial"/>
          <w:sz w:val="18"/>
          <w:szCs w:val="18"/>
          <w:color w:val="auto"/>
        </w:rPr>
        <w:t>websites; and three investment stage businesses, Decile, City Cast and Supporting Cast. Slate, Supporting Cast, City Cast and Decile</w:t>
      </w:r>
    </w:p>
    <w:p>
      <w:pPr>
        <w:ind w:right="360"/>
        <w:spacing w:after="0" w:line="226" w:lineRule="auto"/>
        <w:rPr>
          <w:sz w:val="20"/>
          <w:szCs w:val="20"/>
          <w:color w:val="auto"/>
        </w:rPr>
      </w:pPr>
      <w:r>
        <w:rPr>
          <w:rFonts w:ascii="Arial" w:cs="Arial" w:eastAsia="Arial" w:hAnsi="Arial"/>
          <w:sz w:val="18"/>
          <w:szCs w:val="18"/>
          <w:color w:val="auto"/>
        </w:rPr>
        <w:t>reported revenue growth in the first six months of 2024, while Code3 reported a revenue decline. Losses from City Cast, Decile, Code3, Foreign Policy and Supporting Cast in the first six months of 2024 adversely affected operating results, while Slate reported an operating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profit during this period.</w:t>
      </w:r>
    </w:p>
    <w:p>
      <w:pPr>
        <w:spacing w:after="0" w:line="140"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Other businesses also included Pinna, which was sold in June 2023 when the Company entered into a merger agreement with Realm of Possibility, Inc. (Realm), a provider of audio entertainment services, to merge Pinna with Realm in return for a noncontrolling financial interest</w:t>
      </w:r>
    </w:p>
    <w:p>
      <w:pPr>
        <w:spacing w:after="0" w:line="1" w:lineRule="exact"/>
        <w:rPr>
          <w:sz w:val="20"/>
          <w:szCs w:val="20"/>
          <w:color w:val="auto"/>
        </w:rPr>
      </w:pPr>
    </w:p>
    <w:p>
      <w:pPr>
        <w:ind w:right="560"/>
        <w:spacing w:after="0" w:line="250" w:lineRule="auto"/>
        <w:rPr>
          <w:sz w:val="20"/>
          <w:szCs w:val="20"/>
          <w:color w:val="auto"/>
        </w:rPr>
      </w:pPr>
      <w:r>
        <w:rPr>
          <w:rFonts w:ascii="Arial" w:cs="Arial" w:eastAsia="Arial" w:hAnsi="Arial"/>
          <w:sz w:val="18"/>
          <w:szCs w:val="18"/>
          <w:color w:val="auto"/>
        </w:rPr>
        <w:t>in the merged entity. In connection with the merger, the Company recorded a $10.0 million non-cash, non-operating gain related to the transaction. The Company’s investment in Realm is reported as an equity method investment.</w:t>
      </w:r>
    </w:p>
    <w:p>
      <w:pPr>
        <w:spacing w:after="0" w:line="104"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In the second quarter of 2024, Code3 implemented a SIP to reduce the number of employees, which will be funded by the assets of the Company’s pension plan; $0.6 million in related non-operating pension expense was recorded in the second quarter of 2024. In the first and</w:t>
      </w:r>
    </w:p>
    <w:p>
      <w:pPr>
        <w:spacing w:after="0" w:line="1" w:lineRule="exact"/>
        <w:rPr>
          <w:sz w:val="20"/>
          <w:szCs w:val="20"/>
          <w:color w:val="auto"/>
        </w:rPr>
      </w:pPr>
    </w:p>
    <w:p>
      <w:pPr>
        <w:jc w:val="both"/>
        <w:ind w:right="100"/>
        <w:spacing w:after="0" w:line="237" w:lineRule="auto"/>
        <w:rPr>
          <w:sz w:val="20"/>
          <w:szCs w:val="20"/>
          <w:color w:val="auto"/>
        </w:rPr>
      </w:pPr>
      <w:r>
        <w:rPr>
          <w:rFonts w:ascii="Arial" w:cs="Arial" w:eastAsia="Arial" w:hAnsi="Arial"/>
          <w:sz w:val="18"/>
          <w:szCs w:val="18"/>
          <w:color w:val="auto"/>
        </w:rPr>
        <w:t>second quarters of 2023, Code3 implemented a SIP to reduce the number of employees, which was funded by the assets of the Company’s pension plan; $1.2 million and $0.6 million in related non-operating pension expense was recorded in the first and second quarters of 2023.</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56" w:lineRule="exact"/>
        <w:rPr>
          <w:sz w:val="20"/>
          <w:szCs w:val="20"/>
          <w:color w:val="auto"/>
        </w:rPr>
      </w:pPr>
    </w:p>
    <w:p>
      <w:pPr>
        <w:ind w:right="600"/>
        <w:spacing w:after="0" w:line="251" w:lineRule="auto"/>
        <w:rPr>
          <w:sz w:val="20"/>
          <w:szCs w:val="20"/>
          <w:color w:val="auto"/>
        </w:rPr>
      </w:pPr>
      <w:r>
        <w:rPr>
          <w:rFonts w:ascii="Arial" w:cs="Arial" w:eastAsia="Arial" w:hAnsi="Arial"/>
          <w:sz w:val="17"/>
          <w:szCs w:val="17"/>
          <w:color w:val="auto"/>
        </w:rPr>
        <w:t>Corporate office includes the expenses of the Company’s corporate office and certain continuing obligations related to prior business dispositions. Corporate office expenses in the first half of 2023 benefited from a $4.2 million net credit related to a fair value change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contingent consideration from a prior acquisition.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 Plan Changes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Effective January 1, 2024, the Company’s defined benefit pension plan was amended to provide many of the current employees who are</w:t>
      </w:r>
    </w:p>
    <w:p>
      <w:pPr>
        <w:spacing w:after="0" w:line="14"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current plan participants with an increased pension benefit, and to provide certain current employees from several business units with a new pension benefit offering. The increased and new pension benefits will be funded by the assets of the Company’s pension plan. As a result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these changes, the Company’s matching contribution to certain of its 401(k) Savings Plans was eliminated.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Equity </w:t>
      </w:r>
      <w:r>
        <w:rPr>
          <w:rFonts w:ascii="Arial" w:cs="Arial" w:eastAsia="Arial" w:hAnsi="Arial"/>
          <w:sz w:val="18"/>
          <w:szCs w:val="18"/>
          <w:b w:val="1"/>
          <w:bCs w:val="1"/>
          <w:u w:val="single" w:color="auto"/>
          <w:color w:val="auto"/>
          <w:highlight w:val="white"/>
        </w:rPr>
        <w:t>in Earnings (Losses) of</w:t>
      </w:r>
      <w:r>
        <w:rPr>
          <w:rFonts w:ascii="Arial" w:cs="Arial" w:eastAsia="Arial" w:hAnsi="Arial"/>
          <w:sz w:val="18"/>
          <w:szCs w:val="18"/>
          <w:b w:val="1"/>
          <w:bCs w:val="1"/>
          <w:u w:val="single" w:color="auto"/>
          <w:color w:val="auto"/>
        </w:rPr>
        <w:t xml:space="preserve"> Affiliates</w:t>
      </w:r>
    </w:p>
    <w:p>
      <w:pPr>
        <w:spacing w:after="0" w:line="144" w:lineRule="exact"/>
        <w:rPr>
          <w:sz w:val="20"/>
          <w:szCs w:val="20"/>
          <w:color w:val="auto"/>
        </w:rPr>
      </w:pPr>
    </w:p>
    <w:p>
      <w:pPr>
        <w:jc w:val="both"/>
        <w:ind w:right="420"/>
        <w:spacing w:after="0" w:line="259" w:lineRule="auto"/>
        <w:rPr>
          <w:sz w:val="20"/>
          <w:szCs w:val="20"/>
          <w:color w:val="auto"/>
        </w:rPr>
      </w:pPr>
      <w:r>
        <w:rPr>
          <w:rFonts w:ascii="Arial" w:cs="Arial" w:eastAsia="Arial" w:hAnsi="Arial"/>
          <w:sz w:val="17"/>
          <w:szCs w:val="17"/>
          <w:color w:val="auto"/>
        </w:rPr>
        <w:t>At June 30, 2024, the Company held an approximate 18% interest in Intersection Holdings, LLC (Intersection), a company that provides digital marketing and advertising services and products for cities, transit systems, airports, and other public and private spaces; a 49.9%</w:t>
      </w:r>
    </w:p>
    <w:p>
      <w:pPr>
        <w:spacing w:after="0" w:line="1"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interest on a fully diluted basis in N2K Networks, a cybersecurity workforce intelligence company; and a 42.2% interest on a fully diluted basis in Realm. The Company also holds interests in several other affiliates, including a number of home health and hospice joint ventures</w:t>
      </w:r>
    </w:p>
    <w:p>
      <w:pPr>
        <w:spacing w:after="0" w:line="236" w:lineRule="auto"/>
        <w:rPr>
          <w:sz w:val="20"/>
          <w:szCs w:val="20"/>
          <w:color w:val="auto"/>
        </w:rPr>
      </w:pPr>
      <w:r>
        <w:rPr>
          <w:rFonts w:ascii="Arial" w:cs="Arial" w:eastAsia="Arial" w:hAnsi="Arial"/>
          <w:sz w:val="18"/>
          <w:szCs w:val="18"/>
          <w:color w:val="auto"/>
        </w:rPr>
        <w:t>managed by GHG and two joint ventures managed by Kaplan. Overall, the Company recorded equity in earnings of affiliates of $2.6 million</w:t>
      </w:r>
    </w:p>
    <w:p>
      <w:pPr>
        <w:spacing w:after="0" w:line="1"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for the second quarter of 2024, compared to losses of $ 6.1 million for the second quarter of 2023. These amounts include $1.1 million and $8.6 million in net losses for the second quarter of 2024 and 2023, respectively, from affiliates whose operations are not managed by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140" w:lineRule="exact"/>
        <w:rPr>
          <w:sz w:val="20"/>
          <w:szCs w:val="20"/>
          <w:color w:val="auto"/>
        </w:rPr>
      </w:pPr>
    </w:p>
    <w:p>
      <w:pPr>
        <w:ind w:right="260"/>
        <w:spacing w:after="0" w:line="251" w:lineRule="auto"/>
        <w:rPr>
          <w:sz w:val="20"/>
          <w:szCs w:val="20"/>
          <w:color w:val="auto"/>
        </w:rPr>
      </w:pPr>
      <w:r>
        <w:rPr>
          <w:rFonts w:ascii="Arial" w:cs="Arial" w:eastAsia="Arial" w:hAnsi="Arial"/>
          <w:sz w:val="17"/>
          <w:szCs w:val="17"/>
          <w:color w:val="auto"/>
        </w:rPr>
        <w:t>The Company recorded equity in earnings of affiliates of $4.9 million for the first six months of 2024, compared to losses of $1.5 million for the first six months of 2023. These amounts include $2.6 million and $6.8 million in net losses for the first six months of 2024 and 2023,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respectively, from affiliates whose operations are not managed by the Company.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44" w:lineRule="exact"/>
        <w:rPr>
          <w:sz w:val="20"/>
          <w:szCs w:val="20"/>
          <w:color w:val="auto"/>
        </w:rPr>
      </w:pPr>
    </w:p>
    <w:p>
      <w:pPr>
        <w:ind w:right="840"/>
        <w:spacing w:after="0" w:line="271" w:lineRule="auto"/>
        <w:rPr>
          <w:sz w:val="20"/>
          <w:szCs w:val="20"/>
          <w:color w:val="auto"/>
        </w:rPr>
      </w:pPr>
      <w:r>
        <w:rPr>
          <w:rFonts w:ascii="Arial" w:cs="Arial" w:eastAsia="Arial" w:hAnsi="Arial"/>
          <w:sz w:val="18"/>
          <w:szCs w:val="18"/>
          <w:color w:val="auto"/>
        </w:rPr>
        <w:t>The Company incurred net interest expense of $89.3 million and $106.4 million for the second quarter and first six months of 2024, respectively, compared to $10.2 million and $23.3 million for the second quarter and first six months of 2023, respectively.</w:t>
      </w:r>
    </w:p>
    <w:p>
      <w:pPr>
        <w:spacing w:after="0" w:line="10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Company recorded interest expense of $73.5 million and $75.4 million in the second quarter and first six months of 2024, respectively, to adjust the fair value of the mandatorily redeemable noncontrolling interest at GHG. The significant adjustment recorded in the first half of</w:t>
      </w:r>
    </w:p>
    <w:p>
      <w:pPr>
        <w:spacing w:after="0" w:line="235" w:lineRule="auto"/>
        <w:rPr>
          <w:sz w:val="20"/>
          <w:szCs w:val="20"/>
          <w:color w:val="auto"/>
        </w:rPr>
      </w:pPr>
      <w:r>
        <w:rPr>
          <w:rFonts w:ascii="Arial" w:cs="Arial" w:eastAsia="Arial" w:hAnsi="Arial"/>
          <w:sz w:val="18"/>
          <w:szCs w:val="18"/>
          <w:color w:val="auto"/>
        </w:rPr>
        <w:t>2024 is largely related to a substantial increase in the estimated fair value of CSI. The Company recorded a credit to interest expense of $1.2</w:t>
      </w:r>
    </w:p>
    <w:p>
      <w:pPr>
        <w:spacing w:after="0" w:line="1"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million in the second quarter of 2023 and interest expense of $0.3 million in the first six months of 2023, respectively, to adjust the fair value of the mandatorily redeemable noncontrolling interest at GHG.</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3" w:right="359" w:bottom="1440" w:gutter="0" w:footer="0" w:header="0"/>
        </w:sectPr>
      </w:pPr>
    </w:p>
    <w:bookmarkStart w:id="34" w:name="page35"/>
    <w:bookmarkEnd w:id="34"/>
    <w:p>
      <w:pPr>
        <w:ind w:right="480"/>
        <w:spacing w:after="0" w:line="271" w:lineRule="auto"/>
        <w:rPr>
          <w:sz w:val="20"/>
          <w:szCs w:val="20"/>
          <w:color w:val="auto"/>
        </w:rPr>
      </w:pPr>
      <w:r>
        <w:rPr>
          <w:rFonts w:ascii="Arial" w:cs="Arial" w:eastAsia="Arial" w:hAnsi="Arial"/>
          <w:sz w:val="18"/>
          <w:szCs w:val="18"/>
          <w:color w:val="auto"/>
        </w:rPr>
        <w:t>Excluding these adjustments, the increase in net interest expense relates primarily to higher debt balances, higher interest rates on the Company’s variable debt, and increased floor plan interest expense.</w:t>
      </w:r>
    </w:p>
    <w:p>
      <w:pPr>
        <w:spacing w:after="0" w:line="86" w:lineRule="exact"/>
        <w:rPr>
          <w:sz w:val="20"/>
          <w:szCs w:val="20"/>
          <w:color w:val="auto"/>
        </w:rPr>
      </w:pPr>
    </w:p>
    <w:p>
      <w:pPr>
        <w:ind w:right="420"/>
        <w:spacing w:after="0" w:line="253" w:lineRule="auto"/>
        <w:rPr>
          <w:sz w:val="20"/>
          <w:szCs w:val="20"/>
          <w:color w:val="auto"/>
        </w:rPr>
      </w:pPr>
      <w:r>
        <w:rPr>
          <w:rFonts w:ascii="Arial" w:cs="Arial" w:eastAsia="Arial" w:hAnsi="Arial"/>
          <w:sz w:val="18"/>
          <w:szCs w:val="18"/>
          <w:color w:val="auto"/>
        </w:rPr>
        <w:t>At June 30, 2024, the Company had $834.8 million in borrowings outstanding at an average interest rate of 6.4%, and cash, marketable equity securities and other investments of $1,009.6 million. At June 30, 2024, the Company had $132.2 million outstanding on its $300 million revolving credit facility.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net non-operating pension and postretirement benefit income of $24.7 million and $67.1 million for the second</w:t>
      </w:r>
    </w:p>
    <w:p>
      <w:pPr>
        <w:spacing w:after="0" w:line="1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quarter and first six months of 2024, respectively, compared to $29.8 million and $61.7 million for the second quarter and first six months of 2023,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the second quarter of 2024, the Company recorded $14.8 million in expenses related to a VRIP at the television broadcasting division and</w:t>
      </w:r>
    </w:p>
    <w:p>
      <w:pPr>
        <w:spacing w:after="0" w:line="1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corporate office and $1.6 million in expenses related to non-operating SIPs at other businesses. In the first quarter of 2024, the Company recorded $0.4 million in expenses related to a non-operating SIP at other businesses.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the second quarter of 2023, the Company recorded $5.5 million in expenses related to non-operating SIPs at other businesses and the</w:t>
      </w:r>
    </w:p>
    <w:p>
      <w:pPr>
        <w:spacing w:after="0" w:line="1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education and television broadcasting divisions. In the first quarter of 2023, the Company recorded $4.1 million in expenses related to non-operating SIPs at other businesses.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Gain on Marketable Equity Securities, net</w:t>
      </w:r>
    </w:p>
    <w:p>
      <w:pPr>
        <w:spacing w:after="0" w:line="15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Overall, the Company recognized $19.6 million and $123.8 million in net gains on marketable equity securities in the second quarter and first six months of 2024, respectively, compared to $78.6 million and $96.7 million in net gains on marketable equity securities in the second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quarter and first six months of 2023,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w:t>
      </w:r>
      <w:r>
        <w:rPr>
          <w:rFonts w:ascii="Arial" w:cs="Arial" w:eastAsia="Arial" w:hAnsi="Arial"/>
          <w:sz w:val="18"/>
          <w:szCs w:val="18"/>
          <w:b w:val="1"/>
          <w:bCs w:val="1"/>
          <w:u w:val="single" w:color="auto"/>
          <w:color w:val="auto"/>
          <w:highlight w:val="white"/>
        </w:rPr>
        <w:t>g Income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total other non-operating income, net, of $1.8 million for the second quarter of 2024, compared to $15.8 million for</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second quarter of 2023. The 2024 amounts included a gain of $3.5 million on the sale of certain WGB websites, and other items; partially offset by $1.7 million in foreign currency losses and a $0.3 million impairment on a cost method investment. The 2023 amounts included a</w:t>
      </w:r>
    </w:p>
    <w:p>
      <w:pPr>
        <w:spacing w:after="0" w:line="2"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non-cash gain of $10.0 million on the sale of Pinna; $2.2 million in gains related to the sale of businesses and contingent consideration; $1.6 million in foreign currency gains; a $1.3 million fair value increase on a cost method investment, and other items.</w:t>
      </w:r>
    </w:p>
    <w:p>
      <w:pPr>
        <w:spacing w:after="0" w:line="104" w:lineRule="exact"/>
        <w:rPr>
          <w:sz w:val="20"/>
          <w:szCs w:val="20"/>
          <w:color w:val="auto"/>
        </w:rPr>
      </w:pPr>
    </w:p>
    <w:p>
      <w:pPr>
        <w:ind w:right="220"/>
        <w:spacing w:after="0" w:line="245" w:lineRule="auto"/>
        <w:rPr>
          <w:sz w:val="20"/>
          <w:szCs w:val="20"/>
          <w:color w:val="auto"/>
        </w:rPr>
      </w:pPr>
      <w:r>
        <w:rPr>
          <w:rFonts w:ascii="Arial" w:cs="Arial" w:eastAsia="Arial" w:hAnsi="Arial"/>
          <w:sz w:val="18"/>
          <w:szCs w:val="18"/>
          <w:color w:val="auto"/>
        </w:rPr>
        <w:t>The Company recorded total other non-operating income, net, of $3.4 million for the first six months of 2024, compared to $18.9 million for the first six months of 2023. The 2024 amounts included a gain of $3.5 million on the sale of certain WGB websites; $0.9 million in gains</w:t>
      </w:r>
    </w:p>
    <w:p>
      <w:pPr>
        <w:ind w:right="80"/>
        <w:spacing w:after="0"/>
        <w:rPr>
          <w:sz w:val="20"/>
          <w:szCs w:val="20"/>
          <w:color w:val="auto"/>
        </w:rPr>
      </w:pPr>
      <w:r>
        <w:rPr>
          <w:rFonts w:ascii="Arial" w:cs="Arial" w:eastAsia="Arial" w:hAnsi="Arial"/>
          <w:sz w:val="17"/>
          <w:szCs w:val="17"/>
          <w:color w:val="auto"/>
        </w:rPr>
        <w:t>related to the sale of businesses and contingent consideration, and other items; partially offset by $1.1 million in foreign currency losses and a $0.7 million impairment on cost method investments. The 2023 amounts included a non-cash gain of $10.0 million on the sale of Pinna;</w:t>
      </w:r>
    </w:p>
    <w:p>
      <w:pPr>
        <w:spacing w:after="0" w:line="1" w:lineRule="exact"/>
        <w:rPr>
          <w:sz w:val="20"/>
          <w:szCs w:val="20"/>
          <w:color w:val="auto"/>
        </w:rPr>
      </w:pPr>
    </w:p>
    <w:p>
      <w:pPr>
        <w:ind w:right="680"/>
        <w:spacing w:after="0" w:line="250" w:lineRule="auto"/>
        <w:rPr>
          <w:sz w:val="20"/>
          <w:szCs w:val="20"/>
          <w:color w:val="auto"/>
        </w:rPr>
      </w:pPr>
      <w:r>
        <w:rPr>
          <w:rFonts w:ascii="Arial" w:cs="Arial" w:eastAsia="Arial" w:hAnsi="Arial"/>
          <w:sz w:val="18"/>
          <w:szCs w:val="18"/>
          <w:color w:val="auto"/>
        </w:rPr>
        <w:t>$3.2 million in gains related to the sale of businesses and contingent consideration; a $3.1 million fair value increase on cost method investments; a $0.8 million gain on sales of cost method investments; $0.1 million in foreign currency gains, and other items.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tax rate for the first six months of 2024 and 2023 was 30.9% and 25.6%, respectively. The Company’s effective tax</w:t>
      </w:r>
    </w:p>
    <w:p>
      <w:pPr>
        <w:spacing w:after="0" w:line="14" w:lineRule="exact"/>
        <w:rPr>
          <w:sz w:val="20"/>
          <w:szCs w:val="20"/>
          <w:color w:val="auto"/>
        </w:rPr>
      </w:pPr>
    </w:p>
    <w:p>
      <w:pPr>
        <w:ind w:right="80"/>
        <w:spacing w:after="0"/>
        <w:rPr>
          <w:sz w:val="20"/>
          <w:szCs w:val="20"/>
          <w:color w:val="auto"/>
        </w:rPr>
      </w:pPr>
      <w:r>
        <w:rPr>
          <w:rFonts w:ascii="Arial" w:cs="Arial" w:eastAsia="Arial" w:hAnsi="Arial"/>
          <w:sz w:val="17"/>
          <w:szCs w:val="17"/>
          <w:color w:val="auto"/>
        </w:rPr>
        <w:t>rate for the first six months of 2024 is based on the estimated full year 2024 effective tax rate, which includes the adverse impact of the permanent differences related to the interest expense recorded to adjust the fair value of the mandatorily redeemable noncontrolling interest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 GHG and goodwill and intangible asset impairment charges.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(Loss) Earnings Per Share</w:t>
      </w:r>
    </w:p>
    <w:p>
      <w:pPr>
        <w:spacing w:after="0" w:line="144" w:lineRule="exact"/>
        <w:rPr>
          <w:sz w:val="20"/>
          <w:szCs w:val="20"/>
          <w:color w:val="auto"/>
        </w:rPr>
      </w:pPr>
    </w:p>
    <w:p>
      <w:pPr>
        <w:ind w:right="260"/>
        <w:spacing w:after="0" w:line="259" w:lineRule="auto"/>
        <w:rPr>
          <w:sz w:val="20"/>
          <w:szCs w:val="20"/>
          <w:color w:val="auto"/>
        </w:rPr>
      </w:pPr>
      <w:r>
        <w:rPr>
          <w:rFonts w:ascii="Arial" w:cs="Arial" w:eastAsia="Arial" w:hAnsi="Arial"/>
          <w:sz w:val="17"/>
          <w:szCs w:val="17"/>
          <w:color w:val="auto"/>
        </w:rPr>
        <w:t>The calculation of diluted (loss) earnings per share for the second quarter and first six months of 2024 was based on 4,400,745 and 4,442,214 weighted average shares outstanding, respectively, compared to 4,712,626 and 4,744,076, respectively, for the second quarter</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and first six months of 2023. At June 30, 2024, there were 4,410,542 shares outstanding. On May 4, 2023, the Board of Directors authorized the Company to acquire up to 500,000 shares of its Class B common stock; the Company has remaining authorization for 167,617 shares 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June 30, 2024.</w:t>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158"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The Company continuously assesses relevant events and circumstances to determine whether it is more likely than not that the fair value of a reporting unit is less than its carrying amount. In the second quarter of 2024, the Company performed an interim impairment review at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WGB reporting unit.</w:t>
      </w:r>
    </w:p>
    <w:p>
      <w:pPr>
        <w:spacing w:after="0" w:line="14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As a result of continued sustained weakness in digital advertising demand resulting in substantial revenue declines and continued significant operating losses at WGB, the Company recorded a $7.5 million goodwill impairment charge at WGB. After the impairment charge, no</w:t>
      </w:r>
    </w:p>
    <w:p>
      <w:pPr>
        <w:spacing w:after="0" w:line="1" w:lineRule="exact"/>
        <w:rPr>
          <w:sz w:val="20"/>
          <w:szCs w:val="20"/>
          <w:color w:val="auto"/>
        </w:rPr>
      </w:pPr>
    </w:p>
    <w:p>
      <w:pPr>
        <w:ind w:right="600"/>
        <w:spacing w:after="0" w:line="250" w:lineRule="auto"/>
        <w:rPr>
          <w:sz w:val="20"/>
          <w:szCs w:val="20"/>
          <w:color w:val="auto"/>
        </w:rPr>
      </w:pPr>
      <w:r>
        <w:rPr>
          <w:rFonts w:ascii="Arial" w:cs="Arial" w:eastAsia="Arial" w:hAnsi="Arial"/>
          <w:sz w:val="18"/>
          <w:szCs w:val="18"/>
          <w:color w:val="auto"/>
        </w:rPr>
        <w:t>goodwill remains at the WGB reporting unit, which is included in other businesses. Additionally, the Company recorded a $18.8 million intangible asset impairment charge at WGB.</w:t>
      </w:r>
    </w:p>
    <w:p>
      <w:pPr>
        <w:spacing w:after="0" w:line="104"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It is possible that impairment charges, which may be material, could occur in the future, given changes in market conditions and the inherent variability in projecting future operating performance.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Liquidity and Capital Resources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the following when assessing its liquidity and capital resources: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ind w:left="1040"/>
              <w:spacing w:after="0"/>
              <w:rPr>
                <w:sz w:val="20"/>
                <w:szCs w:val="20"/>
                <w:color w:val="auto"/>
              </w:rPr>
            </w:pPr>
            <w:r>
              <w:rPr>
                <w:rFonts w:ascii="Arial" w:cs="Arial" w:eastAsia="Arial" w:hAnsi="Arial"/>
                <w:sz w:val="14"/>
                <w:szCs w:val="14"/>
                <w:b w:val="1"/>
                <w:bCs w:val="1"/>
                <w:color w:val="auto"/>
              </w:rPr>
              <w:t>As of</w:t>
            </w:r>
          </w:p>
        </w:tc>
        <w:tc>
          <w:tcPr>
            <w:tcW w:w="940" w:type="dxa"/>
            <w:vAlign w:val="bottom"/>
            <w:tcBorders>
              <w:bottom w:val="single" w:sz="8" w:color="auto"/>
            </w:tcBorders>
          </w:tcPr>
          <w:p>
            <w:pPr>
              <w:spacing w:after="0"/>
              <w:rPr>
                <w:sz w:val="17"/>
                <w:szCs w:val="17"/>
                <w:color w:val="auto"/>
              </w:rPr>
            </w:pPr>
          </w:p>
        </w:tc>
      </w:tr>
      <w:tr>
        <w:trPr>
          <w:trHeight w:val="210"/>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June 30, 2024</w:t>
            </w:r>
          </w:p>
        </w:tc>
        <w:tc>
          <w:tcPr>
            <w:tcW w:w="14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December 31, 2023</w:t>
            </w:r>
          </w:p>
        </w:tc>
      </w:tr>
      <w:tr>
        <w:trPr>
          <w:trHeight w:val="223"/>
        </w:trPr>
        <w:tc>
          <w:tcPr>
            <w:tcW w:w="842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Pr>
          <w:p>
            <w:pPr>
              <w:jc w:val="right"/>
              <w:ind w:right="22"/>
              <w:spacing w:after="0"/>
              <w:rPr>
                <w:sz w:val="20"/>
                <w:szCs w:val="20"/>
                <w:color w:val="auto"/>
              </w:rPr>
            </w:pPr>
            <w:r>
              <w:rPr>
                <w:rFonts w:ascii="Arial" w:cs="Arial" w:eastAsia="Arial" w:hAnsi="Arial"/>
                <w:sz w:val="16"/>
                <w:szCs w:val="16"/>
                <w:b w:val="1"/>
                <w:bCs w:val="1"/>
                <w:color w:val="auto"/>
              </w:rPr>
              <w:t>140,717</w:t>
            </w:r>
          </w:p>
        </w:tc>
        <w:tc>
          <w:tcPr>
            <w:tcW w:w="480" w:type="dxa"/>
            <w:vAlign w:val="bottom"/>
          </w:tcPr>
          <w:p>
            <w:pPr>
              <w:ind w:lef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169,897</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160" w:type="dxa"/>
            <w:vAlign w:val="bottom"/>
          </w:tcPr>
          <w:p>
            <w:pPr>
              <w:spacing w:after="0"/>
              <w:rPr>
                <w:sz w:val="19"/>
                <w:szCs w:val="19"/>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b w:val="1"/>
                <w:bCs w:val="1"/>
                <w:color w:val="auto"/>
              </w:rPr>
              <w:t>46,898</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31,994</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160" w:type="dxa"/>
            <w:vAlign w:val="bottom"/>
          </w:tcPr>
          <w:p>
            <w:pPr>
              <w:spacing w:after="0"/>
              <w:rPr>
                <w:sz w:val="19"/>
                <w:szCs w:val="19"/>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b w:val="1"/>
                <w:bCs w:val="1"/>
                <w:color w:val="auto"/>
              </w:rPr>
              <w:t>822,034</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697,028</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160" w:type="dxa"/>
            <w:vAlign w:val="bottom"/>
          </w:tcPr>
          <w:p>
            <w:pPr>
              <w:spacing w:after="0"/>
              <w:rPr>
                <w:sz w:val="19"/>
                <w:szCs w:val="19"/>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b w:val="1"/>
                <w:bCs w:val="1"/>
                <w:color w:val="auto"/>
              </w:rPr>
              <w:t>834,772</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811,833</w:t>
            </w:r>
          </w:p>
        </w:tc>
      </w:tr>
    </w:tbl>
    <w:p>
      <w:pPr>
        <w:spacing w:after="0" w:line="232" w:lineRule="exact"/>
        <w:rPr>
          <w:sz w:val="20"/>
          <w:szCs w:val="20"/>
          <w:color w:val="auto"/>
        </w:rPr>
      </w:pPr>
    </w:p>
    <w:p>
      <w:pPr>
        <w:jc w:val="both"/>
        <w:ind w:right="80"/>
        <w:spacing w:after="0" w:line="251" w:lineRule="auto"/>
        <w:rPr>
          <w:sz w:val="20"/>
          <w:szCs w:val="20"/>
          <w:color w:val="auto"/>
        </w:rPr>
      </w:pPr>
      <w:r>
        <w:rPr>
          <w:rFonts w:ascii="Arial" w:cs="Arial" w:eastAsia="Arial" w:hAnsi="Arial"/>
          <w:sz w:val="17"/>
          <w:szCs w:val="17"/>
          <w:color w:val="auto"/>
        </w:rPr>
        <w:t>Cash generated by operations is the Company’s primary source of liquidity. The Company maintains investments in a portfolio of marketable equity securities, which is considered when assessing the Company’s sources of liquidity. An additional source of liquidity includes the</w:t>
      </w:r>
    </w:p>
    <w:p>
      <w:pPr>
        <w:spacing w:after="0" w:line="1" w:lineRule="exact"/>
        <w:rPr>
          <w:sz w:val="20"/>
          <w:szCs w:val="20"/>
          <w:color w:val="auto"/>
        </w:rPr>
      </w:pPr>
    </w:p>
    <w:p>
      <w:pPr>
        <w:jc w:val="both"/>
        <w:ind w:right="100"/>
        <w:spacing w:after="0" w:line="250" w:lineRule="auto"/>
        <w:rPr>
          <w:sz w:val="20"/>
          <w:szCs w:val="20"/>
          <w:color w:val="auto"/>
        </w:rPr>
      </w:pPr>
      <w:r>
        <w:rPr>
          <w:rFonts w:ascii="Arial" w:cs="Arial" w:eastAsia="Arial" w:hAnsi="Arial"/>
          <w:sz w:val="18"/>
          <w:szCs w:val="18"/>
          <w:color w:val="auto"/>
        </w:rPr>
        <w:t>undrawn portion of the Company’s $300 million revolving credit facility, amounting to $167.8 million at June 30, 2024 and the undrawn $50.0 million delayed draw term loan at the automotive subsidiary.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six months of 2024, the Company’s cash and cash equivalents decreased by $29.2 million, due to share repurchases, capital</w:t>
      </w:r>
    </w:p>
    <w:p>
      <w:pPr>
        <w:spacing w:after="0" w:line="14" w:lineRule="exact"/>
        <w:rPr>
          <w:sz w:val="20"/>
          <w:szCs w:val="20"/>
          <w:color w:val="auto"/>
        </w:rPr>
      </w:pPr>
    </w:p>
    <w:p>
      <w:pPr>
        <w:jc w:val="both"/>
        <w:ind w:right="120"/>
        <w:spacing w:after="0" w:line="226" w:lineRule="auto"/>
        <w:rPr>
          <w:sz w:val="20"/>
          <w:szCs w:val="20"/>
          <w:color w:val="auto"/>
        </w:rPr>
      </w:pPr>
      <w:r>
        <w:rPr>
          <w:rFonts w:ascii="Arial" w:cs="Arial" w:eastAsia="Arial" w:hAnsi="Arial"/>
          <w:sz w:val="18"/>
          <w:szCs w:val="18"/>
          <w:color w:val="auto"/>
        </w:rPr>
        <w:t>expenditures, and dividend payments, which was offset by operating cash flow and net proceeds from the vehicle floor plan payable and net borrowings. In the first six months of 2024, the Company’s borrowings increased by $22.9 million, primarily due to additional borrowings</w:t>
      </w:r>
    </w:p>
    <w:p>
      <w:pPr>
        <w:spacing w:after="0" w:line="2" w:lineRule="exact"/>
        <w:rPr>
          <w:sz w:val="20"/>
          <w:szCs w:val="20"/>
          <w:color w:val="auto"/>
        </w:rPr>
      </w:pPr>
    </w:p>
    <w:p>
      <w:pPr>
        <w:ind w:right="480"/>
        <w:spacing w:after="0" w:line="250" w:lineRule="auto"/>
        <w:rPr>
          <w:sz w:val="20"/>
          <w:szCs w:val="20"/>
          <w:color w:val="auto"/>
        </w:rPr>
      </w:pPr>
      <w:r>
        <w:rPr>
          <w:rFonts w:ascii="Arial" w:cs="Arial" w:eastAsia="Arial" w:hAnsi="Arial"/>
          <w:sz w:val="18"/>
          <w:szCs w:val="18"/>
          <w:color w:val="auto"/>
        </w:rPr>
        <w:t>under the revolving credit facility, partially offset by repayments under the revolving credit facility, term loan and commercial notes at the automotive subsidiary.</w:t>
      </w:r>
    </w:p>
    <w:p>
      <w:pPr>
        <w:spacing w:after="0" w:line="104"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As of June 30, 2024 and December 31, 2023, the Company had money market investments of $ 9.0 million and $5.6 million, that are included in cash and cash equivalents. At June 30, 2024, the Company held approximately $91 million in cash and cash equivalents in businesses</w:t>
      </w:r>
    </w:p>
    <w:p>
      <w:pPr>
        <w:spacing w:after="0" w:line="1"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domiciled outside the U.S., of which approximately $ 8 million is not available for immediate use in operations or for distribution. Additionally, Kaplan’s business operations outside the U.S. retain cash balances to support ongoing working capital requirements, capital expenditures,</w:t>
      </w:r>
    </w:p>
    <w:p>
      <w:pPr>
        <w:spacing w:after="0" w:line="1"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and regulatory requirements. As a result, the Company considers a significant portion of the cash and cash equivalents balance held outside the U.S. as not readily available for use in U.S. operations.</w:t>
      </w:r>
    </w:p>
    <w:p>
      <w:pPr>
        <w:spacing w:after="0" w:line="10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At June 30, 2024, the fair value of the Company’s investments in marketable equity securities was $813.4 million, which includes investments in the common stock of four publicly traded companies. There were no purchases or sales of marketable equity securities during the first six months of 2024. At June 30, 2024, the unrealized gain related to the Company’s investments totaled $587.6 million.</w:t>
      </w:r>
    </w:p>
    <w:p>
      <w:pPr>
        <w:spacing w:after="0" w:line="10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May 2024, the Company entered into a convertible promissory note agreement to loan N2K Networks $2.0 million. The convertible promissory note bears interest at a rate of 12% per annum and, subject to conversion provisions, all unpaid interest and principal are due by May 2027.</w:t>
      </w:r>
    </w:p>
    <w:p>
      <w:pPr>
        <w:spacing w:after="0" w:line="10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April 2023, the Company entered into a term note agreement to loan Intersection $30.0 million at an interest rate of 9% per annum. The principal and interest on the note are payable in monthly installments over 5 years with the final payment due by May 2028. The outstanding balance on this loan was $27.7 million as of June 30, 2024.</w:t>
      </w:r>
    </w:p>
    <w:p>
      <w:pPr>
        <w:spacing w:after="0" w:line="10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had working capital of $731.2 million and $619.6 million at June 30, 2024 and December 31, 2023, respectively. The Company maintains working capital levels consistent with its underlying business requirements and consistently generates cash from operations in excess of required interest or principal payments.</w:t>
      </w:r>
    </w:p>
    <w:p>
      <w:pPr>
        <w:spacing w:after="0" w:line="101"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At June 30, 2024 and December 31, 2023, the Company had borrowings outstanding of $834.8 million and $811.8 million, respectively. The Company’s borrowings at June 30, 2024 were mostly from $400.0 million of 5.75%</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color w:val="auto"/>
        </w:rPr>
        <w:t>unsecured notes due June 1, 2026, $132.2 million in outstanding borrowings under the Company’s revolving credit facility, a term loan of</w:t>
      </w:r>
    </w:p>
    <w:p>
      <w:pPr>
        <w:spacing w:after="0" w:line="14"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$143.7 million, and real estate and capital term loans of $132.6 million at the automotive subsidiary. The Company’s borrowings at December 31, 2023 were mostly from $400.0 million of 5.75% unsecured notes due June 1, 2026, $97.9 million in outstanding borrowings</w:t>
      </w:r>
    </w:p>
    <w:p>
      <w:pPr>
        <w:spacing w:after="0" w:line="2" w:lineRule="exact"/>
        <w:rPr>
          <w:sz w:val="20"/>
          <w:szCs w:val="20"/>
          <w:color w:val="auto"/>
        </w:rPr>
      </w:pPr>
    </w:p>
    <w:p>
      <w:pPr>
        <w:jc w:val="both"/>
        <w:ind w:right="360"/>
        <w:spacing w:after="0" w:line="279" w:lineRule="auto"/>
        <w:rPr>
          <w:sz w:val="20"/>
          <w:szCs w:val="20"/>
          <w:color w:val="auto"/>
        </w:rPr>
      </w:pPr>
      <w:r>
        <w:rPr>
          <w:rFonts w:ascii="Arial" w:cs="Arial" w:eastAsia="Arial" w:hAnsi="Arial"/>
          <w:sz w:val="17"/>
          <w:szCs w:val="17"/>
          <w:color w:val="auto"/>
        </w:rPr>
        <w:t>under the Company’s revolving credit facility, a term loan of $147.5 million, and real estate and capital term loans of $ 137.6 million at the automotive subsidiary. The interest on the $400.0 million of 5.75% unsecured notes is payable semiannually on June 1 and December 1.</w:t>
      </w:r>
    </w:p>
    <w:p>
      <w:pPr>
        <w:spacing w:after="0" w:line="81"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During the six months ended June 30, 2024 and 2023, the Company had average borrowings outstanding of approximately $826.9 million and $738.3 million, respectively, at average annual interest rates of approximately 6.4% and 5.9%, respectively. During the six months ended</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June 30, 2024 and 2023, the Company incurred net interest expense of $106.4 million and $23.3 million, respectively. Included in the interest expense for the six months ended June 30, 2024 and 2023 is $75.4 million and $0.3 million, respectively, to adjust the fair value of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mandatorily redeemable noncontrolling interest (see Note 7 and 8).</w:t>
      </w:r>
    </w:p>
    <w:p>
      <w:pPr>
        <w:spacing w:after="0" w:line="140" w:lineRule="exact"/>
        <w:rPr>
          <w:sz w:val="20"/>
          <w:szCs w:val="20"/>
          <w:color w:val="auto"/>
        </w:rPr>
      </w:pPr>
    </w:p>
    <w:p>
      <w:pPr>
        <w:ind w:right="660"/>
        <w:spacing w:after="0" w:line="256" w:lineRule="auto"/>
        <w:rPr>
          <w:sz w:val="20"/>
          <w:szCs w:val="20"/>
          <w:color w:val="auto"/>
        </w:rPr>
      </w:pPr>
      <w:r>
        <w:rPr>
          <w:rFonts w:ascii="Arial" w:cs="Arial" w:eastAsia="Arial" w:hAnsi="Arial"/>
          <w:sz w:val="18"/>
          <w:szCs w:val="18"/>
          <w:color w:val="auto"/>
        </w:rPr>
        <w:t>On April 2, 2024, Standard &amp; Poor’s affirmed the Company’s credit rating and maintained the outlook as Stable. On August 17, 2023, Moody’s affirmed the Company’s credit rating and maintained the outlook as Stable.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current credit ratings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60" w:type="dxa"/>
            <w:vAlign w:val="bottom"/>
            <w:tcBorders>
              <w:bottom w:val="single" w:sz="8" w:color="auto"/>
            </w:tcBorders>
          </w:tcPr>
          <w:p>
            <w:pPr>
              <w:spacing w:after="0"/>
              <w:rPr>
                <w:sz w:val="17"/>
                <w:szCs w:val="17"/>
                <w:color w:val="auto"/>
              </w:rPr>
            </w:pPr>
          </w:p>
        </w:tc>
        <w:tc>
          <w:tcPr>
            <w:tcW w:w="4760" w:type="dxa"/>
            <w:vAlign w:val="bottom"/>
            <w:tcBorders>
              <w:bottom w:val="single" w:sz="8" w:color="auto"/>
            </w:tcBorders>
          </w:tcPr>
          <w:p>
            <w:pPr>
              <w:jc w:val="center"/>
              <w:ind w:left="3502"/>
              <w:spacing w:after="0"/>
              <w:rPr>
                <w:sz w:val="20"/>
                <w:szCs w:val="20"/>
                <w:color w:val="auto"/>
              </w:rPr>
            </w:pPr>
            <w:r>
              <w:rPr>
                <w:rFonts w:ascii="Arial" w:cs="Arial" w:eastAsia="Arial" w:hAnsi="Arial"/>
                <w:sz w:val="14"/>
                <w:szCs w:val="14"/>
                <w:b w:val="1"/>
                <w:bCs w:val="1"/>
                <w:color w:val="auto"/>
              </w:rPr>
              <w:t>Moody’s</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Standard &amp; Poor’s</w:t>
            </w:r>
          </w:p>
        </w:tc>
      </w:tr>
      <w:tr>
        <w:trPr>
          <w:trHeight w:val="215"/>
        </w:trPr>
        <w:tc>
          <w:tcPr>
            <w:tcW w:w="4660" w:type="dxa"/>
            <w:vAlign w:val="bottom"/>
          </w:tcPr>
          <w:p>
            <w:pPr>
              <w:ind w:left="20"/>
              <w:spacing w:after="0"/>
              <w:rPr>
                <w:sz w:val="20"/>
                <w:szCs w:val="20"/>
                <w:color w:val="auto"/>
              </w:rPr>
            </w:pPr>
            <w:r>
              <w:rPr>
                <w:rFonts w:ascii="Arial" w:cs="Arial" w:eastAsia="Arial" w:hAnsi="Arial"/>
                <w:sz w:val="16"/>
                <w:szCs w:val="16"/>
                <w:color w:val="auto"/>
              </w:rPr>
              <w:t>Long-term</w:t>
            </w:r>
          </w:p>
        </w:tc>
        <w:tc>
          <w:tcPr>
            <w:tcW w:w="4760" w:type="dxa"/>
            <w:vAlign w:val="bottom"/>
          </w:tcPr>
          <w:p>
            <w:pPr>
              <w:jc w:val="center"/>
              <w:ind w:left="3522"/>
              <w:spacing w:after="0"/>
              <w:rPr>
                <w:sz w:val="20"/>
                <w:szCs w:val="20"/>
                <w:color w:val="auto"/>
              </w:rPr>
            </w:pPr>
            <w:r>
              <w:rPr>
                <w:rFonts w:ascii="Arial" w:cs="Arial" w:eastAsia="Arial" w:hAnsi="Arial"/>
                <w:sz w:val="16"/>
                <w:szCs w:val="16"/>
                <w:color w:val="auto"/>
                <w:w w:val="98"/>
              </w:rPr>
              <w:t>Ba1</w:t>
            </w:r>
          </w:p>
        </w:tc>
        <w:tc>
          <w:tcPr>
            <w:tcW w:w="1800" w:type="dxa"/>
            <w:vAlign w:val="bottom"/>
          </w:tcPr>
          <w:p>
            <w:pPr>
              <w:jc w:val="center"/>
              <w:spacing w:after="0"/>
              <w:rPr>
                <w:sz w:val="20"/>
                <w:szCs w:val="20"/>
                <w:color w:val="auto"/>
              </w:rPr>
            </w:pPr>
            <w:r>
              <w:rPr>
                <w:rFonts w:ascii="Arial" w:cs="Arial" w:eastAsia="Arial" w:hAnsi="Arial"/>
                <w:sz w:val="16"/>
                <w:szCs w:val="16"/>
                <w:color w:val="auto"/>
              </w:rPr>
              <w:t>BB</w:t>
            </w:r>
          </w:p>
        </w:tc>
      </w:tr>
      <w:tr>
        <w:trPr>
          <w:trHeight w:val="229"/>
        </w:trPr>
        <w:tc>
          <w:tcPr>
            <w:tcW w:w="4660" w:type="dxa"/>
            <w:vAlign w:val="bottom"/>
          </w:tcPr>
          <w:p>
            <w:pPr>
              <w:ind w:left="20"/>
              <w:spacing w:after="0"/>
              <w:rPr>
                <w:sz w:val="20"/>
                <w:szCs w:val="20"/>
                <w:color w:val="auto"/>
              </w:rPr>
            </w:pPr>
            <w:r>
              <w:rPr>
                <w:rFonts w:ascii="Arial" w:cs="Arial" w:eastAsia="Arial" w:hAnsi="Arial"/>
                <w:sz w:val="16"/>
                <w:szCs w:val="16"/>
                <w:color w:val="auto"/>
              </w:rPr>
              <w:t>Outlook</w:t>
            </w:r>
          </w:p>
        </w:tc>
        <w:tc>
          <w:tcPr>
            <w:tcW w:w="4760" w:type="dxa"/>
            <w:vAlign w:val="bottom"/>
          </w:tcPr>
          <w:p>
            <w:pPr>
              <w:jc w:val="center"/>
              <w:ind w:left="3502"/>
              <w:spacing w:after="0"/>
              <w:rPr>
                <w:sz w:val="20"/>
                <w:szCs w:val="20"/>
                <w:color w:val="auto"/>
              </w:rPr>
            </w:pPr>
            <w:r>
              <w:rPr>
                <w:rFonts w:ascii="Arial" w:cs="Arial" w:eastAsia="Arial" w:hAnsi="Arial"/>
                <w:sz w:val="16"/>
                <w:szCs w:val="16"/>
                <w:color w:val="auto"/>
              </w:rPr>
              <w:t>Stable</w:t>
            </w:r>
          </w:p>
        </w:tc>
        <w:tc>
          <w:tcPr>
            <w:tcW w:w="1800" w:type="dxa"/>
            <w:vAlign w:val="bottom"/>
          </w:tcPr>
          <w:p>
            <w:pPr>
              <w:jc w:val="center"/>
              <w:spacing w:after="0"/>
              <w:rPr>
                <w:sz w:val="20"/>
                <w:szCs w:val="20"/>
                <w:color w:val="auto"/>
              </w:rPr>
            </w:pPr>
            <w:r>
              <w:rPr>
                <w:rFonts w:ascii="Arial" w:cs="Arial" w:eastAsia="Arial" w:hAnsi="Arial"/>
                <w:sz w:val="16"/>
                <w:szCs w:val="16"/>
                <w:color w:val="auto"/>
              </w:rPr>
              <w:t>Stable</w:t>
            </w:r>
          </w:p>
        </w:tc>
      </w:tr>
    </w:tbl>
    <w:p>
      <w:pPr>
        <w:spacing w:after="0" w:line="226"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The Company expects to fund its estimated capital needs primarily through existing cash balances and internally generated funds, and, as needed, from borrowings under its revolving credit facility. As of June 30, 2024, the Company had $132.2 million outstanding under the $300</w:t>
      </w:r>
    </w:p>
    <w:p>
      <w:pPr>
        <w:spacing w:after="0" w:line="1"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million revolving credit facility. In management’s opinion, the Company will have sufficient financial resources to meet its business requirements in the next 12 months, including working capital requirements, capital expenditures, interest payments, potential acquisitions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strategic investments, dividends and stock repurchases.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In summary, the Company’s cash flows for each period were as follows:</w:t>
      </w:r>
    </w:p>
    <w:p>
      <w:pPr>
        <w:spacing w:after="0" w:line="221"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Six Months Ended</w:t>
      </w:r>
    </w:p>
    <w:p>
      <w:pPr>
        <w:spacing w:after="0" w:line="15" w:lineRule="exact"/>
        <w:rPr>
          <w:sz w:val="20"/>
          <w:szCs w:val="20"/>
          <w:color w:val="auto"/>
        </w:rPr>
      </w:pPr>
    </w:p>
    <w:p>
      <w:pPr>
        <w:ind w:left="9560"/>
        <w:spacing w:after="0"/>
        <w:rPr>
          <w:sz w:val="20"/>
          <w:szCs w:val="20"/>
          <w:color w:val="auto"/>
        </w:rPr>
      </w:pPr>
      <w:r>
        <w:rPr>
          <w:rFonts w:ascii="Arial" w:cs="Arial" w:eastAsia="Arial" w:hAnsi="Arial"/>
          <w:sz w:val="14"/>
          <w:szCs w:val="14"/>
          <w:b w:val="1"/>
          <w:bCs w:val="1"/>
          <w:color w:val="auto"/>
        </w:rPr>
        <w:t>June 30</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4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2024</w:t>
            </w:r>
          </w:p>
        </w:tc>
        <w:tc>
          <w:tcPr>
            <w:tcW w:w="140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062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provided by operating activities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used in investing activities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used in financing activities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Effect of currency exchange rate change</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decrease in cash and cash equivalents and restricted cash</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4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53,108</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62,239</w:t>
            </w:r>
          </w:p>
        </w:tc>
      </w:tr>
      <w:tr>
        <w:trPr>
          <w:trHeight w:val="230"/>
        </w:trPr>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(41,784)</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(22,972)</w:t>
            </w:r>
          </w:p>
        </w:tc>
      </w:tr>
      <w:tr>
        <w:trPr>
          <w:trHeight w:val="229"/>
        </w:trPr>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(21,261)</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(77,880)</w:t>
            </w:r>
          </w:p>
        </w:tc>
      </w:tr>
      <w:tr>
        <w:trPr>
          <w:trHeight w:val="233"/>
        </w:trPr>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(4,339)</w:t>
            </w: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w:t>
            </w:r>
          </w:p>
        </w:tc>
      </w:tr>
      <w:tr>
        <w:trPr>
          <w:trHeight w:val="223"/>
        </w:trPr>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(14,276)</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(38,052)</w:t>
            </w:r>
          </w:p>
        </w:tc>
      </w:tr>
      <w:tr>
        <w:trPr>
          <w:trHeight w:val="24"/>
        </w:trPr>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700" w:space="720"/>
            <w:col w:w="2800"/>
          </w:cols>
          <w:pgMar w:left="320" w:top="931" w:right="359" w:bottom="1440" w:gutter="0" w:footer="0" w:header="0"/>
          <w:type w:val="continuous"/>
        </w:sectPr>
      </w:pPr>
    </w:p>
    <w:p>
      <w:pPr>
        <w:spacing w:after="0" w:line="24"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Cash provided by operating activities is net income adjusted for certain non-cash items and changes in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The Company’s net cash flow provided by operating activities were as follows:</w:t>
      </w:r>
    </w:p>
    <w:p>
      <w:pPr>
        <w:spacing w:after="0" w:line="176"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Six Months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r>
      <w:tr>
        <w:trPr>
          <w:trHeight w:val="203"/>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2023</w:t>
            </w:r>
          </w:p>
        </w:tc>
      </w:tr>
      <w:tr>
        <w:trPr>
          <w:trHeight w:val="223"/>
        </w:trPr>
        <w:tc>
          <w:tcPr>
            <w:tcW w:w="84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106,512</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177,148</w:t>
            </w:r>
          </w:p>
        </w:tc>
      </w:tr>
      <w:tr>
        <w:trPr>
          <w:trHeight w:val="221"/>
        </w:trPr>
        <w:tc>
          <w:tcPr>
            <w:tcW w:w="842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8"/>
        </w:trPr>
        <w:tc>
          <w:tcPr>
            <w:tcW w:w="8420" w:type="dxa"/>
            <w:vAlign w:val="bottom"/>
          </w:tcPr>
          <w:p>
            <w:pPr>
              <w:ind w:left="140"/>
              <w:spacing w:after="0"/>
              <w:rPr>
                <w:sz w:val="20"/>
                <w:szCs w:val="20"/>
                <w:color w:val="auto"/>
              </w:rPr>
            </w:pPr>
            <w:r>
              <w:rPr>
                <w:rFonts w:ascii="Arial" w:cs="Arial" w:eastAsia="Arial" w:hAnsi="Arial"/>
                <w:sz w:val="16"/>
                <w:szCs w:val="16"/>
                <w:color w:val="auto"/>
              </w:rPr>
              <w:t>Depreciation, amortization and goodwill and other long-lived asset impairments</w:t>
            </w:r>
          </w:p>
        </w:tc>
        <w:tc>
          <w:tcPr>
            <w:tcW w:w="300" w:type="dxa"/>
            <w:vAlign w:val="bottom"/>
          </w:tcPr>
          <w:p>
            <w:pPr>
              <w:spacing w:after="0"/>
              <w:rPr>
                <w:sz w:val="20"/>
                <w:szCs w:val="20"/>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91,796</w:t>
            </w: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69,121</w:t>
            </w:r>
          </w:p>
        </w:tc>
      </w:tr>
      <w:tr>
        <w:trPr>
          <w:trHeight w:val="230"/>
        </w:trPr>
        <w:tc>
          <w:tcPr>
            <w:tcW w:w="8420" w:type="dxa"/>
            <w:vAlign w:val="bottom"/>
          </w:tcPr>
          <w:p>
            <w:pPr>
              <w:ind w:left="140"/>
              <w:spacing w:after="0"/>
              <w:rPr>
                <w:sz w:val="20"/>
                <w:szCs w:val="20"/>
                <w:color w:val="auto"/>
              </w:rPr>
            </w:pPr>
            <w:r>
              <w:rPr>
                <w:rFonts w:ascii="Arial" w:cs="Arial" w:eastAsia="Arial" w:hAnsi="Arial"/>
                <w:sz w:val="16"/>
                <w:szCs w:val="16"/>
                <w:color w:val="auto"/>
              </w:rPr>
              <w:t>Amortization of lease right-of-use asset</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32,614</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33,245</w:t>
            </w:r>
          </w:p>
        </w:tc>
      </w:tr>
      <w:tr>
        <w:trPr>
          <w:trHeight w:val="229"/>
        </w:trPr>
        <w:tc>
          <w:tcPr>
            <w:tcW w:w="8420" w:type="dxa"/>
            <w:vAlign w:val="bottom"/>
          </w:tcPr>
          <w:p>
            <w:pPr>
              <w:ind w:left="140"/>
              <w:spacing w:after="0"/>
              <w:rPr>
                <w:sz w:val="20"/>
                <w:szCs w:val="20"/>
                <w:color w:val="auto"/>
              </w:rPr>
            </w:pPr>
            <w:r>
              <w:rPr>
                <w:rFonts w:ascii="Arial" w:cs="Arial" w:eastAsia="Arial" w:hAnsi="Arial"/>
                <w:sz w:val="16"/>
                <w:szCs w:val="16"/>
                <w:color w:val="auto"/>
              </w:rPr>
              <w:t>Net pension benefit, early retirement programs and special separation benefit expense</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(40,313)</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(46,074)</w:t>
            </w:r>
          </w:p>
        </w:tc>
      </w:tr>
      <w:tr>
        <w:trPr>
          <w:trHeight w:val="230"/>
        </w:trPr>
        <w:tc>
          <w:tcPr>
            <w:tcW w:w="8420" w:type="dxa"/>
            <w:vAlign w:val="bottom"/>
          </w:tcPr>
          <w:p>
            <w:pPr>
              <w:ind w:left="140"/>
              <w:spacing w:after="0"/>
              <w:rPr>
                <w:sz w:val="20"/>
                <w:szCs w:val="20"/>
                <w:color w:val="auto"/>
              </w:rPr>
            </w:pPr>
            <w:r>
              <w:rPr>
                <w:rFonts w:ascii="Arial" w:cs="Arial" w:eastAsia="Arial" w:hAnsi="Arial"/>
                <w:sz w:val="16"/>
                <w:szCs w:val="16"/>
                <w:color w:val="auto"/>
              </w:rPr>
              <w:t>Other non-cash activities</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(109,547)</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(76,273)</w:t>
            </w:r>
          </w:p>
        </w:tc>
      </w:tr>
      <w:tr>
        <w:trPr>
          <w:trHeight w:val="233"/>
        </w:trPr>
        <w:tc>
          <w:tcPr>
            <w:tcW w:w="8420" w:type="dxa"/>
            <w:vAlign w:val="bottom"/>
          </w:tcPr>
          <w:p>
            <w:pPr>
              <w:ind w:left="140"/>
              <w:spacing w:after="0"/>
              <w:rPr>
                <w:sz w:val="20"/>
                <w:szCs w:val="20"/>
                <w:color w:val="auto"/>
              </w:rPr>
            </w:pPr>
            <w:r>
              <w:rPr>
                <w:rFonts w:ascii="Arial" w:cs="Arial" w:eastAsia="Arial" w:hAnsi="Arial"/>
                <w:sz w:val="16"/>
                <w:szCs w:val="16"/>
                <w:color w:val="auto"/>
              </w:rPr>
              <w:t>Change in operating assets and liabilities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(27,954)</w:t>
            </w: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(94,928)</w:t>
            </w:r>
          </w:p>
        </w:tc>
      </w:tr>
      <w:tr>
        <w:trPr>
          <w:trHeight w:val="227"/>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53,108</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62,239</w:t>
            </w: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Net cash provided by operating activities consists primarily of cash receipts from customers, less disbursements for costs, benefits, income taxes, interest and other expenses.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For the first six months of 2024 compared to the first six months of 2023, the decrease in net cash provided by operating activities is primarily</w:t>
      </w:r>
    </w:p>
    <w:p>
      <w:pPr>
        <w:spacing w:after="0" w:line="14"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driven by lower net income, net of non-cash adjustments, partially offset by the changes in operating assets and liabilities. Changes in operating assets and liabilities were driven by a significant increase in the value of the mandatorily redeemable noncontrolling interest, offset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by a decrease in customer collections.</w:t>
      </w:r>
    </w:p>
    <w:p>
      <w:pPr>
        <w:sectPr>
          <w:pgSz w:w="11900" w:h="16838" w:orient="portrait"/>
          <w:cols w:equalWidth="0" w:num="1">
            <w:col w:w="11220"/>
          </w:cols>
          <w:pgMar w:left="320" w:top="931" w:right="359" w:bottom="1440" w:gutter="0" w:footer="0" w:header="0"/>
          <w:type w:val="continuous"/>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The Company’s net cash flow used in investing activities were as follows:</w:t>
      </w:r>
    </w:p>
    <w:p>
      <w:pPr>
        <w:spacing w:after="0" w:line="221"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Six Months Ended</w:t>
      </w:r>
    </w:p>
    <w:p>
      <w:pPr>
        <w:spacing w:after="0" w:line="2" w:lineRule="exact"/>
        <w:rPr>
          <w:sz w:val="20"/>
          <w:szCs w:val="20"/>
          <w:color w:val="auto"/>
        </w:rPr>
      </w:pPr>
    </w:p>
    <w:p>
      <w:pPr>
        <w:ind w:left="9560"/>
        <w:spacing w:after="0"/>
        <w:rPr>
          <w:sz w:val="20"/>
          <w:szCs w:val="20"/>
          <w:color w:val="auto"/>
        </w:rPr>
      </w:pPr>
      <w:r>
        <w:rPr>
          <w:rFonts w:ascii="Arial" w:cs="Arial" w:eastAsia="Arial" w:hAnsi="Arial"/>
          <w:sz w:val="14"/>
          <w:szCs w:val="14"/>
          <w:b w:val="1"/>
          <w:bCs w:val="1"/>
          <w:color w:val="auto"/>
        </w:rPr>
        <w:t>June 30</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84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2024</w:t>
            </w:r>
          </w:p>
        </w:tc>
        <w:tc>
          <w:tcPr>
            <w:tcW w:w="140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62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Purchases of property, plant and equipment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Loan to related party</w:t>
      </w:r>
    </w:p>
    <w:p>
      <w:pPr>
        <w:spacing w:after="0" w:line="46" w:lineRule="exact"/>
        <w:rPr>
          <w:sz w:val="20"/>
          <w:szCs w:val="20"/>
          <w:color w:val="auto"/>
        </w:rPr>
      </w:pPr>
    </w:p>
    <w:p>
      <w:pPr>
        <w:ind w:left="20" w:right="3360"/>
        <w:spacing w:after="0" w:line="316" w:lineRule="auto"/>
        <w:rPr>
          <w:sz w:val="20"/>
          <w:szCs w:val="20"/>
          <w:color w:val="auto"/>
        </w:rPr>
      </w:pPr>
      <w:r>
        <w:rPr>
          <w:rFonts w:ascii="Arial" w:cs="Arial" w:eastAsia="Arial" w:hAnsi="Arial"/>
          <w:sz w:val="16"/>
          <w:szCs w:val="16"/>
          <w:color w:val="auto"/>
        </w:rPr>
        <w:t>Investments in equity affiliates and cost method investments Net proceeds from sales of marketable equity securities Other</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Cash Used in Investing Activities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4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(39,560)</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(40,909)</w:t>
            </w:r>
          </w:p>
        </w:tc>
      </w:tr>
      <w:tr>
        <w:trPr>
          <w:trHeight w:val="230"/>
        </w:trPr>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(2,000)</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(30,000)</w:t>
            </w:r>
          </w:p>
        </w:tc>
      </w:tr>
      <w:tr>
        <w:trPr>
          <w:trHeight w:val="229"/>
        </w:trPr>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(1,759)</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(11,982)</w:t>
            </w:r>
          </w:p>
        </w:tc>
      </w:tr>
      <w:tr>
        <w:trPr>
          <w:trHeight w:val="230"/>
        </w:trPr>
        <w:tc>
          <w:tcPr>
            <w:tcW w:w="40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55,817</w:t>
            </w:r>
          </w:p>
        </w:tc>
      </w:tr>
      <w:tr>
        <w:trPr>
          <w:trHeight w:val="233"/>
        </w:trPr>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1,535</w:t>
            </w: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4,102</w:t>
            </w:r>
          </w:p>
        </w:tc>
      </w:tr>
      <w:tr>
        <w:trPr>
          <w:trHeight w:val="223"/>
        </w:trPr>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(41,784)</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(22,972)</w:t>
            </w:r>
          </w:p>
        </w:tc>
      </w:tr>
      <w:tr>
        <w:trPr>
          <w:trHeight w:val="24"/>
        </w:trPr>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700" w:space="720"/>
            <w:col w:w="2780"/>
          </w:cols>
          <w:pgMar w:left="320" w:top="931" w:right="379" w:bottom="1440" w:gutter="0" w:footer="0" w:header="0"/>
          <w:type w:val="continuous"/>
        </w:sectPr>
      </w:pPr>
    </w:p>
    <w:p>
      <w:pPr>
        <w:spacing w:after="0" w:line="11" w:lineRule="exact"/>
        <w:rPr>
          <w:sz w:val="20"/>
          <w:szCs w:val="20"/>
          <w:color w:val="auto"/>
        </w:rPr>
      </w:pPr>
    </w:p>
    <w:p>
      <w:pPr>
        <w:spacing w:after="0" w:line="259" w:lineRule="auto"/>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The amounts reflected in the Company’s Condensed Consolidated Statements of Cash Flows are based on cash</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made during the relevant periods, whereas the Company’s capital expenditures for the first six months of 2024 and 2023 disclosed</w:t>
      </w:r>
    </w:p>
    <w:p>
      <w:pPr>
        <w:spacing w:after="0" w:line="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 Note 15 to the Condensed Consolidated Financial Statements include assets acquired during the period. The Company estimates that its capital expenditures will be in the range of $95 million to $105 million in 2024.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Loan to related party. </w:t>
      </w:r>
      <w:r>
        <w:rPr>
          <w:rFonts w:ascii="Arial" w:cs="Arial" w:eastAsia="Arial" w:hAnsi="Arial"/>
          <w:sz w:val="18"/>
          <w:szCs w:val="18"/>
          <w:color w:val="auto"/>
        </w:rPr>
        <w:t>In May 2024, the Company entered into a convertible promissory note agreement to loan N2K Networks $2.0 million.</w:t>
      </w:r>
    </w:p>
    <w:p>
      <w:pPr>
        <w:spacing w:after="0" w:line="14" w:lineRule="exact"/>
        <w:rPr>
          <w:sz w:val="20"/>
          <w:szCs w:val="20"/>
          <w:color w:val="auto"/>
        </w:rPr>
      </w:pPr>
    </w:p>
    <w:p>
      <w:pPr>
        <w:ind w:right="400"/>
        <w:spacing w:after="0" w:line="226" w:lineRule="auto"/>
        <w:rPr>
          <w:sz w:val="20"/>
          <w:szCs w:val="20"/>
          <w:color w:val="auto"/>
        </w:rPr>
      </w:pPr>
      <w:r>
        <w:rPr>
          <w:rFonts w:ascii="Arial" w:cs="Arial" w:eastAsia="Arial" w:hAnsi="Arial"/>
          <w:sz w:val="18"/>
          <w:szCs w:val="18"/>
          <w:color w:val="auto"/>
        </w:rPr>
        <w:t>The convertible promissory note bears interest at a rate of 12% per annum and, subject to conversion provisions, all unpaid interest and principal are due by May 2027. In April 2023, the Company entered into a term note agreement to loan Intersection $30.0 million at an</w:t>
      </w:r>
    </w:p>
    <w:p>
      <w:pPr>
        <w:spacing w:after="0" w:line="2"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interest rate of 9% per annum. The principal and interest on the note are payable in monthly installments over 5 years with the final payment due by May 2028. The outstanding balance on this loan was $27.7 million as of June 30, 2024.</w:t>
      </w:r>
    </w:p>
    <w:p>
      <w:pPr>
        <w:spacing w:after="0" w:line="104"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i w:val="1"/>
          <w:iCs w:val="1"/>
          <w:color w:val="auto"/>
        </w:rPr>
        <w:t xml:space="preserve">Net proceeds from sale of marketable equity securities. </w:t>
      </w:r>
      <w:r>
        <w:rPr>
          <w:rFonts w:ascii="Arial" w:cs="Arial" w:eastAsia="Arial" w:hAnsi="Arial"/>
          <w:sz w:val="18"/>
          <w:szCs w:val="18"/>
          <w:color w:val="auto"/>
        </w:rPr>
        <w:t>There were no purchases or sales of marketable equity securities during the first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2024. During the first six months of 2023, the Company sold marketable equity securities that generated proceeds of $62.0 million and purchased $4.6 million of marketable equity securities.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The Company’s net cash flow used in financing activities were as follows:</w:t>
      </w:r>
    </w:p>
    <w:p>
      <w:pPr>
        <w:spacing w:after="0" w:line="167"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Six Months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r>
      <w:tr>
        <w:trPr>
          <w:trHeight w:val="203"/>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2023</w:t>
            </w:r>
          </w:p>
        </w:tc>
      </w:tr>
      <w:tr>
        <w:trPr>
          <w:trHeight w:val="223"/>
        </w:trPr>
        <w:tc>
          <w:tcPr>
            <w:tcW w:w="8420" w:type="dxa"/>
            <w:vAlign w:val="bottom"/>
          </w:tcPr>
          <w:p>
            <w:pPr>
              <w:ind w:left="20"/>
              <w:spacing w:after="0"/>
              <w:rPr>
                <w:sz w:val="20"/>
                <w:szCs w:val="20"/>
                <w:color w:val="auto"/>
              </w:rPr>
            </w:pPr>
            <w:r>
              <w:rPr>
                <w:rFonts w:ascii="Arial" w:cs="Arial" w:eastAsia="Arial" w:hAnsi="Arial"/>
                <w:sz w:val="16"/>
                <w:szCs w:val="16"/>
                <w:color w:val="auto"/>
              </w:rPr>
              <w:t>Common shares repurchased</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(49,514)</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(69,082)</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Net borrowings (payments) under revolving credit facility</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33,245</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(15,000)</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Repayments of borrowings</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(9,883)</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(7,983)</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Net proceeds from vehicle floor plan payable</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26,612</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28,982</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Dividends paid</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(15,352)</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(15,746)</w:t>
            </w:r>
          </w:p>
        </w:tc>
      </w:tr>
      <w:tr>
        <w:trPr>
          <w:trHeight w:val="233"/>
        </w:trPr>
        <w:tc>
          <w:tcPr>
            <w:tcW w:w="8420" w:type="dxa"/>
            <w:vAlign w:val="bottom"/>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(6,369)</w:t>
            </w: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949</w:t>
            </w:r>
          </w:p>
        </w:tc>
      </w:tr>
      <w:tr>
        <w:trPr>
          <w:trHeight w:val="227"/>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(21,261)</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(77,880)</w:t>
            </w: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i w:val="1"/>
          <w:iCs w:val="1"/>
          <w:color w:val="auto"/>
        </w:rPr>
        <w:t xml:space="preserve">Common Stock Repurchases. </w:t>
      </w:r>
      <w:r>
        <w:rPr>
          <w:rFonts w:ascii="Arial" w:cs="Arial" w:eastAsia="Arial" w:hAnsi="Arial"/>
          <w:sz w:val="17"/>
          <w:szCs w:val="17"/>
          <w:color w:val="auto"/>
        </w:rPr>
        <w:t>During the first six months of 2024, the Company purchased a total of 68,786 shares of its Class B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at a cost of approximately $50.0 million, including commissions and accrued excise tax of $0.5 million. On May 4, 2023, the Board of</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Directors authorized the Company to acquire up to 500,000 shares of its Class B common stock. The Company did not announce a ceiling price or time limit for the purchases. At June 30, 2024, the Company had remaining authorization from the Board of Directors to purchase up</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 167,617 shares of Class B common stock.</w:t>
      </w:r>
    </w:p>
    <w:p>
      <w:pPr>
        <w:spacing w:after="0" w:line="140"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i w:val="1"/>
          <w:iCs w:val="1"/>
          <w:color w:val="auto"/>
        </w:rPr>
        <w:t xml:space="preserve">Borrowings and Vehicle Floor Plan Payable. </w:t>
      </w:r>
      <w:r>
        <w:rPr>
          <w:rFonts w:ascii="Arial" w:cs="Arial" w:eastAsia="Arial" w:hAnsi="Arial"/>
          <w:sz w:val="17"/>
          <w:szCs w:val="17"/>
          <w:color w:val="auto"/>
        </w:rPr>
        <w:t>In the first six months of 2024, the Company made additional borrowings on the $300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revolving credit facility. In the first six months of 2023, the Company made repayments on the $300 million revolving credit facility. In the first</w:t>
      </w:r>
    </w:p>
    <w:p>
      <w:pPr>
        <w:spacing w:after="0" w:line="235" w:lineRule="auto"/>
        <w:rPr>
          <w:sz w:val="20"/>
          <w:szCs w:val="20"/>
          <w:color w:val="auto"/>
        </w:rPr>
      </w:pPr>
      <w:r>
        <w:rPr>
          <w:rFonts w:ascii="Arial" w:cs="Arial" w:eastAsia="Arial" w:hAnsi="Arial"/>
          <w:sz w:val="18"/>
          <w:szCs w:val="18"/>
          <w:color w:val="auto"/>
        </w:rPr>
        <w:t>six months of 2024 and 2023, the Company used vehicle floor plan financing to fund the purchase of new, used and service loaner vehicles</w:t>
      </w:r>
    </w:p>
    <w:p>
      <w:pPr>
        <w:spacing w:after="0" w:line="237" w:lineRule="auto"/>
        <w:rPr>
          <w:sz w:val="20"/>
          <w:szCs w:val="20"/>
          <w:color w:val="auto"/>
        </w:rPr>
      </w:pPr>
      <w:r>
        <w:rPr>
          <w:rFonts w:ascii="Arial" w:cs="Arial" w:eastAsia="Arial" w:hAnsi="Arial"/>
          <w:sz w:val="18"/>
          <w:szCs w:val="18"/>
          <w:color w:val="auto"/>
        </w:rPr>
        <w:t>at its automotive subsidiary. The proceeds from the vehicle floor plan payable fluctuates with changes in the amount of vehicle inventory held by the automotive dealerships.</w:t>
      </w:r>
    </w:p>
    <w:p>
      <w:pPr>
        <w:spacing w:after="0" w:line="127"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quarterly dividend rate per share was $1.72 and $1.65 for the first six months of 2024 and 2023, respectively.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expects to pay a dividend of $6.88 per share in 2024.</w:t>
      </w:r>
    </w:p>
    <w:p>
      <w:pPr>
        <w:spacing w:after="0" w:line="86"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There were no other significant changes to the Company’s contractual obligations or other commercial commitments from those disclosed in the Company’s Annual Report on Form 10-K for the year ended December 31, 2023.</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58"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All public statements made by the Company and its representatives that are not statements of historical fact, including certain statements in this report, in the Company’s Annual Report on Form 10-K and in the Company’s 2023 Annual Report to Stockholders, are “forward-looking</w:t>
      </w:r>
    </w:p>
    <w:p>
      <w:pPr>
        <w:spacing w:after="0" w:line="235" w:lineRule="auto"/>
        <w:rPr>
          <w:sz w:val="20"/>
          <w:szCs w:val="20"/>
          <w:color w:val="auto"/>
        </w:rPr>
      </w:pPr>
      <w:r>
        <w:rPr>
          <w:rFonts w:ascii="Arial" w:cs="Arial" w:eastAsia="Arial" w:hAnsi="Arial"/>
          <w:sz w:val="18"/>
          <w:szCs w:val="18"/>
          <w:color w:val="auto"/>
        </w:rPr>
        <w:t>statements” within the meaning of the Private Securities Litigation Reform Act of 1995. Forward-looking statements are based on</w:t>
      </w:r>
    </w:p>
    <w:p>
      <w:pPr>
        <w:spacing w:after="0"/>
        <w:rPr>
          <w:sz w:val="20"/>
          <w:szCs w:val="20"/>
          <w:color w:val="auto"/>
        </w:rPr>
      </w:pPr>
      <w:r>
        <w:rPr>
          <w:rFonts w:ascii="Arial" w:cs="Arial" w:eastAsia="Arial" w:hAnsi="Arial"/>
          <w:sz w:val="17"/>
          <w:szCs w:val="17"/>
          <w:color w:val="auto"/>
        </w:rPr>
        <w:t>expectations, forecasts, and assumptions by the Company’s management and involve a number of risks, uncertainties, and other factors that could cause actual results to differ from those stated, including, without limitation, comments about expectations related to acquisitions or</w:t>
      </w:r>
    </w:p>
    <w:p>
      <w:pPr>
        <w:spacing w:after="0" w:line="235" w:lineRule="auto"/>
        <w:rPr>
          <w:sz w:val="20"/>
          <w:szCs w:val="20"/>
          <w:color w:val="auto"/>
        </w:rPr>
      </w:pPr>
      <w:r>
        <w:rPr>
          <w:rFonts w:ascii="Arial" w:cs="Arial" w:eastAsia="Arial" w:hAnsi="Arial"/>
          <w:sz w:val="18"/>
          <w:szCs w:val="18"/>
          <w:color w:val="auto"/>
        </w:rPr>
        <w:t>dispositions or related business activities, the Company’s business strategies and objectives, the prospects for growth in the Company’s</w:t>
      </w:r>
    </w:p>
    <w:p>
      <w:pPr>
        <w:ind w:right="20"/>
        <w:spacing w:after="0"/>
        <w:rPr>
          <w:sz w:val="20"/>
          <w:szCs w:val="20"/>
          <w:color w:val="auto"/>
        </w:rPr>
      </w:pPr>
      <w:r>
        <w:rPr>
          <w:rFonts w:ascii="Arial" w:cs="Arial" w:eastAsia="Arial" w:hAnsi="Arial"/>
          <w:sz w:val="17"/>
          <w:szCs w:val="17"/>
          <w:color w:val="auto"/>
        </w:rPr>
        <w:t>various business operations, the Company’s future financial performance, and the risks and uncertainties described in Item 1A of the Company’s Annual Report on Form 10-K. Accordingly, undue reliance should not be placed on any forward-looking statement made by or on</w:t>
      </w:r>
    </w:p>
    <w:p>
      <w:pPr>
        <w:spacing w:after="0" w:line="1" w:lineRule="exact"/>
        <w:rPr>
          <w:sz w:val="20"/>
          <w:szCs w:val="20"/>
          <w:color w:val="auto"/>
        </w:rPr>
      </w:pPr>
    </w:p>
    <w:p>
      <w:pPr>
        <w:ind w:right="760"/>
        <w:spacing w:after="0" w:line="250" w:lineRule="auto"/>
        <w:rPr>
          <w:sz w:val="20"/>
          <w:szCs w:val="20"/>
          <w:color w:val="auto"/>
        </w:rPr>
      </w:pPr>
      <w:r>
        <w:rPr>
          <w:rFonts w:ascii="Arial" w:cs="Arial" w:eastAsia="Arial" w:hAnsi="Arial"/>
          <w:sz w:val="18"/>
          <w:szCs w:val="18"/>
          <w:color w:val="auto"/>
        </w:rPr>
        <w:t>behalf of the Company. The Company assumes no obligation to update any forward-looking statement after the date on which such statement is made, even if new information subsequently becomes available.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w:t>
      </w:r>
    </w:p>
    <w:p>
      <w:pPr>
        <w:spacing w:after="0" w:line="14" w:lineRule="exact"/>
        <w:rPr>
          <w:sz w:val="20"/>
          <w:szCs w:val="20"/>
          <w:color w:val="auto"/>
        </w:rPr>
      </w:pPr>
    </w:p>
    <w:p>
      <w:pPr>
        <w:ind w:right="380"/>
        <w:spacing w:after="0"/>
        <w:rPr>
          <w:sz w:val="20"/>
          <w:szCs w:val="20"/>
          <w:color w:val="auto"/>
        </w:rPr>
      </w:pPr>
      <w:r>
        <w:rPr>
          <w:rFonts w:ascii="Arial" w:cs="Arial" w:eastAsia="Arial" w:hAnsi="Arial"/>
          <w:sz w:val="17"/>
          <w:szCs w:val="17"/>
          <w:color w:val="auto"/>
        </w:rPr>
        <w:t>which are subject to equity price risk; to its borrowing and cash-management activities, which are subject to interest rate risk; and to its foreign business operations, which are subject to foreign exchange rate risk. The Company’s market risk disclosures set forth in its 2023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Annual Report filed on Form 10-K have not otherwise changed significantly.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An evaluation was performed by the Company’s management, with the participation of the Company’s Chief Executive Officer (principal</w:t>
      </w:r>
    </w:p>
    <w:p>
      <w:pPr>
        <w:spacing w:after="0" w:line="14" w:lineRule="exact"/>
        <w:rPr>
          <w:sz w:val="20"/>
          <w:szCs w:val="20"/>
          <w:color w:val="auto"/>
        </w:rPr>
      </w:pPr>
    </w:p>
    <w:p>
      <w:pPr>
        <w:ind w:right="280"/>
        <w:spacing w:after="0" w:line="226" w:lineRule="auto"/>
        <w:rPr>
          <w:sz w:val="20"/>
          <w:szCs w:val="20"/>
          <w:color w:val="auto"/>
        </w:rPr>
      </w:pPr>
      <w:r>
        <w:rPr>
          <w:rFonts w:ascii="Arial" w:cs="Arial" w:eastAsia="Arial" w:hAnsi="Arial"/>
          <w:sz w:val="18"/>
          <w:szCs w:val="18"/>
          <w:color w:val="auto"/>
        </w:rPr>
        <w:t>executive officer) and the Company’s Chief Financial Officer (principal financial officer), of the effectiveness of the Company’s disclosure controls and procedures (as defined in Exchange Act Rules 13a-15(e) and 15d-15(e)), as of June 30, 2024. Based on that evaluation, the</w:t>
      </w:r>
    </w:p>
    <w:p>
      <w:pPr>
        <w:spacing w:after="0" w:line="236" w:lineRule="auto"/>
        <w:rPr>
          <w:sz w:val="20"/>
          <w:szCs w:val="20"/>
          <w:color w:val="auto"/>
        </w:rPr>
      </w:pPr>
      <w:r>
        <w:rPr>
          <w:rFonts w:ascii="Arial" w:cs="Arial" w:eastAsia="Arial" w:hAnsi="Arial"/>
          <w:sz w:val="18"/>
          <w:szCs w:val="18"/>
          <w:color w:val="auto"/>
        </w:rPr>
        <w:t>Company’s Chief Executive Officer and Chief Financial Officer have concluded that the Company’s disclosure controls and procedures, as</w:t>
      </w:r>
    </w:p>
    <w:p>
      <w:pPr>
        <w:spacing w:after="0" w:line="1"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designed and implemented, are effective in ensuring that information required to be disclosed by the Company in the reports that it files or submits under the Exchange Act is recorded, processed, summarized and reported, within the time periods specified in the Securities and</w:t>
      </w:r>
    </w:p>
    <w:p>
      <w:pPr>
        <w:spacing w:after="0" w:line="2"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Exchange Commission’s rules and forms and is accumulated and communicated to management, including the Chief Executive Officer and Chief Financial Officer, in a manner that allows timely decisions regarding required disclosure.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56"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222222"/>
        </w:rPr>
        <w:t xml:space="preserve">There has been no change in the Company’s internal control over financial reporting during the quarter ended </w:t>
      </w:r>
      <w:r>
        <w:rPr>
          <w:rFonts w:ascii="Arial" w:cs="Arial" w:eastAsia="Arial" w:hAnsi="Arial"/>
          <w:sz w:val="18"/>
          <w:szCs w:val="18"/>
          <w:color w:val="000000"/>
        </w:rPr>
        <w:t>June 30, 2024</w:t>
      </w:r>
      <w:r>
        <w:rPr>
          <w:rFonts w:ascii="Arial" w:cs="Arial" w:eastAsia="Arial" w:hAnsi="Arial"/>
          <w:sz w:val="18"/>
          <w:szCs w:val="18"/>
          <w:color w:val="222222"/>
        </w:rPr>
        <w:t xml:space="preserve"> that has materially affected, or is reasonably likely to materially affect, the Company’s internal control over financial reporting.</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39" w:name="page40"/>
    <w:bookmarkEnd w:id="39"/>
    <w:p>
      <w:pPr>
        <w:ind w:left="4300"/>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June 30, 2024, the Company purchased shares of its Class B Common Stock as set forth in the following table: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300" w:type="dxa"/>
            <w:vAlign w:val="bottom"/>
          </w:tcPr>
          <w:p>
            <w:pPr>
              <w:jc w:val="center"/>
              <w:ind w:left="404"/>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center"/>
              <w:ind w:right="142"/>
              <w:spacing w:after="0"/>
              <w:rPr>
                <w:sz w:val="20"/>
                <w:szCs w:val="20"/>
                <w:color w:val="auto"/>
              </w:rPr>
            </w:pPr>
            <w:r>
              <w:rPr>
                <w:rFonts w:ascii="Arial" w:cs="Arial" w:eastAsia="Arial" w:hAnsi="Arial"/>
                <w:sz w:val="14"/>
                <w:szCs w:val="14"/>
                <w:b w:val="1"/>
                <w:bCs w:val="1"/>
                <w:color w:val="auto"/>
              </w:rPr>
              <w:t>Average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2300" w:type="dxa"/>
            <w:vAlign w:val="bottom"/>
          </w:tcPr>
          <w:p>
            <w:pPr>
              <w:jc w:val="center"/>
              <w:ind w:left="404"/>
              <w:spacing w:after="0"/>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60"/>
        </w:trPr>
        <w:tc>
          <w:tcPr>
            <w:tcW w:w="46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center"/>
              <w:ind w:right="142"/>
              <w:spacing w:after="0" w:line="159" w:lineRule="exact"/>
              <w:rPr>
                <w:sz w:val="20"/>
                <w:szCs w:val="20"/>
                <w:color w:val="auto"/>
              </w:rPr>
            </w:pPr>
            <w:r>
              <w:rPr>
                <w:rFonts w:ascii="Arial" w:cs="Arial" w:eastAsia="Arial" w:hAnsi="Arial"/>
                <w:sz w:val="14"/>
                <w:szCs w:val="14"/>
                <w:b w:val="1"/>
                <w:bCs w:val="1"/>
                <w:color w:val="auto"/>
              </w:rPr>
              <w:t>Price Paid</w:t>
            </w:r>
          </w:p>
        </w:tc>
        <w:tc>
          <w:tcPr>
            <w:tcW w:w="17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Publicly Announced</w:t>
            </w:r>
          </w:p>
        </w:tc>
        <w:tc>
          <w:tcPr>
            <w:tcW w:w="2300" w:type="dxa"/>
            <w:vAlign w:val="bottom"/>
          </w:tcPr>
          <w:p>
            <w:pPr>
              <w:jc w:val="center"/>
              <w:ind w:left="384"/>
              <w:spacing w:after="0" w:line="159"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64"/>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320" w:type="dxa"/>
            <w:vAlign w:val="bottom"/>
          </w:tcPr>
          <w:p>
            <w:pPr>
              <w:jc w:val="right"/>
              <w:ind w:right="22"/>
              <w:spacing w:after="0"/>
              <w:rPr>
                <w:sz w:val="20"/>
                <w:szCs w:val="20"/>
                <w:color w:val="auto"/>
              </w:rPr>
            </w:pPr>
            <w:r>
              <w:rPr>
                <w:rFonts w:ascii="Arial" w:cs="Arial" w:eastAsia="Arial" w:hAnsi="Arial"/>
                <w:sz w:val="14"/>
                <w:szCs w:val="14"/>
                <w:b w:val="1"/>
                <w:bCs w:val="1"/>
                <w:color w:val="auto"/>
              </w:rPr>
              <w:t>Total Number of</w:t>
            </w:r>
          </w:p>
        </w:tc>
        <w:tc>
          <w:tcPr>
            <w:tcW w:w="1200" w:type="dxa"/>
            <w:vAlign w:val="bottom"/>
            <w:gridSpan w:val="2"/>
          </w:tcPr>
          <w:p>
            <w:pPr>
              <w:jc w:val="center"/>
              <w:spacing w:after="0" w:line="164" w:lineRule="exact"/>
              <w:rPr>
                <w:sz w:val="20"/>
                <w:szCs w:val="20"/>
                <w:color w:val="auto"/>
              </w:rPr>
            </w:pPr>
            <w:r>
              <w:rPr>
                <w:rFonts w:ascii="Arial" w:cs="Arial" w:eastAsia="Arial" w:hAnsi="Arial"/>
                <w:sz w:val="14"/>
                <w:szCs w:val="14"/>
                <w:b w:val="1"/>
                <w:bCs w:val="1"/>
                <w:color w:val="auto"/>
                <w:w w:val="98"/>
              </w:rPr>
              <w:t>per Share</w:t>
            </w:r>
            <w:r>
              <w:rPr>
                <w:rFonts w:ascii="Arial" w:cs="Arial" w:eastAsia="Arial" w:hAnsi="Arial"/>
                <w:sz w:val="18"/>
                <w:szCs w:val="18"/>
                <w:b w:val="1"/>
                <w:bCs w:val="1"/>
                <w:color w:val="auto"/>
                <w:w w:val="98"/>
                <w:vertAlign w:val="superscript"/>
              </w:rPr>
              <w:t>(1)</w:t>
            </w:r>
          </w:p>
        </w:tc>
        <w:tc>
          <w:tcPr>
            <w:tcW w:w="1720" w:type="dxa"/>
            <w:vAlign w:val="bottom"/>
          </w:tcPr>
          <w:p>
            <w:pPr>
              <w:jc w:val="center"/>
              <w:spacing w:after="0" w:line="164" w:lineRule="exact"/>
              <w:rPr>
                <w:sz w:val="20"/>
                <w:szCs w:val="20"/>
                <w:color w:val="auto"/>
              </w:rPr>
            </w:pPr>
            <w:r>
              <w:rPr>
                <w:rFonts w:ascii="Arial" w:cs="Arial" w:eastAsia="Arial" w:hAnsi="Arial"/>
                <w:sz w:val="14"/>
                <w:szCs w:val="14"/>
                <w:b w:val="1"/>
                <w:bCs w:val="1"/>
                <w:color w:val="auto"/>
                <w:w w:val="94"/>
              </w:rPr>
              <w:t>Plan</w:t>
            </w:r>
            <w:r>
              <w:rPr>
                <w:rFonts w:ascii="Arial" w:cs="Arial" w:eastAsia="Arial" w:hAnsi="Arial"/>
                <w:sz w:val="18"/>
                <w:szCs w:val="18"/>
                <w:b w:val="1"/>
                <w:bCs w:val="1"/>
                <w:color w:val="auto"/>
                <w:w w:val="94"/>
                <w:vertAlign w:val="superscript"/>
              </w:rPr>
              <w:t>(2)</w:t>
            </w:r>
          </w:p>
        </w:tc>
        <w:tc>
          <w:tcPr>
            <w:tcW w:w="2300" w:type="dxa"/>
            <w:vAlign w:val="bottom"/>
          </w:tcPr>
          <w:p>
            <w:pPr>
              <w:jc w:val="center"/>
              <w:ind w:left="404"/>
              <w:spacing w:after="0" w:line="164" w:lineRule="exact"/>
              <w:rPr>
                <w:sz w:val="20"/>
                <w:szCs w:val="20"/>
                <w:color w:val="auto"/>
              </w:rPr>
            </w:pPr>
            <w:r>
              <w:rPr>
                <w:rFonts w:ascii="Arial" w:cs="Arial" w:eastAsia="Arial" w:hAnsi="Arial"/>
                <w:sz w:val="14"/>
                <w:szCs w:val="14"/>
                <w:b w:val="1"/>
                <w:bCs w:val="1"/>
                <w:color w:val="auto"/>
                <w:w w:val="94"/>
              </w:rPr>
              <w:t>Plan</w:t>
            </w:r>
            <w:r>
              <w:rPr>
                <w:rFonts w:ascii="Arial" w:cs="Arial" w:eastAsia="Arial" w:hAnsi="Arial"/>
                <w:sz w:val="18"/>
                <w:szCs w:val="18"/>
                <w:b w:val="1"/>
                <w:bCs w:val="1"/>
                <w:color w:val="auto"/>
                <w:w w:val="94"/>
                <w:vertAlign w:val="superscript"/>
              </w:rPr>
              <w:t>(2)</w:t>
            </w:r>
          </w:p>
        </w:tc>
        <w:tc>
          <w:tcPr>
            <w:tcW w:w="0" w:type="dxa"/>
            <w:vAlign w:val="bottom"/>
          </w:tcPr>
          <w:p>
            <w:pPr>
              <w:spacing w:after="0"/>
              <w:rPr>
                <w:sz w:val="1"/>
                <w:szCs w:val="1"/>
                <w:color w:val="auto"/>
              </w:rPr>
            </w:pPr>
          </w:p>
        </w:tc>
      </w:tr>
      <w:tr>
        <w:trPr>
          <w:trHeight w:val="205"/>
        </w:trPr>
        <w:tc>
          <w:tcPr>
            <w:tcW w:w="466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 Purchased</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660" w:type="dxa"/>
            <w:vAlign w:val="bottom"/>
          </w:tcPr>
          <w:p>
            <w:pPr>
              <w:ind w:left="20"/>
              <w:spacing w:after="0"/>
              <w:rPr>
                <w:sz w:val="20"/>
                <w:szCs w:val="20"/>
                <w:color w:val="auto"/>
              </w:rPr>
            </w:pPr>
            <w:r>
              <w:rPr>
                <w:rFonts w:ascii="Arial" w:cs="Arial" w:eastAsia="Arial" w:hAnsi="Arial"/>
                <w:sz w:val="16"/>
                <w:szCs w:val="16"/>
                <w:color w:val="auto"/>
              </w:rPr>
              <w:t>April 1 - 30</w:t>
            </w:r>
          </w:p>
        </w:tc>
        <w:tc>
          <w:tcPr>
            <w:tcW w:w="1320" w:type="dxa"/>
            <w:vAlign w:val="bottom"/>
          </w:tcPr>
          <w:p>
            <w:pPr>
              <w:jc w:val="right"/>
              <w:spacing w:after="0"/>
              <w:rPr>
                <w:sz w:val="20"/>
                <w:szCs w:val="20"/>
                <w:color w:val="auto"/>
              </w:rPr>
            </w:pPr>
            <w:r>
              <w:rPr>
                <w:rFonts w:ascii="Arial" w:cs="Arial" w:eastAsia="Arial" w:hAnsi="Arial"/>
                <w:sz w:val="16"/>
                <w:szCs w:val="16"/>
                <w:color w:val="auto"/>
              </w:rPr>
              <w:t>13,807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740.83</w:t>
            </w:r>
          </w:p>
        </w:tc>
        <w:tc>
          <w:tcPr>
            <w:tcW w:w="1720" w:type="dxa"/>
            <w:vAlign w:val="bottom"/>
          </w:tcPr>
          <w:p>
            <w:pPr>
              <w:jc w:val="right"/>
              <w:spacing w:after="0"/>
              <w:rPr>
                <w:sz w:val="20"/>
                <w:szCs w:val="20"/>
                <w:color w:val="auto"/>
              </w:rPr>
            </w:pPr>
            <w:r>
              <w:rPr>
                <w:rFonts w:ascii="Arial" w:cs="Arial" w:eastAsia="Arial" w:hAnsi="Arial"/>
                <w:sz w:val="16"/>
                <w:szCs w:val="16"/>
                <w:color w:val="auto"/>
              </w:rPr>
              <w:t>13,807</w:t>
            </w:r>
          </w:p>
        </w:tc>
        <w:tc>
          <w:tcPr>
            <w:tcW w:w="2300" w:type="dxa"/>
            <w:vAlign w:val="bottom"/>
          </w:tcPr>
          <w:p>
            <w:pPr>
              <w:jc w:val="right"/>
              <w:ind w:right="4"/>
              <w:spacing w:after="0"/>
              <w:rPr>
                <w:sz w:val="20"/>
                <w:szCs w:val="20"/>
                <w:color w:val="auto"/>
              </w:rPr>
            </w:pPr>
            <w:r>
              <w:rPr>
                <w:rFonts w:ascii="Arial" w:cs="Arial" w:eastAsia="Arial" w:hAnsi="Arial"/>
                <w:sz w:val="16"/>
                <w:szCs w:val="16"/>
                <w:color w:val="auto"/>
              </w:rPr>
              <w:t>193,990</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6"/>
                <w:szCs w:val="16"/>
                <w:color w:val="auto"/>
              </w:rPr>
              <w:t>May 1 - 31</w:t>
            </w:r>
          </w:p>
        </w:tc>
        <w:tc>
          <w:tcPr>
            <w:tcW w:w="1320" w:type="dxa"/>
            <w:vAlign w:val="bottom"/>
          </w:tcPr>
          <w:p>
            <w:pPr>
              <w:jc w:val="right"/>
              <w:spacing w:after="0"/>
              <w:rPr>
                <w:sz w:val="20"/>
                <w:szCs w:val="20"/>
                <w:color w:val="auto"/>
              </w:rPr>
            </w:pPr>
            <w:r>
              <w:rPr>
                <w:rFonts w:ascii="Arial" w:cs="Arial" w:eastAsia="Arial" w:hAnsi="Arial"/>
                <w:sz w:val="16"/>
                <w:szCs w:val="16"/>
                <w:color w:val="auto"/>
              </w:rPr>
              <w:t>13,834</w:t>
            </w:r>
          </w:p>
        </w:tc>
        <w:tc>
          <w:tcPr>
            <w:tcW w:w="240" w:type="dxa"/>
            <w:vAlign w:val="bottom"/>
          </w:tcPr>
          <w:p>
            <w:pPr>
              <w:spacing w:after="0"/>
              <w:rPr>
                <w:sz w:val="19"/>
                <w:szCs w:val="19"/>
                <w:color w:val="auto"/>
              </w:rPr>
            </w:pP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756.86</w:t>
            </w:r>
          </w:p>
        </w:tc>
        <w:tc>
          <w:tcPr>
            <w:tcW w:w="1720" w:type="dxa"/>
            <w:vAlign w:val="bottom"/>
          </w:tcPr>
          <w:p>
            <w:pPr>
              <w:jc w:val="right"/>
              <w:spacing w:after="0"/>
              <w:rPr>
                <w:sz w:val="20"/>
                <w:szCs w:val="20"/>
                <w:color w:val="auto"/>
              </w:rPr>
            </w:pPr>
            <w:r>
              <w:rPr>
                <w:rFonts w:ascii="Arial" w:cs="Arial" w:eastAsia="Arial" w:hAnsi="Arial"/>
                <w:sz w:val="16"/>
                <w:szCs w:val="16"/>
                <w:color w:val="auto"/>
              </w:rPr>
              <w:t>13,834</w:t>
            </w:r>
          </w:p>
        </w:tc>
        <w:tc>
          <w:tcPr>
            <w:tcW w:w="2300" w:type="dxa"/>
            <w:vAlign w:val="bottom"/>
          </w:tcPr>
          <w:p>
            <w:pPr>
              <w:jc w:val="right"/>
              <w:ind w:right="4"/>
              <w:spacing w:after="0"/>
              <w:rPr>
                <w:sz w:val="20"/>
                <w:szCs w:val="20"/>
                <w:color w:val="auto"/>
              </w:rPr>
            </w:pPr>
            <w:r>
              <w:rPr>
                <w:rFonts w:ascii="Arial" w:cs="Arial" w:eastAsia="Arial" w:hAnsi="Arial"/>
                <w:sz w:val="16"/>
                <w:szCs w:val="16"/>
                <w:color w:val="auto"/>
              </w:rPr>
              <w:t>180,156</w:t>
            </w:r>
          </w:p>
        </w:tc>
        <w:tc>
          <w:tcPr>
            <w:tcW w:w="0" w:type="dxa"/>
            <w:vAlign w:val="bottom"/>
          </w:tcPr>
          <w:p>
            <w:pPr>
              <w:spacing w:after="0"/>
              <w:rPr>
                <w:sz w:val="1"/>
                <w:szCs w:val="1"/>
                <w:color w:val="auto"/>
              </w:rPr>
            </w:pPr>
          </w:p>
        </w:tc>
      </w:tr>
      <w:tr>
        <w:trPr>
          <w:trHeight w:val="239"/>
        </w:trPr>
        <w:tc>
          <w:tcPr>
            <w:tcW w:w="4660" w:type="dxa"/>
            <w:vAlign w:val="bottom"/>
          </w:tcPr>
          <w:p>
            <w:pPr>
              <w:ind w:left="20"/>
              <w:spacing w:after="0"/>
              <w:rPr>
                <w:sz w:val="20"/>
                <w:szCs w:val="20"/>
                <w:color w:val="auto"/>
              </w:rPr>
            </w:pPr>
            <w:r>
              <w:rPr>
                <w:rFonts w:ascii="Arial" w:cs="Arial" w:eastAsia="Arial" w:hAnsi="Arial"/>
                <w:sz w:val="16"/>
                <w:szCs w:val="16"/>
                <w:color w:val="auto"/>
              </w:rPr>
              <w:t>June 1 - 30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12,539</w:t>
            </w:r>
          </w:p>
        </w:tc>
        <w:tc>
          <w:tcPr>
            <w:tcW w:w="240" w:type="dxa"/>
            <w:vAlign w:val="bottom"/>
          </w:tcPr>
          <w:p>
            <w:pPr>
              <w:spacing w:after="0"/>
              <w:rPr>
                <w:sz w:val="20"/>
                <w:szCs w:val="20"/>
                <w:color w:val="auto"/>
              </w:rPr>
            </w:pP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724.26</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12,539</w:t>
            </w:r>
          </w:p>
        </w:tc>
        <w:tc>
          <w:tcPr>
            <w:tcW w:w="2300" w:type="dxa"/>
            <w:vAlign w:val="bottom"/>
          </w:tcPr>
          <w:p>
            <w:pPr>
              <w:jc w:val="right"/>
              <w:ind w:right="4"/>
              <w:spacing w:after="0"/>
              <w:rPr>
                <w:sz w:val="20"/>
                <w:szCs w:val="20"/>
                <w:color w:val="auto"/>
              </w:rPr>
            </w:pPr>
            <w:r>
              <w:rPr>
                <w:rFonts w:ascii="Arial" w:cs="Arial" w:eastAsia="Arial" w:hAnsi="Arial"/>
                <w:sz w:val="16"/>
                <w:szCs w:val="16"/>
                <w:color w:val="auto"/>
              </w:rPr>
              <w:t>167,617</w:t>
            </w:r>
          </w:p>
        </w:tc>
        <w:tc>
          <w:tcPr>
            <w:tcW w:w="0" w:type="dxa"/>
            <w:vAlign w:val="bottom"/>
          </w:tcPr>
          <w:p>
            <w:pPr>
              <w:spacing w:after="0"/>
              <w:rPr>
                <w:sz w:val="1"/>
                <w:szCs w:val="1"/>
                <w:color w:val="auto"/>
              </w:rPr>
            </w:pPr>
          </w:p>
        </w:tc>
      </w:tr>
      <w:tr>
        <w:trPr>
          <w:trHeight w:val="215"/>
        </w:trPr>
        <w:tc>
          <w:tcPr>
            <w:tcW w:w="46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40,180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741.18</w:t>
            </w:r>
          </w:p>
        </w:tc>
        <w:tc>
          <w:tcPr>
            <w:tcW w:w="1720" w:type="dxa"/>
            <w:vAlign w:val="bottom"/>
          </w:tcPr>
          <w:p>
            <w:pPr>
              <w:jc w:val="right"/>
              <w:spacing w:after="0"/>
              <w:rPr>
                <w:sz w:val="20"/>
                <w:szCs w:val="20"/>
                <w:color w:val="auto"/>
              </w:rPr>
            </w:pPr>
            <w:r>
              <w:rPr>
                <w:rFonts w:ascii="Arial" w:cs="Arial" w:eastAsia="Arial" w:hAnsi="Arial"/>
                <w:sz w:val="16"/>
                <w:szCs w:val="16"/>
                <w:color w:val="auto"/>
              </w:rPr>
              <w:t>40,180</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Average price paid per share includes costs associated with repurchases, including commissions and excise taxes.</w:t>
      </w:r>
    </w:p>
    <w:p>
      <w:pPr>
        <w:spacing w:after="0" w:line="149" w:lineRule="exact"/>
        <w:rPr>
          <w:rFonts w:ascii="Arial" w:cs="Arial" w:eastAsia="Arial" w:hAnsi="Arial"/>
          <w:sz w:val="14"/>
          <w:szCs w:val="14"/>
          <w:color w:val="auto"/>
        </w:rPr>
      </w:pPr>
    </w:p>
    <w:p>
      <w:pPr>
        <w:ind w:right="240" w:firstLine="8"/>
        <w:spacing w:after="0" w:line="263" w:lineRule="auto"/>
        <w:tabs>
          <w:tab w:leader="none" w:pos="216" w:val="left"/>
        </w:tabs>
        <w:numPr>
          <w:ilvl w:val="0"/>
          <w:numId w:val="14"/>
        </w:numPr>
        <w:rPr>
          <w:rFonts w:ascii="Arial" w:cs="Arial" w:eastAsia="Arial" w:hAnsi="Arial"/>
          <w:sz w:val="14"/>
          <w:szCs w:val="14"/>
          <w:color w:val="auto"/>
        </w:rPr>
      </w:pPr>
      <w:r>
        <w:rPr>
          <w:rFonts w:ascii="Arial" w:cs="Arial" w:eastAsia="Arial" w:hAnsi="Arial"/>
          <w:sz w:val="14"/>
          <w:szCs w:val="14"/>
          <w:color w:val="auto"/>
        </w:rPr>
        <w:t>On May 4, 2023, the Company’s Board of Directors authorized the Company to purchase, on the open market or otherwise, up to 500,000 shares of its Class B Common Stock. This authorization includes shares that remained under the previous authorization. There is no expiration date for this authorization. All purchases made during the quarter ended June 30, 2024 were open market transactions and some of these shares were purchased under a 10b5-1 plan.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10b5-1 Trading Plans</w:t>
      </w:r>
    </w:p>
    <w:p>
      <w:pPr>
        <w:spacing w:after="0" w:line="156"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During the quarter ended June 30, 2024, none of the Company’s directors or officers (as defined in Rule 16a-1(f) of the Exchange Act) adopted, modified or terminated a “Rule 10b5-1 trading arrangement” or “non-Rule 10b5-1 trading arrangement,” as defined in Item 408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Regulation S-K.</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6. Exhibits</w:t>
      </w:r>
      <w:r>
        <w:rPr>
          <w:rFonts w:ascii="Arial" w:cs="Arial" w:eastAsia="Arial" w:hAnsi="Arial"/>
          <w:sz w:val="16"/>
          <w:szCs w:val="16"/>
          <w:b w:val="1"/>
          <w:bCs w:val="1"/>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ind w:left="300"/>
              <w:spacing w:after="0"/>
              <w:rPr>
                <w:sz w:val="20"/>
                <w:szCs w:val="20"/>
                <w:color w:val="auto"/>
              </w:rPr>
            </w:pPr>
            <w:r>
              <w:rPr>
                <w:rFonts w:ascii="Arial" w:cs="Arial" w:eastAsia="Arial" w:hAnsi="Arial"/>
                <w:sz w:val="14"/>
                <w:szCs w:val="14"/>
                <w:b w:val="1"/>
                <w:bCs w:val="1"/>
                <w:color w:val="auto"/>
              </w:rPr>
              <w:t>Exhibit</w:t>
            </w:r>
          </w:p>
        </w:tc>
        <w:tc>
          <w:tcPr>
            <w:tcW w:w="4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6080" w:type="dxa"/>
            <w:vAlign w:val="bottom"/>
            <w:gridSpan w:val="19"/>
            <w:vMerge w:val="restart"/>
          </w:tcPr>
          <w:p>
            <w:pPr>
              <w:ind w:left="5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96"/>
        </w:trPr>
        <w:tc>
          <w:tcPr>
            <w:tcW w:w="1100" w:type="dxa"/>
            <w:vAlign w:val="bottom"/>
          </w:tcPr>
          <w:p>
            <w:pPr>
              <w:ind w:left="240"/>
              <w:spacing w:after="0"/>
              <w:rPr>
                <w:sz w:val="20"/>
                <w:szCs w:val="20"/>
                <w:color w:val="auto"/>
              </w:rPr>
            </w:pPr>
            <w:r>
              <w:rPr>
                <w:rFonts w:ascii="Arial" w:cs="Arial" w:eastAsia="Arial" w:hAnsi="Arial"/>
                <w:sz w:val="14"/>
                <w:szCs w:val="14"/>
                <w:b w:val="1"/>
                <w:bCs w:val="1"/>
                <w:color w:val="auto"/>
              </w:rPr>
              <w:t>Number</w:t>
            </w:r>
          </w:p>
        </w:tc>
        <w:tc>
          <w:tcPr>
            <w:tcW w:w="46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6080" w:type="dxa"/>
            <w:vAlign w:val="bottom"/>
            <w:gridSpan w:val="19"/>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35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17"/>
        </w:trPr>
        <w:tc>
          <w:tcPr>
            <w:tcW w:w="1100" w:type="dxa"/>
            <w:vAlign w:val="bottom"/>
          </w:tcPr>
          <w:p>
            <w:pPr>
              <w:ind w:left="140"/>
              <w:spacing w:after="0"/>
              <w:rPr>
                <w:sz w:val="20"/>
                <w:szCs w:val="20"/>
                <w:color w:val="auto"/>
              </w:rPr>
            </w:pPr>
            <w:r>
              <w:rPr>
                <w:rFonts w:ascii="Arial" w:cs="Arial" w:eastAsia="Arial" w:hAnsi="Arial"/>
                <w:sz w:val="16"/>
                <w:szCs w:val="16"/>
                <w:color w:val="auto"/>
              </w:rPr>
              <w:t>3.1</w:t>
            </w:r>
          </w:p>
        </w:tc>
        <w:tc>
          <w:tcPr>
            <w:tcW w:w="10100" w:type="dxa"/>
            <w:vAlign w:val="bottom"/>
            <w:gridSpan w:val="21"/>
          </w:tcPr>
          <w:p>
            <w:pPr>
              <w:spacing w:after="0"/>
              <w:rPr>
                <w:rFonts w:ascii="Arial" w:cs="Arial" w:eastAsia="Arial" w:hAnsi="Arial"/>
                <w:sz w:val="16"/>
                <w:szCs w:val="16"/>
                <w:color w:val="0000FF"/>
              </w:rPr>
            </w:pPr>
            <w:hyperlink r:id="rId61">
              <w:r>
                <w:rPr>
                  <w:rFonts w:ascii="Arial" w:cs="Arial" w:eastAsia="Arial" w:hAnsi="Arial"/>
                  <w:sz w:val="16"/>
                  <w:szCs w:val="16"/>
                  <w:color w:val="0000FF"/>
                </w:rPr>
                <w:t>Restated Certificate of Incorporation of the Company dated November 13, 2003 (incorporated by reference to Exhibit 3.1 to the Company’s</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920" w:type="dxa"/>
            <w:vAlign w:val="bottom"/>
            <w:tcBorders>
              <w:top w:val="single" w:sz="8" w:color="0000FF"/>
            </w:tcBorders>
            <w:gridSpan w:val="17"/>
          </w:tcPr>
          <w:p>
            <w:pPr>
              <w:spacing w:after="0" w:line="155" w:lineRule="exact"/>
              <w:rPr>
                <w:rFonts w:ascii="Arial" w:cs="Arial" w:eastAsia="Arial" w:hAnsi="Arial"/>
                <w:sz w:val="16"/>
                <w:szCs w:val="16"/>
                <w:color w:val="0000FF"/>
              </w:rPr>
            </w:pPr>
            <w:hyperlink r:id="rId61">
              <w:r>
                <w:rPr>
                  <w:rFonts w:ascii="Arial" w:cs="Arial" w:eastAsia="Arial" w:hAnsi="Arial"/>
                  <w:sz w:val="16"/>
                  <w:szCs w:val="16"/>
                  <w:color w:val="0000FF"/>
                </w:rPr>
                <w:t>Annual Report on Form 10-K for the fiscal year ended December 28, 2003).</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5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00" w:type="dxa"/>
            <w:vAlign w:val="bottom"/>
          </w:tcPr>
          <w:p>
            <w:pPr>
              <w:ind w:left="140"/>
              <w:spacing w:after="0"/>
              <w:rPr>
                <w:sz w:val="20"/>
                <w:szCs w:val="20"/>
                <w:color w:val="auto"/>
              </w:rPr>
            </w:pPr>
            <w:r>
              <w:rPr>
                <w:rFonts w:ascii="Arial" w:cs="Arial" w:eastAsia="Arial" w:hAnsi="Arial"/>
                <w:sz w:val="16"/>
                <w:szCs w:val="16"/>
                <w:color w:val="auto"/>
              </w:rPr>
              <w:t>3.2</w:t>
            </w:r>
          </w:p>
        </w:tc>
        <w:tc>
          <w:tcPr>
            <w:tcW w:w="10100" w:type="dxa"/>
            <w:vAlign w:val="bottom"/>
            <w:gridSpan w:val="21"/>
          </w:tcPr>
          <w:p>
            <w:pPr>
              <w:spacing w:after="0"/>
              <w:rPr>
                <w:rFonts w:ascii="Arial" w:cs="Arial" w:eastAsia="Arial" w:hAnsi="Arial"/>
                <w:sz w:val="16"/>
                <w:szCs w:val="16"/>
                <w:color w:val="0000FF"/>
              </w:rPr>
            </w:pPr>
            <w:hyperlink r:id="rId62">
              <w:r>
                <w:rPr>
                  <w:rFonts w:ascii="Arial" w:cs="Arial" w:eastAsia="Arial" w:hAnsi="Arial"/>
                  <w:sz w:val="16"/>
                  <w:szCs w:val="16"/>
                  <w:color w:val="0000FF"/>
                </w:rPr>
                <w:t>Certificate of Amendment, effective November 29, 2013, to the Restated Certificate of Incorporation of the Company (incorporated by</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520" w:type="dxa"/>
            <w:vAlign w:val="bottom"/>
            <w:tcBorders>
              <w:top w:val="single" w:sz="8" w:color="0000FF"/>
            </w:tcBorders>
            <w:gridSpan w:val="9"/>
          </w:tcPr>
          <w:p>
            <w:pPr>
              <w:spacing w:after="0" w:line="155" w:lineRule="exact"/>
              <w:rPr>
                <w:rFonts w:ascii="Arial" w:cs="Arial" w:eastAsia="Arial" w:hAnsi="Arial"/>
                <w:sz w:val="16"/>
                <w:szCs w:val="16"/>
                <w:color w:val="0000FF"/>
              </w:rPr>
            </w:pPr>
            <w:hyperlink r:id="rId62">
              <w:r>
                <w:rPr>
                  <w:rFonts w:ascii="Arial" w:cs="Arial" w:eastAsia="Arial" w:hAnsi="Arial"/>
                  <w:sz w:val="16"/>
                  <w:szCs w:val="16"/>
                  <w:color w:val="0000FF"/>
                </w:rPr>
                <w:t>reference to Exhibit 3.1 to the Company’s current Report on Form 8-K dated November 29, 2013).</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5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00" w:type="dxa"/>
            <w:vAlign w:val="bottom"/>
          </w:tcPr>
          <w:p>
            <w:pPr>
              <w:ind w:left="140"/>
              <w:spacing w:after="0"/>
              <w:rPr>
                <w:sz w:val="20"/>
                <w:szCs w:val="20"/>
                <w:color w:val="auto"/>
              </w:rPr>
            </w:pPr>
            <w:r>
              <w:rPr>
                <w:rFonts w:ascii="Arial" w:cs="Arial" w:eastAsia="Arial" w:hAnsi="Arial"/>
                <w:sz w:val="16"/>
                <w:szCs w:val="16"/>
                <w:color w:val="auto"/>
              </w:rPr>
              <w:t>3.3</w:t>
            </w:r>
          </w:p>
        </w:tc>
        <w:tc>
          <w:tcPr>
            <w:tcW w:w="10100" w:type="dxa"/>
            <w:vAlign w:val="bottom"/>
            <w:gridSpan w:val="21"/>
          </w:tcPr>
          <w:p>
            <w:pPr>
              <w:spacing w:after="0"/>
              <w:rPr>
                <w:rFonts w:ascii="Arial" w:cs="Arial" w:eastAsia="Arial" w:hAnsi="Arial"/>
                <w:sz w:val="16"/>
                <w:szCs w:val="16"/>
                <w:color w:val="0000FF"/>
              </w:rPr>
            </w:pPr>
            <w:hyperlink r:id="rId63">
              <w:r>
                <w:rPr>
                  <w:rFonts w:ascii="Arial" w:cs="Arial" w:eastAsia="Arial" w:hAnsi="Arial"/>
                  <w:sz w:val="16"/>
                  <w:szCs w:val="16"/>
                  <w:color w:val="0000FF"/>
                </w:rPr>
                <w:t>By-Laws of the Company as amended and restated through November 29, 2013 (incorporated by reference to Exhibit 3.2 to the Company’s</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980" w:type="dxa"/>
            <w:vAlign w:val="bottom"/>
            <w:tcBorders>
              <w:top w:val="single" w:sz="8" w:color="0000FF"/>
            </w:tcBorders>
            <w:gridSpan w:val="19"/>
          </w:tcPr>
          <w:p>
            <w:pPr>
              <w:spacing w:after="0" w:line="155" w:lineRule="exact"/>
              <w:rPr>
                <w:rFonts w:ascii="Arial" w:cs="Arial" w:eastAsia="Arial" w:hAnsi="Arial"/>
                <w:sz w:val="16"/>
                <w:szCs w:val="16"/>
                <w:color w:val="0000FF"/>
              </w:rPr>
            </w:pPr>
            <w:hyperlink r:id="rId63">
              <w:r>
                <w:rPr>
                  <w:rFonts w:ascii="Arial" w:cs="Arial" w:eastAsia="Arial" w:hAnsi="Arial"/>
                  <w:sz w:val="16"/>
                  <w:szCs w:val="16"/>
                  <w:color w:val="0000FF"/>
                </w:rPr>
                <w:t>Current Report on Form 8-K dated November 29, 2013).</w:t>
              </w:r>
            </w:hyperlink>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5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00" w:type="dxa"/>
            <w:vAlign w:val="bottom"/>
          </w:tcPr>
          <w:p>
            <w:pPr>
              <w:ind w:left="140"/>
              <w:spacing w:after="0"/>
              <w:rPr>
                <w:sz w:val="20"/>
                <w:szCs w:val="20"/>
                <w:color w:val="auto"/>
              </w:rPr>
            </w:pPr>
            <w:r>
              <w:rPr>
                <w:rFonts w:ascii="Arial" w:cs="Arial" w:eastAsia="Arial" w:hAnsi="Arial"/>
                <w:sz w:val="16"/>
                <w:szCs w:val="16"/>
                <w:color w:val="auto"/>
              </w:rPr>
              <w:t>4.1</w:t>
            </w:r>
          </w:p>
        </w:tc>
        <w:tc>
          <w:tcPr>
            <w:tcW w:w="10100" w:type="dxa"/>
            <w:vAlign w:val="bottom"/>
            <w:gridSpan w:val="21"/>
          </w:tcPr>
          <w:p>
            <w:pPr>
              <w:spacing w:after="0"/>
              <w:rPr>
                <w:rFonts w:ascii="Arial" w:cs="Arial" w:eastAsia="Arial" w:hAnsi="Arial"/>
                <w:sz w:val="16"/>
                <w:szCs w:val="16"/>
                <w:color w:val="0000FF"/>
              </w:rPr>
            </w:pPr>
            <w:hyperlink r:id="rId64">
              <w:r>
                <w:rPr>
                  <w:rFonts w:ascii="Arial" w:cs="Arial" w:eastAsia="Arial" w:hAnsi="Arial"/>
                  <w:sz w:val="16"/>
                  <w:szCs w:val="16"/>
                  <w:color w:val="0000FF"/>
                </w:rPr>
                <w:t>Senior Notes Indenture dated as of May 30, 2018, between the Company and The Bank of New York Mellon Trust Company, N.A., as</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9540" w:type="dxa"/>
            <w:vAlign w:val="bottom"/>
            <w:tcBorders>
              <w:top w:val="single" w:sz="8" w:color="0000FF"/>
            </w:tcBorders>
            <w:gridSpan w:val="10"/>
          </w:tcPr>
          <w:p>
            <w:pPr>
              <w:spacing w:after="0" w:line="155" w:lineRule="exact"/>
              <w:rPr>
                <w:rFonts w:ascii="Arial" w:cs="Arial" w:eastAsia="Arial" w:hAnsi="Arial"/>
                <w:sz w:val="16"/>
                <w:szCs w:val="16"/>
                <w:color w:val="0000FF"/>
              </w:rPr>
            </w:pPr>
            <w:hyperlink r:id="rId64">
              <w:r>
                <w:rPr>
                  <w:rFonts w:ascii="Arial" w:cs="Arial" w:eastAsia="Arial" w:hAnsi="Arial"/>
                  <w:sz w:val="16"/>
                  <w:szCs w:val="16"/>
                  <w:color w:val="0000FF"/>
                </w:rPr>
                <w:t>Trustee (incorporated by reference to Exhibit 4.1 to the Company’s Current Report on Form 8-K dated May 30, 2018).</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3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00" w:type="dxa"/>
            <w:vAlign w:val="bottom"/>
          </w:tcPr>
          <w:p>
            <w:pPr>
              <w:ind w:left="140"/>
              <w:spacing w:after="0"/>
              <w:rPr>
                <w:sz w:val="20"/>
                <w:szCs w:val="20"/>
                <w:color w:val="auto"/>
              </w:rPr>
            </w:pPr>
            <w:r>
              <w:rPr>
                <w:rFonts w:ascii="Arial" w:cs="Arial" w:eastAsia="Arial" w:hAnsi="Arial"/>
                <w:sz w:val="16"/>
                <w:szCs w:val="16"/>
                <w:color w:val="auto"/>
              </w:rPr>
              <w:t>4.2</w:t>
            </w:r>
          </w:p>
        </w:tc>
        <w:tc>
          <w:tcPr>
            <w:tcW w:w="10100" w:type="dxa"/>
            <w:vAlign w:val="bottom"/>
            <w:gridSpan w:val="21"/>
          </w:tcPr>
          <w:p>
            <w:pPr>
              <w:spacing w:after="0"/>
              <w:rPr>
                <w:rFonts w:ascii="Arial" w:cs="Arial" w:eastAsia="Arial" w:hAnsi="Arial"/>
                <w:sz w:val="16"/>
                <w:szCs w:val="16"/>
                <w:color w:val="0000FF"/>
              </w:rPr>
            </w:pPr>
            <w:hyperlink r:id="rId65">
              <w:r>
                <w:rPr>
                  <w:rFonts w:ascii="Arial" w:cs="Arial" w:eastAsia="Arial" w:hAnsi="Arial"/>
                  <w:sz w:val="16"/>
                  <w:szCs w:val="16"/>
                  <w:color w:val="0000FF"/>
                </w:rPr>
                <w:t>First Supplemental Indenture, dated as of March 24, 2020, among Graham Healthcare Group, Inc., a Delaware corporation, a subsidiary of</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940" w:type="dxa"/>
            <w:vAlign w:val="bottom"/>
            <w:tcBorders>
              <w:top w:val="single" w:sz="8" w:color="0000FF"/>
              <w:bottom w:val="single" w:sz="8" w:color="0000FF"/>
            </w:tcBorders>
            <w:gridSpan w:val="18"/>
          </w:tcPr>
          <w:p>
            <w:pPr>
              <w:spacing w:after="0" w:line="155" w:lineRule="exact"/>
              <w:rPr>
                <w:rFonts w:ascii="Arial" w:cs="Arial" w:eastAsia="Arial" w:hAnsi="Arial"/>
                <w:sz w:val="16"/>
                <w:szCs w:val="16"/>
                <w:color w:val="0000FF"/>
                <w:w w:val="99"/>
              </w:rPr>
            </w:pPr>
            <w:hyperlink r:id="rId65">
              <w:r>
                <w:rPr>
                  <w:rFonts w:ascii="Arial" w:cs="Arial" w:eastAsia="Arial" w:hAnsi="Arial"/>
                  <w:sz w:val="16"/>
                  <w:szCs w:val="16"/>
                  <w:color w:val="0000FF"/>
                  <w:w w:val="99"/>
                </w:rPr>
                <w:t>the Company, and The Bank of New York Mellon Trust Company, N.A., as trustee (incorporated by reference to Exhibit 4.2 to the Company’s</w:t>
              </w:r>
            </w:hyperlink>
          </w:p>
        </w:tc>
        <w:tc>
          <w:tcPr>
            <w:tcW w:w="100" w:type="dxa"/>
            <w:vAlign w:val="bottom"/>
            <w:tcBorders>
              <w:bottom w:val="single" w:sz="8" w:color="0000FF"/>
            </w:tcBorders>
            <w:gridSpan w:val="2"/>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5080" w:type="dxa"/>
            <w:vAlign w:val="bottom"/>
            <w:tcBorders>
              <w:bottom w:val="single" w:sz="8" w:color="0000FF"/>
            </w:tcBorders>
            <w:gridSpan w:val="5"/>
          </w:tcPr>
          <w:p>
            <w:pPr>
              <w:spacing w:after="0" w:line="155" w:lineRule="exact"/>
              <w:rPr>
                <w:rFonts w:ascii="Arial" w:cs="Arial" w:eastAsia="Arial" w:hAnsi="Arial"/>
                <w:sz w:val="16"/>
                <w:szCs w:val="16"/>
                <w:color w:val="0000FF"/>
              </w:rPr>
            </w:pPr>
            <w:hyperlink r:id="rId65">
              <w:r>
                <w:rPr>
                  <w:rFonts w:ascii="Arial" w:cs="Arial" w:eastAsia="Arial" w:hAnsi="Arial"/>
                  <w:sz w:val="16"/>
                  <w:szCs w:val="16"/>
                  <w:color w:val="0000FF"/>
                </w:rPr>
                <w:t>Quarterly Report on Form 10-Q for the quarter ended March 31, 2020).</w:t>
              </w:r>
            </w:hyperlink>
          </w:p>
        </w:tc>
        <w:tc>
          <w:tcPr>
            <w:tcW w:w="4960" w:type="dxa"/>
            <w:vAlign w:val="bottom"/>
            <w:gridSpan w:val="15"/>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100" w:type="dxa"/>
            <w:vAlign w:val="bottom"/>
          </w:tcPr>
          <w:p>
            <w:pPr>
              <w:ind w:left="140"/>
              <w:spacing w:after="0"/>
              <w:rPr>
                <w:sz w:val="20"/>
                <w:szCs w:val="20"/>
                <w:color w:val="auto"/>
              </w:rPr>
            </w:pPr>
            <w:r>
              <w:rPr>
                <w:rFonts w:ascii="Arial" w:cs="Arial" w:eastAsia="Arial" w:hAnsi="Arial"/>
                <w:sz w:val="16"/>
                <w:szCs w:val="16"/>
                <w:color w:val="auto"/>
              </w:rPr>
              <w:t>4.3</w:t>
            </w:r>
          </w:p>
        </w:tc>
        <w:tc>
          <w:tcPr>
            <w:tcW w:w="10100" w:type="dxa"/>
            <w:vAlign w:val="bottom"/>
            <w:gridSpan w:val="21"/>
          </w:tcPr>
          <w:p>
            <w:pPr>
              <w:spacing w:after="0"/>
              <w:rPr>
                <w:rFonts w:ascii="Arial" w:cs="Arial" w:eastAsia="Arial" w:hAnsi="Arial"/>
                <w:sz w:val="16"/>
                <w:szCs w:val="16"/>
                <w:color w:val="0000FF"/>
              </w:rPr>
            </w:pPr>
            <w:hyperlink r:id="rId66">
              <w:r>
                <w:rPr>
                  <w:rFonts w:ascii="Arial" w:cs="Arial" w:eastAsia="Arial" w:hAnsi="Arial"/>
                  <w:sz w:val="16"/>
                  <w:szCs w:val="16"/>
                  <w:color w:val="0000FF"/>
                </w:rPr>
                <w:t>Second Supplemental Indenture, dated as of January 6, 2022, among Graham Automotive LLC, a Delaware limited liability company, a</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660" w:type="dxa"/>
            <w:vAlign w:val="bottom"/>
            <w:tcBorders>
              <w:top w:val="single" w:sz="8" w:color="0000FF"/>
            </w:tcBorders>
            <w:gridSpan w:val="14"/>
          </w:tcPr>
          <w:p>
            <w:pPr>
              <w:spacing w:after="0" w:line="155" w:lineRule="exact"/>
              <w:rPr>
                <w:rFonts w:ascii="Arial" w:cs="Arial" w:eastAsia="Arial" w:hAnsi="Arial"/>
                <w:sz w:val="16"/>
                <w:szCs w:val="16"/>
                <w:color w:val="0000FF"/>
              </w:rPr>
            </w:pPr>
            <w:hyperlink r:id="rId66">
              <w:r>
                <w:rPr>
                  <w:rFonts w:ascii="Arial" w:cs="Arial" w:eastAsia="Arial" w:hAnsi="Arial"/>
                  <w:sz w:val="16"/>
                  <w:szCs w:val="16"/>
                  <w:color w:val="0000FF"/>
                </w:rPr>
                <w:t>subsidiary of Graham Holdings Company, a Delaware corporation, and The Bank of New York Mellon Trust Company, N.A., as trustee</w:t>
              </w:r>
            </w:hyperlink>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580" w:type="dxa"/>
            <w:vAlign w:val="bottom"/>
            <w:tcBorders>
              <w:top w:val="single" w:sz="8" w:color="0000FF"/>
              <w:bottom w:val="single" w:sz="8" w:color="0000FF"/>
            </w:tcBorders>
            <w:gridSpan w:val="11"/>
          </w:tcPr>
          <w:p>
            <w:pPr>
              <w:spacing w:after="0" w:line="155" w:lineRule="exact"/>
              <w:rPr>
                <w:rFonts w:ascii="Arial" w:cs="Arial" w:eastAsia="Arial" w:hAnsi="Arial"/>
                <w:sz w:val="16"/>
                <w:szCs w:val="16"/>
                <w:color w:val="0000FF"/>
              </w:rPr>
            </w:pPr>
            <w:hyperlink r:id="rId66">
              <w:r>
                <w:rPr>
                  <w:rFonts w:ascii="Arial" w:cs="Arial" w:eastAsia="Arial" w:hAnsi="Arial"/>
                  <w:sz w:val="16"/>
                  <w:szCs w:val="16"/>
                  <w:color w:val="0000FF"/>
                </w:rPr>
                <w:t>(incorporated by reference to Exhibit 4.3 to the Company’s Annual Report on Form 10-K for the fiscal year ended December 31, 2021)</w:t>
              </w:r>
            </w:hyperlink>
          </w:p>
        </w:tc>
        <w:tc>
          <w:tcPr>
            <w:tcW w:w="60" w:type="dxa"/>
            <w:vAlign w:val="bottom"/>
            <w:tcBorders>
              <w:bottom w:val="single" w:sz="8" w:color="0000FF"/>
            </w:tcBorders>
            <w:gridSpan w:val="2"/>
          </w:tcPr>
          <w:p>
            <w:pPr>
              <w:jc w:val="right"/>
              <w:spacing w:after="0" w:line="155" w:lineRule="exact"/>
              <w:rPr>
                <w:rFonts w:ascii="Arial" w:cs="Arial" w:eastAsia="Arial" w:hAnsi="Arial"/>
                <w:sz w:val="16"/>
                <w:szCs w:val="16"/>
                <w:color w:val="0000FF"/>
                <w:w w:val="88"/>
              </w:rPr>
            </w:pPr>
            <w:hyperlink r:id="rId66">
              <w:r>
                <w:rPr>
                  <w:rFonts w:ascii="Arial" w:cs="Arial" w:eastAsia="Arial" w:hAnsi="Arial"/>
                  <w:sz w:val="16"/>
                  <w:szCs w:val="16"/>
                  <w:color w:val="0000FF"/>
                  <w:w w:val="88"/>
                </w:rPr>
                <w:t>.</w:t>
              </w:r>
            </w:hyperlink>
          </w:p>
        </w:tc>
        <w:tc>
          <w:tcPr>
            <w:tcW w:w="4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100" w:type="dxa"/>
            <w:vAlign w:val="bottom"/>
          </w:tcPr>
          <w:p>
            <w:pPr>
              <w:ind w:left="140"/>
              <w:spacing w:after="0"/>
              <w:rPr>
                <w:sz w:val="20"/>
                <w:szCs w:val="20"/>
                <w:color w:val="auto"/>
              </w:rPr>
            </w:pPr>
            <w:r>
              <w:rPr>
                <w:rFonts w:ascii="Arial" w:cs="Arial" w:eastAsia="Arial" w:hAnsi="Arial"/>
                <w:sz w:val="16"/>
                <w:szCs w:val="16"/>
                <w:color w:val="auto"/>
              </w:rPr>
              <w:t>4.4</w:t>
            </w:r>
          </w:p>
        </w:tc>
        <w:tc>
          <w:tcPr>
            <w:tcW w:w="9600" w:type="dxa"/>
            <w:vAlign w:val="bottom"/>
            <w:tcBorders>
              <w:bottom w:val="single" w:sz="8" w:color="0000FF"/>
            </w:tcBorders>
            <w:gridSpan w:val="12"/>
          </w:tcPr>
          <w:p>
            <w:pPr>
              <w:spacing w:after="0"/>
              <w:rPr>
                <w:rFonts w:ascii="Arial" w:cs="Arial" w:eastAsia="Arial" w:hAnsi="Arial"/>
                <w:sz w:val="16"/>
                <w:szCs w:val="16"/>
                <w:color w:val="0000FF"/>
              </w:rPr>
            </w:pPr>
            <w:hyperlink r:id="rId67">
              <w:r>
                <w:rPr>
                  <w:rFonts w:ascii="Arial" w:cs="Arial" w:eastAsia="Arial" w:hAnsi="Arial"/>
                  <w:sz w:val="16"/>
                  <w:szCs w:val="16"/>
                  <w:color w:val="0000FF"/>
                </w:rPr>
                <w:t>Third Supplemental Indenture, dated as of August 15, 2023, among Graham Digital Holding Company LLC, a Delaware limited liability</w:t>
              </w:r>
            </w:hyperlink>
          </w:p>
        </w:tc>
        <w:tc>
          <w:tcPr>
            <w:tcW w:w="5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100" w:type="dxa"/>
            <w:vAlign w:val="bottom"/>
            <w:gridSpan w:val="21"/>
          </w:tcPr>
          <w:p>
            <w:pPr>
              <w:spacing w:after="0" w:line="155" w:lineRule="exact"/>
              <w:rPr>
                <w:rFonts w:ascii="Arial" w:cs="Arial" w:eastAsia="Arial" w:hAnsi="Arial"/>
                <w:sz w:val="16"/>
                <w:szCs w:val="16"/>
                <w:color w:val="0000FF"/>
              </w:rPr>
            </w:pPr>
            <w:hyperlink r:id="rId67">
              <w:r>
                <w:rPr>
                  <w:rFonts w:ascii="Arial" w:cs="Arial" w:eastAsia="Arial" w:hAnsi="Arial"/>
                  <w:sz w:val="16"/>
                  <w:szCs w:val="16"/>
                  <w:color w:val="0000FF"/>
                </w:rPr>
                <w:t>company, a subsidiary of Graham Holdings Company, a Delaware corporation, and The Bank of New York Mellon Trust Company, N.A., as</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9900" w:type="dxa"/>
            <w:vAlign w:val="bottom"/>
            <w:tcBorders>
              <w:top w:val="single" w:sz="8" w:color="0000FF"/>
            </w:tcBorders>
            <w:gridSpan w:val="16"/>
          </w:tcPr>
          <w:p>
            <w:pPr>
              <w:spacing w:after="0" w:line="155" w:lineRule="exact"/>
              <w:rPr>
                <w:rFonts w:ascii="Arial" w:cs="Arial" w:eastAsia="Arial" w:hAnsi="Arial"/>
                <w:sz w:val="16"/>
                <w:szCs w:val="16"/>
                <w:color w:val="0000FF"/>
              </w:rPr>
            </w:pPr>
            <w:hyperlink r:id="rId67">
              <w:r>
                <w:rPr>
                  <w:rFonts w:ascii="Arial" w:cs="Arial" w:eastAsia="Arial" w:hAnsi="Arial"/>
                  <w:sz w:val="16"/>
                  <w:szCs w:val="16"/>
                  <w:color w:val="0000FF"/>
                </w:rPr>
                <w:t>trustee (incorporated by reference to Exhibit 4.4 to the Company’s Quarterly Report on Form 10-Q for the quarter ended September 30,</w:t>
              </w:r>
            </w:hyperlink>
          </w:p>
        </w:tc>
        <w:tc>
          <w:tcPr>
            <w:tcW w:w="2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5" w:lineRule="exact"/>
              <w:rPr>
                <w:rFonts w:ascii="Arial" w:cs="Arial" w:eastAsia="Arial" w:hAnsi="Arial"/>
                <w:sz w:val="16"/>
                <w:szCs w:val="16"/>
                <w:color w:val="0000FF"/>
                <w:w w:val="96"/>
              </w:rPr>
            </w:pPr>
            <w:hyperlink r:id="rId67">
              <w:r>
                <w:rPr>
                  <w:rFonts w:ascii="Arial" w:cs="Arial" w:eastAsia="Arial" w:hAnsi="Arial"/>
                  <w:sz w:val="16"/>
                  <w:szCs w:val="16"/>
                  <w:color w:val="0000FF"/>
                  <w:w w:val="96"/>
                </w:rPr>
                <w:t>2023).</w:t>
              </w:r>
            </w:hyperlink>
          </w:p>
        </w:tc>
        <w:tc>
          <w:tcPr>
            <w:tcW w:w="356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600" w:type="dxa"/>
            <w:vAlign w:val="bottom"/>
            <w:tcBorders>
              <w:top w:val="single" w:sz="8" w:color="0000FF"/>
            </w:tcBorders>
          </w:tcPr>
          <w:p>
            <w:pPr>
              <w:spacing w:after="0"/>
              <w:rPr>
                <w:sz w:val="13"/>
                <w:szCs w:val="13"/>
                <w:color w:val="auto"/>
              </w:rPr>
            </w:pPr>
          </w:p>
        </w:tc>
        <w:tc>
          <w:tcPr>
            <w:tcW w:w="140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100" w:type="dxa"/>
            <w:vAlign w:val="bottom"/>
          </w:tcPr>
          <w:p>
            <w:pPr>
              <w:ind w:left="140"/>
              <w:spacing w:after="0"/>
              <w:rPr>
                <w:sz w:val="20"/>
                <w:szCs w:val="20"/>
                <w:color w:val="auto"/>
              </w:rPr>
            </w:pPr>
            <w:r>
              <w:rPr>
                <w:rFonts w:ascii="Arial" w:cs="Arial" w:eastAsia="Arial" w:hAnsi="Arial"/>
                <w:sz w:val="16"/>
                <w:szCs w:val="16"/>
                <w:color w:val="auto"/>
              </w:rPr>
              <w:t>31.1</w:t>
            </w:r>
          </w:p>
        </w:tc>
        <w:tc>
          <w:tcPr>
            <w:tcW w:w="490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rPr>
              <w:t>Rule 13a-14(a)/15d-14(a) Certification of the Chief Executive Officer.</w:t>
            </w:r>
          </w:p>
        </w:tc>
        <w:tc>
          <w:tcPr>
            <w:tcW w:w="520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100" w:type="dxa"/>
            <w:vAlign w:val="bottom"/>
          </w:tcPr>
          <w:p>
            <w:pPr>
              <w:ind w:left="140"/>
              <w:spacing w:after="0"/>
              <w:rPr>
                <w:sz w:val="20"/>
                <w:szCs w:val="20"/>
                <w:color w:val="auto"/>
              </w:rPr>
            </w:pPr>
            <w:r>
              <w:rPr>
                <w:rFonts w:ascii="Arial" w:cs="Arial" w:eastAsia="Arial" w:hAnsi="Arial"/>
                <w:sz w:val="16"/>
                <w:szCs w:val="16"/>
                <w:color w:val="auto"/>
              </w:rPr>
              <w:t>31.2</w:t>
            </w:r>
          </w:p>
        </w:tc>
        <w:tc>
          <w:tcPr>
            <w:tcW w:w="10100" w:type="dxa"/>
            <w:vAlign w:val="bottom"/>
            <w:gridSpan w:val="21"/>
          </w:tcPr>
          <w:p>
            <w:pPr>
              <w:spacing w:after="0"/>
              <w:rPr>
                <w:sz w:val="20"/>
                <w:szCs w:val="20"/>
                <w:color w:val="auto"/>
              </w:rPr>
            </w:pPr>
            <w:r>
              <w:rPr>
                <w:rFonts w:ascii="Arial" w:cs="Arial" w:eastAsia="Arial" w:hAnsi="Arial"/>
                <w:sz w:val="16"/>
                <w:szCs w:val="16"/>
                <w:color w:val="0000FF"/>
              </w:rPr>
              <w:t>Rule 13a-14(a)/15d-14(a) Certification of the Chief Financial Officer.</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5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00" w:hanging="953"/>
        <w:spacing w:after="0"/>
        <w:tabs>
          <w:tab w:leader="none" w:pos="110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0000FF"/>
        </w:rPr>
        <w:t>Section 1350 Certification of the Chief Executive Officer and the Chief Financial Officer.</w:t>
      </w:r>
      <w:r>
        <w:rPr>
          <w:rFonts w:ascii="Arial" w:cs="Arial" w:eastAsia="Arial" w:hAnsi="Arial"/>
          <w:sz w:val="16"/>
          <w:szCs w:val="16"/>
          <w:color w:val="0000FF"/>
        </w:rPr>
        <w:t xml:space="preserve"> </w:t>
      </w:r>
      <w:r>
        <w:rPr>
          <w:rFonts w:ascii="Arial" w:cs="Arial" w:eastAsia="Arial" w:hAnsi="Arial"/>
          <w:sz w:val="16"/>
          <w:szCs w:val="16"/>
          <w:color w:val="000000"/>
        </w:rPr>
        <w:t>*</w:t>
      </w:r>
    </w:p>
    <w:p>
      <w:pPr>
        <w:spacing w:after="0" w:line="199"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800" w:type="dxa"/>
            <w:vAlign w:val="bottom"/>
          </w:tcPr>
          <w:p>
            <w:pPr>
              <w:spacing w:after="0"/>
              <w:rPr>
                <w:sz w:val="20"/>
                <w:szCs w:val="20"/>
                <w:color w:val="auto"/>
              </w:rPr>
            </w:pPr>
            <w:r>
              <w:rPr>
                <w:rFonts w:ascii="Arial" w:cs="Arial" w:eastAsia="Arial" w:hAnsi="Arial"/>
                <w:sz w:val="16"/>
                <w:szCs w:val="16"/>
                <w:color w:val="auto"/>
              </w:rPr>
              <w:t>101.INS</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 tags are embedded</w:t>
            </w:r>
          </w:p>
        </w:tc>
      </w:tr>
      <w:tr>
        <w:trPr>
          <w:trHeight w:val="215"/>
        </w:trPr>
        <w:tc>
          <w:tcPr>
            <w:tcW w:w="800" w:type="dxa"/>
            <w:vAlign w:val="bottom"/>
          </w:tcPr>
          <w:p>
            <w:pPr>
              <w:spacing w:after="0"/>
              <w:rPr>
                <w:sz w:val="18"/>
                <w:szCs w:val="18"/>
                <w:color w:val="auto"/>
              </w:rPr>
            </w:pPr>
          </w:p>
        </w:tc>
        <w:tc>
          <w:tcPr>
            <w:tcW w:w="10140" w:type="dxa"/>
            <w:vAlign w:val="bottom"/>
          </w:tcPr>
          <w:p>
            <w:pPr>
              <w:ind w:left="160"/>
              <w:spacing w:after="0"/>
              <w:rPr>
                <w:sz w:val="20"/>
                <w:szCs w:val="20"/>
                <w:color w:val="auto"/>
              </w:rPr>
            </w:pPr>
            <w:r>
              <w:rPr>
                <w:rFonts w:ascii="Arial" w:cs="Arial" w:eastAsia="Arial" w:hAnsi="Arial"/>
                <w:sz w:val="16"/>
                <w:szCs w:val="16"/>
                <w:color w:val="auto"/>
              </w:rPr>
              <w:t>within the Inline XBRL document</w:t>
            </w:r>
          </w:p>
        </w:tc>
      </w:tr>
      <w:tr>
        <w:trPr>
          <w:trHeight w:val="392"/>
        </w:trPr>
        <w:tc>
          <w:tcPr>
            <w:tcW w:w="800" w:type="dxa"/>
            <w:vAlign w:val="bottom"/>
          </w:tcPr>
          <w:p>
            <w:pPr>
              <w:spacing w:after="0"/>
              <w:rPr>
                <w:sz w:val="20"/>
                <w:szCs w:val="20"/>
                <w:color w:val="auto"/>
              </w:rPr>
            </w:pPr>
            <w:r>
              <w:rPr>
                <w:rFonts w:ascii="Arial" w:cs="Arial" w:eastAsia="Arial" w:hAnsi="Arial"/>
                <w:sz w:val="16"/>
                <w:szCs w:val="16"/>
                <w:color w:val="auto"/>
              </w:rPr>
              <w:t>101.SCH</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Schema Document</w:t>
            </w:r>
          </w:p>
        </w:tc>
      </w:tr>
      <w:tr>
        <w:trPr>
          <w:trHeight w:val="391"/>
        </w:trPr>
        <w:tc>
          <w:tcPr>
            <w:tcW w:w="800" w:type="dxa"/>
            <w:vAlign w:val="bottom"/>
          </w:tcPr>
          <w:p>
            <w:pPr>
              <w:spacing w:after="0"/>
              <w:rPr>
                <w:sz w:val="20"/>
                <w:szCs w:val="20"/>
                <w:color w:val="auto"/>
              </w:rPr>
            </w:pPr>
            <w:r>
              <w:rPr>
                <w:rFonts w:ascii="Arial" w:cs="Arial" w:eastAsia="Arial" w:hAnsi="Arial"/>
                <w:sz w:val="16"/>
                <w:szCs w:val="16"/>
                <w:color w:val="auto"/>
              </w:rPr>
              <w:t>101.CAL</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392"/>
        </w:trPr>
        <w:tc>
          <w:tcPr>
            <w:tcW w:w="800" w:type="dxa"/>
            <w:vAlign w:val="bottom"/>
          </w:tcPr>
          <w:p>
            <w:pPr>
              <w:spacing w:after="0"/>
              <w:rPr>
                <w:sz w:val="20"/>
                <w:szCs w:val="20"/>
                <w:color w:val="auto"/>
              </w:rPr>
            </w:pPr>
            <w:r>
              <w:rPr>
                <w:rFonts w:ascii="Arial" w:cs="Arial" w:eastAsia="Arial" w:hAnsi="Arial"/>
                <w:sz w:val="16"/>
                <w:szCs w:val="16"/>
                <w:color w:val="auto"/>
              </w:rPr>
              <w:t>101.DEF</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391"/>
        </w:trPr>
        <w:tc>
          <w:tcPr>
            <w:tcW w:w="800" w:type="dxa"/>
            <w:vAlign w:val="bottom"/>
          </w:tcPr>
          <w:p>
            <w:pPr>
              <w:spacing w:after="0"/>
              <w:rPr>
                <w:sz w:val="20"/>
                <w:szCs w:val="20"/>
                <w:color w:val="auto"/>
              </w:rPr>
            </w:pPr>
            <w:r>
              <w:rPr>
                <w:rFonts w:ascii="Arial" w:cs="Arial" w:eastAsia="Arial" w:hAnsi="Arial"/>
                <w:sz w:val="16"/>
                <w:szCs w:val="16"/>
                <w:color w:val="auto"/>
              </w:rPr>
              <w:t>101.LAB</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Label Linkbase Document</w:t>
            </w:r>
          </w:p>
        </w:tc>
      </w:tr>
      <w:tr>
        <w:trPr>
          <w:trHeight w:val="392"/>
        </w:trPr>
        <w:tc>
          <w:tcPr>
            <w:tcW w:w="800" w:type="dxa"/>
            <w:vAlign w:val="bottom"/>
          </w:tcPr>
          <w:p>
            <w:pPr>
              <w:spacing w:after="0"/>
              <w:rPr>
                <w:sz w:val="20"/>
                <w:szCs w:val="20"/>
                <w:color w:val="auto"/>
              </w:rPr>
            </w:pPr>
            <w:r>
              <w:rPr>
                <w:rFonts w:ascii="Arial" w:cs="Arial" w:eastAsia="Arial" w:hAnsi="Arial"/>
                <w:sz w:val="16"/>
                <w:szCs w:val="16"/>
                <w:color w:val="auto"/>
              </w:rPr>
              <w:t>101.PRE</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Presentation Linkbase Document</w:t>
            </w:r>
          </w:p>
        </w:tc>
      </w:tr>
    </w:tbl>
    <w:p>
      <w:pPr>
        <w:spacing w:after="0" w:line="177" w:lineRule="exact"/>
        <w:rPr>
          <w:sz w:val="20"/>
          <w:szCs w:val="20"/>
          <w:color w:val="auto"/>
        </w:rPr>
      </w:pPr>
    </w:p>
    <w:p>
      <w:pPr>
        <w:ind w:left="1100" w:hanging="953"/>
        <w:spacing w:after="0"/>
        <w:tabs>
          <w:tab w:leader="none" w:pos="11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Cover Page Interactive Data File, formatted in Inline XBRL and included as Exhibit 101</w:t>
      </w:r>
    </w:p>
    <w:p>
      <w:pPr>
        <w:spacing w:after="0" w:line="2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3"/>
          <w:szCs w:val="13"/>
          <w:color w:val="auto"/>
        </w:rPr>
        <w:t>*   Furnished herewith.</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4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3"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35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GRAHAM HOLDINGS COMPANY</w:t>
            </w:r>
          </w:p>
        </w:tc>
      </w:tr>
      <w:tr>
        <w:trPr>
          <w:trHeight w:val="257"/>
        </w:trPr>
        <w:tc>
          <w:tcPr>
            <w:tcW w:w="352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553"/>
        </w:trPr>
        <w:tc>
          <w:tcPr>
            <w:tcW w:w="3520" w:type="dxa"/>
            <w:vAlign w:val="bottom"/>
          </w:tcPr>
          <w:p>
            <w:pPr>
              <w:spacing w:after="0"/>
              <w:rPr>
                <w:sz w:val="20"/>
                <w:szCs w:val="20"/>
                <w:color w:val="auto"/>
              </w:rPr>
            </w:pPr>
            <w:r>
              <w:rPr>
                <w:rFonts w:ascii="Arial" w:cs="Arial" w:eastAsia="Arial" w:hAnsi="Arial"/>
                <w:sz w:val="18"/>
                <w:szCs w:val="18"/>
                <w:color w:val="auto"/>
              </w:rPr>
              <w:t>Date: July 31, 2024</w:t>
            </w:r>
          </w:p>
        </w:tc>
        <w:tc>
          <w:tcPr>
            <w:tcW w:w="364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/s/ Timothy J. O’Shaughnessy</w:t>
            </w:r>
          </w:p>
        </w:tc>
      </w:tr>
      <w:tr>
        <w:trPr>
          <w:trHeight w:val="23"/>
        </w:trPr>
        <w:tc>
          <w:tcPr>
            <w:tcW w:w="35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r>
      <w:tr>
        <w:trPr>
          <w:trHeight w:val="146"/>
        </w:trPr>
        <w:tc>
          <w:tcPr>
            <w:tcW w:w="35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40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Timothy J. O’Shaughnessy,</w:t>
            </w:r>
          </w:p>
        </w:tc>
      </w:tr>
      <w:tr>
        <w:trPr>
          <w:trHeight w:val="144"/>
        </w:trPr>
        <w:tc>
          <w:tcPr>
            <w:tcW w:w="35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40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President &amp; Chief Executive Officer</w:t>
            </w:r>
          </w:p>
        </w:tc>
      </w:tr>
      <w:tr>
        <w:trPr>
          <w:trHeight w:val="196"/>
        </w:trPr>
        <w:tc>
          <w:tcPr>
            <w:tcW w:w="35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rPr>
              <w:t>(Principal Executive Officer)</w:t>
            </w:r>
          </w:p>
        </w:tc>
      </w:tr>
      <w:tr>
        <w:trPr>
          <w:trHeight w:val="523"/>
        </w:trPr>
        <w:tc>
          <w:tcPr>
            <w:tcW w:w="3520" w:type="dxa"/>
            <w:vAlign w:val="bottom"/>
          </w:tcPr>
          <w:p>
            <w:pPr>
              <w:spacing w:after="0"/>
              <w:rPr>
                <w:sz w:val="20"/>
                <w:szCs w:val="20"/>
                <w:color w:val="auto"/>
              </w:rPr>
            </w:pPr>
            <w:r>
              <w:rPr>
                <w:rFonts w:ascii="Arial" w:cs="Arial" w:eastAsia="Arial" w:hAnsi="Arial"/>
                <w:sz w:val="18"/>
                <w:szCs w:val="18"/>
                <w:color w:val="auto"/>
              </w:rPr>
              <w:t>Date: July 31, 2024</w:t>
            </w:r>
          </w:p>
        </w:tc>
        <w:tc>
          <w:tcPr>
            <w:tcW w:w="364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/s/ Wallace R. Cooney</w:t>
            </w:r>
          </w:p>
        </w:tc>
      </w:tr>
      <w:tr>
        <w:trPr>
          <w:trHeight w:val="23"/>
        </w:trPr>
        <w:tc>
          <w:tcPr>
            <w:tcW w:w="35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r>
      <w:tr>
        <w:trPr>
          <w:trHeight w:val="160"/>
        </w:trPr>
        <w:tc>
          <w:tcPr>
            <w:tcW w:w="35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402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rPr>
              <w:t>Wallace R. Cooney,</w:t>
            </w:r>
          </w:p>
        </w:tc>
      </w:tr>
      <w:tr>
        <w:trPr>
          <w:trHeight w:val="162"/>
        </w:trPr>
        <w:tc>
          <w:tcPr>
            <w:tcW w:w="35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rPr>
              <w:t>Chief Financial Officer</w:t>
            </w:r>
          </w:p>
        </w:tc>
      </w:tr>
      <w:tr>
        <w:trPr>
          <w:trHeight w:val="196"/>
        </w:trPr>
        <w:tc>
          <w:tcPr>
            <w:tcW w:w="35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rPr>
              <w:t>(Principal Financial Officer)</w:t>
            </w:r>
          </w:p>
        </w:tc>
      </w:tr>
      <w:tr>
        <w:trPr>
          <w:trHeight w:val="708"/>
        </w:trPr>
        <w:tc>
          <w:tcPr>
            <w:tcW w:w="3520" w:type="dxa"/>
            <w:vAlign w:val="bottom"/>
          </w:tcPr>
          <w:p>
            <w:pPr>
              <w:spacing w:after="0"/>
              <w:rPr>
                <w:sz w:val="24"/>
                <w:szCs w:val="24"/>
                <w:color w:val="auto"/>
              </w:rPr>
            </w:pPr>
          </w:p>
        </w:tc>
        <w:tc>
          <w:tcPr>
            <w:tcW w:w="3640" w:type="dxa"/>
            <w:vAlign w:val="bottom"/>
          </w:tcPr>
          <w:p>
            <w:pPr>
              <w:jc w:val="right"/>
              <w:ind w:right="1390"/>
              <w:spacing w:after="0"/>
              <w:rPr>
                <w:sz w:val="20"/>
                <w:szCs w:val="20"/>
                <w:color w:val="auto"/>
              </w:rPr>
            </w:pPr>
            <w:r>
              <w:rPr>
                <w:rFonts w:ascii="Arial" w:cs="Arial" w:eastAsia="Arial" w:hAnsi="Arial"/>
                <w:sz w:val="18"/>
                <w:szCs w:val="18"/>
                <w:color w:val="auto"/>
              </w:rPr>
              <w:t>40</w:t>
            </w:r>
          </w:p>
        </w:tc>
        <w:tc>
          <w:tcPr>
            <w:tcW w:w="4020" w:type="dxa"/>
            <w:vAlign w:val="bottom"/>
          </w:tcPr>
          <w:p>
            <w:pPr>
              <w:spacing w:after="0"/>
              <w:rPr>
                <w:sz w:val="24"/>
                <w:szCs w:val="24"/>
                <w:color w:val="auto"/>
              </w:rPr>
            </w:pPr>
          </w:p>
        </w:tc>
      </w:tr>
    </w:tbl>
    <w:p>
      <w:pPr>
        <w:sectPr>
          <w:pgSz w:w="11900" w:h="16838" w:orient="portrait"/>
          <w:cols w:equalWidth="0" w:num="1">
            <w:col w:w="11220"/>
          </w:cols>
          <w:pgMar w:left="320" w:top="1043" w:right="35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53"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I, Timothy J. O’Shaughnessy, Chief Executive Officer (principal executive officer) of Graham Holdings Company (the “Registrant”), certify that:</w:t>
      </w:r>
    </w:p>
    <w:p>
      <w:pPr>
        <w:spacing w:after="0" w:line="99"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left="340" w:right="400" w:hanging="8"/>
        <w:spacing w:after="0" w:line="268" w:lineRule="auto"/>
        <w:tabs>
          <w:tab w:leader="none" w:pos="6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jc w:val="both"/>
        <w:ind w:left="340" w:right="100" w:hanging="8"/>
        <w:spacing w:after="0" w:line="318" w:lineRule="auto"/>
        <w:tabs>
          <w:tab w:leader="none" w:pos="652"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jc w:val="both"/>
        <w:ind w:left="340" w:right="80" w:hanging="8"/>
        <w:spacing w:after="0" w:line="276" w:lineRule="auto"/>
        <w:tabs>
          <w:tab w:leader="none" w:pos="652"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jc w:val="both"/>
        <w:ind w:left="1300" w:right="20" w:hanging="320"/>
        <w:spacing w:after="0" w:line="268" w:lineRule="auto"/>
        <w:tabs>
          <w:tab w:leader="none" w:pos="129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1300" w:right="540" w:hanging="320"/>
        <w:spacing w:after="0" w:line="291" w:lineRule="auto"/>
        <w:tabs>
          <w:tab w:leader="none" w:pos="129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7"/>
          <w:szCs w:val="17"/>
          <w:color w:val="auto"/>
        </w:rPr>
      </w:pPr>
    </w:p>
    <w:p>
      <w:pPr>
        <w:ind w:left="1300" w:right="300" w:hanging="320"/>
        <w:spacing w:after="0" w:line="268" w:lineRule="auto"/>
        <w:tabs>
          <w:tab w:leader="none" w:pos="1294"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300" w:right="300" w:hanging="320"/>
        <w:spacing w:after="0" w:line="291" w:lineRule="auto"/>
        <w:tabs>
          <w:tab w:leader="none" w:pos="129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8" w:lineRule="exact"/>
        <w:rPr>
          <w:rFonts w:ascii="Arial" w:cs="Arial" w:eastAsia="Arial" w:hAnsi="Arial"/>
          <w:sz w:val="17"/>
          <w:szCs w:val="17"/>
          <w:color w:val="auto"/>
        </w:rPr>
      </w:pPr>
    </w:p>
    <w:p>
      <w:pPr>
        <w:jc w:val="both"/>
        <w:ind w:left="340" w:right="280" w:hanging="8"/>
        <w:spacing w:after="0" w:line="268" w:lineRule="auto"/>
        <w:tabs>
          <w:tab w:leader="none" w:pos="6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300" w:right="420" w:hanging="320"/>
        <w:spacing w:after="0" w:line="268" w:lineRule="auto"/>
        <w:tabs>
          <w:tab w:leader="none" w:pos="129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300" w:right="780" w:hanging="320"/>
        <w:spacing w:after="0" w:line="287" w:lineRule="auto"/>
        <w:tabs>
          <w:tab w:leader="none" w:pos="129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059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31, 2024</w:t>
      </w:r>
    </w:p>
    <w:p>
      <w:pPr>
        <w:sectPr>
          <w:pgSz w:w="11900" w:h="16838" w:orient="portrait"/>
          <w:cols w:equalWidth="0" w:num="1">
            <w:col w:w="11240"/>
          </w:cols>
          <w:pgMar w:left="320" w:top="1147"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Wallace R. Cooney, Chief Financial Officer (principal financial officer) of Graham Holdings Company (the “Registrant”), certify that:</w:t>
      </w:r>
    </w:p>
    <w:p>
      <w:pPr>
        <w:spacing w:after="0" w:line="171"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left="340" w:right="400" w:hanging="8"/>
        <w:spacing w:after="0" w:line="268" w:lineRule="auto"/>
        <w:tabs>
          <w:tab w:leader="none" w:pos="6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jc w:val="both"/>
        <w:ind w:left="340" w:right="100" w:hanging="8"/>
        <w:spacing w:after="0" w:line="318" w:lineRule="auto"/>
        <w:tabs>
          <w:tab w:leader="none" w:pos="652"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jc w:val="both"/>
        <w:ind w:left="340" w:right="80" w:hanging="8"/>
        <w:spacing w:after="0" w:line="276" w:lineRule="auto"/>
        <w:tabs>
          <w:tab w:leader="none" w:pos="652"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jc w:val="both"/>
        <w:ind w:left="1300" w:right="20" w:hanging="320"/>
        <w:spacing w:after="0" w:line="268" w:lineRule="auto"/>
        <w:tabs>
          <w:tab w:leader="none" w:pos="129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1300" w:right="540" w:hanging="320"/>
        <w:spacing w:after="0" w:line="291" w:lineRule="auto"/>
        <w:tabs>
          <w:tab w:leader="none" w:pos="129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7"/>
          <w:szCs w:val="17"/>
          <w:color w:val="auto"/>
        </w:rPr>
      </w:pPr>
    </w:p>
    <w:p>
      <w:pPr>
        <w:ind w:left="1300" w:right="300" w:hanging="320"/>
        <w:spacing w:after="0" w:line="268" w:lineRule="auto"/>
        <w:tabs>
          <w:tab w:leader="none" w:pos="1294"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300" w:right="300" w:hanging="320"/>
        <w:spacing w:after="0" w:line="291" w:lineRule="auto"/>
        <w:tabs>
          <w:tab w:leader="none" w:pos="129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8" w:lineRule="exact"/>
        <w:rPr>
          <w:rFonts w:ascii="Arial" w:cs="Arial" w:eastAsia="Arial" w:hAnsi="Arial"/>
          <w:sz w:val="17"/>
          <w:szCs w:val="17"/>
          <w:color w:val="auto"/>
        </w:rPr>
      </w:pPr>
    </w:p>
    <w:p>
      <w:pPr>
        <w:jc w:val="both"/>
        <w:ind w:left="340" w:right="280" w:hanging="8"/>
        <w:spacing w:after="0" w:line="268" w:lineRule="auto"/>
        <w:tabs>
          <w:tab w:leader="none" w:pos="6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300" w:right="420" w:hanging="320"/>
        <w:spacing w:after="0" w:line="268" w:lineRule="auto"/>
        <w:tabs>
          <w:tab w:leader="none" w:pos="129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300" w:right="780" w:hanging="320"/>
        <w:spacing w:after="0" w:line="287" w:lineRule="auto"/>
        <w:tabs>
          <w:tab w:leader="none" w:pos="129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059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31, 2024</w:t>
      </w:r>
    </w:p>
    <w:p>
      <w:pPr>
        <w:sectPr>
          <w:pgSz w:w="11900" w:h="16838" w:orient="portrait"/>
          <w:cols w:equalWidth="0" w:num="1">
            <w:col w:w="11240"/>
          </w:cols>
          <w:pgMar w:left="320" w:top="1147"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15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connection with the Quarterly Report of Graham Holdings Company (the “Company”) on Form 10-Q for the period ended June 30, 2024 (the “Report”), Timothy J. O’Shaughnessy, Chief Executive Officer (principal executive officer) of the Company and Wallace R. Cooney, Chief Financial Officer (principal financial officer) of the Company, each hereby certifies, pursuant to 18 U.S.C. Section 1350, as adopted pursuant to Section 906 of the Sarbanes-Oxley Act of 2002, that:</w:t>
      </w:r>
    </w:p>
    <w:p>
      <w:pPr>
        <w:spacing w:after="0" w:line="122"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340" w:right="340" w:hanging="332"/>
        <w:spacing w:after="0" w:line="287" w:lineRule="auto"/>
        <w:tabs>
          <w:tab w:leader="none" w:pos="33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059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31, 2024</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059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31, 2024</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lowerRoman"/>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32"/>
    </w:lvl>
  </w:abstractNum>
  <w:abstractNum w:abstractNumId="15">
    <w:nsid w:val="519B500D"/>
    <w:multiLevelType w:val="hybridMultilevel"/>
    <w:lvl w:ilvl="0">
      <w:lvlJc w:val="left"/>
      <w:lvlText w:val="*"/>
      <w:numFmt w:val="bullet"/>
      <w:start w:val="1"/>
    </w:lvl>
    <w:lvl w:ilvl="1">
      <w:lvlJc w:val="left"/>
      <w:lvlText w:val="%2"/>
      <w:numFmt w:val="decimal"/>
      <w:start w:val="104"/>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61" Type="http://schemas.openxmlformats.org/officeDocument/2006/relationships/hyperlink" Target="https://www.sec.gov/Archives/edgar/data/104889/000095013304000785/w94191exv3w1.htm" TargetMode="External"/><Relationship Id="rId62" Type="http://schemas.openxmlformats.org/officeDocument/2006/relationships/hyperlink" Target="https://www.sec.gov/Archives/edgar/data/104889/000095015713000428/ex3-1.htm" TargetMode="External"/><Relationship Id="rId63" Type="http://schemas.openxmlformats.org/officeDocument/2006/relationships/hyperlink" Target="https://www.sec.gov/Archives/edgar/data/104889/000095015713000428/ex3-2.htm" TargetMode="External"/><Relationship Id="rId64" Type="http://schemas.openxmlformats.org/officeDocument/2006/relationships/hyperlink" Target="https://www.sec.gov/Archives/edgar/data/104889/000095015718000572/ex4-1.htm" TargetMode="External"/><Relationship Id="rId65" Type="http://schemas.openxmlformats.org/officeDocument/2006/relationships/hyperlink" Target="https://www.sec.gov/Archives/edgar/data/104889/000010488920000031/dex42.htm" TargetMode="External"/><Relationship Id="rId66" Type="http://schemas.openxmlformats.org/officeDocument/2006/relationships/hyperlink" Target="https://www.sec.gov/Archives/edgar/data/104889/000010488922000011/a2021q410-kex43.htm" TargetMode="External"/><Relationship Id="rId67" Type="http://schemas.openxmlformats.org/officeDocument/2006/relationships/hyperlink" Target="https://www.sec.gov/Archives/edgar/data/104889/000010488923000064/a2023q310-q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2024-07-31T07:29:51Z</dcterms:created>
  <dcterms:modified xsi:type="dcterms:W3CDTF">2024-07-31T07:29:51Z</dcterms:modified>
</cp:coreProperties>
</file>