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Graham Holdings Company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1-6714</w:t>
            </w:r>
          </w:p>
        </w:tc>
        <w:tc>
          <w:tcPr>
            <w:tcW w:w="346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color w:val="auto"/>
              </w:rPr>
              <w:t>53-0182885</w:t>
            </w:r>
          </w:p>
        </w:tc>
      </w:tr>
      <w:tr>
        <w:trPr>
          <w:trHeight w:val="280"/>
        </w:trPr>
        <w:tc>
          <w:tcPr>
            <w:tcW w:w="4160" w:type="dxa"/>
            <w:vAlign w:val="bottom"/>
          </w:tcPr>
          <w:p>
            <w:pPr>
              <w:jc w:val="center"/>
              <w:spacing w:after="0"/>
              <w:rPr>
                <w:sz w:val="20"/>
                <w:szCs w:val="20"/>
                <w:color w:val="auto"/>
              </w:rPr>
            </w:pPr>
            <w:r>
              <w:rPr>
                <w:rFonts w:ascii="Arial" w:cs="Arial" w:eastAsia="Arial" w:hAnsi="Arial"/>
                <w:sz w:val="22"/>
                <w:szCs w:val="22"/>
                <w:color w:val="auto"/>
                <w:w w:val="90"/>
              </w:rPr>
              <w:t>(State or other jurisdiction</w:t>
            </w:r>
          </w:p>
        </w:tc>
        <w:tc>
          <w:tcPr>
            <w:tcW w:w="3620" w:type="dxa"/>
            <w:vAlign w:val="bottom"/>
          </w:tcPr>
          <w:p>
            <w:pPr>
              <w:jc w:val="center"/>
              <w:spacing w:after="0"/>
              <w:rPr>
                <w:sz w:val="20"/>
                <w:szCs w:val="20"/>
                <w:color w:val="auto"/>
              </w:rPr>
            </w:pPr>
            <w:r>
              <w:rPr>
                <w:rFonts w:ascii="Arial" w:cs="Arial" w:eastAsia="Arial" w:hAnsi="Arial"/>
                <w:sz w:val="22"/>
                <w:szCs w:val="22"/>
                <w:color w:val="auto"/>
                <w:w w:val="90"/>
              </w:rPr>
              <w:t>(Commission</w:t>
            </w:r>
          </w:p>
        </w:tc>
        <w:tc>
          <w:tcPr>
            <w:tcW w:w="3460" w:type="dxa"/>
            <w:vAlign w:val="bottom"/>
          </w:tcPr>
          <w:p>
            <w:pPr>
              <w:jc w:val="center"/>
              <w:spacing w:after="0"/>
              <w:rPr>
                <w:sz w:val="20"/>
                <w:szCs w:val="20"/>
                <w:color w:val="auto"/>
              </w:rPr>
            </w:pPr>
            <w:r>
              <w:rPr>
                <w:rFonts w:ascii="Arial" w:cs="Arial" w:eastAsia="Arial" w:hAnsi="Arial"/>
                <w:sz w:val="22"/>
                <w:szCs w:val="22"/>
                <w:color w:val="auto"/>
                <w:w w:val="92"/>
              </w:rPr>
              <w:t>(IRS Employer</w:t>
            </w:r>
          </w:p>
        </w:tc>
      </w:tr>
      <w:tr>
        <w:trPr>
          <w:trHeight w:val="297"/>
        </w:trPr>
        <w:tc>
          <w:tcPr>
            <w:tcW w:w="4160" w:type="dxa"/>
            <w:vAlign w:val="bottom"/>
          </w:tcPr>
          <w:p>
            <w:pPr>
              <w:jc w:val="center"/>
              <w:spacing w:after="0"/>
              <w:rPr>
                <w:sz w:val="20"/>
                <w:szCs w:val="20"/>
                <w:color w:val="auto"/>
              </w:rPr>
            </w:pPr>
            <w:r>
              <w:rPr>
                <w:rFonts w:ascii="Arial" w:cs="Arial" w:eastAsia="Arial" w:hAnsi="Arial"/>
                <w:sz w:val="22"/>
                <w:szCs w:val="22"/>
                <w:color w:val="auto"/>
                <w:w w:val="91"/>
              </w:rPr>
              <w:t>of incorporation or organization)</w:t>
            </w:r>
          </w:p>
        </w:tc>
        <w:tc>
          <w:tcPr>
            <w:tcW w:w="3620" w:type="dxa"/>
            <w:vAlign w:val="bottom"/>
          </w:tcPr>
          <w:p>
            <w:pPr>
              <w:jc w:val="center"/>
              <w:spacing w:after="0"/>
              <w:rPr>
                <w:sz w:val="20"/>
                <w:szCs w:val="20"/>
                <w:color w:val="auto"/>
              </w:rPr>
            </w:pPr>
            <w:r>
              <w:rPr>
                <w:rFonts w:ascii="Arial" w:cs="Arial" w:eastAsia="Arial" w:hAnsi="Arial"/>
                <w:sz w:val="22"/>
                <w:szCs w:val="22"/>
                <w:color w:val="auto"/>
                <w:w w:val="91"/>
              </w:rPr>
              <w:t>File Number)</w:t>
            </w:r>
          </w:p>
        </w:tc>
        <w:tc>
          <w:tcPr>
            <w:tcW w:w="3460" w:type="dxa"/>
            <w:vAlign w:val="bottom"/>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658"/>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1300 North 17th St., Arlington, VA</w:t>
            </w:r>
          </w:p>
        </w:tc>
        <w:tc>
          <w:tcPr>
            <w:tcW w:w="3620" w:type="dxa"/>
            <w:vAlign w:val="bottom"/>
          </w:tcPr>
          <w:p>
            <w:pPr>
              <w:spacing w:after="0"/>
              <w:rPr>
                <w:sz w:val="24"/>
                <w:szCs w:val="24"/>
                <w:color w:val="auto"/>
              </w:rPr>
            </w:pPr>
          </w:p>
        </w:tc>
        <w:tc>
          <w:tcPr>
            <w:tcW w:w="3460" w:type="dxa"/>
            <w:vAlign w:val="bottom"/>
            <w:tcBorders>
              <w:bottom w:val="single" w:sz="8" w:color="auto"/>
            </w:tcBorders>
          </w:tcPr>
          <w:p>
            <w:pPr>
              <w:jc w:val="right"/>
              <w:ind w:right="1332"/>
              <w:spacing w:after="0"/>
              <w:rPr>
                <w:sz w:val="20"/>
                <w:szCs w:val="20"/>
                <w:color w:val="auto"/>
              </w:rPr>
            </w:pPr>
            <w:r>
              <w:rPr>
                <w:rFonts w:ascii="Arial" w:cs="Arial" w:eastAsia="Arial" w:hAnsi="Arial"/>
                <w:sz w:val="22"/>
                <w:szCs w:val="22"/>
                <w:color w:val="auto"/>
              </w:rPr>
              <w:t>22209</w:t>
            </w:r>
          </w:p>
        </w:tc>
      </w:tr>
      <w:tr>
        <w:trPr>
          <w:trHeight w:val="280"/>
        </w:trPr>
        <w:tc>
          <w:tcPr>
            <w:tcW w:w="4160" w:type="dxa"/>
            <w:vAlign w:val="bottom"/>
          </w:tcPr>
          <w:p>
            <w:pPr>
              <w:jc w:val="center"/>
              <w:spacing w:after="0"/>
              <w:rPr>
                <w:sz w:val="20"/>
                <w:szCs w:val="20"/>
                <w:color w:val="auto"/>
              </w:rPr>
            </w:pPr>
            <w:r>
              <w:rPr>
                <w:rFonts w:ascii="Arial" w:cs="Arial" w:eastAsia="Arial" w:hAnsi="Arial"/>
                <w:sz w:val="22"/>
                <w:szCs w:val="22"/>
                <w:color w:val="auto"/>
                <w:w w:val="91"/>
              </w:rPr>
              <w:t>(Address of principal executive offices)</w:t>
            </w:r>
          </w:p>
        </w:tc>
        <w:tc>
          <w:tcPr>
            <w:tcW w:w="36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22"/>
                <w:szCs w:val="22"/>
                <w:color w:val="auto"/>
                <w:w w:val="92"/>
              </w:rPr>
              <w:t>(Zip code)</w:t>
            </w:r>
          </w:p>
        </w:tc>
      </w:tr>
    </w:tbl>
    <w:p>
      <w:pPr>
        <w:spacing w:after="0" w:line="374"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Nicole Maddrey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24130</wp:posOffset>
            </wp:positionV>
            <wp:extent cx="2288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4" w:lineRule="exact"/>
        <w:rPr>
          <w:sz w:val="24"/>
          <w:szCs w:val="24"/>
          <w:color w:val="auto"/>
        </w:rPr>
      </w:pPr>
    </w:p>
    <w:p>
      <w:pPr>
        <w:ind w:left="1060"/>
        <w:spacing w:after="0"/>
        <w:rPr>
          <w:sz w:val="20"/>
          <w:szCs w:val="20"/>
          <w:color w:val="auto"/>
        </w:rPr>
      </w:pPr>
      <w:r>
        <w:rPr>
          <w:rFonts w:ascii="Arial" w:cs="Arial" w:eastAsia="Arial" w:hAnsi="Arial"/>
          <w:sz w:val="21"/>
          <w:szCs w:val="2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480"/>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15" w:lineRule="exact"/>
        <w:rPr>
          <w:sz w:val="24"/>
          <w:szCs w:val="24"/>
          <w:color w:val="auto"/>
        </w:rPr>
      </w:pPr>
    </w:p>
    <w:p>
      <w:pPr>
        <w:ind w:right="140" w:firstLine="8"/>
        <w:spacing w:after="0" w:line="263" w:lineRule="auto"/>
        <w:tabs>
          <w:tab w:leader="none" w:pos="354"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13p-1 under the Securities Exchange Act (17 CFR 240.13p-1) for the reporting period from January 1 to December 31, 2019.</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66" w:lineRule="exact"/>
        <w:rPr>
          <w:sz w:val="20"/>
          <w:szCs w:val="20"/>
          <w:color w:val="auto"/>
        </w:rPr>
      </w:pPr>
    </w:p>
    <w:p>
      <w:pPr>
        <w:ind w:right="3400"/>
        <w:spacing w:after="0" w:line="263" w:lineRule="auto"/>
        <w:rPr>
          <w:sz w:val="20"/>
          <w:szCs w:val="20"/>
          <w:color w:val="auto"/>
        </w:rPr>
      </w:pPr>
      <w:r>
        <w:rPr>
          <w:rFonts w:ascii="Arial" w:cs="Arial" w:eastAsia="Arial" w:hAnsi="Arial"/>
          <w:sz w:val="22"/>
          <w:szCs w:val="22"/>
          <w:color w:val="auto"/>
        </w:rPr>
        <w:t>A copy of our Conflict Minerals Report is filed as Exhibit 1.01 and is publicly available at http://www.ghco.com/phoenix.zhtml?c=62487&amp;p=irol-sec</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680" w:type="dxa"/>
        <w:tblCellMar>
          <w:top w:w="0" w:type="dxa"/>
          <w:left w:w="0" w:type="dxa"/>
          <w:bottom w:w="0" w:type="dxa"/>
          <w:right w:w="0" w:type="dxa"/>
        </w:tblCellMar>
      </w:tblPr>
      <w:tr>
        <w:trPr>
          <w:trHeight w:val="285"/>
        </w:trPr>
        <w:tc>
          <w:tcPr>
            <w:tcW w:w="18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Designation</w:t>
            </w:r>
          </w:p>
        </w:tc>
        <w:tc>
          <w:tcPr>
            <w:tcW w:w="3580" w:type="dxa"/>
            <w:vAlign w:val="bottom"/>
            <w:tcBorders>
              <w:bottom w:val="single" w:sz="8" w:color="auto"/>
            </w:tcBorders>
          </w:tcPr>
          <w:p>
            <w:pPr>
              <w:ind w:left="660"/>
              <w:spacing w:after="0"/>
              <w:rPr>
                <w:sz w:val="20"/>
                <w:szCs w:val="20"/>
                <w:color w:val="auto"/>
              </w:rPr>
            </w:pPr>
            <w:r>
              <w:rPr>
                <w:rFonts w:ascii="Arial" w:cs="Arial" w:eastAsia="Arial" w:hAnsi="Arial"/>
                <w:sz w:val="22"/>
                <w:szCs w:val="22"/>
                <w:color w:val="auto"/>
              </w:rPr>
              <w:t>Description</w:t>
            </w:r>
          </w:p>
        </w:tc>
        <w:tc>
          <w:tcPr>
            <w:tcW w:w="4520" w:type="dxa"/>
            <w:vAlign w:val="bottom"/>
            <w:tcBorders>
              <w:bottom w:val="single" w:sz="8" w:color="auto"/>
            </w:tcBorders>
          </w:tcPr>
          <w:p>
            <w:pPr>
              <w:ind w:left="740"/>
              <w:spacing w:after="0"/>
              <w:rPr>
                <w:sz w:val="20"/>
                <w:szCs w:val="20"/>
                <w:color w:val="auto"/>
              </w:rPr>
            </w:pPr>
            <w:r>
              <w:rPr>
                <w:rFonts w:ascii="Arial" w:cs="Arial" w:eastAsia="Arial" w:hAnsi="Arial"/>
                <w:sz w:val="22"/>
                <w:szCs w:val="22"/>
                <w:color w:val="auto"/>
              </w:rPr>
              <w:t>Method of Filing</w:t>
            </w:r>
          </w:p>
        </w:tc>
      </w:tr>
      <w:tr>
        <w:trPr>
          <w:trHeight w:val="280"/>
        </w:trPr>
        <w:tc>
          <w:tcPr>
            <w:tcW w:w="1800" w:type="dxa"/>
            <w:vAlign w:val="bottom"/>
          </w:tcPr>
          <w:p>
            <w:pPr>
              <w:ind w:left="80"/>
              <w:spacing w:after="0"/>
              <w:rPr>
                <w:sz w:val="20"/>
                <w:szCs w:val="20"/>
                <w:color w:val="auto"/>
              </w:rPr>
            </w:pPr>
            <w:r>
              <w:rPr>
                <w:rFonts w:ascii="Arial" w:cs="Arial" w:eastAsia="Arial" w:hAnsi="Arial"/>
                <w:sz w:val="22"/>
                <w:szCs w:val="22"/>
                <w:color w:val="auto"/>
              </w:rPr>
              <w:t>Exhibit 1.01</w:t>
            </w:r>
          </w:p>
        </w:tc>
        <w:tc>
          <w:tcPr>
            <w:tcW w:w="3580" w:type="dxa"/>
            <w:vAlign w:val="bottom"/>
          </w:tcPr>
          <w:p>
            <w:pPr>
              <w:ind w:left="660"/>
              <w:spacing w:after="0"/>
              <w:rPr>
                <w:sz w:val="20"/>
                <w:szCs w:val="20"/>
                <w:color w:val="auto"/>
              </w:rPr>
            </w:pPr>
            <w:r>
              <w:rPr>
                <w:rFonts w:ascii="Arial" w:cs="Arial" w:eastAsia="Arial" w:hAnsi="Arial"/>
                <w:sz w:val="22"/>
                <w:szCs w:val="22"/>
                <w:color w:val="auto"/>
              </w:rPr>
              <w:t>Conflict Minerals Report</w:t>
            </w:r>
          </w:p>
        </w:tc>
        <w:tc>
          <w:tcPr>
            <w:tcW w:w="4520" w:type="dxa"/>
            <w:vAlign w:val="bottom"/>
          </w:tcPr>
          <w:p>
            <w:pPr>
              <w:ind w:left="740"/>
              <w:spacing w:after="0"/>
              <w:rPr>
                <w:sz w:val="20"/>
                <w:szCs w:val="20"/>
                <w:color w:val="auto"/>
              </w:rPr>
            </w:pPr>
            <w:r>
              <w:rPr>
                <w:rFonts w:ascii="Arial" w:cs="Arial" w:eastAsia="Arial" w:hAnsi="Arial"/>
                <w:sz w:val="22"/>
                <w:szCs w:val="22"/>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98"/>
        </w:trPr>
        <w:tc>
          <w:tcPr>
            <w:tcW w:w="80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Nicole Maddrey</w:t>
            </w:r>
          </w:p>
        </w:tc>
        <w:tc>
          <w:tcPr>
            <w:tcW w:w="3160" w:type="dxa"/>
            <w:vAlign w:val="bottom"/>
            <w:tcBorders>
              <w:bottom w:val="single" w:sz="8" w:color="auto"/>
            </w:tcBorders>
          </w:tcPr>
          <w:p>
            <w:pPr>
              <w:jc w:val="right"/>
              <w:ind w:right="692"/>
              <w:spacing w:after="0"/>
              <w:rPr>
                <w:sz w:val="20"/>
                <w:szCs w:val="20"/>
                <w:color w:val="auto"/>
              </w:rPr>
            </w:pPr>
            <w:r>
              <w:rPr>
                <w:rFonts w:ascii="Arial" w:cs="Arial" w:eastAsia="Arial" w:hAnsi="Arial"/>
                <w:sz w:val="22"/>
                <w:szCs w:val="22"/>
                <w:color w:val="auto"/>
              </w:rPr>
              <w:t>5/29/2020</w:t>
            </w:r>
          </w:p>
        </w:tc>
      </w:tr>
      <w:tr>
        <w:trPr>
          <w:trHeight w:val="280"/>
        </w:trPr>
        <w:tc>
          <w:tcPr>
            <w:tcW w:w="8040" w:type="dxa"/>
            <w:vAlign w:val="bottom"/>
          </w:tcPr>
          <w:p>
            <w:pPr>
              <w:ind w:left="80"/>
              <w:spacing w:after="0"/>
              <w:rPr>
                <w:sz w:val="20"/>
                <w:szCs w:val="20"/>
                <w:color w:val="auto"/>
              </w:rPr>
            </w:pPr>
            <w:r>
              <w:rPr>
                <w:rFonts w:ascii="Arial" w:cs="Arial" w:eastAsia="Arial" w:hAnsi="Arial"/>
                <w:sz w:val="22"/>
                <w:szCs w:val="22"/>
                <w:color w:val="auto"/>
              </w:rPr>
              <w:t>By Nicole Maddrey, Senior Vice President, General Counsel and Secretary</w:t>
            </w:r>
          </w:p>
        </w:tc>
        <w:tc>
          <w:tcPr>
            <w:tcW w:w="3160" w:type="dxa"/>
            <w:vAlign w:val="bottom"/>
          </w:tcPr>
          <w:p>
            <w:pPr>
              <w:jc w:val="center"/>
              <w:ind w:left="572"/>
              <w:spacing w:after="0"/>
              <w:rPr>
                <w:sz w:val="20"/>
                <w:szCs w:val="20"/>
                <w:color w:val="auto"/>
              </w:rPr>
            </w:pPr>
            <w:r>
              <w:rPr>
                <w:rFonts w:ascii="Arial" w:cs="Arial" w:eastAsia="Arial" w:hAnsi="Arial"/>
                <w:sz w:val="22"/>
                <w:szCs w:val="22"/>
                <w:color w:val="auto"/>
                <w:w w:val="91"/>
              </w:rPr>
              <w:t>(Date)</w:t>
            </w:r>
          </w:p>
        </w:tc>
      </w:tr>
    </w:tbl>
    <w:p>
      <w:pPr>
        <w:sectPr>
          <w:pgSz w:w="11900" w:h="16838" w:orient="portrait"/>
          <w:cols w:equalWidth="0" w:num="1">
            <w:col w:w="11220"/>
          </w:cols>
          <w:pgMar w:left="320" w:top="598" w:right="359" w:bottom="1440" w:gutter="0" w:footer="0" w:header="0"/>
        </w:sectPr>
      </w:pPr>
    </w:p>
    <w:bookmarkStart w:id="2" w:name="page3"/>
    <w:bookmarkEnd w:id="2"/>
    <w:p>
      <w:pPr>
        <w:ind w:left="143"/>
        <w:spacing w:after="0"/>
        <w:rPr>
          <w:sz w:val="20"/>
          <w:szCs w:val="20"/>
          <w:color w:val="auto"/>
        </w:rPr>
      </w:pPr>
      <w:r>
        <w:rPr>
          <w:rFonts w:ascii="Arial" w:cs="Arial" w:eastAsia="Arial" w:hAnsi="Arial"/>
          <w:sz w:val="22"/>
          <w:szCs w:val="22"/>
          <w:b w:val="1"/>
          <w:bCs w:val="1"/>
          <w:color w:val="auto"/>
        </w:rPr>
        <w:t>Exhibit 1.01 - Graham Holdings Company Conflict Minerals Report</w:t>
      </w:r>
    </w:p>
    <w:p>
      <w:pPr>
        <w:spacing w:after="0" w:line="200" w:lineRule="exact"/>
        <w:rPr>
          <w:sz w:val="20"/>
          <w:szCs w:val="20"/>
          <w:color w:val="auto"/>
        </w:rPr>
      </w:pPr>
    </w:p>
    <w:p>
      <w:pPr>
        <w:spacing w:after="0" w:line="249" w:lineRule="exact"/>
        <w:rPr>
          <w:sz w:val="20"/>
          <w:szCs w:val="20"/>
          <w:color w:val="auto"/>
        </w:rPr>
      </w:pPr>
    </w:p>
    <w:p>
      <w:pPr>
        <w:ind w:left="423" w:hanging="423"/>
        <w:spacing w:after="0"/>
        <w:tabs>
          <w:tab w:leader="none" w:pos="423"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37" w:lineRule="exact"/>
        <w:rPr>
          <w:sz w:val="20"/>
          <w:szCs w:val="20"/>
          <w:color w:val="auto"/>
        </w:rPr>
      </w:pPr>
    </w:p>
    <w:p>
      <w:pPr>
        <w:ind w:left="143"/>
        <w:spacing w:after="0" w:line="287" w:lineRule="auto"/>
        <w:rPr>
          <w:sz w:val="20"/>
          <w:szCs w:val="20"/>
          <w:color w:val="auto"/>
        </w:rPr>
      </w:pPr>
      <w:r>
        <w:rPr>
          <w:rFonts w:ascii="Arial" w:cs="Arial" w:eastAsia="Arial" w:hAnsi="Arial"/>
          <w:sz w:val="19"/>
          <w:szCs w:val="19"/>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the Company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157" w:lineRule="exact"/>
        <w:rPr>
          <w:sz w:val="20"/>
          <w:szCs w:val="20"/>
          <w:color w:val="auto"/>
        </w:rPr>
      </w:pPr>
    </w:p>
    <w:p>
      <w:pPr>
        <w:ind w:left="143"/>
        <w:spacing w:after="0"/>
        <w:rPr>
          <w:sz w:val="20"/>
          <w:szCs w:val="20"/>
          <w:color w:val="auto"/>
        </w:rPr>
      </w:pPr>
      <w:r>
        <w:rPr>
          <w:rFonts w:ascii="Arial" w:cs="Arial" w:eastAsia="Arial" w:hAnsi="Arial"/>
          <w:sz w:val="22"/>
          <w:szCs w:val="22"/>
          <w:b w:val="1"/>
          <w:bCs w:val="1"/>
          <w:color w:val="auto"/>
        </w:rPr>
        <w:t>2. Company and Products Overview</w:t>
      </w:r>
    </w:p>
    <w:p>
      <w:pPr>
        <w:spacing w:after="0" w:line="226" w:lineRule="exact"/>
        <w:rPr>
          <w:sz w:val="20"/>
          <w:szCs w:val="20"/>
          <w:color w:val="auto"/>
        </w:rPr>
      </w:pPr>
    </w:p>
    <w:p>
      <w:pPr>
        <w:ind w:left="143"/>
        <w:spacing w:after="0" w:line="288" w:lineRule="auto"/>
        <w:rPr>
          <w:sz w:val="20"/>
          <w:szCs w:val="20"/>
          <w:color w:val="auto"/>
        </w:rPr>
      </w:pPr>
      <w:r>
        <w:rPr>
          <w:rFonts w:ascii="Arial" w:cs="Arial" w:eastAsia="Arial" w:hAnsi="Arial"/>
          <w:sz w:val="19"/>
          <w:szCs w:val="19"/>
          <w:color w:val="auto"/>
        </w:rPr>
        <w:t>This Conflict Minerals Report (the “Report”) for the year ended December 31, 2019, is presented by Graham Holdings Company (the “Company”) to comply with Rule 13p-1 under the Securities Exchange Act of 1934 (the “Conflict Minerals Rule”). The Company is a diversified education and media company, whose principal operations include educational services, television broadcasting, and online, print and local TV news; home health and hospice care and manufacturing. The Company’s manufacturing companies, include Group Dekko Corporation (“Dekko”), Forney Corporation (“Forney”) and Joyce/Dayton Corp (“Joyce”).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w:t>
      </w:r>
    </w:p>
    <w:p>
      <w:pPr>
        <w:spacing w:after="0" w:line="159" w:lineRule="exact"/>
        <w:rPr>
          <w:sz w:val="20"/>
          <w:szCs w:val="20"/>
          <w:color w:val="auto"/>
        </w:rPr>
      </w:pPr>
    </w:p>
    <w:p>
      <w:pPr>
        <w:ind w:left="143" w:right="100"/>
        <w:spacing w:after="0" w:line="297" w:lineRule="auto"/>
        <w:rPr>
          <w:sz w:val="20"/>
          <w:szCs w:val="20"/>
          <w:color w:val="auto"/>
        </w:rPr>
      </w:pPr>
      <w:r>
        <w:rPr>
          <w:rFonts w:ascii="Arial" w:cs="Arial" w:eastAsia="Arial" w:hAnsi="Arial"/>
          <w:sz w:val="19"/>
          <w:szCs w:val="19"/>
          <w:color w:val="auto"/>
        </w:rPr>
        <w:t>The Company has reviewed its operations to determine which parts of its business may be subject to the disclosure requirements under the Dodd-Frank Act of 2010 which requires public companies to disclose measures they have taken to identify the source of “conflict minerals” in the products they manufacture or contract to manufacture. The Company did not include products that were not entered into the stream of commerce in the calendar year ended December 31, 2019, or some products manufactured or contracted to be manufactured by entities acquired by the Company after April 2018.</w:t>
      </w:r>
    </w:p>
    <w:p>
      <w:pPr>
        <w:spacing w:after="0" w:line="147" w:lineRule="exact"/>
        <w:rPr>
          <w:sz w:val="20"/>
          <w:szCs w:val="20"/>
          <w:color w:val="auto"/>
        </w:rPr>
      </w:pPr>
    </w:p>
    <w:p>
      <w:pPr>
        <w:ind w:left="143" w:right="620"/>
        <w:spacing w:after="0" w:line="263" w:lineRule="auto"/>
        <w:rPr>
          <w:sz w:val="20"/>
          <w:szCs w:val="20"/>
          <w:color w:val="auto"/>
        </w:rPr>
      </w:pPr>
      <w:r>
        <w:rPr>
          <w:rFonts w:ascii="Arial" w:cs="Arial" w:eastAsia="Arial" w:hAnsi="Arial"/>
          <w:sz w:val="22"/>
          <w:szCs w:val="22"/>
          <w:color w:val="auto"/>
        </w:rPr>
        <w:t>Dekko, Forney and Joyce manufacture products that contain small amounts of 3TG metals. These products incorporate generic components obtained from other companies that contain</w:t>
      </w:r>
    </w:p>
    <w:p>
      <w:pPr>
        <w:sectPr>
          <w:pgSz w:w="11900" w:h="16838" w:orient="portrait"/>
          <w:cols w:equalWidth="0" w:num="1">
            <w:col w:w="11023"/>
          </w:cols>
          <w:pgMar w:left="517" w:top="990" w:right="359" w:bottom="1440" w:gutter="0" w:footer="0" w:header="0"/>
        </w:sectPr>
      </w:pPr>
    </w:p>
    <w:bookmarkStart w:id="3" w:name="page4"/>
    <w:bookmarkEnd w:id="3"/>
    <w:p>
      <w:pPr>
        <w:ind w:right="60"/>
        <w:spacing w:after="0" w:line="271" w:lineRule="auto"/>
        <w:rPr>
          <w:sz w:val="20"/>
          <w:szCs w:val="20"/>
          <w:color w:val="auto"/>
        </w:rPr>
      </w:pPr>
      <w:r>
        <w:rPr>
          <w:rFonts w:ascii="Arial" w:cs="Arial" w:eastAsia="Arial" w:hAnsi="Arial"/>
          <w:sz w:val="21"/>
          <w:szCs w:val="21"/>
          <w:color w:val="auto"/>
        </w:rPr>
        <w:t>tantalum, tin, tungsten and gold. The 3TG in these generic components are necessary to the functionality of Dekko’s, Forney’s and Joyce’s products. These generic components are purchased from manufacturers and distributors. Dekko, Forney and Joyce do not purchase any 3TG metals directly from mines, smelters or refiners.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portion of the procured components and materials within Dekko power distribution products, lighting products, wire harnesses and electro-mechanical assemblies contain gold and tin used as an electrically conductive plating (including electrical wire and cable (tin), plated terminals within purchased connector assemblies (tin and gold) and tin 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contain tungsten (products utilizing incandescent or fluorescent lamp technologies); the steel in some purchased products may also contain tungsten as an alloying element. Printed circuit board assemblies subcontracted by Dekko for inclusion in their products and utilizing certain capacitors may contain tantalum. Forney’s products that contain gold and tin are Printed Circuit Boards (“PCBs”) and connectors; Forney’s products that contain tantalum are capacitors; Forney’s products that contain tungsten are electrical materials such as resistors. Joyce’s products that contain gold and tin are electrical wiring, name plates, castings and covers; products that contain tantalum are screws and nuts.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Supply Chain Overview</w:t>
      </w:r>
    </w:p>
    <w:p>
      <w:pPr>
        <w:spacing w:after="0" w:line="226"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 in components supplied to them, including sources of 3TG that are supplied to them from lower tier suppliers. See section Section 4.1 below.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 Conflict Minerals Policy</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Dekko, Forney and Joyce adopted the following Conflict Minerals Policy (the “Policy”) that is available on Forney’s website at http://forneycorp.com/conflict-minerals-policy and on Joyce’s website at http://joycedayton.com/about-us/certifications and on Dekko’s website at http://www.dekko.com/capabilities/#_tab4.</w:t>
      </w:r>
    </w:p>
    <w:p>
      <w:pPr>
        <w:spacing w:after="0" w:line="167" w:lineRule="exact"/>
        <w:rPr>
          <w:sz w:val="20"/>
          <w:szCs w:val="20"/>
          <w:color w:val="auto"/>
        </w:rPr>
      </w:pPr>
    </w:p>
    <w:p>
      <w:pPr>
        <w:ind w:right="120"/>
        <w:spacing w:after="0" w:line="288" w:lineRule="auto"/>
        <w:rPr>
          <w:sz w:val="20"/>
          <w:szCs w:val="20"/>
          <w:color w:val="auto"/>
        </w:rPr>
      </w:pPr>
      <w:r>
        <w:rPr>
          <w:rFonts w:ascii="Arial" w:cs="Arial" w:eastAsia="Arial" w:hAnsi="Arial"/>
          <w:sz w:val="19"/>
          <w:szCs w:val="19"/>
          <w:color w:val="auto"/>
        </w:rPr>
        <w:t>The Company is committed to the responsible sourcing of “conflict minerals” throughout its supply chain for products that it manufactures that contain these minerals. Under the Conflict Minerals Rule,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 “Conflict minerals” are four specific minerals and their derivatives: columbite-tantalite (the metal ore from which tantalum is extracted), cassiterite (the metal ore from which tin is extracted), wolframite (the metal ore from which tungsten is extracted), and gold. The Company has policies and systems in place to reduce the risk that the minerals used in any of its products originate from conflict mines in the DRC. It is committed to strengthening its efforts to ensure that it refrains from, directly or indirectly, taking or supporting any action that contributes to the financing of armed groups that are committing human rights abuses in the DRC and other covered countries.</w:t>
      </w:r>
    </w:p>
    <w:p>
      <w:pPr>
        <w:sectPr>
          <w:pgSz w:w="11900" w:h="16838" w:orient="portrait"/>
          <w:cols w:equalWidth="0" w:num="1">
            <w:col w:w="10900"/>
          </w:cols>
          <w:pgMar w:left="660" w:top="564" w:right="339" w:bottom="1440" w:gutter="0" w:footer="0" w:header="0"/>
        </w:sectPr>
      </w:pPr>
    </w:p>
    <w:bookmarkStart w:id="4" w:name="page5"/>
    <w:bookmarkEnd w:id="4"/>
    <w:p>
      <w:pPr>
        <w:ind w:left="208" w:hanging="208"/>
        <w:spacing w:after="0"/>
        <w:tabs>
          <w:tab w:leader="none" w:pos="20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Reasonable Country of Origin Inquiry (“RCOI”)</w:t>
      </w:r>
    </w:p>
    <w:p>
      <w:pPr>
        <w:spacing w:after="0" w:line="219" w:lineRule="exact"/>
        <w:rPr>
          <w:rFonts w:ascii="Arial" w:cs="Arial" w:eastAsia="Arial" w:hAnsi="Arial"/>
          <w:sz w:val="22"/>
          <w:szCs w:val="22"/>
          <w:b w:val="1"/>
          <w:bCs w:val="1"/>
          <w:color w:val="auto"/>
        </w:rPr>
      </w:pPr>
    </w:p>
    <w:p>
      <w:pPr>
        <w:ind w:left="8"/>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4.1 Requests for Information and Survey Responses</w:t>
      </w:r>
    </w:p>
    <w:p>
      <w:pPr>
        <w:spacing w:after="0" w:line="226" w:lineRule="exact"/>
        <w:rPr>
          <w:sz w:val="20"/>
          <w:szCs w:val="20"/>
          <w:color w:val="auto"/>
        </w:rPr>
      </w:pPr>
    </w:p>
    <w:p>
      <w:pPr>
        <w:ind w:left="8"/>
        <w:spacing w:after="0" w:line="285" w:lineRule="auto"/>
        <w:rPr>
          <w:sz w:val="20"/>
          <w:szCs w:val="20"/>
          <w:color w:val="auto"/>
        </w:rPr>
      </w:pPr>
      <w:r>
        <w:rPr>
          <w:rFonts w:ascii="Arial" w:cs="Arial" w:eastAsia="Arial" w:hAnsi="Arial"/>
          <w:sz w:val="19"/>
          <w:szCs w:val="19"/>
          <w:color w:val="auto"/>
        </w:rPr>
        <w:t>Dekko, Forney and Joyce conducted reasonable country of origin inquiries that were reasonably designed to determine whether any 3TG necessary to the functionality or production of any of their products originated in the Covered Countries or are from recycled or scrap sources. The Company does not source 3TG metals directly from mines, smelters or refiners and are therefore several levels removed from them. As a result, it relies on the cooperation of its suppliers in the implementation of its conflict minerals policies and the provision of information on the origin of the 3TG contained in the products that they supply to the Company. Dekko, Forney and Joyce undertook an investigation of their suppliers of the generic components to determine the sources of the minerals incorporated into those components. Steps undertaken to determine sourcing involved reviewing purchase orders, identifying active purchased SKUs, determining 3TG content (if any) for each SKU; identifying applicable supplier(s) for each 3TG SKU (direct supplier); identifying the manufacturer (OEM) for each SKU (indirect 3TG supplier); providing suppliers with a “Conflict Mineral Reporting Template” (CMRT or the “Template”) developed by the Responsible Minerals Initiative (“RMI”); conducting a due diligence review of responses, including follow-up for clarification, correction or non-responsiveness; validating responses (review of reported smelters/refiners against information the RMI website); and identifying and executing corrective actions, where possible to address any identified smelters of high concern. The Template is designed to provide information concerning the supplier’s policy for the sourcing of 3TG metals, identification of the 3TG metals present in the supplier’s products, the origin of those metals, whether those 3TG metals come from recycled or scrap sources and the supplier’s due diligence regarding conflict-free sourcing practices. A significant number of the Dekko, Forney and Joyce suppliers are distributors and not the actual manufacturer of the components supplied to them. In many cases, these distributors are unable to provide smelter information and direct the requestor to the manufacturer.</w:t>
      </w:r>
    </w:p>
    <w:p>
      <w:pPr>
        <w:spacing w:after="0" w:line="200" w:lineRule="exact"/>
        <w:rPr>
          <w:sz w:val="20"/>
          <w:szCs w:val="20"/>
          <w:color w:val="auto"/>
        </w:rPr>
      </w:pPr>
    </w:p>
    <w:p>
      <w:pPr>
        <w:spacing w:after="0" w:line="219" w:lineRule="exact"/>
        <w:rPr>
          <w:sz w:val="20"/>
          <w:szCs w:val="20"/>
          <w:color w:val="auto"/>
        </w:rPr>
      </w:pPr>
    </w:p>
    <w:p>
      <w:pPr>
        <w:ind w:left="8" w:right="40"/>
        <w:spacing w:after="0" w:line="286" w:lineRule="auto"/>
        <w:rPr>
          <w:sz w:val="20"/>
          <w:szCs w:val="20"/>
          <w:color w:val="auto"/>
        </w:rPr>
      </w:pPr>
      <w:r>
        <w:rPr>
          <w:rFonts w:ascii="Arial" w:cs="Arial" w:eastAsia="Arial" w:hAnsi="Arial"/>
          <w:sz w:val="19"/>
          <w:szCs w:val="19"/>
          <w:color w:val="auto"/>
        </w:rPr>
        <w:t xml:space="preserve">In connection with Dekko’s due diligence efforts, including Dekko’s subsidiary Electri-Cable Assemblies (acquired in September 2016), Dekko reviewed approximately 5,700 purchase SKUs for 3TG content, identifying 129 direct “3TG suppliers” associated with these SKUs for the 2019 RCOI, 40 of which are distributors. Through these 40 distributors, Dekko identified an additional 71 indirect 3TG suppliers (manufacturers) resulting in a total of 200 identified 3TG supply chain entities or 166 (excluding those where applicable manufacturers were identified). Dekko solicited CMRTs from all of these identified indirect suppliers. A total of 347 smelters and refiners were identified within this supply chain as applicable to Dekko through the 3TG content of the products procured from them (confirmed and/or undetermined). A review of the CMRTs revealed that nearly all RMI recognized smelters are </w:t>
      </w:r>
      <w:r>
        <w:rPr>
          <w:rFonts w:ascii="Arial" w:cs="Arial" w:eastAsia="Arial" w:hAnsi="Arial"/>
          <w:sz w:val="19"/>
          <w:szCs w:val="19"/>
          <w:i w:val="1"/>
          <w:iCs w:val="1"/>
          <w:color w:val="auto"/>
        </w:rPr>
        <w:t>potentially</w:t>
      </w:r>
      <w:r>
        <w:rPr>
          <w:rFonts w:ascii="Arial" w:cs="Arial" w:eastAsia="Arial" w:hAnsi="Arial"/>
          <w:sz w:val="19"/>
          <w:szCs w:val="19"/>
          <w:color w:val="auto"/>
        </w:rPr>
        <w:t xml:space="preserve"> engaged within Dekko’s supply chain. With respect to Forney's due diligence measures, it solicited CMRTs from 18 suppliers of the generic components contained in its products and received responses from 14 suppliers. Forney re-engaged with any of the original 18 suppliers that did not respond, whose CMRT’s declaration page reflected a 50% or less manufacturer response rate, or whose CMRT reflected uncertainty as to whether their products were sourced from conflict mines. Eleven of the distributors identified an additional 33 manufacturers or indirect suppliers. Forney reviewed information from its direct and indirect suppliers against publicly available information from the Electronic Component Industry Association. In</w:t>
      </w:r>
    </w:p>
    <w:p>
      <w:pPr>
        <w:sectPr>
          <w:pgSz w:w="11900" w:h="16838" w:orient="portrait"/>
          <w:cols w:equalWidth="0" w:num="1">
            <w:col w:w="10888"/>
          </w:cols>
          <w:pgMar w:left="652" w:top="814" w:right="359" w:bottom="1440" w:gutter="0" w:footer="0" w:header="0"/>
        </w:sectPr>
      </w:pPr>
    </w:p>
    <w:bookmarkStart w:id="5" w:name="page6"/>
    <w:bookmarkEnd w:id="5"/>
    <w:p>
      <w:pPr>
        <w:ind w:left="8" w:right="60"/>
        <w:spacing w:after="0" w:line="265" w:lineRule="auto"/>
        <w:rPr>
          <w:sz w:val="20"/>
          <w:szCs w:val="20"/>
          <w:color w:val="auto"/>
        </w:rPr>
      </w:pPr>
      <w:r>
        <w:rPr>
          <w:rFonts w:ascii="Arial" w:cs="Arial" w:eastAsia="Arial" w:hAnsi="Arial"/>
          <w:sz w:val="21"/>
          <w:szCs w:val="21"/>
          <w:color w:val="auto"/>
        </w:rPr>
        <w:t>connection with Joyce's due diligence, it received responses from all 15 suppliers contacted, all of which responded that no conflict minerals were contained in products that were purchased by Joyce, and one of which identified ten smelters that have been certified as Conflict Free. Forney and Joyce also sought country of origin information directly by reviewing the policies and statements on the manufacturers’ websites addressing Conflict Minerals.</w:t>
      </w:r>
    </w:p>
    <w:p>
      <w:pPr>
        <w:spacing w:after="0" w:line="175" w:lineRule="exact"/>
        <w:rPr>
          <w:sz w:val="20"/>
          <w:szCs w:val="20"/>
          <w:color w:val="auto"/>
        </w:rPr>
      </w:pPr>
    </w:p>
    <w:p>
      <w:pPr>
        <w:ind w:left="8" w:right="260"/>
        <w:spacing w:after="0" w:line="253" w:lineRule="auto"/>
        <w:rPr>
          <w:sz w:val="20"/>
          <w:szCs w:val="20"/>
          <w:color w:val="auto"/>
        </w:rPr>
      </w:pPr>
      <w:r>
        <w:rPr>
          <w:rFonts w:ascii="Arial" w:cs="Arial" w:eastAsia="Arial" w:hAnsi="Arial"/>
          <w:sz w:val="22"/>
          <w:szCs w:val="22"/>
          <w:color w:val="auto"/>
        </w:rPr>
        <w:t>As reported by suppliers, several of the smelters/refiners in their disclosed supply chains geographically source from mines within the defined DRC region: the vast majority of these are RMAP Conformant smelters, indicating sourcing from “conflict-free” mines. See sections 4.2 and 5.4 of this report.</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4.2 RCOI Conclusion</w:t>
      </w:r>
    </w:p>
    <w:p>
      <w:pPr>
        <w:spacing w:after="0" w:line="226" w:lineRule="exact"/>
        <w:rPr>
          <w:sz w:val="20"/>
          <w:szCs w:val="20"/>
          <w:color w:val="auto"/>
        </w:rPr>
      </w:pPr>
    </w:p>
    <w:p>
      <w:pPr>
        <w:jc w:val="both"/>
        <w:ind w:left="8" w:right="180"/>
        <w:spacing w:after="0" w:line="265" w:lineRule="auto"/>
        <w:rPr>
          <w:sz w:val="20"/>
          <w:szCs w:val="20"/>
          <w:color w:val="auto"/>
        </w:rPr>
      </w:pPr>
      <w:r>
        <w:rPr>
          <w:rFonts w:ascii="Arial" w:cs="Arial" w:eastAsia="Arial" w:hAnsi="Arial"/>
          <w:sz w:val="21"/>
          <w:szCs w:val="21"/>
          <w:color w:val="auto"/>
        </w:rPr>
        <w:t>Based on the Company’s reasonable country of origin inquiry, and after exercising due diligence measures that revealed that certain smelters/ refiners are not RMAP conformant, the Company is unable to conclude that none of the Conflict Minerals that are necessary to the functionality or production of the Company’s products originated in the Covered Countries and are unable to conclude that they have not come from recycled or scrap resources.</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5. Due Diligence Program</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5.1 Design of Due Diligence; Conformity to a Recognized Due Diligence Framework</w:t>
      </w:r>
    </w:p>
    <w:p>
      <w:pPr>
        <w:spacing w:after="0" w:line="226" w:lineRule="exact"/>
        <w:rPr>
          <w:sz w:val="20"/>
          <w:szCs w:val="20"/>
          <w:color w:val="auto"/>
        </w:rPr>
      </w:pPr>
    </w:p>
    <w:p>
      <w:pPr>
        <w:ind w:left="8" w:right="100"/>
        <w:spacing w:after="0" w:line="285" w:lineRule="auto"/>
        <w:rPr>
          <w:sz w:val="20"/>
          <w:szCs w:val="20"/>
          <w:color w:val="auto"/>
        </w:rPr>
      </w:pPr>
      <w:r>
        <w:rPr>
          <w:rFonts w:ascii="Arial" w:cs="Arial" w:eastAsia="Arial" w:hAnsi="Arial"/>
          <w:sz w:val="19"/>
          <w:szCs w:val="19"/>
          <w:color w:val="auto"/>
        </w:rPr>
        <w:t>The Company’s due diligence measures have been designed to conform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 diligence design detailed below in Sections 5.2 to 5.6, namely:</w:t>
      </w:r>
    </w:p>
    <w:p>
      <w:pPr>
        <w:spacing w:after="0" w:line="3" w:lineRule="exact"/>
        <w:rPr>
          <w:sz w:val="20"/>
          <w:szCs w:val="20"/>
          <w:color w:val="auto"/>
        </w:rPr>
      </w:pPr>
    </w:p>
    <w:p>
      <w:pPr>
        <w:ind w:left="8" w:hanging="8"/>
        <w:spacing w:after="0" w:line="245" w:lineRule="auto"/>
        <w:tabs>
          <w:tab w:leader="none" w:pos="314" w:val="left"/>
        </w:tabs>
        <w:numPr>
          <w:ilvl w:val="0"/>
          <w:numId w:val="4"/>
        </w:numPr>
        <w:rPr>
          <w:rFonts w:ascii="Arial" w:cs="Arial" w:eastAsia="Arial" w:hAnsi="Arial"/>
          <w:sz w:val="22"/>
          <w:szCs w:val="22"/>
          <w:color w:val="auto"/>
        </w:rPr>
      </w:pPr>
      <w:r>
        <w:rPr>
          <w:rFonts w:ascii="Arial" w:cs="Arial" w:eastAsia="Arial" w:hAnsi="Arial"/>
          <w:sz w:val="22"/>
          <w:szCs w:val="22"/>
          <w:color w:val="auto"/>
        </w:rPr>
        <w:t>establish strong company management systems, (2) identify and assess risks in the supply chain, (3) design and implement a strategy to respond to identified risks, (4) carry out an independent third party audit of smelter/refiner’s due diligence practices, and (5) report on supply chain due diligence.</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5.2 Establish Strong Company Management Systems</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Internal Team</w:t>
      </w:r>
    </w:p>
    <w:p>
      <w:pPr>
        <w:spacing w:after="0" w:line="226" w:lineRule="exact"/>
        <w:rPr>
          <w:sz w:val="20"/>
          <w:szCs w:val="20"/>
          <w:color w:val="auto"/>
        </w:rPr>
      </w:pPr>
    </w:p>
    <w:p>
      <w:pPr>
        <w:ind w:left="8" w:right="160"/>
        <w:spacing w:after="0" w:line="263" w:lineRule="auto"/>
        <w:rPr>
          <w:sz w:val="20"/>
          <w:szCs w:val="20"/>
          <w:color w:val="auto"/>
        </w:rPr>
      </w:pPr>
      <w:r>
        <w:rPr>
          <w:rFonts w:ascii="Arial" w:cs="Arial" w:eastAsia="Arial" w:hAnsi="Arial"/>
          <w:sz w:val="22"/>
          <w:szCs w:val="22"/>
          <w:color w:val="auto"/>
        </w:rPr>
        <w:t>Each of Dekko, Forney and Joyce have established a Conflicts Minerals management system that examines the potential use and source of Conflicts Minerals in product offerings.</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Conflict Minerals Policy</w:t>
      </w:r>
    </w:p>
    <w:p>
      <w:pPr>
        <w:spacing w:after="0" w:line="226" w:lineRule="exact"/>
        <w:rPr>
          <w:sz w:val="20"/>
          <w:szCs w:val="20"/>
          <w:color w:val="auto"/>
        </w:rPr>
      </w:pPr>
    </w:p>
    <w:p>
      <w:pPr>
        <w:ind w:left="8" w:right="80"/>
        <w:spacing w:after="0" w:line="246" w:lineRule="auto"/>
        <w:rPr>
          <w:sz w:val="20"/>
          <w:szCs w:val="20"/>
          <w:color w:val="auto"/>
        </w:rPr>
      </w:pPr>
      <w:r>
        <w:rPr>
          <w:rFonts w:ascii="Arial" w:cs="Arial" w:eastAsia="Arial" w:hAnsi="Arial"/>
          <w:sz w:val="22"/>
          <w:szCs w:val="22"/>
          <w:color w:val="auto"/>
        </w:rPr>
        <w:t>As noted above, Dekko, Forney and Joyce adopted policies (“The Policy”) which are designed to communicate their commitment to responsible sourcing of Conflict Minerals throughout their supply chain for products that they manufacture. The Policy discusses the fact that they are putting policies and systems into place to reduce the risk that Conflict Minerals used in their products originate in the Covered Countries. The Policy informs suppliers that because they do not source Conflict Minerals directly from miners, smelters or refiners, they will rely on the cooperation of their suppliers in the implementation of their Policy and in enabling them to meet their compliance obligations. The Policy is published on each of their respective</w:t>
      </w:r>
    </w:p>
    <w:p>
      <w:pPr>
        <w:sectPr>
          <w:pgSz w:w="11900" w:h="16838" w:orient="portrait"/>
          <w:cols w:equalWidth="0" w:num="1">
            <w:col w:w="10908"/>
          </w:cols>
          <w:pgMar w:left="652" w:top="56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websites.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5.3 Identify and Assess Risk in the Supply Chain</w:t>
      </w:r>
    </w:p>
    <w:p>
      <w:pPr>
        <w:spacing w:after="0" w:line="26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As described above, Dekko, Forney and Joyce conduct a survey of all of their suppliers using the Template to obtain chain of custody declarations from their suppliers. The Template includes questions on the use and origin of Conflict Minerals in their components, supplier engagement with sub-tier suppliers and smelters and points of origin of the Conflict Minerals. To strengthen engagement with suppliers, these manufacturers added a Conflict Minerals clause to their purchase orders in order to communicate the expectations and requirements regarding the sourcing and disclosure of Conflict Minerals.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5.4 Design and Implement a Strategy to Respond to Identified Risks</w:t>
      </w:r>
    </w:p>
    <w:p>
      <w:pPr>
        <w:spacing w:after="0" w:line="226" w:lineRule="exact"/>
        <w:rPr>
          <w:sz w:val="20"/>
          <w:szCs w:val="20"/>
          <w:color w:val="auto"/>
        </w:rPr>
      </w:pPr>
    </w:p>
    <w:p>
      <w:pPr>
        <w:jc w:val="both"/>
        <w:ind w:right="40"/>
        <w:spacing w:after="0" w:line="312" w:lineRule="auto"/>
        <w:rPr>
          <w:sz w:val="20"/>
          <w:szCs w:val="20"/>
          <w:color w:val="auto"/>
        </w:rPr>
      </w:pPr>
      <w:r>
        <w:rPr>
          <w:rFonts w:ascii="Arial" w:cs="Arial" w:eastAsia="Arial" w:hAnsi="Arial"/>
          <w:sz w:val="19"/>
          <w:szCs w:val="19"/>
          <w:color w:val="auto"/>
        </w:rPr>
        <w:t>Smelter and refiner names provided by the suppliers were confirmed by comparing them to the information contained on the Responsible Minerals Initiative (RMI) website. The Company relies on RMI to determine if smelters and refiners reported by its suppliers are conformant with the Responsible Minerals Assurance Program (RMAP) to validate responsible sourcing.</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5.5 Carry out Independent Third Party Audit of Supply Chain Due Diligence at Identified Points in the Supply Chain</w:t>
      </w:r>
    </w:p>
    <w:p>
      <w:pPr>
        <w:spacing w:after="0" w:line="2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Dekko, Forney and Joyce do not have a direct relationship with smelters or refiners, nor do they perform direct audits of such entities in their supply chain. The Company leverages the audit work conducted by the RMI to comply with the OECD Guidance to conduct independent third-party audits. The RMI uses an independent third-party auditor to identify smelters and refiners that assure sourcing of only conflict-free minerals.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5.6 Report on Supply Chain Due Diligence</w:t>
      </w:r>
    </w:p>
    <w:p>
      <w:pPr>
        <w:spacing w:after="0" w:line="226"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The Company’s Form SD and this Conflict Minerals Report are both available on the Company’s website at www.ghco.com. GHCO will file a Form SD with the Securities and Exchange Commission on an annual basis, pursuant to Rule 13p-1 of the 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Results of Due Diligence Review-Facilities Used to Process the Necessary Conflict Minerals</w:t>
      </w:r>
    </w:p>
    <w:p>
      <w:pPr>
        <w:spacing w:after="0" w:line="22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As discussed above, Dekko, Forney and Joyce solicited all of their applicable (3TG) suppliers to gather information by means of the Template regarding the sourcing of 3TG in the products supplied to them. Based on the information provided by suppliers in the Templates, the smelters used to process necessary conflict minerals include those listed on the attached Schedule 1. With respect to those smelters that were identified by suppliers in their Template, the supplier’s reported validation status was confirmed by comparing it to the information contained on the RMI website. However, because some suppliers did not identify the smelters or refiners used for a particular component or product and because due diligence efforts were unable to identify all such smelters or refiners, the Company is unable to identify with certainty the specific facilities used to process the 3TG in the Company’s products and whether the 3TG in these products is from recycled or scrap sources. As a result, the Company does not have sufficient information to conclusively determine the identity of all of the smelters from which its suppliers source 3TG or the countries of origin of 3TG in the products supplied to to the</w:t>
      </w:r>
    </w:p>
    <w:p>
      <w:pPr>
        <w:sectPr>
          <w:pgSz w:w="11900" w:h="16838" w:orient="portrait"/>
          <w:cols w:equalWidth="0" w:num="1">
            <w:col w:w="10880"/>
          </w:cols>
          <w:pgMar w:left="660" w:top="564" w:right="359" w:bottom="1440" w:gutter="0" w:footer="0" w:header="0"/>
        </w:sectPr>
      </w:pPr>
    </w:p>
    <w:bookmarkStart w:id="7" w:name="page8"/>
    <w:bookmarkEnd w:id="7"/>
    <w:p>
      <w:pPr>
        <w:ind w:right="40"/>
        <w:spacing w:after="0" w:line="343" w:lineRule="auto"/>
        <w:rPr>
          <w:sz w:val="20"/>
          <w:szCs w:val="20"/>
          <w:color w:val="auto"/>
        </w:rPr>
      </w:pPr>
      <w:r>
        <w:rPr>
          <w:rFonts w:ascii="Arial" w:cs="Arial" w:eastAsia="Arial" w:hAnsi="Arial"/>
          <w:sz w:val="19"/>
          <w:szCs w:val="19"/>
          <w:color w:val="auto"/>
        </w:rPr>
        <w:t>Company. As permitted by guidance from the SEC staff, the Company did not conduct an independent private sector audit of its supply chain due diligence but will do so in the future if, and to the extent, required by the SEC’s rules.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Steps to Mitigate Risk and Improve Due Diligence</w:t>
      </w:r>
    </w:p>
    <w:p>
      <w:pPr>
        <w:spacing w:after="0" w:line="226"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 Company will continue working with suppliers to obtain 3TG sourcing information, strengthen procedures to engage with manufacturers and distributors to obtain accurate and complete information about their supply chains and work to increase response rates and the quality of supplier provided smelter lists. Cooperation with respect to 3TG sourcing by the Company’s upstream suppliers, as well as the specification of conflict-free OEM supply sources by customers, will ultimately determine the Company’s ability to mitigate risk, as well as be a factor in awarding future purchases. Dekko, Forney and Joyce will continue to work with suppliers as needed to better communicate the requirements of the Conflicts Mineral Rule and to increase transparency of mineral sourcing.</w:t>
      </w:r>
    </w:p>
    <w:p>
      <w:pPr>
        <w:sectPr>
          <w:pgSz w:w="11900" w:h="16838" w:orient="portrait"/>
          <w:cols w:equalWidth="0" w:num="1">
            <w:col w:w="10840"/>
          </w:cols>
          <w:pgMar w:left="660" w:top="564" w:right="399" w:bottom="1440" w:gutter="0" w:footer="0" w:header="0"/>
        </w:sectPr>
      </w:pPr>
    </w:p>
    <w:bookmarkStart w:id="8" w:name="page9"/>
    <w:bookmarkEnd w:id="8"/>
    <w:p>
      <w:pPr>
        <w:ind w:left="580"/>
        <w:spacing w:after="0"/>
        <w:rPr>
          <w:sz w:val="20"/>
          <w:szCs w:val="20"/>
          <w:color w:val="auto"/>
        </w:rPr>
      </w:pPr>
      <w:r>
        <w:rPr>
          <w:rFonts w:ascii="Arial" w:cs="Arial" w:eastAsia="Arial" w:hAnsi="Arial"/>
          <w:sz w:val="20"/>
          <w:szCs w:val="20"/>
          <w:b w:val="1"/>
          <w:bCs w:val="1"/>
          <w:color w:val="auto"/>
        </w:rPr>
        <w:t>Schedule 1</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Facilities Used to Process Conflict Minerals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3040" w:type="dxa"/>
            <w:vAlign w:val="bottom"/>
            <w:tcBorders>
              <w:top w:val="single" w:sz="8" w:color="auto"/>
              <w:right w:val="single" w:sz="8" w:color="auto"/>
            </w:tcBorders>
          </w:tcPr>
          <w:p>
            <w:pPr>
              <w:spacing w:after="0"/>
              <w:rPr>
                <w:sz w:val="14"/>
                <w:szCs w:val="14"/>
                <w:color w:val="auto"/>
              </w:rPr>
            </w:pPr>
          </w:p>
        </w:tc>
        <w:tc>
          <w:tcPr>
            <w:tcW w:w="236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Whether</w:t>
            </w:r>
          </w:p>
        </w:tc>
        <w:tc>
          <w:tcPr>
            <w:tcW w:w="10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Whether</w:t>
            </w:r>
          </w:p>
        </w:tc>
        <w:tc>
          <w:tcPr>
            <w:tcW w:w="12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w:t>
            </w:r>
          </w:p>
        </w:tc>
        <w:tc>
          <w:tcPr>
            <w:tcW w:w="304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Smelter</w:t>
            </w:r>
          </w:p>
        </w:tc>
        <w:tc>
          <w:tcPr>
            <w:tcW w:w="10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RMAP</w:t>
            </w:r>
          </w:p>
        </w:tc>
        <w:tc>
          <w:tcPr>
            <w:tcW w:w="80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304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Location in</w:t>
            </w:r>
          </w:p>
        </w:tc>
        <w:tc>
          <w:tcPr>
            <w:tcW w:w="10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3TG Mined</w:t>
            </w:r>
          </w:p>
        </w:tc>
        <w:tc>
          <w:tcPr>
            <w:tcW w:w="1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Mine Location(s),</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3TG Metal</w:t>
            </w:r>
          </w:p>
        </w:tc>
        <w:tc>
          <w:tcPr>
            <w:tcW w:w="10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Identification</w:t>
            </w:r>
          </w:p>
        </w:tc>
        <w:tc>
          <w:tcPr>
            <w:tcW w:w="3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Name</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Facility Location</w:t>
            </w:r>
          </w:p>
        </w:tc>
        <w:tc>
          <w:tcPr>
            <w:tcW w:w="10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Covered</w:t>
            </w:r>
          </w:p>
        </w:tc>
        <w:tc>
          <w:tcPr>
            <w:tcW w:w="10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Validation</w:t>
            </w:r>
          </w:p>
        </w:tc>
        <w:tc>
          <w:tcPr>
            <w:tcW w:w="8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in Covered</w:t>
            </w:r>
          </w:p>
        </w:tc>
        <w:tc>
          <w:tcPr>
            <w:tcW w:w="1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(RMI)</w:t>
            </w:r>
          </w:p>
        </w:tc>
        <w:tc>
          <w:tcPr>
            <w:tcW w:w="3040" w:type="dxa"/>
            <w:vAlign w:val="bottom"/>
            <w:tcBorders>
              <w:bottom w:val="single" w:sz="8" w:color="auto"/>
              <w:right w:val="single" w:sz="8" w:color="auto"/>
            </w:tcBorders>
            <w:vMerge w:val="continue"/>
          </w:tcPr>
          <w:p>
            <w:pPr>
              <w:spacing w:after="0"/>
              <w:rPr>
                <w:sz w:val="16"/>
                <w:szCs w:val="16"/>
                <w:color w:val="auto"/>
              </w:rPr>
            </w:pPr>
          </w:p>
        </w:tc>
        <w:tc>
          <w:tcPr>
            <w:tcW w:w="2360" w:type="dxa"/>
            <w:vAlign w:val="bottom"/>
            <w:tcBorders>
              <w:bottom w:val="single" w:sz="8" w:color="auto"/>
              <w:right w:val="single" w:sz="8" w:color="auto"/>
            </w:tcBorders>
            <w:vMerge w:val="continue"/>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Countries</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Status</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if 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CID000092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Asaka Riken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CID000211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Changsha South Tantalum Niobium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CID000291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Guangdong Rising Rare Metals-EO Materials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CID000456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Exotech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CID000460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F&amp;X Electro-Materials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CID000616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Zhiyuan New Material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CID000914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JinXin Nonferrous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CID000917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Tanbre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LSM Brasil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CID001163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Metallurgical Products India Pvt.,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Mineracao Taboca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Mitsui Mining and Smelting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CID001200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NPM Silmet AS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ESTONIA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CID001277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Ningxia Orient Tantalum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CID001508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QuantumClean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RFH Tantalum Smeltery Co., Ltd./Yanling</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CID001522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Jincheng Tantalum &amp; Niobium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CID001769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Solikamsk Magnesium Works OAO</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CID001869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Taki Chemical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Telex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CID001969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Ulba Metallurgical Plant JSC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Hengyang King Xing Lifeng New Materials Co.,</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CID002492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 Block Metals, LLC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 Metals &amp; Resource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Zhongao Tantalum &amp; Niobium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XinXing HaoRong Electronic Material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Dinghai Tantalum &amp; Niobium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KEMET Blue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Tantalum and Niobium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Hermsdorf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Smelting GmbH &amp; Co. KG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Advanced Metals Boyertown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Advanced Metals Aizu</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KEMET Blue Powder</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Resind Industria e Comercio Ltda.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Tuohong New Raw Material</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bl>
    <w:p>
      <w:pPr>
        <w:sectPr>
          <w:pgSz w:w="11900" w:h="16838" w:orient="portrait"/>
          <w:cols w:equalWidth="0" w:num="1">
            <w:col w:w="11260"/>
          </w:cols>
          <w:pgMar w:left="320" w:top="765"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3040" w:type="dxa"/>
            <w:vAlign w:val="bottom"/>
            <w:tcBorders>
              <w:top w:val="single" w:sz="8" w:color="auto"/>
              <w:right w:val="single" w:sz="8" w:color="auto"/>
            </w:tcBorders>
          </w:tcPr>
          <w:p>
            <w:pPr>
              <w:spacing w:after="0"/>
              <w:rPr>
                <w:sz w:val="14"/>
                <w:szCs w:val="14"/>
                <w:color w:val="auto"/>
              </w:rPr>
            </w:pPr>
          </w:p>
        </w:tc>
        <w:tc>
          <w:tcPr>
            <w:tcW w:w="2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MACEDONIA, THE FORMER</w:t>
            </w:r>
          </w:p>
        </w:tc>
        <w:tc>
          <w:tcPr>
            <w:tcW w:w="100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Power Resources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YUGOSLAV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CID003191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Janny New Material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CP Metals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Active</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Chenzhou Yunxiang Mining and Metallurgy Co.,</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CID000228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CID000244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Ketai Advanced Material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CID000292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Alpha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CID000306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Gita Pesona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CID000309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Aries Kencana Sejahtera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Premium Tin Indonesia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United Smelting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CID000402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BOLIVIA (PLURINATIONAL STATE</w:t>
            </w: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CID000438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 Vinto</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CID000448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Estanho de Rondonia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CID000468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Fenix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CID000538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Non-Ferrous Metal Processing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CID000555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Zili Mining And Metallurgy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Huichang Jinshunda Tin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CID000942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Kai Meng Industry and Trade LLC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 Tin Group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CID001105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 Smelting Corporation (MSC)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Metallic Resources,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Mineracao Taboca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Minsur</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PERU</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Mitsubishi Materials 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CID001231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New Nanshan Technology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CID001314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O.M. Manufacturing (Thailand)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BOLIVIA (PLURINATIONAL STATE</w:t>
            </w: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CID001337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Operaciones Metalurgicas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CID001399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Artha Cipta Langgeng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CID001402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Babel Inti Perkasa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CID001406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Babel Surya Alam Lestari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CID001419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Tin Industry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CID001421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Belitung Industri Sejahtera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CID001428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Bukit Timah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CID001434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DS Jaya Abadi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CID001438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Eunindo Usaha Mandiri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CID001448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Karimun Mining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Mitra Stania Prima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Panca Mega Persada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Prima Timah Utama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Refined Bangka Tin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Sariwiguna Binasentosa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Stanindo Inti Perkasa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Sumber Jaya Indah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Tbk Kundur</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Tbk Mentok</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Tinindo Inter Nusa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Tommy Utama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CID001539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Rui Da Hung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TAIWAN, PROVINCE OF 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Soft Metais Ltda.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Thaisarco</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CID001908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Yunxin Nonferrous Electrolysis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260"/>
          </w:cols>
          <w:pgMar w:left="320" w:top="686" w:right="3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CID002036</w:t>
            </w:r>
          </w:p>
        </w:tc>
        <w:tc>
          <w:tcPr>
            <w:tcW w:w="3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White Solder Metalurgia e Mineracao Ltda.</w:t>
            </w:r>
          </w:p>
        </w:tc>
        <w:tc>
          <w:tcPr>
            <w:tcW w:w="23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Yunnan Chengfeng Non-ferrous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CID002180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Tin Company Limited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CID002455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Venus Inti Perkasa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CID002468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Magnu's Minerais Metais e Ligas Ltda.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CID002478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Tirus Putra Mandiri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Melt Metais e Ligas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ATD Makmur Mandiri Jaya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O.M. Manufacturing Philippines,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Inti Stania Prima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Ayi Jaya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Electro-Mechanical Facility of the Cao Bang</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Minerals &amp; Metallurgy Joint Stock 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Nghe Tinh Non-Ferrous Metals Joint Stock</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Tuyen Quang Non-Ferrous Metals Joint Stock</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CID002592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Dua Sekawan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CID002593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Rajehan Ariq</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An Vinh Joint Stock Mineral Processing 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Resind Industria e Comercio Ltda.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CID002756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Super Ligas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CID002757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O.M. Indonesia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Metallo Belgium N.V.</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Metallo Spain S.L.U.</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SPAIN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Prima Tin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CID002816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Sukses Inti Makmur</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CID002829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Kijang Jaya Mandiri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 Nguyen Mining and Metallurgy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Menara Cipta Mulia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HuiChang Hill Tin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Fengming Metallurgy Chemical 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Guanyang Guida Nonferrous Metal Smelting 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Jinye Mineral 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CID002870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Lautan Harmonis Sejahtera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CID003116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Hanhe Non-Ferrous Metal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CID003190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Chifeng Dajingzi Tin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CID003205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Serumpun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CID003208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Pongpipat Company Limited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MYANMAR</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CID003325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Tin Technology &amp; Refining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Dongguan CiEXPO Environmental Engineering</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CID003356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CID003379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Ma'anshan Weitai Tin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Rajawali Rimba Perkasa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Luna Smelter,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RWANDA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CID003397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Yunfan Non-ferrous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Precious Minerals and Smelting Limited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Active</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CID003410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Gejiu City Fuxiang Industry and Trade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CID000004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A.L.M.T. Corp.</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CID000105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Kennametal Huntsville</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CID000218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Xianglu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Chongyi Zhangyuan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260"/>
          </w:cols>
          <w:pgMar w:left="320" w:top="687"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CID000281</w:t>
            </w:r>
          </w:p>
        </w:tc>
        <w:tc>
          <w:tcPr>
            <w:tcW w:w="3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CNMC (Guangxi) PGMA Co., Ltd.</w:t>
            </w:r>
          </w:p>
        </w:tc>
        <w:tc>
          <w:tcPr>
            <w:tcW w:w="23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top w:val="single" w:sz="8" w:color="auto"/>
              <w:bottom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CID000499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Fujian Jinxin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CID000568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Tungsten &amp; Powders Corp.</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Chunchang Nonferrous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CID000825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 New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CID000875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Huaxing Tungsten Products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CID000966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Kennametal Fallon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CID001889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Tejing (Vietnam)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CID002011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Vietnam Youngsun Tungsten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CID002044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Wolfram Bergbau und Hutten AG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Xiamen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CID002095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Xinhai Rendan Shaoguan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5"/>
              </w:rPr>
              <w:t>Jiangxi Minmetals Gao'an Non-ferrous Metals Co.,</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Jiangwu Ferrotungsten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Yaosheng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Xinsheng Tungsten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Jiangxi Tonggu Non-ferrous Metallurgical &amp;</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Chemical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Malipo Haiyu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CID002320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Xiamen Tungsten (H.C.)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CID002321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Gan Bei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CID002494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Seadragon W &amp; Mo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Asia Tungsten Products Vietnam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Chenzhou Diamond Tungsten Products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Tungsten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Smelting GmbH &amp; Co. KG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Masan Tungsten Chemical LLC (MTC)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Jiangwu H.C. Starck Tungsten Products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Hunan Chuangda Vanadium Tungsten Co., Ltd.</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Wuji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Niagara Refining LLC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 Molybdenum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Haichuang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Dayu Longxintai Tungsten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Active</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Hydrometallurg, JSC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CID002724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Unecha Refractory metals 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6"/>
              </w:rPr>
              <w:t>South-East Nonferrous Metal Company Limited of</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CID002815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Hengyang City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CID002827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 Chuangxin Industrial Co.,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Xinfeng Huarui Tungsten &amp; Molybdenum New</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Material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ACL Metais Eireli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Woltech Korea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Moliren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Litian Tungsten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KGETS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Fujian Ganmin RareMetal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Lianyou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TAIWAN, PROVINCE OF 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JSC "Kirovgrad Hard Alloys 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Active</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260"/>
          </w:cols>
          <w:pgMar w:left="320" w:top="687"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3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Albasteel Industria e Comercio de Ligas Para</w:t>
            </w:r>
          </w:p>
        </w:tc>
        <w:tc>
          <w:tcPr>
            <w:tcW w:w="236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CID003427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Fundicao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Active</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CID003448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CP Metals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Active</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CID000015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Advanced Chemical 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CID000019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Aida Chemical Industries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CID000035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Allgemeine Gold-und Silberscheideanstalt A.G.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Almalyk Mining and Metallurgical Complex</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CID000041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(AMMC)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UZBEKISTAN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AngloGold Ashanti Corrego do Sitio Mineracao</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CID000077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Argor-Heraeus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Pretec Corp.</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CID000090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Asaka Riken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CID000103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Atasay Kuyumculuk Sanayi Ve Ticaret A.S.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CID000113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Aurubis AG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9"/>
              </w:rPr>
              <w:t>Bangko Sentral ng Pilipinas (Central Bank of the</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CID000128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PHILIPPINES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CID000157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Boliden AB</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SWEDEN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CID000176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 Hafner GmbH + Co. KG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Caridad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CCR Refinery - Glencore Canada 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Cendres + Metaux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CID000197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Copper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CID000233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Chimet S.p.A.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CID000264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Chugai Mining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CID000328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Daejin Indus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CID000343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Daye Non-Ferrous Metals Mining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CID000359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DSC (Do Sung 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CID000362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DODUCO Contacts and Refining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CID000401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CID000425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Eco-System Recycling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CID000493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OJSC Novosibirsk Refinery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CID000522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Refinery of Seemine Gold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8"/>
              </w:rPr>
              <w:t>Guoda Safina High-Tech Environmental Refinery</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CID000651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CID000671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Hangzhou Fuchunjiang Smelting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CID000689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HeeSung Metal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CID000694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Heimerle + Meule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CID000707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Metals Hong Kong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CID000711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Precious Metals GmbH &amp; Co. KG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7"/>
              </w:rPr>
              <w:t>Hunan Guiyang yinxing Nonferrous Smelting Co.,</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CID000773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CID000778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HwaSeong CJ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7"/>
              </w:rPr>
              <w:t>Inner Mongolia Qiankun Gold and Silver Refinery</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CID000801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Share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CID000807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Ishifuku Metal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CID000814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Istanbul Gold Refinery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CID000823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 Mint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CID000855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Copper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Refining USA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Refining Canada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8"/>
              </w:rPr>
              <w:t>JSC Ekaterinburg Non-Ferrous Metal Processing</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JSC Uralelectromed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CID000937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JX Nippon Mining &amp;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CID000956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Kazakhmys Smelting LLC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260"/>
          </w:cols>
          <w:pgMar w:left="320" w:top="687"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CID000957</w:t>
            </w:r>
          </w:p>
        </w:tc>
        <w:tc>
          <w:tcPr>
            <w:tcW w:w="3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Kazzinc</w:t>
            </w:r>
          </w:p>
        </w:tc>
        <w:tc>
          <w:tcPr>
            <w:tcW w:w="23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CID000969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Kennecott Utah Copper LLC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CID000981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Kojima Chemicals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CID001029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Kyrgyzaltyn JSC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KYRGYZSTAN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CID001032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L'azurde Company For Jewelry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SAUDI ARABIA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CID001056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Lingbao Gold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CID001058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Lingbao Jinyuan Tonghui Refinery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LS-NIKKO Copper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CID001093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Luoyang Zijin Yinhui Gold Refinery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CID001113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Materion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CID001119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Matsuda Sangyo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(Suzhou)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(Hong Kong)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(Singapore) Pte.,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SINGAPORE</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USA Refining 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CID001161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Metalurgica Met-Mex Penoles S.A. De C.V.</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Mitsubishi Materials 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Mitsui Mining and Smelting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CID001204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Moscow Special Alloys Processing 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CID001220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Nadir Metal Rafineri San. Ve Tic. A.S.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CID001236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Navoi Mining and Metallurgical Combinat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UZBEKISTAN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CID001259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Nihon Material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CID001325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Ohura Precious Metal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OJSC "The Gulidov Krasnoyarsk Non-Ferrous</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CID001326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Metals Plant" (OJSC Krastsvetmet)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CID001352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PAMP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CID001362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Penglai Penggang Gold Industry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CID001386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Prioksky Plant of Non-Ferrous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CID001397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Aneka Tambang (Persero) Tbk</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PX Precinox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CID001512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Rand Refinery (Pty)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SOUTH AFRICA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CID001534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Royal Canadian Mint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CID001546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Sabin Metal Corp.</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CID001555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Samduck Precious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CID001562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Samwon Metals Corp.</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CID001585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SEMPSA Joyeria Plateria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SPAIN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Shandong Tiancheng Biological Gold Industrial</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CID001619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Shandong Zhaojin Gold &amp; Silver Refinery Co.,</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CID001622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CID001736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Sichuan Tianze Precious Metals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w w:val="97"/>
              </w:rPr>
              <w:t>SOE Shyolkovsky Factory of Secondary Precious</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CID001756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CID001761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Solar Applied Materials Technology Corp.</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TAIWAN, PROVINCE OF 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CID001798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Sumitomo Metal Mining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CID001875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Tanaka Kikinzoku Kogyo K.K.</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CID001909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Great Wall Precious Metals Co., Ltd. of CBPM</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CID001916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The Refinery of Shandong Gold Mining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CID001938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Tokuriki Honten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CID001947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Tongling Nonferrous Metals Group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CID001955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Torecom</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260"/>
          </w:cols>
          <w:pgMar w:left="320" w:top="687"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CID001977</w:t>
            </w:r>
          </w:p>
        </w:tc>
        <w:tc>
          <w:tcPr>
            <w:tcW w:w="3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Umicore Brasil Ltda.</w:t>
            </w:r>
          </w:p>
        </w:tc>
        <w:tc>
          <w:tcPr>
            <w:tcW w:w="23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Umicore S.A. Business Unit Precious Metals</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CID001980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Refining</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CID001993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Precious Metal Refining, Inc.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CID002003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Valcambi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CID002030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Western Australian Mint (T/a The Perth Mint)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AUSTRALIA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CID002100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Yamakin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CID002129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Yokohama Metal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Zhongyuan Gold Smelter of Zhongjin Gold</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CID002224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CID002243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Gold Refinery of Zijin Mining Group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Morris and Watson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NEW ZEALAND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CID002290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SAFINA A.S.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CZECHIA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Active</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Jinding Gold Limited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Umicore Precious Metals Thailand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CID002459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Geib Refining 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MMTC-PAMP India Pvt.,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Republic Metals Corporation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KGHM Polska Miedz Spolka Akcyjna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POLAND</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Fidelity Printers and Refiners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ZIMBABWE</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Singway Technology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TAIWAN, PROVINCE OF 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CID002525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Shandong Humon Smelting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 Etihad Gold Refinery DMCC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ARAB EMIRATES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Emirates Gold DMCC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ARAB EMIRATES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International Precious Metal Refiners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ARAB EMIRATES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Kaloti Precious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ARAB EMIRATES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Sudan Gold Refinery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SUDAN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T.C.A S.p.A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REMONDIS PMR B.V.</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NETHERLANDS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Fujairah Gold FZC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ARAB EMIRATES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Tony Goetz NV</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CID002605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Zinc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CID002606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Marsam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CID002615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TOO Tau-Ken-Altyn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Abington Reldan Metals, LLC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SAAMP</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FRANCE</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L'Orfebre S.A.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ANDORRA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8853 S.p.A.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Italpreziosi</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SAXONIA Edelmetalle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WIELAND Edelmetalle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Ogussa Osterreichische Gold- und Silber-</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Scheideanstalt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CID002850</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 Traders and Refiners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SOUTH AFRICA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GCC Gujrat Gold Centre Pvt.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Sai Refinery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Universal Precious Metals Refining Zambia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ZAMBIA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Bangalore Refinery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Kyshtym Copper-Electrolytic Plant ZAO</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RUSSIAN FEDERATION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Morris and Watson Gold Coast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AUSTRALIA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CID002867</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Degussa Sonne / Mond Goldhandel GmbH</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CID002872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Pease &amp; Curren</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CID002893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JALAN &amp; 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ectPr>
          <w:pgSz w:w="11900" w:h="16838" w:orient="portrait"/>
          <w:cols w:equalWidth="0" w:num="1">
            <w:col w:w="11260"/>
          </w:cols>
          <w:pgMar w:left="320" w:top="687" w:right="3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CID002918</w:t>
            </w:r>
          </w:p>
        </w:tc>
        <w:tc>
          <w:tcPr>
            <w:tcW w:w="30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SungEel HiMetal Co., Ltd.</w:t>
            </w:r>
          </w:p>
        </w:tc>
        <w:tc>
          <w:tcPr>
            <w:tcW w:w="23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CID002919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Planta Recuperadora de Metales SpA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CHILE</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CID002973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Safimet S.p.A</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156"/>
        </w:trPr>
        <w:tc>
          <w:tcPr>
            <w:tcW w:w="82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4"/>
                <w:szCs w:val="14"/>
                <w:color w:val="auto"/>
              </w:rPr>
              <w:t>State Research Institute Center for Physical</w:t>
            </w:r>
          </w:p>
        </w:tc>
        <w:tc>
          <w:tcPr>
            <w:tcW w:w="2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188"/>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CID003153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Sciences and Technology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LITHUANIA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African Gold Refinery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UGANDA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CID003186</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Gold Coast Refinery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GHANA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CID003189</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NH Recytech Company</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CID003195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DS PRETECH Co.,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CID003324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QG Refining, LLC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 AMERICA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CID003348</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Dijllah Gold Refinery FZC</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ARAB EMIRATES</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CID003382</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CGR Metalloys Pvt Ltd.</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CID003383</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Sovereign Metals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CID003421</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 Metales Procesados Industriales SAS</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COLOMBIA</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3"/>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CID003424</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Eco-System Recycling Co., Ltd. North 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r>
        <w:trPr>
          <w:trHeight w:val="264"/>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CID003425</w:t>
            </w: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Eco-System Recycling Co., Ltd. West Plant</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Conformant</w:t>
            </w:r>
          </w:p>
        </w:tc>
        <w:tc>
          <w:tcPr>
            <w:tcW w:w="80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r>
    </w:tbl>
    <w:p>
      <w:pPr>
        <w:spacing w:after="0" w:line="1" w:lineRule="exact"/>
        <w:rPr>
          <w:sz w:val="20"/>
          <w:szCs w:val="20"/>
          <w:color w:val="auto"/>
        </w:rPr>
      </w:pPr>
    </w:p>
    <w:sectPr>
      <w:pgSz w:w="11900" w:h="16838" w:orient="portrait"/>
      <w:cols w:equalWidth="0" w:num="1">
        <w:col w:w="11260"/>
      </w:cols>
      <w:pgMar w:left="320" w:top="68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2020-05-29T15:45:25Z</dcterms:created>
  <dcterms:modified xsi:type="dcterms:W3CDTF">2020-05-29T15:45:25Z</dcterms:modified>
</cp:coreProperties>
</file>