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39"/>
        <w:spacing w:after="0"/>
        <w:rPr>
          <w:sz w:val="20"/>
          <w:szCs w:val="20"/>
          <w:color w:val="auto"/>
        </w:rPr>
      </w:pPr>
      <w:r>
        <w:rPr>
          <w:rFonts w:ascii="Courier New" w:cs="Courier New" w:eastAsia="Courier New" w:hAnsi="Courier New"/>
          <w:sz w:val="18"/>
          <w:szCs w:val="18"/>
          <w:color w:val="auto"/>
        </w:rPr>
        <w:t>UNITED STATES</w:t>
      </w:r>
    </w:p>
    <w:p>
      <w:pPr>
        <w:jc w:val="center"/>
        <w:ind w:right="47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47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96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515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16" w:lineRule="exact"/>
        <w:rPr>
          <w:sz w:val="24"/>
          <w:szCs w:val="24"/>
          <w:color w:val="auto"/>
        </w:rPr>
      </w:pPr>
    </w:p>
    <w:p>
      <w:pPr>
        <w:jc w:val="center"/>
        <w:ind w:right="5159"/>
        <w:spacing w:after="0"/>
        <w:rPr>
          <w:sz w:val="20"/>
          <w:szCs w:val="20"/>
          <w:color w:val="auto"/>
        </w:rPr>
      </w:pPr>
      <w:r>
        <w:rPr>
          <w:rFonts w:ascii="Courier New" w:cs="Courier New" w:eastAsia="Courier New" w:hAnsi="Courier New"/>
          <w:sz w:val="18"/>
          <w:szCs w:val="18"/>
          <w:color w:val="auto"/>
        </w:rPr>
        <w:t>May 11, 2006</w:t>
      </w:r>
    </w:p>
    <w:p>
      <w:pPr>
        <w:spacing w:after="0" w:line="201"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18" w:lineRule="exact"/>
        <w:rPr>
          <w:sz w:val="24"/>
          <w:szCs w:val="24"/>
          <w:color w:val="auto"/>
        </w:rPr>
      </w:pPr>
    </w:p>
    <w:p>
      <w:pPr>
        <w:ind w:left="420"/>
        <w:spacing w:after="0"/>
        <w:tabs>
          <w:tab w:leader="none" w:pos="2200" w:val="left"/>
          <w:tab w:leader="none" w:pos="44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1-6714</w:t>
      </w:r>
      <w:r>
        <w:rPr>
          <w:sz w:val="20"/>
          <w:szCs w:val="20"/>
          <w:color w:val="auto"/>
        </w:rPr>
        <w:tab/>
      </w:r>
      <w:r>
        <w:rPr>
          <w:rFonts w:ascii="Courier New" w:cs="Courier New" w:eastAsia="Courier New" w:hAnsi="Courier New"/>
          <w:sz w:val="16"/>
          <w:szCs w:val="16"/>
          <w:color w:val="auto"/>
        </w:rPr>
        <w:t>53-182885</w:t>
      </w:r>
    </w:p>
    <w:p>
      <w:pPr>
        <w:ind w:left="120"/>
        <w:spacing w:after="0"/>
        <w:tabs>
          <w:tab w:leader="none" w:pos="1980" w:val="left"/>
          <w:tab w:leader="none" w:pos="4300" w:val="left"/>
        </w:tabs>
        <w:rPr>
          <w:sz w:val="20"/>
          <w:szCs w:val="20"/>
          <w:color w:val="auto"/>
        </w:rPr>
      </w:pPr>
      <w:r>
        <w:rPr>
          <w:rFonts w:ascii="Courier New" w:cs="Courier New" w:eastAsia="Courier New" w:hAnsi="Courier New"/>
          <w:sz w:val="18"/>
          <w:szCs w:val="18"/>
          <w:color w:val="auto"/>
        </w:rPr>
        <w:t>(State or other</w:t>
        <w:tab/>
        <w:t>(Commission File</w:t>
      </w:r>
      <w:r>
        <w:rPr>
          <w:sz w:val="20"/>
          <w:szCs w:val="20"/>
          <w:color w:val="auto"/>
        </w:rPr>
        <w:tab/>
      </w:r>
      <w:r>
        <w:rPr>
          <w:rFonts w:ascii="Courier New" w:cs="Courier New" w:eastAsia="Courier New" w:hAnsi="Courier New"/>
          <w:sz w:val="16"/>
          <w:szCs w:val="16"/>
          <w:color w:val="auto"/>
        </w:rPr>
        <w:t>(IRS Employer</w:t>
      </w:r>
    </w:p>
    <w:p>
      <w:pPr>
        <w:ind w:left="220"/>
        <w:spacing w:after="0"/>
        <w:tabs>
          <w:tab w:leader="none" w:pos="2300" w:val="left"/>
          <w:tab w:leader="none" w:pos="3780" w:val="left"/>
        </w:tabs>
        <w:rPr>
          <w:sz w:val="20"/>
          <w:szCs w:val="20"/>
          <w:color w:val="auto"/>
        </w:rPr>
      </w:pP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6"/>
          <w:szCs w:val="16"/>
          <w:color w:val="auto"/>
        </w:rPr>
        <w:t>Identification No.)</w:t>
      </w:r>
    </w:p>
    <w:p>
      <w:pPr>
        <w:ind w:left="220"/>
        <w:spacing w:after="0" w:line="237" w:lineRule="auto"/>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040" w:val="left"/>
        </w:tabs>
        <w:rPr>
          <w:sz w:val="20"/>
          <w:szCs w:val="20"/>
          <w:color w:val="auto"/>
        </w:rPr>
      </w:pPr>
      <w:r>
        <w:rPr>
          <w:rFonts w:ascii="Courier New" w:cs="Courier New" w:eastAsia="Courier New" w:hAnsi="Courier New"/>
          <w:sz w:val="18"/>
          <w:szCs w:val="18"/>
          <w:color w:val="auto"/>
        </w:rPr>
        <w:t>1150 15th Street, N.W.</w:t>
      </w:r>
      <w:r>
        <w:rPr>
          <w:sz w:val="20"/>
          <w:szCs w:val="20"/>
          <w:color w:val="auto"/>
        </w:rPr>
        <w:tab/>
      </w:r>
      <w:r>
        <w:rPr>
          <w:rFonts w:ascii="Courier New" w:cs="Courier New" w:eastAsia="Courier New" w:hAnsi="Courier New"/>
          <w:sz w:val="18"/>
          <w:szCs w:val="18"/>
          <w:color w:val="auto"/>
        </w:rPr>
        <w:t>20071</w:t>
      </w:r>
    </w:p>
    <w:p>
      <w:pPr>
        <w:ind w:left="6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(Zip Code)</w:t>
      </w:r>
    </w:p>
    <w:p>
      <w:pPr>
        <w:ind w:left="320"/>
        <w:spacing w:after="0"/>
        <w:rPr>
          <w:sz w:val="20"/>
          <w:szCs w:val="20"/>
          <w:color w:val="auto"/>
        </w:rPr>
      </w:pPr>
      <w:r>
        <w:rPr>
          <w:rFonts w:ascii="Courier New" w:cs="Courier New" w:eastAsia="Courier New" w:hAnsi="Courier New"/>
          <w:sz w:val="18"/>
          <w:szCs w:val="18"/>
          <w:color w:val="auto"/>
        </w:rPr>
        <w:t>(Address of principal</w:t>
      </w:r>
    </w:p>
    <w:p>
      <w:pPr>
        <w:ind w:left="540"/>
        <w:spacing w:after="0" w:line="237" w:lineRule="auto"/>
        <w:rPr>
          <w:sz w:val="20"/>
          <w:szCs w:val="20"/>
          <w:color w:val="auto"/>
        </w:rPr>
      </w:pPr>
      <w:r>
        <w:rPr>
          <w:rFonts w:ascii="Courier New" w:cs="Courier New" w:eastAsia="Courier New" w:hAnsi="Courier New"/>
          <w:sz w:val="18"/>
          <w:szCs w:val="18"/>
          <w:color w:val="auto"/>
        </w:rPr>
        <w:t>executive offices)</w:t>
      </w:r>
    </w:p>
    <w:p>
      <w:pPr>
        <w:spacing w:after="0" w:line="202" w:lineRule="exact"/>
        <w:rPr>
          <w:sz w:val="24"/>
          <w:szCs w:val="24"/>
          <w:color w:val="auto"/>
        </w:rPr>
      </w:pPr>
    </w:p>
    <w:p>
      <w:pPr>
        <w:ind w:left="3160" w:hanging="623"/>
        <w:spacing w:after="0"/>
        <w:tabs>
          <w:tab w:leader="none" w:pos="3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8" w:lineRule="exact"/>
        <w:rPr>
          <w:sz w:val="24"/>
          <w:szCs w:val="24"/>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860" w:right="4839" w:hanging="852"/>
        <w:spacing w:after="0" w:line="268" w:lineRule="auto"/>
        <w:tabs>
          <w:tab w:leader="none" w:pos="3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Written communications pursuant to Rule 425 under the Securities Act (17 CFR 230.425)</w:t>
      </w:r>
    </w:p>
    <w:p>
      <w:pPr>
        <w:ind w:left="860" w:right="4839" w:hanging="852"/>
        <w:spacing w:after="0" w:line="268" w:lineRule="auto"/>
        <w:tabs>
          <w:tab w:leader="none" w:pos="3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Soliciting material pursuant to Rule 14a-12 under the Exchange Act (17 CFR 240.14a-12)</w:t>
      </w:r>
    </w:p>
    <w:p>
      <w:pPr>
        <w:ind w:left="860" w:right="4739" w:hanging="852"/>
        <w:spacing w:after="0" w:line="236" w:lineRule="auto"/>
        <w:tabs>
          <w:tab w:leader="none" w:pos="3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6" w:lineRule="exact"/>
        <w:rPr>
          <w:sz w:val="24"/>
          <w:szCs w:val="24"/>
          <w:color w:val="auto"/>
        </w:rPr>
      </w:pPr>
    </w:p>
    <w:p>
      <w:pPr>
        <w:ind w:left="860" w:right="4839" w:hanging="852"/>
        <w:spacing w:after="0" w:line="236" w:lineRule="auto"/>
        <w:tabs>
          <w:tab w:leader="none" w:pos="3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Registrants Business and Operations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4739" w:firstLine="843"/>
        <w:spacing w:after="0" w:line="268" w:lineRule="auto"/>
        <w:rPr>
          <w:sz w:val="20"/>
          <w:szCs w:val="20"/>
          <w:color w:val="auto"/>
        </w:rPr>
      </w:pPr>
      <w:r>
        <w:rPr>
          <w:rFonts w:ascii="Courier New" w:cs="Courier New" w:eastAsia="Courier New" w:hAnsi="Courier New"/>
          <w:sz w:val="16"/>
          <w:szCs w:val="16"/>
          <w:color w:val="auto"/>
        </w:rPr>
        <w:t>Item 1.01(a) The Shareholders of the Company approved a series of amendments to the Companys Incentive Compensation Plan in the form set out in Exhibit A to the 2006 Proxy Statement previously</w:t>
      </w:r>
    </w:p>
    <w:p>
      <w:pPr>
        <w:spacing w:after="0" w:line="1" w:lineRule="exact"/>
        <w:rPr>
          <w:sz w:val="24"/>
          <w:szCs w:val="24"/>
          <w:color w:val="auto"/>
        </w:rPr>
      </w:pPr>
    </w:p>
    <w:p>
      <w:pPr>
        <w:ind w:right="4319"/>
        <w:spacing w:after="0" w:line="268" w:lineRule="auto"/>
        <w:rPr>
          <w:sz w:val="20"/>
          <w:szCs w:val="20"/>
          <w:color w:val="auto"/>
        </w:rPr>
      </w:pPr>
      <w:r>
        <w:rPr>
          <w:rFonts w:ascii="Courier New" w:cs="Courier New" w:eastAsia="Courier New" w:hAnsi="Courier New"/>
          <w:sz w:val="16"/>
          <w:szCs w:val="16"/>
          <w:color w:val="auto"/>
        </w:rPr>
        <w:t>sent to shareholders, which amendments would (i) provide the Companys Compensation Committee with greater flexibility in designing compensation plans for key employees of the Company and its subsidiaries and</w:t>
      </w:r>
    </w:p>
    <w:p>
      <w:pPr>
        <w:spacing w:after="0" w:line="1" w:lineRule="exact"/>
        <w:rPr>
          <w:sz w:val="24"/>
          <w:szCs w:val="24"/>
          <w:color w:val="auto"/>
        </w:rPr>
      </w:pPr>
    </w:p>
    <w:p>
      <w:pPr>
        <w:ind w:right="5259" w:firstLine="8"/>
        <w:spacing w:after="0" w:line="236"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or establish caps on the payouts of various awards payable to participants under the Incentive Compensation Plan.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Item 9.01(c) Exhibits</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Exhibit No. Description</w:t>
      </w:r>
    </w:p>
    <w:p>
      <w:pPr>
        <w:spacing w:after="0" w:line="207" w:lineRule="exact"/>
        <w:rPr>
          <w:sz w:val="24"/>
          <w:szCs w:val="24"/>
          <w:color w:val="auto"/>
        </w:rPr>
      </w:pPr>
    </w:p>
    <w:p>
      <w:pPr>
        <w:ind w:left="1700" w:right="4199" w:hanging="1263"/>
        <w:spacing w:after="0" w:line="290" w:lineRule="auto"/>
        <w:tabs>
          <w:tab w:leader="none" w:pos="16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The Washington Post Company Incentive Compensation Plan as adopted May 11, 2006</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375"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41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Washington Post Company</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4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22, 2006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B. Morse, Jr.</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660" w:space="720"/>
            <w:col w:w="6839"/>
          </w:cols>
          <w:pgMar w:left="240" w:top="344" w:right="1440" w:bottom="1440" w:gutter="0" w:footer="0" w:header="0"/>
          <w:type w:val="continuous"/>
        </w:sectPr>
      </w:pP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John B. Morse, Jr.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Vice President, Finance</w:t>
      </w:r>
    </w:p>
    <w:p>
      <w:pPr>
        <w:sectPr>
          <w:pgSz w:w="11900" w:h="16838" w:orient="portrait"/>
          <w:cols w:equalWidth="0" w:num="1">
            <w:col w:w="10219"/>
          </w:cols>
          <w:pgMar w:left="240" w:top="34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6"/>
          <w:szCs w:val="16"/>
          <w:color w:val="auto"/>
        </w:rPr>
        <w:t>The Washington Post Company Incentive</w:t>
      </w:r>
    </w:p>
    <w:p>
      <w:pPr>
        <w:ind w:left="1700"/>
        <w:spacing w:after="0" w:line="238" w:lineRule="auto"/>
        <w:rPr>
          <w:sz w:val="20"/>
          <w:szCs w:val="20"/>
          <w:color w:val="auto"/>
        </w:rPr>
      </w:pPr>
      <w:r>
        <w:rPr>
          <w:rFonts w:ascii="Courier New" w:cs="Courier New" w:eastAsia="Courier New" w:hAnsi="Courier New"/>
          <w:sz w:val="18"/>
          <w:szCs w:val="18"/>
          <w:color w:val="auto"/>
        </w:rPr>
        <w:t>Compensation Plan as adopted</w:t>
      </w:r>
    </w:p>
    <w:p>
      <w:pPr>
        <w:ind w:left="1700"/>
        <w:spacing w:after="0"/>
        <w:rPr>
          <w:sz w:val="20"/>
          <w:szCs w:val="20"/>
          <w:color w:val="auto"/>
        </w:rPr>
      </w:pPr>
      <w:r>
        <w:rPr>
          <w:rFonts w:ascii="Courier New" w:cs="Courier New" w:eastAsia="Courier New" w:hAnsi="Courier New"/>
          <w:sz w:val="18"/>
          <w:szCs w:val="18"/>
          <w:color w:val="auto"/>
        </w:rPr>
        <w:t>May 11, 2006</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amended and restated May 11,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Purposes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Administration of the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Participation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Duration of 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Annual Incentive Provision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Determination of Annual Awards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w:t>
      </w:r>
    </w:p>
    <w:tbl>
      <w:tblPr>
        <w:tblLayout w:type="fixed"/>
        <w:tblInd w:w="42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rPr>
              <w:t>and Time of Payment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bl>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3480" w:type="dxa"/>
            <w:vAlign w:val="bottom"/>
          </w:tcPr>
          <w:p>
            <w:pPr>
              <w:ind w:left="40"/>
              <w:spacing w:after="0"/>
              <w:rPr>
                <w:sz w:val="20"/>
                <w:szCs w:val="20"/>
                <w:color w:val="auto"/>
              </w:rPr>
            </w:pPr>
            <w:r>
              <w:rPr>
                <w:rFonts w:ascii="Courier New" w:cs="Courier New" w:eastAsia="Courier New" w:hAnsi="Courier New"/>
                <w:sz w:val="18"/>
                <w:szCs w:val="18"/>
                <w:color w:val="auto"/>
              </w:rPr>
              <w:t>Awards</w:t>
            </w:r>
          </w:p>
        </w:tc>
        <w:tc>
          <w:tcPr>
            <w:tcW w:w="580" w:type="dxa"/>
            <w:vAlign w:val="bottom"/>
          </w:tcPr>
          <w:p>
            <w:pPr>
              <w:ind w:left="360"/>
              <w:spacing w:after="0"/>
              <w:rPr>
                <w:sz w:val="20"/>
                <w:szCs w:val="20"/>
                <w:color w:val="auto"/>
              </w:rPr>
            </w:pPr>
            <w:r>
              <w:rPr>
                <w:rFonts w:ascii="Courier New" w:cs="Courier New" w:eastAsia="Courier New" w:hAnsi="Courier New"/>
                <w:sz w:val="18"/>
                <w:szCs w:val="18"/>
                <w:color w:val="auto"/>
              </w:rPr>
              <w:t>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 Stock</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Performance Units</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Adjustments in Class B Common</w:t>
            </w:r>
          </w:p>
        </w:tc>
        <w:tc>
          <w:tcPr>
            <w:tcW w:w="5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10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WASHINGTON POST COMPANY</w:t>
      </w:r>
    </w:p>
    <w:p>
      <w:pPr>
        <w:ind w:left="860"/>
        <w:spacing w:after="0" w:line="238" w:lineRule="auto"/>
        <w:rPr>
          <w:sz w:val="20"/>
          <w:szCs w:val="20"/>
          <w:color w:val="auto"/>
        </w:rPr>
      </w:pPr>
      <w:r>
        <w:rPr>
          <w:rFonts w:ascii="Courier New" w:cs="Courier New" w:eastAsia="Courier New" w:hAnsi="Courier New"/>
          <w:sz w:val="18"/>
          <w:szCs w:val="18"/>
          <w:color w:val="auto"/>
        </w:rPr>
        <w:t>INCENTIVE COMPENSATION PLAN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Amended and Restated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through May 11, 2006</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w:t>
      </w:r>
    </w:p>
    <w:p>
      <w:pPr>
        <w:spacing w:after="0" w:line="207" w:lineRule="exact"/>
        <w:rPr>
          <w:sz w:val="20"/>
          <w:szCs w:val="20"/>
          <w:color w:val="auto"/>
        </w:rPr>
      </w:pPr>
    </w:p>
    <w:p>
      <w:pPr>
        <w:ind w:right="4939" w:firstLine="843"/>
        <w:spacing w:after="0" w:line="268" w:lineRule="auto"/>
        <w:rPr>
          <w:sz w:val="20"/>
          <w:szCs w:val="20"/>
          <w:color w:val="auto"/>
        </w:rPr>
      </w:pPr>
      <w:r>
        <w:rPr>
          <w:rFonts w:ascii="Courier New" w:cs="Courier New" w:eastAsia="Courier New" w:hAnsi="Courier New"/>
          <w:sz w:val="16"/>
          <w:szCs w:val="16"/>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w:t>
      </w:r>
    </w:p>
    <w:p>
      <w:pPr>
        <w:spacing w:after="0" w:line="2"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merit and competence upon which, in large measure, continued growth and profitability depend.</w:t>
      </w:r>
    </w:p>
    <w:p>
      <w:pPr>
        <w:spacing w:after="0" w:line="164"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4839" w:firstLine="843"/>
        <w:spacing w:after="0" w:line="268" w:lineRule="auto"/>
        <w:rPr>
          <w:sz w:val="20"/>
          <w:szCs w:val="20"/>
          <w:color w:val="auto"/>
        </w:rPr>
      </w:pPr>
      <w:r>
        <w:rPr>
          <w:rFonts w:ascii="Courier New" w:cs="Courier New" w:eastAsia="Courier New" w:hAnsi="Courier New"/>
          <w:sz w:val="16"/>
          <w:szCs w:val="16"/>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w:t>
      </w:r>
    </w:p>
    <w:p>
      <w:pPr>
        <w:spacing w:after="0" w:line="2" w:lineRule="exact"/>
        <w:rPr>
          <w:sz w:val="20"/>
          <w:szCs w:val="20"/>
          <w:color w:val="auto"/>
        </w:rPr>
      </w:pPr>
    </w:p>
    <w:p>
      <w:pPr>
        <w:ind w:right="4739"/>
        <w:spacing w:after="0" w:line="236" w:lineRule="auto"/>
        <w:rPr>
          <w:sz w:val="20"/>
          <w:szCs w:val="20"/>
          <w:color w:val="auto"/>
        </w:rPr>
      </w:pPr>
      <w:r>
        <w:rPr>
          <w:rFonts w:ascii="Courier New" w:cs="Courier New" w:eastAsia="Courier New" w:hAnsi="Courier New"/>
          <w:sz w:val="18"/>
          <w:szCs w:val="18"/>
          <w:color w:val="auto"/>
        </w:rPr>
        <w:t>and conditions, not inconsistent with the provisions of the Plan, for the administration of its business and the implementation of the Plan.</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6" w:lineRule="exact"/>
        <w:rPr>
          <w:rFonts w:ascii="Courier New" w:cs="Courier New" w:eastAsia="Courier New" w:hAnsi="Courier New"/>
          <w:sz w:val="18"/>
          <w:szCs w:val="18"/>
          <w:color w:val="auto"/>
        </w:rPr>
      </w:pPr>
    </w:p>
    <w:p>
      <w:pPr>
        <w:ind w:right="5059" w:firstLine="851"/>
        <w:spacing w:after="0" w:line="271" w:lineRule="auto"/>
        <w:tabs>
          <w:tab w:leader="none" w:pos="137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ectPr>
          <w:pgSz w:w="11900" w:h="16838" w:orient="portrait"/>
          <w:cols w:equalWidth="0" w:num="1">
            <w:col w:w="10219"/>
          </w:cols>
          <w:pgMar w:left="240" w:top="136" w:right="1440" w:bottom="0" w:gutter="0" w:footer="0" w:header="0"/>
        </w:sectPr>
      </w:pPr>
    </w:p>
    <w:bookmarkStart w:id="3" w:name="page4"/>
    <w:bookmarkEnd w:id="3"/>
    <w:p>
      <w:pPr>
        <w:ind w:right="5259" w:firstLine="851"/>
        <w:spacing w:after="0" w:line="237" w:lineRule="auto"/>
        <w:tabs>
          <w:tab w:leader="none" w:pos="137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as such, shall not participate in the Plan, but the fact that an employee is also a Director of the Company or a subsidiary shall not prevent his or her participation.</w:t>
      </w:r>
    </w:p>
    <w:p>
      <w:pPr>
        <w:spacing w:after="0" w:line="208" w:lineRule="exact"/>
        <w:rPr>
          <w:rFonts w:ascii="Courier New" w:cs="Courier New" w:eastAsia="Courier New" w:hAnsi="Courier New"/>
          <w:sz w:val="18"/>
          <w:szCs w:val="18"/>
          <w:color w:val="auto"/>
        </w:rPr>
      </w:pPr>
    </w:p>
    <w:p>
      <w:pPr>
        <w:ind w:right="4939" w:firstLine="851"/>
        <w:spacing w:after="0" w:line="236" w:lineRule="auto"/>
        <w:tabs>
          <w:tab w:leader="none" w:pos="137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the Plan, the term Company shall mean The Washington Post Company and any subsidiary thereof.</w:t>
      </w:r>
    </w:p>
    <w:p>
      <w:pPr>
        <w:spacing w:after="0" w:line="208" w:lineRule="exact"/>
        <w:rPr>
          <w:rFonts w:ascii="Courier New" w:cs="Courier New" w:eastAsia="Courier New" w:hAnsi="Courier New"/>
          <w:sz w:val="18"/>
          <w:szCs w:val="18"/>
          <w:color w:val="auto"/>
        </w:rPr>
      </w:pPr>
    </w:p>
    <w:p>
      <w:pPr>
        <w:ind w:right="4619" w:firstLine="851"/>
        <w:spacing w:after="0" w:line="275" w:lineRule="auto"/>
        <w:tabs>
          <w:tab w:leader="none" w:pos="137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not be deemed to preclude the making of any award pursuant to any other compensation, incentive, bonus or stock option plan which may be in effect from time to time.</w:t>
      </w:r>
    </w:p>
    <w:p>
      <w:pPr>
        <w:spacing w:after="0" w:line="176"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Plan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remain in effect until</w:t>
      </w:r>
    </w:p>
    <w:p>
      <w:pPr>
        <w:spacing w:after="0" w:line="238" w:lineRule="auto"/>
        <w:rPr>
          <w:sz w:val="20"/>
          <w:szCs w:val="20"/>
          <w:color w:val="auto"/>
        </w:rPr>
      </w:pPr>
      <w:r>
        <w:rPr>
          <w:rFonts w:ascii="Courier New" w:cs="Courier New" w:eastAsia="Courier New" w:hAnsi="Courier New"/>
          <w:sz w:val="18"/>
          <w:szCs w:val="18"/>
          <w:color w:val="auto"/>
        </w:rPr>
        <w:t>terminated by the Board of Directors; provided,</w:t>
      </w:r>
    </w:p>
    <w:p>
      <w:pPr>
        <w:spacing w:after="0"/>
        <w:rPr>
          <w:sz w:val="20"/>
          <w:szCs w:val="20"/>
          <w:color w:val="auto"/>
        </w:rPr>
      </w:pPr>
      <w:r>
        <w:rPr>
          <w:rFonts w:ascii="Courier New" w:cs="Courier New" w:eastAsia="Courier New" w:hAnsi="Courier New"/>
          <w:sz w:val="18"/>
          <w:szCs w:val="18"/>
          <w:color w:val="auto"/>
        </w:rPr>
        <w:t>however, that the termination of the Plan shall</w:t>
      </w:r>
    </w:p>
    <w:p>
      <w:pPr>
        <w:spacing w:after="0" w:line="237" w:lineRule="auto"/>
        <w:rPr>
          <w:sz w:val="20"/>
          <w:szCs w:val="20"/>
          <w:color w:val="auto"/>
        </w:rPr>
      </w:pPr>
      <w:r>
        <w:rPr>
          <w:rFonts w:ascii="Courier New" w:cs="Courier New" w:eastAsia="Courier New" w:hAnsi="Courier New"/>
          <w:sz w:val="18"/>
          <w:szCs w:val="18"/>
          <w:color w:val="auto"/>
        </w:rPr>
        <w:t>not affect the delivery or payment of any award</w:t>
      </w:r>
    </w:p>
    <w:p>
      <w:pPr>
        <w:spacing w:after="0" w:line="238" w:lineRule="auto"/>
        <w:rPr>
          <w:sz w:val="20"/>
          <w:szCs w:val="20"/>
          <w:color w:val="auto"/>
        </w:rPr>
      </w:pPr>
      <w:r>
        <w:rPr>
          <w:rFonts w:ascii="Courier New" w:cs="Courier New" w:eastAsia="Courier New" w:hAnsi="Courier New"/>
          <w:sz w:val="18"/>
          <w:szCs w:val="18"/>
          <w:color w:val="auto"/>
        </w:rPr>
        <w:t>made prior to the termination of the Plan.</w:t>
      </w:r>
    </w:p>
    <w:p>
      <w:pPr>
        <w:spacing w:after="0" w:line="202"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Incentive Provision</w:t>
      </w:r>
    </w:p>
    <w:p>
      <w:pPr>
        <w:spacing w:after="0" w:line="206" w:lineRule="exact"/>
        <w:rPr>
          <w:rFonts w:ascii="Courier New" w:cs="Courier New" w:eastAsia="Courier New" w:hAnsi="Courier New"/>
          <w:sz w:val="18"/>
          <w:szCs w:val="18"/>
          <w:color w:val="auto"/>
        </w:rPr>
      </w:pPr>
    </w:p>
    <w:p>
      <w:pPr>
        <w:ind w:right="4839" w:firstLine="851"/>
        <w:spacing w:after="0" w:line="237" w:lineRule="auto"/>
        <w:tabs>
          <w:tab w:leader="none" w:pos="1264"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fiscal year and except as set forth in paragraph 5(f) below, the Committee may make annual incentive awards in an aggregate amount not to exceed the Maximum Incentive Credit (as hereinafter defined) for such year. All annual incentive awards granted under the Plan are hereinafter collectively referred to as Annual Awards.</w:t>
      </w:r>
    </w:p>
    <w:p>
      <w:pPr>
        <w:spacing w:after="0" w:line="206"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Maximum Incentive Credit,</w:t>
      </w:r>
    </w:p>
    <w:p>
      <w:pPr>
        <w:spacing w:after="0" w:line="4" w:lineRule="exact"/>
        <w:rPr>
          <w:sz w:val="20"/>
          <w:szCs w:val="20"/>
          <w:color w:val="auto"/>
        </w:rPr>
      </w:pPr>
    </w:p>
    <w:p>
      <w:pPr>
        <w:ind w:right="4619"/>
        <w:spacing w:after="0" w:line="270" w:lineRule="auto"/>
        <w:rPr>
          <w:sz w:val="20"/>
          <w:szCs w:val="20"/>
          <w:color w:val="auto"/>
        </w:rPr>
      </w:pPr>
      <w:r>
        <w:rPr>
          <w:rFonts w:ascii="Courier New" w:cs="Courier New" w:eastAsia="Courier New" w:hAnsi="Courier New"/>
          <w:sz w:val="16"/>
          <w:szCs w:val="16"/>
          <w:color w:val="auto"/>
        </w:rPr>
        <w:t>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w:t>
      </w:r>
    </w:p>
    <w:p>
      <w:pPr>
        <w:spacing w:after="0" w:line="184" w:lineRule="exact"/>
        <w:rPr>
          <w:sz w:val="20"/>
          <w:szCs w:val="20"/>
          <w:color w:val="auto"/>
        </w:rPr>
      </w:pPr>
    </w:p>
    <w:p>
      <w:pPr>
        <w:ind w:right="4839"/>
        <w:spacing w:after="0" w:line="268" w:lineRule="auto"/>
        <w:rPr>
          <w:sz w:val="20"/>
          <w:szCs w:val="20"/>
          <w:color w:val="auto"/>
        </w:rPr>
      </w:pPr>
      <w:r>
        <w:rPr>
          <w:rFonts w:ascii="Courier New" w:cs="Courier New" w:eastAsia="Courier New" w:hAnsi="Courier New"/>
          <w:sz w:val="16"/>
          <w:szCs w:val="16"/>
          <w:color w:val="auto"/>
        </w:rPr>
        <w:t>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w:t>
      </w:r>
    </w:p>
    <w:p>
      <w:pPr>
        <w:spacing w:after="0" w:line="2"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for any change during the year arising from any increase or decrease in outstanding capital stock.</w:t>
      </w:r>
    </w:p>
    <w:p>
      <w:pPr>
        <w:spacing w:after="0" w:line="170" w:lineRule="exact"/>
        <w:rPr>
          <w:sz w:val="20"/>
          <w:szCs w:val="20"/>
          <w:color w:val="auto"/>
        </w:rPr>
      </w:pPr>
    </w:p>
    <w:p>
      <w:pPr>
        <w:ind w:right="4839" w:firstLine="851"/>
        <w:spacing w:after="0" w:line="237" w:lineRule="auto"/>
        <w:tabs>
          <w:tab w:leader="none" w:pos="137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211" w:lineRule="exact"/>
        <w:rPr>
          <w:rFonts w:ascii="Courier New" w:cs="Courier New" w:eastAsia="Courier New" w:hAnsi="Courier New"/>
          <w:sz w:val="18"/>
          <w:szCs w:val="18"/>
          <w:color w:val="auto"/>
        </w:rPr>
      </w:pPr>
    </w:p>
    <w:p>
      <w:pPr>
        <w:ind w:right="4739" w:firstLine="851"/>
        <w:spacing w:after="0" w:line="237" w:lineRule="auto"/>
        <w:tabs>
          <w:tab w:leader="none" w:pos="137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close of each fiscal year, the Companys independent public accountants shall calculate and certify to the Committee the Maximum Incentive Credit for such fiscal year.</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determined and reported</w:t>
      </w:r>
    </w:p>
    <w:p>
      <w:pPr>
        <w:spacing w:after="0" w:line="238" w:lineRule="auto"/>
        <w:rPr>
          <w:sz w:val="20"/>
          <w:szCs w:val="20"/>
          <w:color w:val="auto"/>
        </w:rPr>
      </w:pPr>
      <w:r>
        <w:rPr>
          <w:rFonts w:ascii="Courier New" w:cs="Courier New" w:eastAsia="Courier New" w:hAnsi="Courier New"/>
          <w:sz w:val="18"/>
          <w:szCs w:val="18"/>
          <w:color w:val="auto"/>
        </w:rPr>
        <w:t>by the Companys independent auditors as the</w:t>
      </w:r>
    </w:p>
    <w:p>
      <w:pPr>
        <w:spacing w:after="0"/>
        <w:rPr>
          <w:sz w:val="20"/>
          <w:szCs w:val="20"/>
          <w:color w:val="auto"/>
        </w:rPr>
      </w:pPr>
      <w:r>
        <w:rPr>
          <w:rFonts w:ascii="Courier New" w:cs="Courier New" w:eastAsia="Courier New" w:hAnsi="Courier New"/>
          <w:sz w:val="18"/>
          <w:szCs w:val="18"/>
          <w:color w:val="auto"/>
        </w:rPr>
        <w:t>Maximum Incentive Credit for any fiscal year</w:t>
      </w:r>
    </w:p>
    <w:p>
      <w:pPr>
        <w:spacing w:after="0" w:line="237" w:lineRule="auto"/>
        <w:rPr>
          <w:sz w:val="20"/>
          <w:szCs w:val="20"/>
          <w:color w:val="auto"/>
        </w:rPr>
      </w:pPr>
      <w:r>
        <w:rPr>
          <w:rFonts w:ascii="Courier New" w:cs="Courier New" w:eastAsia="Courier New" w:hAnsi="Courier New"/>
          <w:sz w:val="18"/>
          <w:szCs w:val="18"/>
          <w:color w:val="auto"/>
        </w:rPr>
        <w:t>shall be final, conclusive and binding upon</w:t>
      </w:r>
    </w:p>
    <w:p>
      <w:pPr>
        <w:sectPr>
          <w:pgSz w:w="11900" w:h="16838" w:orient="portrait"/>
          <w:cols w:equalWidth="0" w:num="1">
            <w:col w:w="10219"/>
          </w:cols>
          <w:pgMar w:left="240" w:top="142" w:right="1440" w:bottom="0" w:gutter="0" w:footer="0" w:header="0"/>
        </w:sectPr>
      </w:pPr>
    </w:p>
    <w:bookmarkStart w:id="4" w:name="page5"/>
    <w:bookmarkEnd w:id="4"/>
    <w:p>
      <w:pPr>
        <w:ind w:right="5059"/>
        <w:spacing w:after="0" w:line="268" w:lineRule="auto"/>
        <w:rPr>
          <w:sz w:val="20"/>
          <w:szCs w:val="20"/>
          <w:color w:val="auto"/>
        </w:rPr>
      </w:pPr>
      <w:r>
        <w:rPr>
          <w:rFonts w:ascii="Courier New" w:cs="Courier New" w:eastAsia="Courier New" w:hAnsi="Courier New"/>
          <w:sz w:val="16"/>
          <w:szCs w:val="16"/>
          <w:color w:val="auto"/>
        </w:rPr>
        <w:t>all parties, including the Company, its stockholders and employees, notwithstanding any subsequent special item or surplus charge or credit that may be considered applicable in whole or in part to such fiscal year; provided that if the amount actually awarded for any fiscal</w:t>
      </w:r>
    </w:p>
    <w:p>
      <w:pPr>
        <w:spacing w:after="0" w:line="234" w:lineRule="auto"/>
        <w:rPr>
          <w:sz w:val="20"/>
          <w:szCs w:val="20"/>
          <w:color w:val="auto"/>
        </w:rPr>
      </w:pPr>
      <w:r>
        <w:rPr>
          <w:rFonts w:ascii="Courier New" w:cs="Courier New" w:eastAsia="Courier New" w:hAnsi="Courier New"/>
          <w:sz w:val="18"/>
          <w:szCs w:val="18"/>
          <w:color w:val="auto"/>
        </w:rPr>
        <w:t>year should later be determined by a court of</w:t>
      </w:r>
    </w:p>
    <w:p>
      <w:pPr>
        <w:spacing w:after="0"/>
        <w:rPr>
          <w:sz w:val="20"/>
          <w:szCs w:val="20"/>
          <w:color w:val="auto"/>
        </w:rPr>
      </w:pPr>
      <w:r>
        <w:rPr>
          <w:rFonts w:ascii="Courier New" w:cs="Courier New" w:eastAsia="Courier New" w:hAnsi="Courier New"/>
          <w:sz w:val="18"/>
          <w:szCs w:val="18"/>
          <w:color w:val="auto"/>
        </w:rPr>
        <w:t>competent jurisdiction to have exceeded the</w:t>
      </w:r>
    </w:p>
    <w:p>
      <w:pPr>
        <w:spacing w:after="0" w:line="237" w:lineRule="auto"/>
        <w:rPr>
          <w:sz w:val="20"/>
          <w:szCs w:val="20"/>
          <w:color w:val="auto"/>
        </w:rPr>
      </w:pPr>
      <w:r>
        <w:rPr>
          <w:rFonts w:ascii="Courier New" w:cs="Courier New" w:eastAsia="Courier New" w:hAnsi="Courier New"/>
          <w:sz w:val="18"/>
          <w:szCs w:val="18"/>
          <w:color w:val="auto"/>
        </w:rPr>
        <w:t>Maximum Incentive Credit for such fiscal year,</w:t>
      </w:r>
    </w:p>
    <w:p>
      <w:pPr>
        <w:spacing w:after="0"/>
        <w:rPr>
          <w:sz w:val="20"/>
          <w:szCs w:val="20"/>
          <w:color w:val="auto"/>
        </w:rPr>
      </w:pPr>
      <w:r>
        <w:rPr>
          <w:rFonts w:ascii="Courier New" w:cs="Courier New" w:eastAsia="Courier New" w:hAnsi="Courier New"/>
          <w:sz w:val="18"/>
          <w:szCs w:val="18"/>
          <w:color w:val="auto"/>
        </w:rPr>
        <w:t>the Maximum Incentive Credit for the fiscal</w:t>
      </w:r>
    </w:p>
    <w:p>
      <w:pPr>
        <w:spacing w:after="0" w:line="237" w:lineRule="auto"/>
        <w:rPr>
          <w:sz w:val="20"/>
          <w:szCs w:val="20"/>
          <w:color w:val="auto"/>
        </w:rPr>
      </w:pPr>
      <w:r>
        <w:rPr>
          <w:rFonts w:ascii="Courier New" w:cs="Courier New" w:eastAsia="Courier New" w:hAnsi="Courier New"/>
          <w:sz w:val="18"/>
          <w:szCs w:val="18"/>
          <w:color w:val="auto"/>
        </w:rPr>
        <w:t>year next succeeding such determination shall</w:t>
      </w:r>
    </w:p>
    <w:p>
      <w:pPr>
        <w:spacing w:after="0" w:line="238" w:lineRule="auto"/>
        <w:rPr>
          <w:sz w:val="20"/>
          <w:szCs w:val="20"/>
          <w:color w:val="auto"/>
        </w:rPr>
      </w:pPr>
      <w:r>
        <w:rPr>
          <w:rFonts w:ascii="Courier New" w:cs="Courier New" w:eastAsia="Courier New" w:hAnsi="Courier New"/>
          <w:sz w:val="18"/>
          <w:szCs w:val="18"/>
          <w:color w:val="auto"/>
        </w:rPr>
        <w:t>be reduced by the amount of such excess.</w:t>
      </w:r>
    </w:p>
    <w:p>
      <w:pPr>
        <w:spacing w:after="0"/>
        <w:rPr>
          <w:sz w:val="20"/>
          <w:szCs w:val="20"/>
          <w:color w:val="auto"/>
        </w:rPr>
      </w:pPr>
      <w:r>
        <w:rPr>
          <w:rFonts w:ascii="Courier New" w:cs="Courier New" w:eastAsia="Courier New" w:hAnsi="Courier New"/>
          <w:sz w:val="18"/>
          <w:szCs w:val="18"/>
          <w:color w:val="auto"/>
        </w:rPr>
        <w:t>Any such excess shall thus be corrected</w:t>
      </w:r>
    </w:p>
    <w:p>
      <w:pPr>
        <w:spacing w:after="0" w:line="237" w:lineRule="auto"/>
        <w:rPr>
          <w:sz w:val="20"/>
          <w:szCs w:val="20"/>
          <w:color w:val="auto"/>
        </w:rPr>
      </w:pPr>
      <w:r>
        <w:rPr>
          <w:rFonts w:ascii="Courier New" w:cs="Courier New" w:eastAsia="Courier New" w:hAnsi="Courier New"/>
          <w:sz w:val="18"/>
          <w:szCs w:val="18"/>
          <w:color w:val="auto"/>
        </w:rPr>
        <w:t>exclusively by adjustments of the amounts</w:t>
      </w:r>
    </w:p>
    <w:p>
      <w:pPr>
        <w:spacing w:after="0"/>
        <w:rPr>
          <w:sz w:val="20"/>
          <w:szCs w:val="20"/>
          <w:color w:val="auto"/>
        </w:rPr>
      </w:pPr>
      <w:r>
        <w:rPr>
          <w:rFonts w:ascii="Courier New" w:cs="Courier New" w:eastAsia="Courier New" w:hAnsi="Courier New"/>
          <w:sz w:val="18"/>
          <w:szCs w:val="18"/>
          <w:color w:val="auto"/>
        </w:rPr>
        <w:t>subsequently available for awards and not</w:t>
      </w:r>
    </w:p>
    <w:p>
      <w:pPr>
        <w:spacing w:after="0" w:line="237" w:lineRule="auto"/>
        <w:rPr>
          <w:sz w:val="20"/>
          <w:szCs w:val="20"/>
          <w:color w:val="auto"/>
        </w:rPr>
      </w:pPr>
      <w:r>
        <w:rPr>
          <w:rFonts w:ascii="Courier New" w:cs="Courier New" w:eastAsia="Courier New" w:hAnsi="Courier New"/>
          <w:sz w:val="18"/>
          <w:szCs w:val="18"/>
          <w:color w:val="auto"/>
        </w:rPr>
        <w:t>by recourse to the Company, the Board of</w:t>
      </w:r>
    </w:p>
    <w:p>
      <w:pPr>
        <w:spacing w:after="0"/>
        <w:rPr>
          <w:sz w:val="20"/>
          <w:szCs w:val="20"/>
          <w:color w:val="auto"/>
        </w:rPr>
      </w:pPr>
      <w:r>
        <w:rPr>
          <w:rFonts w:ascii="Courier New" w:cs="Courier New" w:eastAsia="Courier New" w:hAnsi="Courier New"/>
          <w:sz w:val="18"/>
          <w:szCs w:val="18"/>
          <w:color w:val="auto"/>
        </w:rPr>
        <w:t>Directors, the Committee, any participant or</w:t>
      </w:r>
    </w:p>
    <w:p>
      <w:pPr>
        <w:spacing w:after="0" w:line="237" w:lineRule="auto"/>
        <w:rPr>
          <w:sz w:val="20"/>
          <w:szCs w:val="20"/>
          <w:color w:val="auto"/>
        </w:rPr>
      </w:pPr>
      <w:r>
        <w:rPr>
          <w:rFonts w:ascii="Courier New" w:cs="Courier New" w:eastAsia="Courier New" w:hAnsi="Courier New"/>
          <w:sz w:val="18"/>
          <w:szCs w:val="18"/>
          <w:color w:val="auto"/>
        </w:rPr>
        <w:t>any other person.</w:t>
      </w:r>
    </w:p>
    <w:p>
      <w:pPr>
        <w:spacing w:after="0" w:line="207" w:lineRule="exact"/>
        <w:rPr>
          <w:sz w:val="20"/>
          <w:szCs w:val="20"/>
          <w:color w:val="auto"/>
        </w:rPr>
      </w:pPr>
    </w:p>
    <w:p>
      <w:pPr>
        <w:ind w:right="5259" w:firstLine="851"/>
        <w:spacing w:after="0" w:line="268" w:lineRule="auto"/>
        <w:tabs>
          <w:tab w:leader="none" w:pos="137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prior to the commencement of each fiscal year the Committee may, in the case of certain individuals who have made or have the potential to make extraordinary contributions to</w:t>
      </w:r>
    </w:p>
    <w:p>
      <w:pPr>
        <w:ind w:right="5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growth and profitability of the Company, grant special annual incentive awards for such coming fiscal year (Special Annual Incentive Awards), the payout value of which will be based entirely on goals established in writing by the Committee at the time of grant relating to one or more of the following factors: operating income, cash flow, earnings per share, return on assets, return on equity, operating margins, economic value added (EVA), cash flow margins, shareholder return,cost control and/or other quantitative revenue, growth or profitability measurements, which may be in respect of the Company as a whole, or of any business unit thereof.</w:t>
      </w:r>
    </w:p>
    <w:p>
      <w:pPr>
        <w:spacing w:after="0" w:line="183" w:lineRule="exact"/>
        <w:rPr>
          <w:rFonts w:ascii="Courier New" w:cs="Courier New" w:eastAsia="Courier New" w:hAnsi="Courier New"/>
          <w:sz w:val="16"/>
          <w:szCs w:val="16"/>
          <w:color w:val="auto"/>
        </w:rPr>
      </w:pPr>
    </w:p>
    <w:p>
      <w:pPr>
        <w:ind w:right="5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payout value of any Special Annual Incentive Awards granted with respect to a fiscal year shall not be included in calculating the limit on the aggregate amount of Annual Awards otherwise payable for such fiscal year provided for in paragraph 5(a) above.</w:t>
      </w:r>
    </w:p>
    <w:p>
      <w:pPr>
        <w:spacing w:after="0" w:line="205"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Annual Awards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consistent with</w:t>
      </w:r>
    </w:p>
    <w:p>
      <w:pPr>
        <w:spacing w:after="0" w:line="4" w:lineRule="exact"/>
        <w:rPr>
          <w:sz w:val="20"/>
          <w:szCs w:val="20"/>
          <w:color w:val="auto"/>
        </w:rPr>
      </w:pPr>
    </w:p>
    <w:p>
      <w:pPr>
        <w:ind w:right="5059"/>
        <w:spacing w:after="0" w:line="270" w:lineRule="auto"/>
        <w:rPr>
          <w:sz w:val="20"/>
          <w:szCs w:val="20"/>
          <w:color w:val="auto"/>
        </w:rPr>
      </w:pPr>
      <w:r>
        <w:rPr>
          <w:rFonts w:ascii="Courier New" w:cs="Courier New" w:eastAsia="Courier New" w:hAnsi="Courier New"/>
          <w:sz w:val="16"/>
          <w:szCs w:val="16"/>
          <w:color w:val="auto"/>
        </w:rPr>
        <w:t>all applicable provisions of the Plan, determine the participants to receive Annual Awards for each fiscal year, the amount and the form of each such award, and the other terms and conditions applicable thereto. The aggregate value of the Annual Awards (including the payout value of any Special Annual Incentive Award) payable to any participant with respect to any fiscal year shall not exceed in value the greater of 200% of a participants base earnings in the fiscal year to which such awards apply or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million or, in the case of a participant</w:t>
      </w:r>
    </w:p>
    <w:p>
      <w:pPr>
        <w:spacing w:after="0" w:line="238" w:lineRule="auto"/>
        <w:rPr>
          <w:sz w:val="20"/>
          <w:szCs w:val="20"/>
          <w:color w:val="auto"/>
        </w:rPr>
      </w:pPr>
      <w:r>
        <w:rPr>
          <w:rFonts w:ascii="Courier New" w:cs="Courier New" w:eastAsia="Courier New" w:hAnsi="Courier New"/>
          <w:sz w:val="18"/>
          <w:szCs w:val="18"/>
          <w:color w:val="auto"/>
        </w:rPr>
        <w:t>who is the president or chief executive</w:t>
      </w:r>
    </w:p>
    <w:p>
      <w:pPr>
        <w:spacing w:after="0"/>
        <w:rPr>
          <w:sz w:val="20"/>
          <w:szCs w:val="20"/>
          <w:color w:val="auto"/>
        </w:rPr>
      </w:pPr>
      <w:r>
        <w:rPr>
          <w:rFonts w:ascii="Courier New" w:cs="Courier New" w:eastAsia="Courier New" w:hAnsi="Courier New"/>
          <w:sz w:val="18"/>
          <w:szCs w:val="18"/>
          <w:color w:val="auto"/>
        </w:rPr>
        <w:t>officer of one of the Companys business</w:t>
      </w:r>
    </w:p>
    <w:p>
      <w:pPr>
        <w:spacing w:after="0" w:line="237" w:lineRule="auto"/>
        <w:rPr>
          <w:sz w:val="20"/>
          <w:szCs w:val="20"/>
          <w:color w:val="auto"/>
        </w:rPr>
      </w:pPr>
      <w:r>
        <w:rPr>
          <w:rFonts w:ascii="Courier New" w:cs="Courier New" w:eastAsia="Courier New" w:hAnsi="Courier New"/>
          <w:sz w:val="18"/>
          <w:szCs w:val="18"/>
          <w:color w:val="auto"/>
        </w:rPr>
        <w:t>units (not including the President or Chief</w:t>
      </w:r>
    </w:p>
    <w:p>
      <w:pPr>
        <w:spacing w:after="0" w:line="238" w:lineRule="auto"/>
        <w:rPr>
          <w:sz w:val="20"/>
          <w:szCs w:val="20"/>
          <w:color w:val="auto"/>
        </w:rPr>
      </w:pPr>
      <w:r>
        <w:rPr>
          <w:rFonts w:ascii="Courier New" w:cs="Courier New" w:eastAsia="Courier New" w:hAnsi="Courier New"/>
          <w:sz w:val="18"/>
          <w:szCs w:val="18"/>
          <w:color w:val="auto"/>
        </w:rPr>
        <w:t>Executive Officer of the Company), 1% of</w:t>
      </w:r>
    </w:p>
    <w:p>
      <w:pPr>
        <w:spacing w:after="0"/>
        <w:rPr>
          <w:sz w:val="20"/>
          <w:szCs w:val="20"/>
          <w:color w:val="auto"/>
        </w:rPr>
      </w:pPr>
      <w:r>
        <w:rPr>
          <w:rFonts w:ascii="Courier New" w:cs="Courier New" w:eastAsia="Courier New" w:hAnsi="Courier New"/>
          <w:sz w:val="18"/>
          <w:szCs w:val="18"/>
          <w:color w:val="auto"/>
        </w:rPr>
        <w:t>such business units revenue for the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with respect of which the award is to be paid.</w:t>
      </w:r>
    </w:p>
    <w:p>
      <w:pPr>
        <w:spacing w:after="0" w:line="224" w:lineRule="exact"/>
        <w:rPr>
          <w:sz w:val="20"/>
          <w:szCs w:val="20"/>
          <w:color w:val="auto"/>
        </w:rPr>
      </w:pPr>
    </w:p>
    <w:p>
      <w:pPr>
        <w:ind w:right="4839" w:firstLine="843"/>
        <w:spacing w:after="0" w:line="268" w:lineRule="auto"/>
        <w:rPr>
          <w:sz w:val="20"/>
          <w:szCs w:val="20"/>
          <w:color w:val="auto"/>
        </w:rPr>
      </w:pPr>
      <w:r>
        <w:rPr>
          <w:rFonts w:ascii="Courier New" w:cs="Courier New" w:eastAsia="Courier New" w:hAnsi="Courier New"/>
          <w:sz w:val="16"/>
          <w:szCs w:val="16"/>
          <w:color w:val="auto"/>
        </w:rPr>
        <w:t>In determining the terms and conditions of the Annual Award, the Committee shall, in the case of each participant who is an executive officer of the Company (for purposes of Item 402 of Regulation S-K under the Securities Exchange Act of 1934), establish in writing, not later than</w:t>
      </w:r>
    </w:p>
    <w:p>
      <w:pPr>
        <w:spacing w:after="0" w:line="1" w:lineRule="exact"/>
        <w:rPr>
          <w:sz w:val="20"/>
          <w:szCs w:val="20"/>
          <w:color w:val="auto"/>
        </w:rPr>
      </w:pPr>
    </w:p>
    <w:p>
      <w:pPr>
        <w:ind w:right="4939"/>
        <w:spacing w:after="0" w:line="272" w:lineRule="auto"/>
        <w:rPr>
          <w:sz w:val="20"/>
          <w:szCs w:val="20"/>
          <w:color w:val="auto"/>
        </w:rPr>
      </w:pPr>
      <w:r>
        <w:rPr>
          <w:rFonts w:ascii="Courier New" w:cs="Courier New" w:eastAsia="Courier New" w:hAnsi="Courier New"/>
          <w:sz w:val="16"/>
          <w:szCs w:val="16"/>
          <w:color w:val="auto"/>
        </w:rPr>
        <w:t>90 days after the commencement of the fiscal year, performance goals relating to one or more of the following: operating income, cash flow, earnings per share, return on assets, return on equity, operating margins, economic value added (EVA), cash flow margins, shareholder return, cost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control and/revenue growth measurements, which</w:t>
      </w:r>
    </w:p>
    <w:p>
      <w:pPr>
        <w:spacing w:after="0" w:line="238" w:lineRule="auto"/>
        <w:rPr>
          <w:sz w:val="20"/>
          <w:szCs w:val="20"/>
          <w:color w:val="auto"/>
        </w:rPr>
      </w:pPr>
      <w:r>
        <w:rPr>
          <w:rFonts w:ascii="Courier New" w:cs="Courier New" w:eastAsia="Courier New" w:hAnsi="Courier New"/>
          <w:sz w:val="18"/>
          <w:szCs w:val="18"/>
          <w:color w:val="auto"/>
        </w:rPr>
        <w:t>may be in respect of the Company, as a whole, or</w:t>
      </w:r>
    </w:p>
    <w:p>
      <w:pPr>
        <w:spacing w:after="0"/>
        <w:rPr>
          <w:sz w:val="20"/>
          <w:szCs w:val="20"/>
          <w:color w:val="auto"/>
        </w:rPr>
      </w:pPr>
      <w:r>
        <w:rPr>
          <w:rFonts w:ascii="Courier New" w:cs="Courier New" w:eastAsia="Courier New" w:hAnsi="Courier New"/>
          <w:sz w:val="18"/>
          <w:szCs w:val="18"/>
          <w:color w:val="auto"/>
        </w:rPr>
        <w:t>any business unit thereof, which will have to be</w:t>
      </w:r>
    </w:p>
    <w:p>
      <w:pPr>
        <w:spacing w:after="0" w:line="237" w:lineRule="auto"/>
        <w:rPr>
          <w:sz w:val="20"/>
          <w:szCs w:val="20"/>
          <w:color w:val="auto"/>
        </w:rPr>
      </w:pPr>
      <w:r>
        <w:rPr>
          <w:rFonts w:ascii="Courier New" w:cs="Courier New" w:eastAsia="Courier New" w:hAnsi="Courier New"/>
          <w:sz w:val="18"/>
          <w:szCs w:val="18"/>
          <w:color w:val="auto"/>
        </w:rPr>
        <w:t>achieved if such executive officer is to</w:t>
      </w:r>
    </w:p>
    <w:p>
      <w:pPr>
        <w:spacing w:after="0" w:line="238" w:lineRule="auto"/>
        <w:rPr>
          <w:sz w:val="20"/>
          <w:szCs w:val="20"/>
          <w:color w:val="auto"/>
        </w:rPr>
      </w:pPr>
      <w:r>
        <w:rPr>
          <w:rFonts w:ascii="Courier New" w:cs="Courier New" w:eastAsia="Courier New" w:hAnsi="Courier New"/>
          <w:sz w:val="18"/>
          <w:szCs w:val="18"/>
          <w:color w:val="auto"/>
        </w:rPr>
        <w:t>receive payment for an Annual Award.</w:t>
      </w:r>
    </w:p>
    <w:p>
      <w:pPr>
        <w:spacing w:after="0" w:line="200" w:lineRule="exact"/>
        <w:rPr>
          <w:sz w:val="20"/>
          <w:szCs w:val="20"/>
          <w:color w:val="auto"/>
        </w:rPr>
      </w:pPr>
    </w:p>
    <w:p>
      <w:pPr>
        <w:spacing w:after="0" w:line="210" w:lineRule="exact"/>
        <w:rPr>
          <w:sz w:val="20"/>
          <w:szCs w:val="20"/>
          <w:color w:val="auto"/>
        </w:rPr>
      </w:pPr>
    </w:p>
    <w:p>
      <w:pPr>
        <w:ind w:left="860" w:right="483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Payment of Annual Awards and Time of Payment</w:t>
      </w:r>
    </w:p>
    <w:p>
      <w:pPr>
        <w:spacing w:after="0" w:line="208"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Annual Awards shall be made in cash.</w:t>
      </w:r>
    </w:p>
    <w:p>
      <w:pPr>
        <w:spacing w:after="0" w:line="223" w:lineRule="exact"/>
        <w:rPr>
          <w:rFonts w:ascii="Courier New" w:cs="Courier New" w:eastAsia="Courier New" w:hAnsi="Courier New"/>
          <w:sz w:val="16"/>
          <w:szCs w:val="16"/>
          <w:color w:val="auto"/>
        </w:rPr>
      </w:pPr>
    </w:p>
    <w:p>
      <w:pPr>
        <w:ind w:right="4839" w:firstLine="851"/>
        <w:spacing w:after="0" w:line="237" w:lineRule="auto"/>
        <w:tabs>
          <w:tab w:leader="none" w:pos="137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208" w:lineRule="exact"/>
        <w:rPr>
          <w:rFonts w:ascii="Courier New" w:cs="Courier New" w:eastAsia="Courier New" w:hAnsi="Courier New"/>
          <w:sz w:val="18"/>
          <w:szCs w:val="18"/>
          <w:color w:val="auto"/>
        </w:rPr>
      </w:pPr>
    </w:p>
    <w:p>
      <w:pPr>
        <w:ind w:right="5159" w:firstLine="851"/>
        <w:spacing w:after="0" w:line="268" w:lineRule="auto"/>
        <w:tabs>
          <w:tab w:leader="none" w:pos="137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in its sole discretion, establish terms and conditions under which a participant may elect to defer the payment of an award in whole or in part pursuant</w:t>
      </w:r>
    </w:p>
    <w:p>
      <w:pPr>
        <w:ind w:right="47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terms of The Washington Post Company Deferred Compensation Plan (the Deferred Compensation Plan).</w:t>
      </w:r>
    </w:p>
    <w:p>
      <w:pPr>
        <w:spacing w:after="0" w:line="20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Incentive Award Cycles; Awards</w:t>
      </w:r>
    </w:p>
    <w:p>
      <w:pPr>
        <w:spacing w:after="0" w:line="206" w:lineRule="exact"/>
        <w:rPr>
          <w:rFonts w:ascii="Courier New" w:cs="Courier New" w:eastAsia="Courier New" w:hAnsi="Courier New"/>
          <w:sz w:val="18"/>
          <w:szCs w:val="18"/>
          <w:color w:val="auto"/>
        </w:rPr>
      </w:pPr>
    </w:p>
    <w:p>
      <w:pPr>
        <w:ind w:right="4939" w:firstLine="851"/>
        <w:spacing w:after="0" w:line="268" w:lineRule="auto"/>
        <w:tabs>
          <w:tab w:leader="none" w:pos="137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w:t>
      </w:r>
    </w:p>
    <w:p>
      <w:pPr>
        <w:spacing w:after="0" w:line="1" w:lineRule="exact"/>
        <w:rPr>
          <w:rFonts w:ascii="Courier New" w:cs="Courier New" w:eastAsia="Courier New" w:hAnsi="Courier New"/>
          <w:sz w:val="16"/>
          <w:szCs w:val="16"/>
          <w:color w:val="auto"/>
        </w:rPr>
      </w:pPr>
    </w:p>
    <w:p>
      <w:pPr>
        <w:ind w:right="5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204" w:lineRule="exact"/>
        <w:rPr>
          <w:rFonts w:ascii="Courier New" w:cs="Courier New" w:eastAsia="Courier New" w:hAnsi="Courier New"/>
          <w:sz w:val="16"/>
          <w:szCs w:val="16"/>
          <w:color w:val="auto"/>
        </w:rPr>
      </w:pPr>
    </w:p>
    <w:p>
      <w:pPr>
        <w:ind w:left="1380" w:hanging="529"/>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Award Cycle, the</w:t>
      </w:r>
    </w:p>
    <w:p>
      <w:pPr>
        <w:spacing w:after="0" w:line="238" w:lineRule="auto"/>
        <w:rPr>
          <w:sz w:val="20"/>
          <w:szCs w:val="20"/>
          <w:color w:val="auto"/>
        </w:rPr>
      </w:pPr>
      <w:r>
        <w:rPr>
          <w:rFonts w:ascii="Courier New" w:cs="Courier New" w:eastAsia="Courier New" w:hAnsi="Courier New"/>
          <w:sz w:val="18"/>
          <w:szCs w:val="18"/>
          <w:color w:val="auto"/>
        </w:rPr>
        <w:t>Committee shall (i) designate, subject to</w:t>
      </w:r>
    </w:p>
    <w:p>
      <w:pPr>
        <w:spacing w:after="0"/>
        <w:rPr>
          <w:sz w:val="20"/>
          <w:szCs w:val="20"/>
          <w:color w:val="auto"/>
        </w:rPr>
      </w:pPr>
      <w:r>
        <w:rPr>
          <w:rFonts w:ascii="Courier New" w:cs="Courier New" w:eastAsia="Courier New" w:hAnsi="Courier New"/>
          <w:sz w:val="18"/>
          <w:szCs w:val="18"/>
          <w:color w:val="auto"/>
        </w:rPr>
        <w:t>paragraph 10(a), the participants who are to</w:t>
      </w:r>
    </w:p>
    <w:p>
      <w:pPr>
        <w:spacing w:after="0" w:line="237" w:lineRule="auto"/>
        <w:rPr>
          <w:sz w:val="20"/>
          <w:szCs w:val="20"/>
          <w:color w:val="auto"/>
        </w:rPr>
      </w:pPr>
      <w:r>
        <w:rPr>
          <w:rFonts w:ascii="Courier New" w:cs="Courier New" w:eastAsia="Courier New" w:hAnsi="Courier New"/>
          <w:sz w:val="18"/>
          <w:szCs w:val="18"/>
          <w:color w:val="auto"/>
        </w:rPr>
        <w:t>receive awards of Performance Units for such</w:t>
      </w:r>
    </w:p>
    <w:p>
      <w:pPr>
        <w:spacing w:after="0" w:line="238" w:lineRule="auto"/>
        <w:rPr>
          <w:sz w:val="20"/>
          <w:szCs w:val="20"/>
          <w:color w:val="auto"/>
        </w:rPr>
      </w:pPr>
      <w:r>
        <w:rPr>
          <w:rFonts w:ascii="Courier New" w:cs="Courier New" w:eastAsia="Courier New" w:hAnsi="Courier New"/>
          <w:sz w:val="18"/>
          <w:szCs w:val="18"/>
          <w:color w:val="auto"/>
        </w:rPr>
        <w:t>Award Cycle and the number of Performance</w:t>
      </w:r>
    </w:p>
    <w:p>
      <w:pPr>
        <w:spacing w:after="0"/>
        <w:rPr>
          <w:sz w:val="20"/>
          <w:szCs w:val="20"/>
          <w:color w:val="auto"/>
        </w:rPr>
      </w:pPr>
      <w:r>
        <w:rPr>
          <w:rFonts w:ascii="Courier New" w:cs="Courier New" w:eastAsia="Courier New" w:hAnsi="Courier New"/>
          <w:sz w:val="18"/>
          <w:szCs w:val="18"/>
          <w:color w:val="auto"/>
        </w:rPr>
        <w:t>Units awarded to each such participant, and</w:t>
      </w:r>
    </w:p>
    <w:p>
      <w:pPr>
        <w:spacing w:after="0" w:line="206" w:lineRule="exact"/>
        <w:rPr>
          <w:sz w:val="20"/>
          <w:szCs w:val="20"/>
          <w:color w:val="auto"/>
        </w:rPr>
      </w:pPr>
    </w:p>
    <w:p>
      <w:pPr>
        <w:ind w:right="5359" w:firstLine="8"/>
        <w:spacing w:after="0" w:line="275" w:lineRule="auto"/>
        <w:tabs>
          <w:tab w:leader="none" w:pos="8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subject to paragraph 10(b), the method for determining at the end of such Award Cycle the value of a Performance Unit awarded at the beginning of such Award Cycle.</w:t>
      </w:r>
    </w:p>
    <w:p>
      <w:pPr>
        <w:spacing w:after="0" w:line="182" w:lineRule="exact"/>
        <w:rPr>
          <w:rFonts w:ascii="Courier New" w:cs="Courier New" w:eastAsia="Courier New" w:hAnsi="Courier New"/>
          <w:sz w:val="16"/>
          <w:szCs w:val="16"/>
          <w:color w:val="auto"/>
        </w:rPr>
      </w:pPr>
    </w:p>
    <w:p>
      <w:pPr>
        <w:ind w:right="4939" w:firstLine="851"/>
        <w:spacing w:after="0" w:line="268" w:lineRule="auto"/>
        <w:tabs>
          <w:tab w:leader="none" w:pos="126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from time to time the Committee may deem it desirable to grant long-term incentive awards not based on an Award Cycle established under paragraph 8(a) and the Committee shall have the discretion to (A) designate the participants who are to receive such awards and</w:t>
      </w:r>
    </w:p>
    <w:p>
      <w:pPr>
        <w:spacing w:after="0" w:line="1" w:lineRule="exact"/>
        <w:rPr>
          <w:rFonts w:ascii="Courier New" w:cs="Courier New" w:eastAsia="Courier New" w:hAnsi="Courier New"/>
          <w:sz w:val="16"/>
          <w:szCs w:val="16"/>
          <w:color w:val="auto"/>
        </w:rPr>
      </w:pPr>
    </w:p>
    <w:p>
      <w:pPr>
        <w:ind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establish such terms and conditions applicable to such long-term incentive awards (Special</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Long Term Incentive Award).</w:t>
      </w:r>
    </w:p>
    <w:p>
      <w:pPr>
        <w:spacing w:after="0" w:line="202"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right="5159" w:firstLine="851"/>
        <w:spacing w:after="0" w:line="270" w:lineRule="auto"/>
        <w:tabs>
          <w:tab w:leader="none" w:pos="137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w:t>
      </w:r>
    </w:p>
    <w:p>
      <w:pPr>
        <w:spacing w:after="0" w:line="182"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than six years from the date of the award</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of Restricted Stock to which it relates.</w:t>
      </w:r>
    </w:p>
    <w:p>
      <w:pPr>
        <w:spacing w:after="0" w:line="238" w:lineRule="auto"/>
        <w:rPr>
          <w:sz w:val="20"/>
          <w:szCs w:val="20"/>
          <w:color w:val="auto"/>
        </w:rPr>
      </w:pPr>
      <w:r>
        <w:rPr>
          <w:rFonts w:ascii="Courier New" w:cs="Courier New" w:eastAsia="Courier New" w:hAnsi="Courier New"/>
          <w:sz w:val="18"/>
          <w:szCs w:val="18"/>
          <w:color w:val="auto"/>
        </w:rPr>
        <w:t>If the Committee so determines, a single award</w:t>
      </w:r>
    </w:p>
    <w:p>
      <w:pPr>
        <w:spacing w:after="0"/>
        <w:rPr>
          <w:sz w:val="20"/>
          <w:szCs w:val="20"/>
          <w:color w:val="auto"/>
        </w:rPr>
      </w:pPr>
      <w:r>
        <w:rPr>
          <w:rFonts w:ascii="Courier New" w:cs="Courier New" w:eastAsia="Courier New" w:hAnsi="Courier New"/>
          <w:sz w:val="18"/>
          <w:szCs w:val="18"/>
          <w:color w:val="auto"/>
        </w:rPr>
        <w:t>of Restricted Stock can provide for more than</w:t>
      </w:r>
    </w:p>
    <w:p>
      <w:pPr>
        <w:spacing w:after="0" w:line="237" w:lineRule="auto"/>
        <w:rPr>
          <w:sz w:val="20"/>
          <w:szCs w:val="20"/>
          <w:color w:val="auto"/>
        </w:rPr>
      </w:pPr>
      <w:r>
        <w:rPr>
          <w:rFonts w:ascii="Courier New" w:cs="Courier New" w:eastAsia="Courier New" w:hAnsi="Courier New"/>
          <w:sz w:val="18"/>
          <w:szCs w:val="18"/>
          <w:color w:val="auto"/>
        </w:rPr>
        <w:t>one Vesting Date with a portion of the full award</w:t>
      </w:r>
    </w:p>
    <w:p>
      <w:pPr>
        <w:spacing w:after="0"/>
        <w:tabs>
          <w:tab w:leader="none" w:pos="4300" w:val="left"/>
        </w:tabs>
        <w:rPr>
          <w:sz w:val="20"/>
          <w:szCs w:val="20"/>
          <w:color w:val="auto"/>
        </w:rPr>
      </w:pPr>
      <w:r>
        <w:rPr>
          <w:rFonts w:ascii="Courier New" w:cs="Courier New" w:eastAsia="Courier New" w:hAnsi="Courier New"/>
          <w:sz w:val="18"/>
          <w:szCs w:val="18"/>
          <w:color w:val="auto"/>
        </w:rPr>
        <w:t>to vest on each specified Vesting Date.</w:t>
      </w:r>
      <w:r>
        <w:rPr>
          <w:sz w:val="20"/>
          <w:szCs w:val="20"/>
          <w:color w:val="auto"/>
        </w:rPr>
        <w:tab/>
      </w:r>
      <w:r>
        <w:rPr>
          <w:rFonts w:ascii="Courier New" w:cs="Courier New" w:eastAsia="Courier New" w:hAnsi="Courier New"/>
          <w:sz w:val="16"/>
          <w:szCs w:val="16"/>
          <w:color w:val="auto"/>
        </w:rPr>
        <w:t>To each</w:t>
      </w:r>
    </w:p>
    <w:p>
      <w:pPr>
        <w:spacing w:after="0"/>
        <w:rPr>
          <w:sz w:val="20"/>
          <w:szCs w:val="20"/>
          <w:color w:val="auto"/>
        </w:rPr>
      </w:pPr>
      <w:r>
        <w:rPr>
          <w:rFonts w:ascii="Courier New" w:cs="Courier New" w:eastAsia="Courier New" w:hAnsi="Courier New"/>
          <w:sz w:val="18"/>
          <w:szCs w:val="18"/>
          <w:color w:val="auto"/>
        </w:rPr>
        <w:t>participant designated to receive an award of</w:t>
      </w:r>
    </w:p>
    <w:p>
      <w:pPr>
        <w:spacing w:after="0" w:line="237" w:lineRule="auto"/>
        <w:rPr>
          <w:sz w:val="20"/>
          <w:szCs w:val="20"/>
          <w:color w:val="auto"/>
        </w:rPr>
      </w:pPr>
      <w:r>
        <w:rPr>
          <w:rFonts w:ascii="Courier New" w:cs="Courier New" w:eastAsia="Courier New" w:hAnsi="Courier New"/>
          <w:sz w:val="18"/>
          <w:szCs w:val="18"/>
          <w:color w:val="auto"/>
        </w:rPr>
        <w:t>Restricted Stock, there shall be (1) issued</w:t>
      </w:r>
    </w:p>
    <w:p>
      <w:pPr>
        <w:spacing w:after="0"/>
        <w:rPr>
          <w:sz w:val="20"/>
          <w:szCs w:val="20"/>
          <w:color w:val="auto"/>
        </w:rPr>
      </w:pPr>
      <w:r>
        <w:rPr>
          <w:rFonts w:ascii="Courier New" w:cs="Courier New" w:eastAsia="Courier New" w:hAnsi="Courier New"/>
          <w:sz w:val="18"/>
          <w:szCs w:val="18"/>
          <w:color w:val="auto"/>
        </w:rPr>
        <w:t>(subject to subparagraph (b) below) a stock</w:t>
      </w:r>
    </w:p>
    <w:p>
      <w:pPr>
        <w:spacing w:after="0" w:line="237" w:lineRule="auto"/>
        <w:rPr>
          <w:sz w:val="20"/>
          <w:szCs w:val="20"/>
          <w:color w:val="auto"/>
        </w:rPr>
      </w:pPr>
      <w:r>
        <w:rPr>
          <w:rFonts w:ascii="Courier New" w:cs="Courier New" w:eastAsia="Courier New" w:hAnsi="Courier New"/>
          <w:sz w:val="18"/>
          <w:szCs w:val="18"/>
          <w:color w:val="auto"/>
        </w:rPr>
        <w:t>certificate, registered in the name of such</w:t>
      </w:r>
    </w:p>
    <w:p>
      <w:pPr>
        <w:spacing w:after="0"/>
        <w:rPr>
          <w:sz w:val="20"/>
          <w:szCs w:val="20"/>
          <w:color w:val="auto"/>
        </w:rPr>
      </w:pPr>
      <w:r>
        <w:rPr>
          <w:rFonts w:ascii="Courier New" w:cs="Courier New" w:eastAsia="Courier New" w:hAnsi="Courier New"/>
          <w:sz w:val="18"/>
          <w:szCs w:val="18"/>
          <w:color w:val="auto"/>
        </w:rPr>
        <w:t>participant, or (2) a book entry made in the</w:t>
      </w:r>
    </w:p>
    <w:p>
      <w:pPr>
        <w:spacing w:after="0" w:line="237" w:lineRule="auto"/>
        <w:rPr>
          <w:sz w:val="20"/>
          <w:szCs w:val="20"/>
          <w:color w:val="auto"/>
        </w:rPr>
      </w:pPr>
      <w:r>
        <w:rPr>
          <w:rFonts w:ascii="Courier New" w:cs="Courier New" w:eastAsia="Courier New" w:hAnsi="Courier New"/>
          <w:sz w:val="18"/>
          <w:szCs w:val="18"/>
          <w:color w:val="auto"/>
        </w:rPr>
        <w:t>name of such participant, in each case</w:t>
      </w:r>
    </w:p>
    <w:p>
      <w:pPr>
        <w:spacing w:after="0" w:line="238" w:lineRule="auto"/>
        <w:rPr>
          <w:sz w:val="20"/>
          <w:szCs w:val="20"/>
          <w:color w:val="auto"/>
        </w:rPr>
      </w:pPr>
      <w:r>
        <w:rPr>
          <w:rFonts w:ascii="Courier New" w:cs="Courier New" w:eastAsia="Courier New" w:hAnsi="Courier New"/>
          <w:sz w:val="18"/>
          <w:szCs w:val="18"/>
          <w:color w:val="auto"/>
        </w:rPr>
        <w:t>representing such number of shares of Restricted</w:t>
      </w:r>
    </w:p>
    <w:p>
      <w:pPr>
        <w:spacing w:after="0"/>
        <w:rPr>
          <w:sz w:val="20"/>
          <w:szCs w:val="20"/>
          <w:color w:val="auto"/>
        </w:rPr>
      </w:pPr>
      <w:r>
        <w:rPr>
          <w:rFonts w:ascii="Courier New" w:cs="Courier New" w:eastAsia="Courier New" w:hAnsi="Courier New"/>
          <w:sz w:val="18"/>
          <w:szCs w:val="18"/>
          <w:color w:val="auto"/>
        </w:rPr>
        <w:t>Stock awarded to such participant; provided,</w:t>
      </w:r>
    </w:p>
    <w:p>
      <w:pPr>
        <w:spacing w:after="0" w:line="237" w:lineRule="auto"/>
        <w:rPr>
          <w:sz w:val="20"/>
          <w:szCs w:val="20"/>
          <w:color w:val="auto"/>
        </w:rPr>
      </w:pPr>
      <w:r>
        <w:rPr>
          <w:rFonts w:ascii="Courier New" w:cs="Courier New" w:eastAsia="Courier New" w:hAnsi="Courier New"/>
          <w:sz w:val="18"/>
          <w:szCs w:val="18"/>
          <w:color w:val="auto"/>
        </w:rPr>
        <w:t>however, that at any time, not more than 10,000</w:t>
      </w:r>
    </w:p>
    <w:p>
      <w:pPr>
        <w:spacing w:after="0"/>
        <w:rPr>
          <w:sz w:val="20"/>
          <w:szCs w:val="20"/>
          <w:color w:val="auto"/>
        </w:rPr>
      </w:pPr>
      <w:r>
        <w:rPr>
          <w:rFonts w:ascii="Courier New" w:cs="Courier New" w:eastAsia="Courier New" w:hAnsi="Courier New"/>
          <w:sz w:val="18"/>
          <w:szCs w:val="18"/>
          <w:color w:val="auto"/>
        </w:rPr>
        <w:t>share of Restricted Stock may be awarded</w:t>
      </w:r>
    </w:p>
    <w:p>
      <w:pPr>
        <w:spacing w:after="0" w:line="237" w:lineRule="auto"/>
        <w:rPr>
          <w:sz w:val="20"/>
          <w:szCs w:val="20"/>
          <w:color w:val="auto"/>
        </w:rPr>
      </w:pPr>
      <w:r>
        <w:rPr>
          <w:rFonts w:ascii="Courier New" w:cs="Courier New" w:eastAsia="Courier New" w:hAnsi="Courier New"/>
          <w:sz w:val="18"/>
          <w:szCs w:val="18"/>
          <w:color w:val="auto"/>
        </w:rPr>
        <w:t>to any participant under all outstanding awards</w:t>
      </w:r>
    </w:p>
    <w:p>
      <w:pPr>
        <w:spacing w:after="0"/>
        <w:rPr>
          <w:sz w:val="20"/>
          <w:szCs w:val="20"/>
          <w:color w:val="auto"/>
        </w:rPr>
      </w:pPr>
      <w:r>
        <w:rPr>
          <w:rFonts w:ascii="Courier New" w:cs="Courier New" w:eastAsia="Courier New" w:hAnsi="Courier New"/>
          <w:sz w:val="18"/>
          <w:szCs w:val="18"/>
          <w:color w:val="auto"/>
        </w:rPr>
        <w:t>of Restricted Stock.</w:t>
      </w:r>
    </w:p>
    <w:p>
      <w:pPr>
        <w:spacing w:after="0" w:line="206" w:lineRule="exact"/>
        <w:rPr>
          <w:sz w:val="20"/>
          <w:szCs w:val="20"/>
          <w:color w:val="auto"/>
        </w:rPr>
      </w:pPr>
    </w:p>
    <w:p>
      <w:pPr>
        <w:ind w:right="5159" w:firstLine="851"/>
        <w:spacing w:after="0" w:line="268" w:lineRule="auto"/>
        <w:tabs>
          <w:tab w:leader="none" w:pos="137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effective date of a Restricted Stock award, each recipient of such an award shall deliver to the Company</w:t>
      </w:r>
    </w:p>
    <w:p>
      <w:pPr>
        <w:ind w:right="505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 (a) above to be made in the name of the participant on the books of the Company. The failure of a participant to return such agreement and stock power within such 30-day period without cause shall result</w:t>
      </w:r>
    </w:p>
    <w:p>
      <w:pPr>
        <w:spacing w:after="0" w:line="183" w:lineRule="exact"/>
        <w:rPr>
          <w:rFonts w:ascii="Courier New" w:cs="Courier New" w:eastAsia="Courier New" w:hAnsi="Courier New"/>
          <w:sz w:val="16"/>
          <w:szCs w:val="16"/>
          <w:color w:val="auto"/>
        </w:rPr>
      </w:pPr>
    </w:p>
    <w:p>
      <w:pPr>
        <w:ind w:right="5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cancellation of the Restricted Stock Award to such participant, and no stock certificate therefor shall be issued in the participants name or book entry be made in the participants name.</w:t>
      </w:r>
    </w:p>
    <w:p>
      <w:pPr>
        <w:spacing w:after="0" w:line="208" w:lineRule="exact"/>
        <w:rPr>
          <w:rFonts w:ascii="Courier New" w:cs="Courier New" w:eastAsia="Courier New" w:hAnsi="Courier New"/>
          <w:sz w:val="16"/>
          <w:szCs w:val="16"/>
          <w:color w:val="auto"/>
        </w:rPr>
      </w:pPr>
    </w:p>
    <w:p>
      <w:pPr>
        <w:ind w:right="5159" w:firstLine="851"/>
        <w:spacing w:after="0" w:line="237" w:lineRule="auto"/>
        <w:tabs>
          <w:tab w:leader="none" w:pos="137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Restricted Stock Agreement accompanying an award of Restricted Stock shall contain the following provisions, as applicable, together with such other provisions as the Committee shall determine:</w:t>
      </w:r>
    </w:p>
    <w:p>
      <w:pPr>
        <w:spacing w:after="0" w:line="209" w:lineRule="exact"/>
        <w:rPr>
          <w:sz w:val="20"/>
          <w:szCs w:val="20"/>
          <w:color w:val="auto"/>
        </w:rPr>
      </w:pPr>
    </w:p>
    <w:p>
      <w:pPr>
        <w:ind w:right="4939" w:firstLine="8"/>
        <w:spacing w:after="0" w:line="273"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184" w:lineRule="exact"/>
        <w:rPr>
          <w:rFonts w:ascii="Courier New" w:cs="Courier New" w:eastAsia="Courier New" w:hAnsi="Courier New"/>
          <w:sz w:val="16"/>
          <w:szCs w:val="16"/>
          <w:color w:val="auto"/>
        </w:rPr>
      </w:pPr>
    </w:p>
    <w:p>
      <w:pPr>
        <w:ind w:right="4939" w:firstLine="8"/>
        <w:spacing w:after="0" w:line="268" w:lineRule="auto"/>
        <w:tabs>
          <w:tab w:leader="none" w:pos="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w:t>
      </w:r>
    </w:p>
    <w:p>
      <w:pPr>
        <w:spacing w:after="0" w:line="1" w:lineRule="exact"/>
        <w:rPr>
          <w:rFonts w:ascii="Courier New" w:cs="Courier New" w:eastAsia="Courier New" w:hAnsi="Courier New"/>
          <w:sz w:val="16"/>
          <w:szCs w:val="16"/>
          <w:color w:val="auto"/>
        </w:rPr>
      </w:pPr>
    </w:p>
    <w:p>
      <w:pPr>
        <w:ind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Vesting Date. In the event that the participant takes one or more unpaid leave(s) of absence where the leave is greater than 90 days in duration at any time before an award of Restricted Stock has vested, the Vesting Date or Dates for such grant shall be extended by a period equal</w:t>
      </w:r>
    </w:p>
    <w:p>
      <w:pPr>
        <w:spacing w:after="0" w:line="1" w:lineRule="exact"/>
        <w:rPr>
          <w:rFonts w:ascii="Courier New" w:cs="Courier New" w:eastAsia="Courier New" w:hAnsi="Courier New"/>
          <w:sz w:val="16"/>
          <w:szCs w:val="16"/>
          <w:color w:val="auto"/>
        </w:rPr>
      </w:pPr>
    </w:p>
    <w:p>
      <w:pPr>
        <w:ind w:right="4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aggregate number of days that the participant was out on such leave(s) of absence (the Extended Vesting Date(s)) and the restrictions set forth</w:t>
      </w:r>
    </w:p>
    <w:p>
      <w:pPr>
        <w:ind w:right="50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subparagraph (c)(i) above shall then terminate on such Extended Vesting Date or Dates.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any of the foregoing, in the</w:t>
      </w:r>
    </w:p>
    <w:p>
      <w:pPr>
        <w:spacing w:after="0" w:line="238" w:lineRule="auto"/>
        <w:rPr>
          <w:sz w:val="20"/>
          <w:szCs w:val="20"/>
          <w:color w:val="auto"/>
        </w:rPr>
      </w:pPr>
      <w:r>
        <w:rPr>
          <w:rFonts w:ascii="Courier New" w:cs="Courier New" w:eastAsia="Courier New" w:hAnsi="Courier New"/>
          <w:sz w:val="18"/>
          <w:szCs w:val="18"/>
          <w:color w:val="auto"/>
        </w:rPr>
        <w:t>case of a participant who is an executive</w:t>
      </w:r>
    </w:p>
    <w:p>
      <w:pPr>
        <w:spacing w:after="0"/>
        <w:rPr>
          <w:sz w:val="20"/>
          <w:szCs w:val="20"/>
          <w:color w:val="auto"/>
        </w:rPr>
      </w:pPr>
      <w:r>
        <w:rPr>
          <w:rFonts w:ascii="Courier New" w:cs="Courier New" w:eastAsia="Courier New" w:hAnsi="Courier New"/>
          <w:sz w:val="18"/>
          <w:szCs w:val="18"/>
          <w:color w:val="auto"/>
        </w:rPr>
        <w:t>officer of the Company at the time of the</w:t>
      </w:r>
    </w:p>
    <w:p>
      <w:pPr>
        <w:spacing w:after="0" w:line="237" w:lineRule="auto"/>
        <w:rPr>
          <w:sz w:val="20"/>
          <w:szCs w:val="20"/>
          <w:color w:val="auto"/>
        </w:rPr>
      </w:pPr>
      <w:r>
        <w:rPr>
          <w:rFonts w:ascii="Courier New" w:cs="Courier New" w:eastAsia="Courier New" w:hAnsi="Courier New"/>
          <w:sz w:val="18"/>
          <w:szCs w:val="18"/>
          <w:color w:val="auto"/>
        </w:rPr>
        <w:t>award, the Committee shall, prior to the</w:t>
      </w:r>
    </w:p>
    <w:p>
      <w:pPr>
        <w:spacing w:after="0" w:line="238" w:lineRule="auto"/>
        <w:rPr>
          <w:sz w:val="20"/>
          <w:szCs w:val="20"/>
          <w:color w:val="auto"/>
        </w:rPr>
      </w:pPr>
      <w:r>
        <w:rPr>
          <w:rFonts w:ascii="Courier New" w:cs="Courier New" w:eastAsia="Courier New" w:hAnsi="Courier New"/>
          <w:sz w:val="18"/>
          <w:szCs w:val="18"/>
          <w:color w:val="auto"/>
        </w:rPr>
        <w:t>effective date of Restricted Stock Award,</w:t>
      </w:r>
    </w:p>
    <w:p>
      <w:pPr>
        <w:spacing w:after="0"/>
        <w:rPr>
          <w:sz w:val="20"/>
          <w:szCs w:val="20"/>
          <w:color w:val="auto"/>
        </w:rPr>
      </w:pPr>
      <w:r>
        <w:rPr>
          <w:rFonts w:ascii="Courier New" w:cs="Courier New" w:eastAsia="Courier New" w:hAnsi="Courier New"/>
          <w:sz w:val="18"/>
          <w:szCs w:val="18"/>
          <w:color w:val="auto"/>
        </w:rPr>
        <w:t>establish in writing a formula based on one or</w:t>
      </w:r>
    </w:p>
    <w:p>
      <w:pPr>
        <w:spacing w:after="0"/>
        <w:tabs>
          <w:tab w:leader="none" w:pos="2520" w:val="left"/>
        </w:tabs>
        <w:rPr>
          <w:sz w:val="20"/>
          <w:szCs w:val="20"/>
          <w:color w:val="auto"/>
        </w:rPr>
      </w:pPr>
      <w:r>
        <w:rPr>
          <w:rFonts w:ascii="Courier New" w:cs="Courier New" w:eastAsia="Courier New" w:hAnsi="Courier New"/>
          <w:sz w:val="18"/>
          <w:szCs w:val="18"/>
          <w:color w:val="auto"/>
        </w:rPr>
        <w:t>more of the following:</w:t>
      </w:r>
      <w:r>
        <w:rPr>
          <w:sz w:val="20"/>
          <w:szCs w:val="20"/>
          <w:color w:val="auto"/>
        </w:rPr>
        <w:tab/>
      </w:r>
      <w:r>
        <w:rPr>
          <w:rFonts w:ascii="Courier New" w:cs="Courier New" w:eastAsia="Courier New" w:hAnsi="Courier New"/>
          <w:sz w:val="16"/>
          <w:szCs w:val="16"/>
          <w:color w:val="auto"/>
        </w:rPr>
        <w:t>cash flow, operating</w:t>
      </w:r>
    </w:p>
    <w:p>
      <w:pPr>
        <w:spacing w:after="0"/>
        <w:rPr>
          <w:sz w:val="20"/>
          <w:szCs w:val="20"/>
          <w:color w:val="auto"/>
        </w:rPr>
      </w:pPr>
      <w:r>
        <w:rPr>
          <w:rFonts w:ascii="Courier New" w:cs="Courier New" w:eastAsia="Courier New" w:hAnsi="Courier New"/>
          <w:sz w:val="18"/>
          <w:szCs w:val="18"/>
          <w:color w:val="auto"/>
        </w:rPr>
        <w:t>income, earnings per share, economic value</w:t>
      </w:r>
    </w:p>
    <w:p>
      <w:pPr>
        <w:spacing w:after="0" w:line="237" w:lineRule="auto"/>
        <w:rPr>
          <w:sz w:val="20"/>
          <w:szCs w:val="20"/>
          <w:color w:val="auto"/>
        </w:rPr>
      </w:pPr>
      <w:r>
        <w:rPr>
          <w:rFonts w:ascii="Courier New" w:cs="Courier New" w:eastAsia="Courier New" w:hAnsi="Courier New"/>
          <w:sz w:val="18"/>
          <w:szCs w:val="18"/>
          <w:color w:val="auto"/>
        </w:rPr>
        <w:t>added (EVA), return on assets, total</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return on equity of the Company, operating</w:t>
      </w:r>
    </w:p>
    <w:p>
      <w:pPr>
        <w:spacing w:after="0" w:line="238" w:lineRule="auto"/>
        <w:rPr>
          <w:sz w:val="20"/>
          <w:szCs w:val="20"/>
          <w:color w:val="auto"/>
        </w:rPr>
      </w:pPr>
      <w:r>
        <w:rPr>
          <w:rFonts w:ascii="Courier New" w:cs="Courier New" w:eastAsia="Courier New" w:hAnsi="Courier New"/>
          <w:sz w:val="18"/>
          <w:szCs w:val="18"/>
          <w:color w:val="auto"/>
        </w:rPr>
        <w:t>margins, cash flow margins, shareholder return,</w:t>
      </w:r>
    </w:p>
    <w:p>
      <w:pPr>
        <w:spacing w:after="0"/>
        <w:rPr>
          <w:sz w:val="20"/>
          <w:szCs w:val="20"/>
          <w:color w:val="auto"/>
        </w:rPr>
      </w:pPr>
      <w:r>
        <w:rPr>
          <w:rFonts w:ascii="Courier New" w:cs="Courier New" w:eastAsia="Courier New" w:hAnsi="Courier New"/>
          <w:sz w:val="18"/>
          <w:szCs w:val="18"/>
          <w:color w:val="auto"/>
        </w:rPr>
        <w:t>cost control and/or quantitative revenue, growth</w:t>
      </w:r>
    </w:p>
    <w:p>
      <w:pPr>
        <w:spacing w:after="0" w:line="237" w:lineRule="auto"/>
        <w:rPr>
          <w:sz w:val="20"/>
          <w:szCs w:val="20"/>
          <w:color w:val="auto"/>
        </w:rPr>
      </w:pPr>
      <w:r>
        <w:rPr>
          <w:rFonts w:ascii="Courier New" w:cs="Courier New" w:eastAsia="Courier New" w:hAnsi="Courier New"/>
          <w:sz w:val="18"/>
          <w:szCs w:val="18"/>
          <w:color w:val="auto"/>
        </w:rPr>
        <w:t>or profitability measurements over the period of</w:t>
      </w:r>
    </w:p>
    <w:p>
      <w:pPr>
        <w:spacing w:after="0" w:line="238" w:lineRule="auto"/>
        <w:rPr>
          <w:sz w:val="20"/>
          <w:szCs w:val="20"/>
          <w:color w:val="auto"/>
        </w:rPr>
      </w:pPr>
      <w:r>
        <w:rPr>
          <w:rFonts w:ascii="Courier New" w:cs="Courier New" w:eastAsia="Courier New" w:hAnsi="Courier New"/>
          <w:sz w:val="18"/>
          <w:szCs w:val="18"/>
          <w:color w:val="auto"/>
        </w:rPr>
        <w:t>time it takes for the Restricted Stock Award to</w:t>
      </w:r>
    </w:p>
    <w:p>
      <w:pPr>
        <w:spacing w:after="0"/>
        <w:rPr>
          <w:sz w:val="20"/>
          <w:szCs w:val="20"/>
          <w:color w:val="auto"/>
        </w:rPr>
      </w:pPr>
      <w:r>
        <w:rPr>
          <w:rFonts w:ascii="Courier New" w:cs="Courier New" w:eastAsia="Courier New" w:hAnsi="Courier New"/>
          <w:sz w:val="18"/>
          <w:szCs w:val="18"/>
          <w:color w:val="auto"/>
        </w:rPr>
        <w:t>vest fully, which will have to be achieved if</w:t>
      </w:r>
    </w:p>
    <w:p>
      <w:pPr>
        <w:spacing w:after="0" w:line="237" w:lineRule="auto"/>
        <w:rPr>
          <w:sz w:val="20"/>
          <w:szCs w:val="20"/>
          <w:color w:val="auto"/>
        </w:rPr>
      </w:pPr>
      <w:r>
        <w:rPr>
          <w:rFonts w:ascii="Courier New" w:cs="Courier New" w:eastAsia="Courier New" w:hAnsi="Courier New"/>
          <w:sz w:val="18"/>
          <w:szCs w:val="18"/>
          <w:color w:val="auto"/>
        </w:rPr>
        <w:t>the restriction set forth in subparagraph</w:t>
      </w:r>
    </w:p>
    <w:p>
      <w:pPr>
        <w:spacing w:after="0"/>
        <w:rPr>
          <w:sz w:val="20"/>
          <w:szCs w:val="20"/>
          <w:color w:val="auto"/>
        </w:rPr>
      </w:pPr>
      <w:r>
        <w:rPr>
          <w:rFonts w:ascii="Courier New" w:cs="Courier New" w:eastAsia="Courier New" w:hAnsi="Courier New"/>
          <w:sz w:val="18"/>
          <w:szCs w:val="18"/>
          <w:color w:val="auto"/>
        </w:rPr>
        <w:t>(c)(i) above is to terminate as provided</w:t>
      </w:r>
    </w:p>
    <w:p>
      <w:pPr>
        <w:spacing w:after="0" w:line="237" w:lineRule="auto"/>
        <w:rPr>
          <w:sz w:val="20"/>
          <w:szCs w:val="20"/>
          <w:color w:val="auto"/>
        </w:rPr>
      </w:pPr>
      <w:r>
        <w:rPr>
          <w:rFonts w:ascii="Courier New" w:cs="Courier New" w:eastAsia="Courier New" w:hAnsi="Courier New"/>
          <w:sz w:val="18"/>
          <w:szCs w:val="18"/>
          <w:color w:val="auto"/>
        </w:rPr>
        <w:t>in this subparagraph (c)(ii).</w:t>
      </w:r>
    </w:p>
    <w:p>
      <w:pPr>
        <w:spacing w:after="0" w:line="207" w:lineRule="exact"/>
        <w:rPr>
          <w:sz w:val="20"/>
          <w:szCs w:val="20"/>
          <w:color w:val="auto"/>
        </w:rPr>
      </w:pPr>
    </w:p>
    <w:p>
      <w:pPr>
        <w:ind w:right="5159" w:firstLine="8"/>
        <w:spacing w:after="0" w:line="268" w:lineRule="auto"/>
        <w:tabs>
          <w:tab w:leader="none" w:pos="63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 however, that the percentage determined by the Committee may not exceed</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percentage calculated by dividing</w:t>
      </w:r>
    </w:p>
    <w:p>
      <w:pPr>
        <w:spacing w:after="0" w:line="4" w:lineRule="exact"/>
        <w:rPr>
          <w:rFonts w:ascii="Courier New" w:cs="Courier New" w:eastAsia="Courier New" w:hAnsi="Courier New"/>
          <w:sz w:val="16"/>
          <w:szCs w:val="16"/>
          <w:color w:val="auto"/>
        </w:rPr>
      </w:pPr>
    </w:p>
    <w:p>
      <w:pPr>
        <w:ind w:right="505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full months elapsed from the effective date of the award to the date of such termination (less the period of full months that a participant was on one or more unpaid leaves of absence where the leave is greater</w:t>
      </w:r>
    </w:p>
    <w:p>
      <w:pPr>
        <w:spacing w:after="0" w:line="6" w:lineRule="exact"/>
        <w:rPr>
          <w:rFonts w:ascii="Courier New" w:cs="Courier New" w:eastAsia="Courier New" w:hAnsi="Courier New"/>
          <w:sz w:val="18"/>
          <w:szCs w:val="18"/>
          <w:color w:val="auto"/>
        </w:rPr>
      </w:pPr>
    </w:p>
    <w:p>
      <w:pPr>
        <w:ind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90 days during such period by (ii) the number of full months from such effective date to the Vesting Date for such award (such percentage being hereinafter called the Pro-Rated Percentage).</w:t>
      </w:r>
    </w:p>
    <w:p>
      <w:pPr>
        <w:spacing w:after="0" w:line="208" w:lineRule="exact"/>
        <w:rPr>
          <w:rFonts w:ascii="Courier New" w:cs="Courier New" w:eastAsia="Courier New" w:hAnsi="Courier New"/>
          <w:sz w:val="18"/>
          <w:szCs w:val="18"/>
          <w:color w:val="auto"/>
        </w:rPr>
      </w:pPr>
    </w:p>
    <w:p>
      <w:pPr>
        <w:ind w:right="4839" w:firstLine="8"/>
        <w:spacing w:after="0" w:line="270" w:lineRule="auto"/>
        <w:tabs>
          <w:tab w:leader="none" w:pos="84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w:t>
      </w:r>
    </w:p>
    <w:p>
      <w:pPr>
        <w:spacing w:after="0" w:line="386" w:lineRule="exact"/>
        <w:rPr>
          <w:rFonts w:ascii="Courier New" w:cs="Courier New" w:eastAsia="Courier New" w:hAnsi="Courier New"/>
          <w:sz w:val="16"/>
          <w:szCs w:val="16"/>
          <w:color w:val="auto"/>
        </w:rPr>
      </w:pPr>
    </w:p>
    <w:p>
      <w:pPr>
        <w:ind w:right="4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shares to be paid to the participant.</w:t>
      </w:r>
    </w:p>
    <w:p>
      <w:pPr>
        <w:spacing w:after="0" w:line="207" w:lineRule="exact"/>
        <w:rPr>
          <w:rFonts w:ascii="Courier New" w:cs="Courier New" w:eastAsia="Courier New" w:hAnsi="Courier New"/>
          <w:sz w:val="16"/>
          <w:szCs w:val="16"/>
          <w:color w:val="auto"/>
        </w:rPr>
      </w:pPr>
    </w:p>
    <w:p>
      <w:pPr>
        <w:ind w:right="4939" w:firstLine="8"/>
        <w:spacing w:after="0" w:line="237" w:lineRule="auto"/>
        <w:tabs>
          <w:tab w:leader="none" w:pos="84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w:t>
      </w:r>
    </w:p>
    <w:p>
      <w:pPr>
        <w:spacing w:after="0" w:line="7" w:lineRule="exact"/>
        <w:rPr>
          <w:rFonts w:ascii="Courier New" w:cs="Courier New" w:eastAsia="Courier New" w:hAnsi="Courier New"/>
          <w:sz w:val="18"/>
          <w:szCs w:val="18"/>
          <w:color w:val="auto"/>
        </w:rPr>
      </w:pPr>
    </w:p>
    <w:p>
      <w:pPr>
        <w:ind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to receive all dividends declared and paid on such shares.</w:t>
      </w:r>
    </w:p>
    <w:p>
      <w:pPr>
        <w:spacing w:after="0" w:line="208" w:lineRule="exact"/>
        <w:rPr>
          <w:rFonts w:ascii="Courier New" w:cs="Courier New" w:eastAsia="Courier New" w:hAnsi="Courier New"/>
          <w:sz w:val="18"/>
          <w:szCs w:val="18"/>
          <w:color w:val="auto"/>
        </w:rPr>
      </w:pPr>
    </w:p>
    <w:p>
      <w:pPr>
        <w:ind w:right="5059" w:firstLine="851"/>
        <w:spacing w:after="0" w:line="275" w:lineRule="auto"/>
        <w:tabs>
          <w:tab w:leader="none" w:pos="137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Common Stock issued to recipients of Restricted Stock awards shall be issued from previously issued and outstanding shares held in the Treasury of the Company.</w:t>
      </w:r>
    </w:p>
    <w:p>
      <w:pPr>
        <w:spacing w:after="0" w:line="182" w:lineRule="exact"/>
        <w:rPr>
          <w:rFonts w:ascii="Courier New" w:cs="Courier New" w:eastAsia="Courier New" w:hAnsi="Courier New"/>
          <w:sz w:val="16"/>
          <w:szCs w:val="16"/>
          <w:color w:val="auto"/>
        </w:rPr>
      </w:pPr>
    </w:p>
    <w:p>
      <w:pPr>
        <w:ind w:right="4839" w:firstLine="851"/>
        <w:spacing w:after="0" w:line="271" w:lineRule="auto"/>
        <w:tabs>
          <w:tab w:leader="none" w:pos="137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w:t>
      </w:r>
    </w:p>
    <w:p>
      <w:pPr>
        <w:sectPr>
          <w:pgSz w:w="11900" w:h="16838" w:orient="portrait"/>
          <w:cols w:equalWidth="0" w:num="1">
            <w:col w:w="10219"/>
          </w:cols>
          <w:pgMar w:left="240" w:top="136" w:right="1440" w:bottom="0" w:gutter="0" w:footer="0" w:header="0"/>
        </w:sectPr>
      </w:pPr>
    </w:p>
    <w:bookmarkStart w:id="8" w:name="page9"/>
    <w:bookmarkEnd w:id="8"/>
    <w:p>
      <w:pPr>
        <w:ind w:right="4739"/>
        <w:spacing w:after="0" w:line="235" w:lineRule="auto"/>
        <w:rPr>
          <w:sz w:val="20"/>
          <w:szCs w:val="20"/>
          <w:color w:val="auto"/>
        </w:rPr>
      </w:pPr>
      <w:r>
        <w:rPr>
          <w:rFonts w:ascii="Courier New" w:cs="Courier New" w:eastAsia="Courier New" w:hAnsi="Courier New"/>
          <w:sz w:val="18"/>
          <w:szCs w:val="18"/>
          <w:color w:val="auto"/>
        </w:rPr>
        <w:t>determining the number of shares of Restricted Stock remaining available to be awarded hereunder.</w:t>
      </w:r>
    </w:p>
    <w:p>
      <w:pPr>
        <w:spacing w:after="0" w:line="208" w:lineRule="exact"/>
        <w:rPr>
          <w:sz w:val="20"/>
          <w:szCs w:val="20"/>
          <w:color w:val="auto"/>
        </w:rPr>
      </w:pPr>
    </w:p>
    <w:p>
      <w:pPr>
        <w:ind w:left="860" w:right="5259" w:hanging="852"/>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Units and Special Long-Term Incentive Awards</w:t>
      </w:r>
    </w:p>
    <w:p>
      <w:pPr>
        <w:spacing w:after="0" w:line="208" w:lineRule="exact"/>
        <w:rPr>
          <w:rFonts w:ascii="Courier New" w:cs="Courier New" w:eastAsia="Courier New" w:hAnsi="Courier New"/>
          <w:sz w:val="18"/>
          <w:szCs w:val="18"/>
          <w:color w:val="auto"/>
        </w:rPr>
      </w:pPr>
    </w:p>
    <w:p>
      <w:pPr>
        <w:ind w:right="5059" w:firstLine="851"/>
        <w:spacing w:after="0" w:line="268" w:lineRule="auto"/>
        <w:tabs>
          <w:tab w:leader="none" w:pos="137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w:t>
      </w:r>
    </w:p>
    <w:p>
      <w:pPr>
        <w:spacing w:after="0" w:line="1" w:lineRule="exact"/>
        <w:rPr>
          <w:rFonts w:ascii="Courier New" w:cs="Courier New" w:eastAsia="Courier New" w:hAnsi="Courier New"/>
          <w:sz w:val="16"/>
          <w:szCs w:val="16"/>
          <w:color w:val="auto"/>
        </w:rPr>
      </w:pPr>
    </w:p>
    <w:p>
      <w:pPr>
        <w:ind w:right="5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Incentive Vesting Date designated by the Committee be less than one year nor more than six years from the date of the award of the Special Long-Term Incentive Award to which it relates. If the Committee so determines,</w:t>
      </w:r>
    </w:p>
    <w:p>
      <w:pPr>
        <w:ind w:right="5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single award of a Special Long-Term Incentive Award can provide for more than one Vesting Date with a portion of the full award to vest on each specified Vesting Date. To each participant designated to receive an</w:t>
      </w:r>
    </w:p>
    <w:p>
      <w:pPr>
        <w:spacing w:after="0" w:line="6" w:lineRule="exact"/>
        <w:rPr>
          <w:rFonts w:ascii="Courier New" w:cs="Courier New" w:eastAsia="Courier New" w:hAnsi="Courier New"/>
          <w:sz w:val="16"/>
          <w:szCs w:val="16"/>
          <w:color w:val="auto"/>
        </w:rPr>
      </w:pPr>
    </w:p>
    <w:p>
      <w:pPr>
        <w:ind w:right="55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214" w:lineRule="exact"/>
        <w:rPr>
          <w:rFonts w:ascii="Courier New" w:cs="Courier New" w:eastAsia="Courier New" w:hAnsi="Courier New"/>
          <w:sz w:val="16"/>
          <w:szCs w:val="16"/>
          <w:color w:val="auto"/>
        </w:rPr>
      </w:pPr>
    </w:p>
    <w:p>
      <w:pPr>
        <w:ind w:right="5259" w:firstLine="851"/>
        <w:spacing w:after="0" w:line="269" w:lineRule="auto"/>
        <w:tabs>
          <w:tab w:leader="none" w:pos="137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90 days after the beginning of each Award Cycle or the beginning of the applicable vesting period of a Special Long-Term Incentive Award,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 following: operating income, cash flow, shareholder return, earnings per share,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w:t>
      </w:r>
    </w:p>
    <w:p>
      <w:pPr>
        <w:spacing w:after="0" w:line="391" w:lineRule="exact"/>
        <w:rPr>
          <w:rFonts w:ascii="Courier New" w:cs="Courier New" w:eastAsia="Courier New" w:hAnsi="Courier New"/>
          <w:sz w:val="16"/>
          <w:szCs w:val="16"/>
          <w:color w:val="auto"/>
        </w:rPr>
      </w:pPr>
    </w:p>
    <w:p>
      <w:pPr>
        <w:ind w:right="51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 the end of an Award Cycle shall be the lesser of $5 million or the amount determined by multiplying the Payout Value times the number of Performance Units granted to such participant,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w:t>
      </w:r>
    </w:p>
    <w:p>
      <w:pPr>
        <w:sectPr>
          <w:pgSz w:w="11900" w:h="16838" w:orient="portrait"/>
          <w:cols w:equalWidth="0" w:num="1">
            <w:col w:w="10219"/>
          </w:cols>
          <w:pgMar w:left="24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Special Long-Term Incentive Award payable</w:t>
      </w:r>
    </w:p>
    <w:p>
      <w:pPr>
        <w:spacing w:after="0" w:line="238" w:lineRule="auto"/>
        <w:rPr>
          <w:sz w:val="20"/>
          <w:szCs w:val="20"/>
          <w:color w:val="auto"/>
        </w:rPr>
      </w:pPr>
      <w:r>
        <w:rPr>
          <w:rFonts w:ascii="Courier New" w:cs="Courier New" w:eastAsia="Courier New" w:hAnsi="Courier New"/>
          <w:sz w:val="18"/>
          <w:szCs w:val="18"/>
          <w:color w:val="auto"/>
        </w:rPr>
        <w:t>to such participant with respect to any</w:t>
      </w:r>
    </w:p>
    <w:p>
      <w:pPr>
        <w:spacing w:after="0"/>
        <w:rPr>
          <w:sz w:val="20"/>
          <w:szCs w:val="20"/>
          <w:color w:val="auto"/>
        </w:rPr>
      </w:pPr>
      <w:r>
        <w:rPr>
          <w:rFonts w:ascii="Courier New" w:cs="Courier New" w:eastAsia="Courier New" w:hAnsi="Courier New"/>
          <w:sz w:val="18"/>
          <w:szCs w:val="18"/>
          <w:color w:val="auto"/>
        </w:rPr>
        <w:t>fiscal year shall not exceed in value 1% of</w:t>
      </w:r>
    </w:p>
    <w:p>
      <w:pPr>
        <w:spacing w:after="0" w:line="237" w:lineRule="auto"/>
        <w:rPr>
          <w:sz w:val="20"/>
          <w:szCs w:val="20"/>
          <w:color w:val="auto"/>
        </w:rPr>
      </w:pPr>
      <w:r>
        <w:rPr>
          <w:rFonts w:ascii="Courier New" w:cs="Courier New" w:eastAsia="Courier New" w:hAnsi="Courier New"/>
          <w:sz w:val="18"/>
          <w:szCs w:val="18"/>
          <w:color w:val="auto"/>
        </w:rPr>
        <w:t>such business units revenue for the for the</w:t>
      </w:r>
    </w:p>
    <w:p>
      <w:pPr>
        <w:spacing w:after="0" w:line="238" w:lineRule="auto"/>
        <w:rPr>
          <w:sz w:val="20"/>
          <w:szCs w:val="20"/>
          <w:color w:val="auto"/>
        </w:rPr>
      </w:pPr>
      <w:r>
        <w:rPr>
          <w:rFonts w:ascii="Courier New" w:cs="Courier New" w:eastAsia="Courier New" w:hAnsi="Courier New"/>
          <w:sz w:val="18"/>
          <w:szCs w:val="18"/>
          <w:color w:val="auto"/>
        </w:rPr>
        <w:t>fiscal year with respect of which the award</w:t>
      </w:r>
    </w:p>
    <w:p>
      <w:pPr>
        <w:spacing w:after="0"/>
        <w:rPr>
          <w:sz w:val="20"/>
          <w:szCs w:val="20"/>
          <w:color w:val="auto"/>
        </w:rPr>
      </w:pPr>
      <w:r>
        <w:rPr>
          <w:rFonts w:ascii="Courier New" w:cs="Courier New" w:eastAsia="Courier New" w:hAnsi="Courier New"/>
          <w:sz w:val="18"/>
          <w:szCs w:val="18"/>
          <w:color w:val="auto"/>
        </w:rPr>
        <w:t>is to be paid.</w:t>
      </w:r>
    </w:p>
    <w:p>
      <w:pPr>
        <w:spacing w:after="0" w:line="206" w:lineRule="exact"/>
        <w:rPr>
          <w:sz w:val="20"/>
          <w:szCs w:val="20"/>
          <w:color w:val="auto"/>
        </w:rPr>
      </w:pPr>
    </w:p>
    <w:p>
      <w:pPr>
        <w:ind w:right="5259" w:firstLine="851"/>
        <w:spacing w:after="0" w:line="268" w:lineRule="auto"/>
        <w:tabs>
          <w:tab w:leader="none" w:pos="137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participants employment by the Company terminates for any reason (whether voluntary or involuntary and including death or disability) before the end of an Award Cycle for which the participant was granted Performance Units or before Incentive Vesting Date, the participant shall be entitled to such percentage of the Payout Value of said Performance Units or the payment due under said Special Long-Term Incentive Award, if any,</w:t>
      </w:r>
    </w:p>
    <w:p>
      <w:pPr>
        <w:spacing w:after="0" w:line="1" w:lineRule="exact"/>
        <w:rPr>
          <w:rFonts w:ascii="Courier New" w:cs="Courier New" w:eastAsia="Courier New" w:hAnsi="Courier New"/>
          <w:sz w:val="16"/>
          <w:szCs w:val="16"/>
          <w:color w:val="auto"/>
        </w:rPr>
      </w:pPr>
    </w:p>
    <w:p>
      <w:pPr>
        <w:ind w:right="55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shall be determined after the end of such Award Cycle or the Incentive Vesting Date, in accordance with the following provisions:</w:t>
      </w:r>
    </w:p>
    <w:p>
      <w:pPr>
        <w:spacing w:after="0" w:line="178" w:lineRule="exact"/>
        <w:rPr>
          <w:rFonts w:ascii="Courier New" w:cs="Courier New" w:eastAsia="Courier New" w:hAnsi="Courier New"/>
          <w:sz w:val="16"/>
          <w:szCs w:val="16"/>
          <w:color w:val="auto"/>
        </w:rPr>
      </w:pPr>
    </w:p>
    <w:p>
      <w:pPr>
        <w:ind w:right="525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two or more years after the effective date of the award, such percentage, if any (but not greater than the Pro-Rated Percentage), as the Committee may, in its sole discretion, determine; and</w:t>
      </w:r>
    </w:p>
    <w:p>
      <w:pPr>
        <w:spacing w:after="0" w:line="208" w:lineRule="exact"/>
        <w:rPr>
          <w:rFonts w:ascii="Courier New" w:cs="Courier New" w:eastAsia="Courier New" w:hAnsi="Courier New"/>
          <w:sz w:val="18"/>
          <w:szCs w:val="18"/>
          <w:color w:val="auto"/>
        </w:rPr>
      </w:pPr>
    </w:p>
    <w:p>
      <w:pPr>
        <w:ind w:right="5359" w:firstLine="8"/>
        <w:spacing w:after="0" w:line="237" w:lineRule="auto"/>
        <w:tabs>
          <w:tab w:leader="none" w:pos="8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within two years from the effective date of the award, no percentage of the Payout Value or payment under a Special Long-Term Incentive Award shall be paid.</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w:t>
      </w:r>
    </w:p>
    <w:p>
      <w:pPr>
        <w:spacing w:after="0" w:line="4" w:lineRule="exact"/>
        <w:rPr>
          <w:rFonts w:ascii="Courier New" w:cs="Courier New" w:eastAsia="Courier New" w:hAnsi="Courier New"/>
          <w:sz w:val="18"/>
          <w:szCs w:val="18"/>
          <w:color w:val="auto"/>
        </w:rPr>
      </w:pPr>
    </w:p>
    <w:p>
      <w:pPr>
        <w:ind w:right="5259" w:firstLine="8"/>
        <w:spacing w:after="0" w:line="269"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end of each Award Cycle and in the calendar year that begins closest to the last day of the Award Cycle or (ii) the Incentive Vesting Date, but no later than 75 days after the end of the calendar year of the Incentive Vesting Date, the Payout Value of a Performance Unit awarded at the beginning of such Award Cycle or the payment due under the Special Long-Term Incentive Award, as the case 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5259" w:firstLine="851"/>
        <w:spacing w:after="0" w:line="269" w:lineRule="auto"/>
        <w:tabs>
          <w:tab w:leader="none" w:pos="137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paragraphs 10(c) and 10(d), and notwithstanding any contrary terms thereof,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w:t>
      </w:r>
    </w:p>
    <w:p>
      <w:pPr>
        <w:spacing w:after="0" w:line="193" w:lineRule="exact"/>
        <w:rPr>
          <w:rFonts w:ascii="Courier New" w:cs="Courier New" w:eastAsia="Courier New" w:hAnsi="Courier New"/>
          <w:sz w:val="16"/>
          <w:szCs w:val="16"/>
          <w:color w:val="auto"/>
        </w:rPr>
      </w:pPr>
    </w:p>
    <w:p>
      <w:pPr>
        <w:ind w:right="5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vesting period when the participant was on such leave of absence. Thus, for example, if a participant was away from work on a leave of absence for one year during a four-year Award Cycle, the percentage</w:t>
      </w:r>
    </w:p>
    <w:p>
      <w:pPr>
        <w:ind w:right="53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Payout Value of the Performance Units payable to that participant would be 100% only</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if the participant had at least one year of</w:t>
      </w:r>
    </w:p>
    <w:p>
      <w:pPr>
        <w:spacing w:after="0" w:line="238" w:lineRule="auto"/>
        <w:rPr>
          <w:sz w:val="20"/>
          <w:szCs w:val="20"/>
          <w:color w:val="auto"/>
        </w:rPr>
      </w:pPr>
      <w:r>
        <w:rPr>
          <w:rFonts w:ascii="Courier New" w:cs="Courier New" w:eastAsia="Courier New" w:hAnsi="Courier New"/>
          <w:sz w:val="18"/>
          <w:szCs w:val="18"/>
          <w:color w:val="auto"/>
        </w:rPr>
        <w:t>active employment after the end of the Award</w:t>
      </w:r>
    </w:p>
    <w:p>
      <w:pPr>
        <w:spacing w:after="0"/>
        <w:rPr>
          <w:sz w:val="20"/>
          <w:szCs w:val="20"/>
          <w:color w:val="auto"/>
        </w:rPr>
      </w:pPr>
      <w:r>
        <w:rPr>
          <w:rFonts w:ascii="Courier New" w:cs="Courier New" w:eastAsia="Courier New" w:hAnsi="Courier New"/>
          <w:sz w:val="18"/>
          <w:szCs w:val="18"/>
          <w:color w:val="auto"/>
        </w:rPr>
        <w:t>Cycle, and if such additional period of active</w:t>
      </w:r>
    </w:p>
    <w:p>
      <w:pPr>
        <w:spacing w:after="0" w:line="237" w:lineRule="auto"/>
        <w:rPr>
          <w:sz w:val="20"/>
          <w:szCs w:val="20"/>
          <w:color w:val="auto"/>
        </w:rPr>
      </w:pPr>
      <w:r>
        <w:rPr>
          <w:rFonts w:ascii="Courier New" w:cs="Courier New" w:eastAsia="Courier New" w:hAnsi="Courier New"/>
          <w:sz w:val="18"/>
          <w:szCs w:val="18"/>
          <w:color w:val="auto"/>
        </w:rPr>
        <w:t>employment was not completed, the Committee,</w:t>
      </w:r>
    </w:p>
    <w:p>
      <w:pPr>
        <w:spacing w:after="0" w:line="238" w:lineRule="auto"/>
        <w:rPr>
          <w:sz w:val="20"/>
          <w:szCs w:val="20"/>
          <w:color w:val="auto"/>
        </w:rPr>
      </w:pPr>
      <w:r>
        <w:rPr>
          <w:rFonts w:ascii="Courier New" w:cs="Courier New" w:eastAsia="Courier New" w:hAnsi="Courier New"/>
          <w:sz w:val="18"/>
          <w:szCs w:val="18"/>
          <w:color w:val="auto"/>
        </w:rPr>
        <w:t>in its exercise of discretion to determine a</w:t>
      </w:r>
    </w:p>
    <w:p>
      <w:pPr>
        <w:spacing w:after="0"/>
        <w:rPr>
          <w:sz w:val="20"/>
          <w:szCs w:val="20"/>
          <w:color w:val="auto"/>
        </w:rPr>
      </w:pPr>
      <w:r>
        <w:rPr>
          <w:rFonts w:ascii="Courier New" w:cs="Courier New" w:eastAsia="Courier New" w:hAnsi="Courier New"/>
          <w:sz w:val="18"/>
          <w:szCs w:val="18"/>
          <w:color w:val="auto"/>
        </w:rPr>
        <w:t>Pro-Rated Percentage under paragraph 10(c)(i),</w:t>
      </w:r>
    </w:p>
    <w:p>
      <w:pPr>
        <w:spacing w:after="0" w:line="237" w:lineRule="auto"/>
        <w:rPr>
          <w:sz w:val="20"/>
          <w:szCs w:val="20"/>
          <w:color w:val="auto"/>
        </w:rPr>
      </w:pPr>
      <w:r>
        <w:rPr>
          <w:rFonts w:ascii="Courier New" w:cs="Courier New" w:eastAsia="Courier New" w:hAnsi="Courier New"/>
          <w:sz w:val="18"/>
          <w:szCs w:val="18"/>
          <w:color w:val="auto"/>
        </w:rPr>
        <w:t>would make that determination in a manner</w:t>
      </w:r>
    </w:p>
    <w:p>
      <w:pPr>
        <w:spacing w:after="0"/>
        <w:rPr>
          <w:sz w:val="20"/>
          <w:szCs w:val="20"/>
          <w:color w:val="auto"/>
        </w:rPr>
      </w:pPr>
      <w:r>
        <w:rPr>
          <w:rFonts w:ascii="Courier New" w:cs="Courier New" w:eastAsia="Courier New" w:hAnsi="Courier New"/>
          <w:sz w:val="18"/>
          <w:szCs w:val="18"/>
          <w:color w:val="auto"/>
        </w:rPr>
        <w:t>consistent with paragraph 9(c)(iii)(A). In</w:t>
      </w:r>
    </w:p>
    <w:p>
      <w:pPr>
        <w:spacing w:after="0" w:line="237" w:lineRule="auto"/>
        <w:rPr>
          <w:sz w:val="20"/>
          <w:szCs w:val="20"/>
          <w:color w:val="auto"/>
        </w:rPr>
      </w:pPr>
      <w:r>
        <w:rPr>
          <w:rFonts w:ascii="Courier New" w:cs="Courier New" w:eastAsia="Courier New" w:hAnsi="Courier New"/>
          <w:sz w:val="18"/>
          <w:szCs w:val="18"/>
          <w:color w:val="auto"/>
        </w:rPr>
        <w:t>any such case, the Payout Value of the</w:t>
      </w:r>
    </w:p>
    <w:p>
      <w:pPr>
        <w:spacing w:after="0"/>
        <w:rPr>
          <w:sz w:val="20"/>
          <w:szCs w:val="20"/>
          <w:color w:val="auto"/>
        </w:rPr>
      </w:pPr>
      <w:r>
        <w:rPr>
          <w:rFonts w:ascii="Courier New" w:cs="Courier New" w:eastAsia="Courier New" w:hAnsi="Courier New"/>
          <w:sz w:val="18"/>
          <w:szCs w:val="18"/>
          <w:color w:val="auto"/>
        </w:rPr>
        <w:t>Performance Units or the payment of the</w:t>
      </w:r>
    </w:p>
    <w:p>
      <w:pPr>
        <w:spacing w:after="0" w:line="237" w:lineRule="auto"/>
        <w:rPr>
          <w:sz w:val="20"/>
          <w:szCs w:val="20"/>
          <w:color w:val="auto"/>
        </w:rPr>
      </w:pPr>
      <w:r>
        <w:rPr>
          <w:rFonts w:ascii="Courier New" w:cs="Courier New" w:eastAsia="Courier New" w:hAnsi="Courier New"/>
          <w:sz w:val="18"/>
          <w:szCs w:val="18"/>
          <w:color w:val="auto"/>
        </w:rPr>
        <w:t>Special Long-Term Incentive Award payable to</w:t>
      </w:r>
    </w:p>
    <w:p>
      <w:pPr>
        <w:spacing w:after="0" w:line="238" w:lineRule="auto"/>
        <w:rPr>
          <w:sz w:val="20"/>
          <w:szCs w:val="20"/>
          <w:color w:val="auto"/>
        </w:rPr>
      </w:pPr>
      <w:r>
        <w:rPr>
          <w:rFonts w:ascii="Courier New" w:cs="Courier New" w:eastAsia="Courier New" w:hAnsi="Courier New"/>
          <w:sz w:val="18"/>
          <w:szCs w:val="18"/>
          <w:color w:val="auto"/>
        </w:rPr>
        <w:t>the participant shall be paid as soon as</w:t>
      </w:r>
    </w:p>
    <w:p>
      <w:pPr>
        <w:spacing w:after="0"/>
        <w:rPr>
          <w:sz w:val="20"/>
          <w:szCs w:val="20"/>
          <w:color w:val="auto"/>
        </w:rPr>
      </w:pPr>
      <w:r>
        <w:rPr>
          <w:rFonts w:ascii="Courier New" w:cs="Courier New" w:eastAsia="Courier New" w:hAnsi="Courier New"/>
          <w:sz w:val="18"/>
          <w:szCs w:val="18"/>
          <w:color w:val="auto"/>
        </w:rPr>
        <w:t>practicable after the participant becomes</w:t>
      </w:r>
    </w:p>
    <w:p>
      <w:pPr>
        <w:spacing w:after="0" w:line="237" w:lineRule="auto"/>
        <w:rPr>
          <w:sz w:val="20"/>
          <w:szCs w:val="20"/>
          <w:color w:val="auto"/>
        </w:rPr>
      </w:pPr>
      <w:r>
        <w:rPr>
          <w:rFonts w:ascii="Courier New" w:cs="Courier New" w:eastAsia="Courier New" w:hAnsi="Courier New"/>
          <w:sz w:val="18"/>
          <w:szCs w:val="18"/>
          <w:color w:val="auto"/>
        </w:rPr>
        <w:t>entitled to payment by completing the</w:t>
      </w:r>
    </w:p>
    <w:p>
      <w:pPr>
        <w:spacing w:after="0"/>
        <w:rPr>
          <w:sz w:val="20"/>
          <w:szCs w:val="20"/>
          <w:color w:val="auto"/>
        </w:rPr>
      </w:pPr>
      <w:r>
        <w:rPr>
          <w:rFonts w:ascii="Courier New" w:cs="Courier New" w:eastAsia="Courier New" w:hAnsi="Courier New"/>
          <w:sz w:val="18"/>
          <w:szCs w:val="18"/>
          <w:color w:val="auto"/>
        </w:rPr>
        <w:t>additional period of active employment or by</w:t>
      </w:r>
    </w:p>
    <w:p>
      <w:pPr>
        <w:spacing w:after="0" w:line="237" w:lineRule="auto"/>
        <w:rPr>
          <w:sz w:val="20"/>
          <w:szCs w:val="20"/>
          <w:color w:val="auto"/>
        </w:rPr>
      </w:pPr>
      <w:r>
        <w:rPr>
          <w:rFonts w:ascii="Courier New" w:cs="Courier New" w:eastAsia="Courier New" w:hAnsi="Courier New"/>
          <w:sz w:val="18"/>
          <w:szCs w:val="18"/>
          <w:color w:val="auto"/>
        </w:rPr>
        <w:t>reason of the Committees exercise of discretion</w:t>
      </w:r>
    </w:p>
    <w:p>
      <w:pPr>
        <w:spacing w:after="0"/>
        <w:rPr>
          <w:sz w:val="20"/>
          <w:szCs w:val="20"/>
          <w:color w:val="auto"/>
        </w:rPr>
      </w:pPr>
      <w:r>
        <w:rPr>
          <w:rFonts w:ascii="Courier New" w:cs="Courier New" w:eastAsia="Courier New" w:hAnsi="Courier New"/>
          <w:sz w:val="18"/>
          <w:szCs w:val="18"/>
          <w:color w:val="auto"/>
        </w:rPr>
        <w:t>under paragraph 10(c)(i), but no later than</w:t>
      </w:r>
    </w:p>
    <w:p>
      <w:pPr>
        <w:spacing w:after="0" w:line="237" w:lineRule="auto"/>
        <w:rPr>
          <w:sz w:val="20"/>
          <w:szCs w:val="20"/>
          <w:color w:val="auto"/>
        </w:rPr>
      </w:pPr>
      <w:r>
        <w:rPr>
          <w:rFonts w:ascii="Courier New" w:cs="Courier New" w:eastAsia="Courier New" w:hAnsi="Courier New"/>
          <w:sz w:val="18"/>
          <w:szCs w:val="18"/>
          <w:color w:val="auto"/>
        </w:rPr>
        <w:t>seventy-five (75) days after the end of the</w:t>
      </w:r>
    </w:p>
    <w:p>
      <w:pPr>
        <w:spacing w:after="0" w:line="238" w:lineRule="auto"/>
        <w:rPr>
          <w:sz w:val="20"/>
          <w:szCs w:val="20"/>
          <w:color w:val="auto"/>
        </w:rPr>
      </w:pPr>
      <w:r>
        <w:rPr>
          <w:rFonts w:ascii="Courier New" w:cs="Courier New" w:eastAsia="Courier New" w:hAnsi="Courier New"/>
          <w:sz w:val="18"/>
          <w:szCs w:val="18"/>
          <w:color w:val="auto"/>
        </w:rPr>
        <w:t>calendar year in which the participant</w:t>
      </w:r>
    </w:p>
    <w:p>
      <w:pPr>
        <w:spacing w:after="0"/>
        <w:rPr>
          <w:sz w:val="20"/>
          <w:szCs w:val="20"/>
          <w:color w:val="auto"/>
        </w:rPr>
      </w:pPr>
      <w:r>
        <w:rPr>
          <w:rFonts w:ascii="Courier New" w:cs="Courier New" w:eastAsia="Courier New" w:hAnsi="Courier New"/>
          <w:sz w:val="18"/>
          <w:szCs w:val="18"/>
          <w:color w:val="auto"/>
        </w:rPr>
        <w:t>attains such vested payment right.</w:t>
      </w:r>
    </w:p>
    <w:p>
      <w:pPr>
        <w:spacing w:after="0" w:line="206" w:lineRule="exact"/>
        <w:rPr>
          <w:sz w:val="20"/>
          <w:szCs w:val="20"/>
          <w:color w:val="auto"/>
        </w:rPr>
      </w:pPr>
    </w:p>
    <w:p>
      <w:pPr>
        <w:ind w:right="5059" w:firstLine="851"/>
        <w:spacing w:after="0" w:line="237" w:lineRule="auto"/>
        <w:tabs>
          <w:tab w:leader="none" w:pos="137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Expenses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expenses of administering this Plan</w:t>
      </w:r>
    </w:p>
    <w:p>
      <w:pPr>
        <w:spacing w:after="0" w:line="238" w:lineRule="auto"/>
        <w:rPr>
          <w:sz w:val="20"/>
          <w:szCs w:val="20"/>
          <w:color w:val="auto"/>
        </w:rPr>
      </w:pPr>
      <w:r>
        <w:rPr>
          <w:rFonts w:ascii="Courier New" w:cs="Courier New" w:eastAsia="Courier New" w:hAnsi="Courier New"/>
          <w:sz w:val="18"/>
          <w:szCs w:val="18"/>
          <w:color w:val="auto"/>
        </w:rPr>
        <w:t>shall be borne by the Company.</w:t>
      </w:r>
    </w:p>
    <w:p>
      <w:pPr>
        <w:spacing w:after="0" w:line="202" w:lineRule="exact"/>
        <w:rPr>
          <w:sz w:val="20"/>
          <w:szCs w:val="20"/>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 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the event of any change or changes</w:t>
      </w:r>
    </w:p>
    <w:p>
      <w:pPr>
        <w:spacing w:after="0" w:line="238" w:lineRule="auto"/>
        <w:rPr>
          <w:sz w:val="20"/>
          <w:szCs w:val="20"/>
          <w:color w:val="auto"/>
        </w:rPr>
      </w:pPr>
      <w:r>
        <w:rPr>
          <w:rFonts w:ascii="Courier New" w:cs="Courier New" w:eastAsia="Courier New" w:hAnsi="Courier New"/>
          <w:sz w:val="18"/>
          <w:szCs w:val="18"/>
          <w:color w:val="auto"/>
        </w:rPr>
        <w:t>in the outstanding shares of Common Stock by</w:t>
      </w:r>
    </w:p>
    <w:p>
      <w:pPr>
        <w:spacing w:after="0"/>
        <w:rPr>
          <w:sz w:val="20"/>
          <w:szCs w:val="20"/>
          <w:color w:val="auto"/>
        </w:rPr>
      </w:pPr>
      <w:r>
        <w:rPr>
          <w:rFonts w:ascii="Courier New" w:cs="Courier New" w:eastAsia="Courier New" w:hAnsi="Courier New"/>
          <w:sz w:val="18"/>
          <w:szCs w:val="18"/>
          <w:color w:val="auto"/>
        </w:rPr>
        <w:t>reason of any stock dividend, split-up,</w:t>
      </w:r>
    </w:p>
    <w:p>
      <w:pPr>
        <w:spacing w:after="0" w:line="237" w:lineRule="auto"/>
        <w:rPr>
          <w:sz w:val="20"/>
          <w:szCs w:val="20"/>
          <w:color w:val="auto"/>
        </w:rPr>
      </w:pPr>
      <w:r>
        <w:rPr>
          <w:rFonts w:ascii="Courier New" w:cs="Courier New" w:eastAsia="Courier New" w:hAnsi="Courier New"/>
          <w:sz w:val="18"/>
          <w:szCs w:val="18"/>
          <w:color w:val="auto"/>
        </w:rPr>
        <w:t>recapitalization, combination or exchange of</w:t>
      </w:r>
    </w:p>
    <w:p>
      <w:pPr>
        <w:spacing w:after="0" w:line="238" w:lineRule="auto"/>
        <w:rPr>
          <w:sz w:val="20"/>
          <w:szCs w:val="20"/>
          <w:color w:val="auto"/>
        </w:rPr>
      </w:pPr>
      <w:r>
        <w:rPr>
          <w:rFonts w:ascii="Courier New" w:cs="Courier New" w:eastAsia="Courier New" w:hAnsi="Courier New"/>
          <w:sz w:val="18"/>
          <w:szCs w:val="18"/>
          <w:color w:val="auto"/>
        </w:rPr>
        <w:t>shares, merger, consolidation, separation,</w:t>
      </w:r>
    </w:p>
    <w:p>
      <w:pPr>
        <w:spacing w:after="0"/>
        <w:rPr>
          <w:sz w:val="20"/>
          <w:szCs w:val="20"/>
          <w:color w:val="auto"/>
        </w:rPr>
      </w:pPr>
      <w:r>
        <w:rPr>
          <w:rFonts w:ascii="Courier New" w:cs="Courier New" w:eastAsia="Courier New" w:hAnsi="Courier New"/>
          <w:sz w:val="18"/>
          <w:szCs w:val="18"/>
          <w:color w:val="auto"/>
        </w:rPr>
        <w:t>reorganization, liquidation or the like, the</w:t>
      </w:r>
    </w:p>
    <w:p>
      <w:pPr>
        <w:spacing w:after="0" w:line="237" w:lineRule="auto"/>
        <w:rPr>
          <w:sz w:val="20"/>
          <w:szCs w:val="20"/>
          <w:color w:val="auto"/>
        </w:rPr>
      </w:pPr>
      <w:r>
        <w:rPr>
          <w:rFonts w:ascii="Courier New" w:cs="Courier New" w:eastAsia="Courier New" w:hAnsi="Courier New"/>
          <w:sz w:val="18"/>
          <w:szCs w:val="18"/>
          <w:color w:val="auto"/>
        </w:rPr>
        <w:t>class and aggregate number of shares that may</w:t>
      </w:r>
    </w:p>
    <w:p>
      <w:pPr>
        <w:spacing w:after="0"/>
        <w:rPr>
          <w:sz w:val="20"/>
          <w:szCs w:val="20"/>
          <w:color w:val="auto"/>
        </w:rPr>
      </w:pPr>
      <w:r>
        <w:rPr>
          <w:rFonts w:ascii="Courier New" w:cs="Courier New" w:eastAsia="Courier New" w:hAnsi="Courier New"/>
          <w:sz w:val="18"/>
          <w:szCs w:val="18"/>
          <w:color w:val="auto"/>
        </w:rPr>
        <w:t>be awarded as Restricted Stock under the Plan</w:t>
      </w:r>
    </w:p>
    <w:p>
      <w:pPr>
        <w:spacing w:after="0" w:line="237" w:lineRule="auto"/>
        <w:rPr>
          <w:sz w:val="20"/>
          <w:szCs w:val="20"/>
          <w:color w:val="auto"/>
        </w:rPr>
      </w:pPr>
      <w:r>
        <w:rPr>
          <w:rFonts w:ascii="Courier New" w:cs="Courier New" w:eastAsia="Courier New" w:hAnsi="Courier New"/>
          <w:sz w:val="18"/>
          <w:szCs w:val="18"/>
          <w:color w:val="auto"/>
        </w:rPr>
        <w:t>after any such change shall be appropriately</w:t>
      </w:r>
    </w:p>
    <w:p>
      <w:pPr>
        <w:spacing w:after="0"/>
        <w:rPr>
          <w:sz w:val="20"/>
          <w:szCs w:val="20"/>
          <w:color w:val="auto"/>
        </w:rPr>
      </w:pPr>
      <w:r>
        <w:rPr>
          <w:rFonts w:ascii="Courier New" w:cs="Courier New" w:eastAsia="Courier New" w:hAnsi="Courier New"/>
          <w:sz w:val="18"/>
          <w:szCs w:val="18"/>
          <w:color w:val="auto"/>
        </w:rPr>
        <w:t>adjusted by the Committee, whose determination</w:t>
      </w:r>
    </w:p>
    <w:p>
      <w:pPr>
        <w:spacing w:after="0" w:line="237" w:lineRule="auto"/>
        <w:rPr>
          <w:sz w:val="20"/>
          <w:szCs w:val="20"/>
          <w:color w:val="auto"/>
        </w:rPr>
      </w:pPr>
      <w:r>
        <w:rPr>
          <w:rFonts w:ascii="Courier New" w:cs="Courier New" w:eastAsia="Courier New" w:hAnsi="Courier New"/>
          <w:sz w:val="18"/>
          <w:szCs w:val="18"/>
          <w:color w:val="auto"/>
        </w:rPr>
        <w:t>shall be conclusive.</w:t>
      </w:r>
    </w:p>
    <w:p>
      <w:pPr>
        <w:spacing w:after="0" w:line="202" w:lineRule="exact"/>
        <w:rPr>
          <w:sz w:val="20"/>
          <w:szCs w:val="20"/>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5059" w:firstLine="843"/>
        <w:spacing w:after="0" w:line="268" w:lineRule="auto"/>
        <w:rPr>
          <w:sz w:val="20"/>
          <w:szCs w:val="20"/>
          <w:color w:val="auto"/>
        </w:rPr>
      </w:pPr>
      <w:r>
        <w:rPr>
          <w:rFonts w:ascii="Courier New" w:cs="Courier New" w:eastAsia="Courier New" w:hAnsi="Courier New"/>
          <w:sz w:val="16"/>
          <w:szCs w:val="16"/>
          <w:color w:val="auto"/>
        </w:rPr>
        <w:t>The Board of Directors of the Company shall have complete power and authority to amend, suspend or discontinue this Plan; provided, however, that the Board of Directors shall not, without the approval of the holders of a majority of the voting stock of the Company</w:t>
      </w:r>
    </w:p>
    <w:p>
      <w:pPr>
        <w:spacing w:after="0" w:line="234" w:lineRule="auto"/>
        <w:rPr>
          <w:sz w:val="20"/>
          <w:szCs w:val="20"/>
          <w:color w:val="auto"/>
        </w:rPr>
      </w:pPr>
      <w:r>
        <w:rPr>
          <w:rFonts w:ascii="Courier New" w:cs="Courier New" w:eastAsia="Courier New" w:hAnsi="Courier New"/>
          <w:sz w:val="18"/>
          <w:szCs w:val="18"/>
          <w:color w:val="auto"/>
        </w:rPr>
        <w:t>entitled to vote thereon, (A) increase either</w:t>
      </w:r>
    </w:p>
    <w:p>
      <w:pPr>
        <w:spacing w:after="0" w:line="5" w:lineRule="exact"/>
        <w:rPr>
          <w:sz w:val="20"/>
          <w:szCs w:val="20"/>
          <w:color w:val="auto"/>
        </w:rPr>
      </w:pPr>
    </w:p>
    <w:p>
      <w:pPr>
        <w:ind w:right="5359" w:firstLine="8"/>
        <w:spacing w:after="0" w:line="268" w:lineRule="auto"/>
        <w:tabs>
          <w:tab w:leader="none" w:pos="42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Restricted Stock that may be awarded under the Plan,</w:t>
      </w:r>
    </w:p>
    <w:p>
      <w:pPr>
        <w:ind w:right="5159" w:firstLine="8"/>
        <w:spacing w:after="0" w:line="270" w:lineRule="auto"/>
        <w:tabs>
          <w:tab w:leader="none" w:pos="52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5 hereof to exceed the limitations set forth in said paragraph.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202"/>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Roman"/>
      <w:start w:val="2"/>
    </w:lvl>
  </w:abstractNum>
  <w:abstractNum w:abstractNumId="6">
    <w:nsid w:val="436C6125"/>
    <w:multiLevelType w:val="hybridMultilevel"/>
    <w:lvl w:ilvl="0">
      <w:lvlJc w:val="left"/>
      <w:lvlText w:val="%1."/>
      <w:numFmt w:val="decimal"/>
      <w:start w:val="7"/>
    </w:lvl>
  </w:abstractNum>
  <w:abstractNum w:abstractNumId="7">
    <w:nsid w:val="628C895D"/>
    <w:multiLevelType w:val="hybridMultilevel"/>
    <w:lvl w:ilvl="0">
      <w:lvlJc w:val="left"/>
      <w:lvlText w:val="%1."/>
      <w:numFmt w:val="decimal"/>
      <w:start w:val="8"/>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2"/>
    </w:lvl>
  </w:abstractNum>
  <w:abstractNum w:abstractNumId="10">
    <w:nsid w:val="2443A858"/>
    <w:multiLevelType w:val="hybridMultilevel"/>
    <w:lvl w:ilvl="0">
      <w:lvlJc w:val="left"/>
      <w:lvlText w:val="%1."/>
      <w:numFmt w:val="decimal"/>
      <w:start w:val="3"/>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lowerLetter"/>
      <w:start w:val="2"/>
    </w:lvl>
  </w:abstractNum>
  <w:abstractNum w:abstractNumId="12">
    <w:nsid w:val="6763845E"/>
    <w:multiLevelType w:val="hybridMultilevel"/>
    <w:lvl w:ilvl="0">
      <w:lvlJc w:val="left"/>
      <w:lvlText w:val="%1."/>
      <w:numFmt w:val="decimal"/>
      <w:start w:val="4"/>
    </w:lvl>
    <w:lvl w:ilvl="1">
      <w:lvlJc w:val="left"/>
      <w:lvlText w:val="%2"/>
      <w:numFmt w:val="lowerLetter"/>
      <w:start w:val="1"/>
    </w:lvl>
  </w:abstractNum>
  <w:abstractNum w:abstractNumId="13">
    <w:nsid w:val="75A2A8D4"/>
    <w:multiLevelType w:val="hybridMultilevel"/>
    <w:lvl w:ilvl="0">
      <w:lvlJc w:val="left"/>
      <w:lvlText w:val="%1."/>
      <w:numFmt w:val="decimal"/>
      <w:start w:val="5"/>
    </w:lvl>
    <w:lvl w:ilvl="1">
      <w:lvlJc w:val="left"/>
      <w:lvlText w:val="(%2)"/>
      <w:numFmt w:val="lowerLetter"/>
      <w:start w:val="1"/>
    </w:lvl>
  </w:abstractNum>
  <w:abstractNum w:abstractNumId="14">
    <w:nsid w:val="8EDBDAB"/>
    <w:multiLevelType w:val="hybridMultilevel"/>
    <w:lvl w:ilvl="0">
      <w:lvlJc w:val="left"/>
      <w:lvlText w:val="(%1)"/>
      <w:numFmt w:val="lowerLetter"/>
      <w:start w:val="3"/>
    </w:lvl>
  </w:abstractNum>
  <w:abstractNum w:abstractNumId="15">
    <w:nsid w:val="79838CB2"/>
    <w:multiLevelType w:val="hybridMultilevel"/>
    <w:lvl w:ilvl="0">
      <w:lvlJc w:val="left"/>
      <w:lvlText w:val="%1"/>
      <w:numFmt w:val="decimal"/>
      <w:start w:val="1"/>
    </w:lvl>
    <w:lvl w:ilvl="1">
      <w:lvlJc w:val="left"/>
      <w:lvlText w:val="(%2)"/>
      <w:numFmt w:val="lowerLetter"/>
      <w:start w:val="6"/>
    </w:lvl>
  </w:abstractNum>
  <w:abstractNum w:abstractNumId="16">
    <w:nsid w:val="4353D0CD"/>
    <w:multiLevelType w:val="hybridMultilevel"/>
    <w:lvl w:ilvl="0">
      <w:lvlJc w:val="left"/>
      <w:lvlText w:val="%1."/>
      <w:numFmt w:val="decimal"/>
      <w:start w:val="6"/>
    </w:lvl>
    <w:lvl w:ilvl="1">
      <w:lvlJc w:val="left"/>
      <w:lvlText w:val="%2"/>
      <w:numFmt w:val="lowerLetter"/>
      <w:start w:val="1"/>
    </w:lvl>
  </w:abstractNum>
  <w:abstractNum w:abstractNumId="17">
    <w:nsid w:val="B03E0C6"/>
    <w:multiLevelType w:val="hybridMultilevel"/>
    <w:lvl w:ilvl="0">
      <w:lvlJc w:val="left"/>
      <w:lvlText w:val="%1."/>
      <w:numFmt w:val="decimal"/>
      <w:start w:val="7"/>
    </w:lvl>
    <w:lvl w:ilvl="1">
      <w:lvlJc w:val="left"/>
      <w:lvlText w:val="(%2)"/>
      <w:numFmt w:val="lowerLetter"/>
      <w:start w:val="1"/>
    </w:lvl>
  </w:abstractNum>
  <w:abstractNum w:abstractNumId="18">
    <w:nsid w:val="189A769B"/>
    <w:multiLevelType w:val="hybridMultilevel"/>
    <w:lvl w:ilvl="0">
      <w:lvlJc w:val="left"/>
      <w:lvlText w:val="(%1)"/>
      <w:numFmt w:val="lowerLetter"/>
      <w:start w:val="35"/>
    </w:lvl>
    <w:lvl w:ilvl="1">
      <w:lvlJc w:val="left"/>
      <w:lvlText w:val="(%2)"/>
      <w:numFmt w:val="lowerLetter"/>
      <w:start w:val="3"/>
    </w:lvl>
  </w:abstractNum>
  <w:abstractNum w:abstractNumId="19">
    <w:nsid w:val="54E49EB4"/>
    <w:multiLevelType w:val="hybridMultilevel"/>
    <w:lvl w:ilvl="0">
      <w:lvlJc w:val="left"/>
      <w:lvlText w:val="%1."/>
      <w:numFmt w:val="decimal"/>
      <w:start w:val="9"/>
    </w:lvl>
    <w:lvl w:ilvl="1">
      <w:lvlJc w:val="left"/>
      <w:lvlText w:val="(%2)"/>
      <w:numFmt w:val="lowerLetter"/>
      <w:start w:val="1"/>
    </w:lvl>
  </w:abstractNum>
  <w:abstractNum w:abstractNumId="20">
    <w:nsid w:val="71F32454"/>
    <w:multiLevelType w:val="hybridMultilevel"/>
    <w:lvl w:ilvl="0">
      <w:lvlJc w:val="left"/>
      <w:lvlText w:val="%1"/>
      <w:numFmt w:val="lowerLetter"/>
      <w:start w:val="1"/>
    </w:lvl>
    <w:lvl w:ilvl="1">
      <w:lvlJc w:val="left"/>
      <w:lvlText w:val="(%2)"/>
      <w:numFmt w:val="lowerLetter"/>
      <w:start w:val="2"/>
    </w:lvl>
  </w:abstractNum>
  <w:abstractNum w:abstractNumId="21">
    <w:nsid w:val="2CA88611"/>
    <w:multiLevelType w:val="hybridMultilevel"/>
    <w:lvl w:ilvl="0">
      <w:lvlJc w:val="left"/>
      <w:lvlText w:val="(%1)"/>
      <w:numFmt w:val="lowerLetter"/>
      <w:start w:val="9"/>
    </w:lvl>
    <w:lvl w:ilvl="1">
      <w:lvlJc w:val="left"/>
      <w:lvlText w:val="(%2)"/>
      <w:numFmt w:val="lowerLetter"/>
      <w:start w:val="3"/>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3"/>
    </w:lvl>
    <w:lvl w:ilvl="1">
      <w:lvlJc w:val="left"/>
      <w:lvlText w:val="%2"/>
      <w:numFmt w:val="lowerLetter"/>
      <w:start w:val="1"/>
    </w:lvl>
  </w:abstractNum>
  <w:abstractNum w:abstractNumId="24">
    <w:nsid w:val="3A95F874"/>
    <w:multiLevelType w:val="hybridMultilevel"/>
    <w:lvl w:ilvl="0">
      <w:lvlJc w:val="left"/>
      <w:lvlText w:val="(%1)"/>
      <w:numFmt w:val="lowerRoman"/>
      <w:start w:val="1"/>
    </w:lvl>
    <w:lvl w:ilvl="1">
      <w:lvlJc w:val="left"/>
      <w:lvlText w:val="%2"/>
      <w:numFmt w:val="lowerLetter"/>
      <w:start w:val="1"/>
    </w:lvl>
  </w:abstractNum>
  <w:abstractNum w:abstractNumId="25">
    <w:nsid w:val="8138641"/>
    <w:multiLevelType w:val="hybridMultilevel"/>
    <w:lvl w:ilvl="0">
      <w:lvlJc w:val="left"/>
      <w:lvlText w:val="(%1)"/>
      <w:numFmt w:val="lowerRoman"/>
      <w:start w:val="4"/>
    </w:lvl>
    <w:lvl w:ilvl="1">
      <w:lvlJc w:val="left"/>
      <w:lvlText w:val="(%2)"/>
      <w:numFmt w:val="lowerLetter"/>
      <w:start w:val="4"/>
    </w:lvl>
  </w:abstractNum>
  <w:abstractNum w:abstractNumId="26">
    <w:nsid w:val="1E7FF521"/>
    <w:multiLevelType w:val="hybridMultilevel"/>
    <w:lvl w:ilvl="0">
      <w:lvlJc w:val="left"/>
      <w:lvlText w:val="%1."/>
      <w:numFmt w:val="decimal"/>
      <w:start w:val="10"/>
    </w:lvl>
    <w:lvl w:ilvl="1">
      <w:lvlJc w:val="left"/>
      <w:lvlText w:val="(%2)"/>
      <w:numFmt w:val="lowerLetter"/>
      <w:start w:val="1"/>
    </w:lvl>
  </w:abstractNum>
  <w:abstractNum w:abstractNumId="27">
    <w:nsid w:val="7C3DBD3D"/>
    <w:multiLevelType w:val="hybridMultilevel"/>
    <w:lvl w:ilvl="0">
      <w:lvlJc w:val="left"/>
      <w:lvlText w:val="%1"/>
      <w:numFmt w:val="lowerRoman"/>
      <w:start w:val="1"/>
    </w:lvl>
    <w:lvl w:ilvl="1">
      <w:lvlJc w:val="left"/>
      <w:lvlText w:val="(%2)"/>
      <w:numFmt w:val="lowerLetter"/>
      <w:start w:val="3"/>
    </w:lvl>
  </w:abstractNum>
  <w:abstractNum w:abstractNumId="28">
    <w:nsid w:val="737B8DDC"/>
    <w:multiLevelType w:val="hybridMultilevel"/>
    <w:lvl w:ilvl="0">
      <w:lvlJc w:val="left"/>
      <w:lvlText w:val="(%1)"/>
      <w:numFmt w:val="lowerRoman"/>
      <w:start w:val="1"/>
    </w:lvl>
    <w:lvl w:ilvl="1">
      <w:lvlJc w:val="left"/>
      <w:lvlText w:val="(%2)"/>
      <w:numFmt w:val="lowerLetter"/>
      <w:start w:val="4"/>
    </w:lvl>
  </w:abstractNum>
  <w:abstractNum w:abstractNumId="29">
    <w:nsid w:val="6CEAF087"/>
    <w:multiLevelType w:val="hybridMultilevel"/>
    <w:lvl w:ilvl="0">
      <w:lvlJc w:val="left"/>
      <w:lvlText w:val="(%1)"/>
      <w:numFmt w:val="lowerRoman"/>
      <w:start w:val="1"/>
    </w:lvl>
    <w:lvl w:ilvl="1">
      <w:lvlJc w:val="left"/>
      <w:lvlText w:val="(%2)"/>
      <w:numFmt w:val="lowerLetter"/>
      <w:start w:val="5"/>
    </w:lvl>
  </w:abstractNum>
  <w:abstractNum w:abstractNumId="30">
    <w:nsid w:val="22221A70"/>
    <w:multiLevelType w:val="hybridMultilevel"/>
    <w:lvl w:ilvl="0">
      <w:lvlJc w:val="left"/>
      <w:lvlText w:val="(%1)"/>
      <w:numFmt w:val="lowerLetter"/>
      <w:start w:val="6"/>
    </w:lvl>
  </w:abstractNum>
  <w:abstractNum w:abstractNumId="31">
    <w:nsid w:val="4516DDE9"/>
    <w:multiLevelType w:val="hybridMultilevel"/>
    <w:lvl w:ilvl="0">
      <w:lvlJc w:val="left"/>
      <w:lvlText w:val="%1."/>
      <w:numFmt w:val="decimal"/>
      <w:start w:val="12"/>
    </w:lvl>
  </w:abstractNum>
  <w:abstractNum w:abstractNumId="32">
    <w:nsid w:val="3006C83E"/>
    <w:multiLevelType w:val="hybridMultilevel"/>
    <w:lvl w:ilvl="0">
      <w:lvlJc w:val="left"/>
      <w:lvlText w:val="%1."/>
      <w:numFmt w:val="decimal"/>
      <w:start w:val="13"/>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2019-12-12T10:42:05Z</dcterms:created>
  <dcterms:modified xsi:type="dcterms:W3CDTF">2019-12-12T10:42:05Z</dcterms:modified>
</cp:coreProperties>
</file>