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1203960</wp:posOffset>
            </wp:positionH>
            <wp:positionV relativeFrom="page">
              <wp:posOffset>157480</wp:posOffset>
            </wp:positionV>
            <wp:extent cx="5162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139700</wp:posOffset>
            </wp:positionV>
            <wp:extent cx="5162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QUARTERLY REPORT PURSUANT TO SECTION 13 OR 15(d)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Quarterly Period Ended June 30,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144780</wp:posOffset>
            </wp:positionV>
            <wp:extent cx="5162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1-6714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WASHINGTON POST COMPANY</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6" w:lineRule="exact"/>
        <w:rPr>
          <w:sz w:val="24"/>
          <w:szCs w:val="24"/>
          <w:color w:val="auto"/>
        </w:rPr>
      </w:pPr>
    </w:p>
    <w:tbl>
      <w:tblPr>
        <w:tblLayout w:type="fixed"/>
        <w:tblInd w:w="2620" w:type="dxa"/>
        <w:tblCellMar>
          <w:top w:w="0" w:type="dxa"/>
          <w:left w:w="0" w:type="dxa"/>
          <w:bottom w:w="0" w:type="dxa"/>
          <w:right w:w="0" w:type="dxa"/>
        </w:tblCellMar>
      </w:tblPr>
      <w:tr>
        <w:trPr>
          <w:trHeight w:val="262"/>
        </w:trPr>
        <w:tc>
          <w:tcPr>
            <w:tcW w:w="3280" w:type="dxa"/>
            <w:vAlign w:val="bottom"/>
          </w:tcPr>
          <w:p>
            <w:pPr>
              <w:jc w:val="center"/>
              <w:ind w:right="1065"/>
              <w:spacing w:after="0"/>
              <w:rPr>
                <w:sz w:val="20"/>
                <w:szCs w:val="20"/>
                <w:color w:val="auto"/>
              </w:rPr>
            </w:pPr>
            <w:r>
              <w:rPr>
                <w:rFonts w:ascii="Arial" w:cs="Arial" w:eastAsia="Arial" w:hAnsi="Arial"/>
                <w:sz w:val="22"/>
                <w:szCs w:val="22"/>
                <w:b w:val="1"/>
                <w:bCs w:val="1"/>
                <w:color w:val="auto"/>
                <w:w w:val="91"/>
              </w:rPr>
              <w:t>Delaware</w:t>
            </w:r>
          </w:p>
        </w:tc>
        <w:tc>
          <w:tcPr>
            <w:tcW w:w="2480" w:type="dxa"/>
            <w:vAlign w:val="bottom"/>
          </w:tcPr>
          <w:p>
            <w:pPr>
              <w:jc w:val="center"/>
              <w:ind w:left="1105"/>
              <w:spacing w:after="0"/>
              <w:rPr>
                <w:sz w:val="20"/>
                <w:szCs w:val="20"/>
                <w:color w:val="auto"/>
              </w:rPr>
            </w:pPr>
            <w:r>
              <w:rPr>
                <w:rFonts w:ascii="Arial" w:cs="Arial" w:eastAsia="Arial" w:hAnsi="Arial"/>
                <w:sz w:val="22"/>
                <w:szCs w:val="22"/>
                <w:b w:val="1"/>
                <w:bCs w:val="1"/>
                <w:color w:val="auto"/>
                <w:w w:val="88"/>
              </w:rPr>
              <w:t>53-0182885</w:t>
            </w:r>
          </w:p>
        </w:tc>
      </w:tr>
      <w:tr>
        <w:trPr>
          <w:trHeight w:val="216"/>
        </w:trPr>
        <w:tc>
          <w:tcPr>
            <w:tcW w:w="3280" w:type="dxa"/>
            <w:vAlign w:val="bottom"/>
          </w:tcPr>
          <w:p>
            <w:pPr>
              <w:jc w:val="center"/>
              <w:ind w:right="1065"/>
              <w:spacing w:after="0"/>
              <w:rPr>
                <w:sz w:val="20"/>
                <w:szCs w:val="20"/>
                <w:color w:val="auto"/>
              </w:rPr>
            </w:pPr>
            <w:r>
              <w:rPr>
                <w:rFonts w:ascii="Arial" w:cs="Arial" w:eastAsia="Arial" w:hAnsi="Arial"/>
                <w:sz w:val="18"/>
                <w:szCs w:val="18"/>
                <w:color w:val="auto"/>
                <w:w w:val="90"/>
              </w:rPr>
              <w:t>(State or other jurisdiction of</w:t>
            </w:r>
          </w:p>
        </w:tc>
        <w:tc>
          <w:tcPr>
            <w:tcW w:w="2480" w:type="dxa"/>
            <w:vAlign w:val="bottom"/>
          </w:tcPr>
          <w:p>
            <w:pPr>
              <w:jc w:val="center"/>
              <w:ind w:left="1105"/>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1065"/>
              <w:spacing w:after="0"/>
              <w:rPr>
                <w:sz w:val="20"/>
                <w:szCs w:val="20"/>
                <w:color w:val="auto"/>
              </w:rPr>
            </w:pPr>
            <w:r>
              <w:rPr>
                <w:rFonts w:ascii="Arial" w:cs="Arial" w:eastAsia="Arial" w:hAnsi="Arial"/>
                <w:sz w:val="18"/>
                <w:szCs w:val="18"/>
                <w:color w:val="auto"/>
                <w:w w:val="90"/>
              </w:rPr>
              <w:t>incorporation or organization)</w:t>
            </w:r>
          </w:p>
        </w:tc>
        <w:tc>
          <w:tcPr>
            <w:tcW w:w="2480" w:type="dxa"/>
            <w:vAlign w:val="bottom"/>
          </w:tcPr>
          <w:p>
            <w:pPr>
              <w:jc w:val="center"/>
              <w:ind w:left="1085"/>
              <w:spacing w:after="0"/>
              <w:rPr>
                <w:sz w:val="20"/>
                <w:szCs w:val="20"/>
                <w:color w:val="auto"/>
              </w:rPr>
            </w:pPr>
            <w:r>
              <w:rPr>
                <w:rFonts w:ascii="Arial" w:cs="Arial" w:eastAsia="Arial" w:hAnsi="Arial"/>
                <w:sz w:val="18"/>
                <w:szCs w:val="18"/>
                <w:color w:val="auto"/>
                <w:w w:val="92"/>
              </w:rPr>
              <w:t>Identification No.)</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1150 15th Street, N.W. Washington, D.C. 20071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 and zip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(202) 334-6000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219075</wp:posOffset>
            </wp:positionV>
            <wp:extent cx="5162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both"/>
        <w:ind w:right="180"/>
        <w:spacing w:after="0" w:line="23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Layout w:type="fixed"/>
        <w:tblInd w:w="0" w:type="dxa"/>
        <w:tblCellMar>
          <w:top w:w="0" w:type="dxa"/>
          <w:left w:w="0" w:type="dxa"/>
          <w:bottom w:w="0" w:type="dxa"/>
          <w:right w:w="0" w:type="dxa"/>
        </w:tblCellMar>
      </w:tblPr>
      <w:tr>
        <w:trPr>
          <w:trHeight w:val="175"/>
        </w:trPr>
        <w:tc>
          <w:tcPr>
            <w:tcW w:w="1240" w:type="dxa"/>
            <w:vAlign w:val="bottom"/>
            <w:gridSpan w:val="4"/>
          </w:tcPr>
          <w:p>
            <w:pPr>
              <w:spacing w:after="0" w:line="175" w:lineRule="exact"/>
              <w:rPr>
                <w:sz w:val="20"/>
                <w:szCs w:val="20"/>
                <w:color w:val="auto"/>
              </w:rPr>
            </w:pPr>
            <w:r>
              <w:rPr>
                <w:rFonts w:ascii="Arial" w:cs="Arial" w:eastAsia="Arial" w:hAnsi="Arial"/>
                <w:sz w:val="18"/>
                <w:szCs w:val="18"/>
                <w:color w:val="auto"/>
              </w:rPr>
              <w:t>Yes  X  .  No</w:t>
            </w:r>
          </w:p>
        </w:tc>
        <w:tc>
          <w:tcPr>
            <w:tcW w:w="680" w:type="dxa"/>
            <w:vAlign w:val="bottom"/>
            <w:gridSpan w:val="2"/>
          </w:tcPr>
          <w:p>
            <w:pPr>
              <w:jc w:val="right"/>
              <w:ind w:right="272"/>
              <w:spacing w:after="0" w:line="175" w:lineRule="exact"/>
              <w:rPr>
                <w:sz w:val="20"/>
                <w:szCs w:val="20"/>
                <w:color w:val="auto"/>
              </w:rPr>
            </w:pPr>
            <w:r>
              <w:rPr>
                <w:rFonts w:ascii="Arial" w:cs="Arial" w:eastAsia="Arial" w:hAnsi="Arial"/>
                <w:sz w:val="18"/>
                <w:szCs w:val="18"/>
                <w:color w:val="auto"/>
              </w:rPr>
              <w:t>.</w:t>
            </w:r>
          </w:p>
        </w:tc>
        <w:tc>
          <w:tcPr>
            <w:tcW w:w="19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900" w:type="dxa"/>
            <w:vAlign w:val="bottom"/>
            <w:gridSpan w:val="7"/>
          </w:tcPr>
          <w:p>
            <w:pPr>
              <w:spacing w:after="0"/>
              <w:rPr>
                <w:sz w:val="20"/>
                <w:szCs w:val="20"/>
                <w:color w:val="auto"/>
              </w:rPr>
            </w:pPr>
            <w:r>
              <w:rPr>
                <w:rFonts w:ascii="Arial" w:cs="Arial" w:eastAsia="Arial" w:hAnsi="Arial"/>
                <w:sz w:val="18"/>
                <w:szCs w:val="18"/>
                <w:color w:val="auto"/>
              </w:rPr>
              <w:t>Shares outstanding at August 2, 2002:</w:t>
            </w:r>
          </w:p>
        </w:tc>
        <w:tc>
          <w:tcPr>
            <w:tcW w:w="5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Class A Common Stock</w:t>
            </w:r>
          </w:p>
        </w:tc>
        <w:tc>
          <w:tcPr>
            <w:tcW w:w="5840" w:type="dxa"/>
            <w:vAlign w:val="bottom"/>
          </w:tcPr>
          <w:p>
            <w:pPr>
              <w:ind w:left="160"/>
              <w:spacing w:after="0"/>
              <w:rPr>
                <w:sz w:val="20"/>
                <w:szCs w:val="20"/>
                <w:color w:val="auto"/>
              </w:rPr>
            </w:pPr>
            <w:r>
              <w:rPr>
                <w:rFonts w:ascii="Arial" w:cs="Arial" w:eastAsia="Arial" w:hAnsi="Arial"/>
                <w:sz w:val="18"/>
                <w:szCs w:val="18"/>
                <w:color w:val="auto"/>
              </w:rPr>
              <w:t>1,722,250 Shares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Class B Common Stock</w:t>
            </w:r>
          </w:p>
        </w:tc>
        <w:tc>
          <w:tcPr>
            <w:tcW w:w="5840" w:type="dxa"/>
            <w:vAlign w:val="bottom"/>
          </w:tcPr>
          <w:p>
            <w:pPr>
              <w:ind w:left="160"/>
              <w:spacing w:after="0"/>
              <w:rPr>
                <w:sz w:val="20"/>
                <w:szCs w:val="20"/>
                <w:color w:val="auto"/>
              </w:rPr>
            </w:pPr>
            <w:r>
              <w:rPr>
                <w:rFonts w:ascii="Arial" w:cs="Arial" w:eastAsia="Arial" w:hAnsi="Arial"/>
                <w:sz w:val="18"/>
                <w:szCs w:val="18"/>
                <w:color w:val="auto"/>
              </w:rPr>
              <w:t>7,781,453 Shares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1980" w:type="dxa"/>
            <w:vAlign w:val="bottom"/>
            <w:tcBorders>
              <w:bottom w:val="single" w:sz="8" w:color="808080"/>
            </w:tcBorders>
          </w:tcPr>
          <w:p>
            <w:pPr>
              <w:spacing w:after="0"/>
              <w:rPr>
                <w:sz w:val="15"/>
                <w:szCs w:val="15"/>
                <w:color w:val="auto"/>
              </w:rPr>
            </w:pPr>
          </w:p>
        </w:tc>
        <w:tc>
          <w:tcPr>
            <w:tcW w:w="584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20" w:type="dxa"/>
            <w:vAlign w:val="bottom"/>
            <w:gridSpan w:val="2"/>
            <w:vMerge w:val="restart"/>
          </w:tcPr>
          <w:p>
            <w:pPr>
              <w:ind w:left="1380"/>
              <w:spacing w:after="0"/>
              <w:rPr>
                <w:sz w:val="20"/>
                <w:szCs w:val="20"/>
                <w:color w:val="auto"/>
              </w:rPr>
            </w:pPr>
            <w:r>
              <w:rPr>
                <w:rFonts w:ascii="Arial" w:cs="Arial" w:eastAsia="Arial" w:hAnsi="Arial"/>
                <w:sz w:val="18"/>
                <w:szCs w:val="18"/>
                <w:b w:val="1"/>
                <w:bCs w:val="1"/>
                <w:color w:val="auto"/>
              </w:rPr>
              <w:t>THE WASHINGTON POST COMPANY</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Index to Form 10-Q</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680" w:type="dxa"/>
            <w:vAlign w:val="bottom"/>
          </w:tcPr>
          <w:p>
            <w:pPr>
              <w:jc w:val="right"/>
              <w:ind w:right="1012"/>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73"/>
        </w:trPr>
        <w:tc>
          <w:tcPr>
            <w:tcW w:w="1240" w:type="dxa"/>
            <w:vAlign w:val="bottom"/>
            <w:gridSpan w:val="4"/>
          </w:tcPr>
          <w:p>
            <w:pPr>
              <w:spacing w:after="0"/>
              <w:rPr>
                <w:sz w:val="20"/>
                <w:szCs w:val="20"/>
                <w:color w:val="auto"/>
              </w:rPr>
            </w:pPr>
            <w:r>
              <w:rPr>
                <w:rFonts w:ascii="Arial" w:cs="Arial" w:eastAsia="Arial" w:hAnsi="Arial"/>
                <w:sz w:val="18"/>
                <w:szCs w:val="18"/>
                <w:color w:val="auto"/>
              </w:rPr>
              <w:t>PART I.</w:t>
            </w:r>
          </w:p>
        </w:tc>
        <w:tc>
          <w:tcPr>
            <w:tcW w:w="28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8"/>
                <w:szCs w:val="18"/>
                <w:color w:val="auto"/>
              </w:rPr>
              <w:t>FINANCIAL INFORMATION</w:t>
            </w:r>
          </w:p>
        </w:tc>
        <w:tc>
          <w:tcPr>
            <w:tcW w:w="5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2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28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8"/>
                <w:szCs w:val="18"/>
                <w:color w:val="auto"/>
              </w:rPr>
              <w:t>Financial Statements</w:t>
            </w:r>
          </w:p>
        </w:tc>
        <w:tc>
          <w:tcPr>
            <w:tcW w:w="5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ind w:left="60"/>
              <w:spacing w:after="0" w:line="202" w:lineRule="exact"/>
              <w:rPr>
                <w:sz w:val="20"/>
                <w:szCs w:val="20"/>
                <w:color w:val="auto"/>
              </w:rPr>
            </w:pPr>
            <w:r>
              <w:rPr>
                <w:rFonts w:ascii="Arial" w:cs="Arial" w:eastAsia="Arial" w:hAnsi="Arial"/>
                <w:sz w:val="18"/>
                <w:szCs w:val="18"/>
                <w:color w:val="auto"/>
              </w:rPr>
              <w:t>a.</w:t>
            </w:r>
          </w:p>
        </w:tc>
        <w:tc>
          <w:tcPr>
            <w:tcW w:w="7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Condensed Consolidated Statements of Income (Unaudited) for the Thirteen and Twenty-six</w:t>
            </w:r>
          </w:p>
        </w:tc>
        <w:tc>
          <w:tcPr>
            <w:tcW w:w="1680" w:type="dxa"/>
            <w:vAlign w:val="bottom"/>
          </w:tcPr>
          <w:p>
            <w:pPr>
              <w:jc w:val="right"/>
              <w:ind w:right="83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Weeks Ended June 30, 2002 and July 1, 2001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b.</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Condensed Consolidated Statements of Comprehensive Income (Unaudited) for the Thirteen</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and Twenty-six Weeks Ended June 30, 2002 and July 1, 2001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c.</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w w:val="98"/>
              </w:rPr>
              <w:t>Condensed Consolidated Balance Sheets at June 30, 2002 (Unaudited) and December 30, 2001</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64"/>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d.</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Condensed Consolidated Statements of Cash Flows (Unaudited) for the Twenty-six Weeks</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Ended June 30, 2002 and July 1, 2001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e.</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Notes to Condensed Consolidated Financial Statements (Unaudited)</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73"/>
        </w:trPr>
        <w:tc>
          <w:tcPr>
            <w:tcW w:w="12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280" w:type="dxa"/>
            <w:vAlign w:val="bottom"/>
          </w:tcPr>
          <w:p>
            <w:pPr>
              <w:spacing w:after="0"/>
              <w:rPr>
                <w:sz w:val="24"/>
                <w:szCs w:val="24"/>
                <w:color w:val="auto"/>
              </w:rPr>
            </w:pP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Management's Discussion and Analysis of Results of Operations and Financial Condition</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46"/>
        </w:trPr>
        <w:tc>
          <w:tcPr>
            <w:tcW w:w="1240" w:type="dxa"/>
            <w:vAlign w:val="bottom"/>
            <w:gridSpan w:val="4"/>
          </w:tcPr>
          <w:p>
            <w:pPr>
              <w:spacing w:after="0"/>
              <w:rPr>
                <w:sz w:val="20"/>
                <w:szCs w:val="20"/>
                <w:color w:val="auto"/>
              </w:rPr>
            </w:pPr>
            <w:r>
              <w:rPr>
                <w:rFonts w:ascii="Arial" w:cs="Arial" w:eastAsia="Arial" w:hAnsi="Arial"/>
                <w:sz w:val="18"/>
                <w:szCs w:val="18"/>
                <w:color w:val="auto"/>
              </w:rPr>
              <w:t>PART II.</w:t>
            </w:r>
          </w:p>
        </w:tc>
        <w:tc>
          <w:tcPr>
            <w:tcW w:w="28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8"/>
                <w:szCs w:val="18"/>
                <w:color w:val="auto"/>
              </w:rPr>
              <w:t>OTHER INFORMATION</w:t>
            </w:r>
          </w:p>
        </w:tc>
        <w:tc>
          <w:tcPr>
            <w:tcW w:w="5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2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280" w:type="dxa"/>
            <w:vAlign w:val="bottom"/>
          </w:tcPr>
          <w:p>
            <w:pPr>
              <w:spacing w:after="0"/>
              <w:rPr>
                <w:sz w:val="24"/>
                <w:szCs w:val="24"/>
                <w:color w:val="auto"/>
              </w:rPr>
            </w:pP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Submission of Matters to a Vote of Security Holders</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46"/>
        </w:trPr>
        <w:tc>
          <w:tcPr>
            <w:tcW w:w="12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280" w:type="dxa"/>
            <w:vAlign w:val="bottom"/>
          </w:tcPr>
          <w:p>
            <w:pPr>
              <w:spacing w:after="0"/>
              <w:rPr>
                <w:sz w:val="24"/>
                <w:szCs w:val="24"/>
                <w:color w:val="auto"/>
              </w:rPr>
            </w:pP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Exhibits and Reports on Form 8-K</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46"/>
        </w:trPr>
        <w:tc>
          <w:tcPr>
            <w:tcW w:w="124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80" w:type="dxa"/>
            <w:vAlign w:val="bottom"/>
          </w:tcPr>
          <w:p>
            <w:pPr>
              <w:jc w:val="right"/>
              <w:ind w:right="8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909" w:orient="portrait"/>
          <w:cols w:equalWidth="0" w:num="1">
            <w:col w:w="11420"/>
          </w:cols>
          <w:pgMar w:left="240" w:top="436" w:right="239" w:bottom="0" w:gutter="0" w:footer="0" w:header="0"/>
        </w:sectPr>
      </w:pPr>
    </w:p>
    <w:bookmarkStart w:id="1" w:name="page2"/>
    <w:bookmarkEnd w:id="1"/>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Advertising</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Circulation and subscriber</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Education</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Operating</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Selling, general and administrative</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of property, plant and equipment</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Amortization of goodwill and other intangibles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Equity in losses of affiliates</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income</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expense</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net</w:t>
      </w:r>
    </w:p>
    <w:p>
      <w:pPr>
        <w:spacing w:after="0" w:line="36" w:lineRule="exact"/>
        <w:rPr>
          <w:sz w:val="20"/>
          <w:szCs w:val="20"/>
          <w:color w:val="auto"/>
        </w:rPr>
      </w:pPr>
    </w:p>
    <w:p>
      <w:pPr>
        <w:jc w:val="right"/>
        <w:ind w:right="1940"/>
        <w:spacing w:after="0" w:line="317" w:lineRule="auto"/>
        <w:rPr>
          <w:sz w:val="20"/>
          <w:szCs w:val="20"/>
          <w:color w:val="auto"/>
        </w:rPr>
      </w:pPr>
      <w:r>
        <w:rPr>
          <w:rFonts w:ascii="Arial" w:cs="Arial" w:eastAsia="Arial" w:hAnsi="Arial"/>
          <w:sz w:val="16"/>
          <w:szCs w:val="16"/>
          <w:color w:val="auto"/>
        </w:rPr>
        <w:t>Income before income taxes and cumulative effect of change in accounting principle</w:t>
      </w:r>
    </w:p>
    <w:p>
      <w:pPr>
        <w:spacing w:after="0"/>
        <w:rPr>
          <w:sz w:val="20"/>
          <w:szCs w:val="20"/>
          <w:color w:val="auto"/>
        </w:rPr>
      </w:pPr>
      <w:r>
        <w:rPr>
          <w:rFonts w:ascii="Arial" w:cs="Arial" w:eastAsia="Arial" w:hAnsi="Arial"/>
          <w:sz w:val="18"/>
          <w:szCs w:val="18"/>
          <w:color w:val="auto"/>
        </w:rPr>
        <w:t>Provision for income taxes</w:t>
      </w:r>
    </w:p>
    <w:p>
      <w:pPr>
        <w:spacing w:after="0" w:line="36"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Income before cumulative effect of change in accounting principle Cumulative effect of change in method of accounting for goodwill and</w:t>
      </w:r>
    </w:p>
    <w:p>
      <w:pPr>
        <w:ind w:right="2220" w:firstLine="392"/>
        <w:spacing w:after="0" w:line="281" w:lineRule="auto"/>
        <w:rPr>
          <w:sz w:val="20"/>
          <w:szCs w:val="20"/>
          <w:color w:val="auto"/>
        </w:rPr>
      </w:pPr>
      <w:r>
        <w:rPr>
          <w:rFonts w:ascii="Arial" w:cs="Arial" w:eastAsia="Arial" w:hAnsi="Arial"/>
          <w:sz w:val="18"/>
          <w:szCs w:val="18"/>
          <w:color w:val="auto"/>
        </w:rPr>
        <w:t>other intangible assets, net of taxes Net income</w:t>
      </w:r>
    </w:p>
    <w:p>
      <w:pPr>
        <w:spacing w:after="0" w:line="2" w:lineRule="exact"/>
        <w:rPr>
          <w:sz w:val="20"/>
          <w:szCs w:val="20"/>
          <w:color w:val="auto"/>
        </w:rPr>
      </w:pPr>
    </w:p>
    <w:p>
      <w:pPr>
        <w:ind w:right="2200"/>
        <w:spacing w:after="0" w:line="299" w:lineRule="auto"/>
        <w:rPr>
          <w:sz w:val="20"/>
          <w:szCs w:val="20"/>
          <w:color w:val="auto"/>
        </w:rPr>
      </w:pPr>
      <w:r>
        <w:rPr>
          <w:rFonts w:ascii="Arial" w:cs="Arial" w:eastAsia="Arial" w:hAnsi="Arial"/>
          <w:sz w:val="16"/>
          <w:szCs w:val="16"/>
          <w:color w:val="auto"/>
        </w:rPr>
        <w:t>Redeemable preferred stock dividends Net income available for common shares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w:t>
      </w:r>
    </w:p>
    <w:p>
      <w:pPr>
        <w:spacing w:after="0" w:line="36" w:lineRule="exact"/>
        <w:rPr>
          <w:sz w:val="20"/>
          <w:szCs w:val="20"/>
          <w:color w:val="auto"/>
        </w:rPr>
      </w:pPr>
    </w:p>
    <w:p>
      <w:pPr>
        <w:ind w:left="400" w:right="500"/>
        <w:spacing w:after="0" w:line="317" w:lineRule="auto"/>
        <w:rPr>
          <w:sz w:val="20"/>
          <w:szCs w:val="20"/>
          <w:color w:val="auto"/>
        </w:rPr>
      </w:pPr>
      <w:r>
        <w:rPr>
          <w:rFonts w:ascii="Arial" w:cs="Arial" w:eastAsia="Arial" w:hAnsi="Arial"/>
          <w:sz w:val="16"/>
          <w:szCs w:val="16"/>
          <w:color w:val="auto"/>
        </w:rPr>
        <w:t>Before cumulative effect of change in accounting principle Cumulative effect of change in accounting principle</w:t>
      </w:r>
    </w:p>
    <w:p>
      <w:pPr>
        <w:ind w:left="400" w:right="1920"/>
        <w:spacing w:after="0" w:line="299" w:lineRule="auto"/>
        <w:rPr>
          <w:sz w:val="20"/>
          <w:szCs w:val="20"/>
          <w:color w:val="auto"/>
        </w:rPr>
      </w:pPr>
      <w:r>
        <w:rPr>
          <w:rFonts w:ascii="Arial" w:cs="Arial" w:eastAsia="Arial" w:hAnsi="Arial"/>
          <w:sz w:val="16"/>
          <w:szCs w:val="16"/>
          <w:color w:val="auto"/>
        </w:rPr>
        <w:t>Redeemable preferred stock dividends Net income available for common stock</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w:t>
      </w:r>
    </w:p>
    <w:p>
      <w:pPr>
        <w:spacing w:after="0" w:line="36" w:lineRule="exact"/>
        <w:rPr>
          <w:sz w:val="20"/>
          <w:szCs w:val="20"/>
          <w:color w:val="auto"/>
        </w:rPr>
      </w:pPr>
    </w:p>
    <w:p>
      <w:pPr>
        <w:ind w:left="400" w:right="500"/>
        <w:spacing w:after="0" w:line="317" w:lineRule="auto"/>
        <w:rPr>
          <w:sz w:val="20"/>
          <w:szCs w:val="20"/>
          <w:color w:val="auto"/>
        </w:rPr>
      </w:pPr>
      <w:r>
        <w:rPr>
          <w:rFonts w:ascii="Arial" w:cs="Arial" w:eastAsia="Arial" w:hAnsi="Arial"/>
          <w:sz w:val="16"/>
          <w:szCs w:val="16"/>
          <w:color w:val="auto"/>
        </w:rPr>
        <w:t>Before cumulative effect of change in accounting principle Cumulative effect of change in accounting principle</w:t>
      </w:r>
    </w:p>
    <w:p>
      <w:pPr>
        <w:ind w:left="400" w:right="1920"/>
        <w:spacing w:after="0" w:line="299" w:lineRule="auto"/>
        <w:rPr>
          <w:sz w:val="20"/>
          <w:szCs w:val="20"/>
          <w:color w:val="auto"/>
        </w:rPr>
      </w:pPr>
      <w:r>
        <w:rPr>
          <w:rFonts w:ascii="Arial" w:cs="Arial" w:eastAsia="Arial" w:hAnsi="Arial"/>
          <w:sz w:val="16"/>
          <w:szCs w:val="16"/>
          <w:color w:val="auto"/>
        </w:rPr>
        <w:t>Redeemable preferred stock dividends Net income available for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per common share</w:t>
      </w:r>
    </w:p>
    <w:p>
      <w:pPr>
        <w:spacing w:after="0" w:line="347" w:lineRule="exact"/>
        <w:rPr>
          <w:sz w:val="20"/>
          <w:szCs w:val="20"/>
          <w:color w:val="auto"/>
        </w:rPr>
      </w:pPr>
    </w:p>
    <w:p>
      <w:pPr>
        <w:ind w:right="1040"/>
        <w:spacing w:after="0" w:line="352" w:lineRule="auto"/>
        <w:rPr>
          <w:sz w:val="20"/>
          <w:szCs w:val="20"/>
          <w:color w:val="auto"/>
        </w:rPr>
      </w:pPr>
      <w:r>
        <w:rPr>
          <w:rFonts w:ascii="Arial" w:cs="Arial" w:eastAsia="Arial" w:hAnsi="Arial"/>
          <w:sz w:val="16"/>
          <w:szCs w:val="16"/>
          <w:color w:val="auto"/>
        </w:rPr>
        <w:t>Basic average number of common shares outstanding Diluted average number of common shares outstanding</w:t>
      </w:r>
    </w:p>
    <w:p>
      <w:pPr>
        <w:spacing w:after="0" w:line="20" w:lineRule="exact"/>
        <w:rPr>
          <w:sz w:val="20"/>
          <w:szCs w:val="20"/>
          <w:color w:val="auto"/>
        </w:rPr>
      </w:pPr>
      <w:r>
        <w:rPr>
          <w:sz w:val="20"/>
          <w:szCs w:val="20"/>
          <w:color w:val="auto"/>
        </w:rPr>
        <w:br w:type="column"/>
      </w:r>
    </w:p>
    <w:p>
      <w:pPr>
        <w:ind w:left="57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-227330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2940" w:type="dxa"/>
            <w:vAlign w:val="bottom"/>
            <w:gridSpan w:val="14"/>
          </w:tcPr>
          <w:p>
            <w:pPr>
              <w:jc w:val="right"/>
              <w:ind w:right="1020"/>
              <w:spacing w:after="0"/>
              <w:rPr>
                <w:sz w:val="20"/>
                <w:szCs w:val="20"/>
                <w:color w:val="auto"/>
              </w:rPr>
            </w:pPr>
            <w:r>
              <w:rPr>
                <w:rFonts w:ascii="Arial" w:cs="Arial" w:eastAsia="Arial" w:hAnsi="Arial"/>
                <w:sz w:val="18"/>
                <w:szCs w:val="18"/>
                <w:color w:val="auto"/>
              </w:rPr>
              <w:t>Thirteen Weeks Ended</w:t>
            </w:r>
          </w:p>
        </w:tc>
        <w:tc>
          <w:tcPr>
            <w:tcW w:w="260" w:type="dxa"/>
            <w:vAlign w:val="bottom"/>
          </w:tcPr>
          <w:p>
            <w:pPr>
              <w:spacing w:after="0"/>
              <w:rPr>
                <w:sz w:val="18"/>
                <w:szCs w:val="18"/>
                <w:color w:val="auto"/>
              </w:rPr>
            </w:pPr>
          </w:p>
        </w:tc>
        <w:tc>
          <w:tcPr>
            <w:tcW w:w="2400" w:type="dxa"/>
            <w:vAlign w:val="bottom"/>
            <w:gridSpan w:val="16"/>
          </w:tcPr>
          <w:p>
            <w:pPr>
              <w:jc w:val="right"/>
              <w:ind w:right="340"/>
              <w:spacing w:after="0"/>
              <w:rPr>
                <w:sz w:val="20"/>
                <w:szCs w:val="20"/>
                <w:color w:val="auto"/>
              </w:rPr>
            </w:pPr>
            <w:r>
              <w:rPr>
                <w:rFonts w:ascii="Arial" w:cs="Arial" w:eastAsia="Arial" w:hAnsi="Arial"/>
                <w:sz w:val="18"/>
                <w:szCs w:val="18"/>
                <w:color w:val="auto"/>
              </w:rPr>
              <w:t>Twenty-six Weeks Ended</w:t>
            </w:r>
          </w:p>
        </w:tc>
      </w:tr>
      <w:tr>
        <w:trPr>
          <w:trHeight w:val="93"/>
        </w:trPr>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r>
      <w:tr>
        <w:trPr>
          <w:trHeight w:val="427"/>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6"/>
          </w:tcPr>
          <w:p>
            <w:pPr>
              <w:jc w:val="right"/>
              <w:ind w:right="600"/>
              <w:spacing w:after="0"/>
              <w:rPr>
                <w:sz w:val="20"/>
                <w:szCs w:val="20"/>
                <w:color w:val="auto"/>
              </w:rPr>
            </w:pPr>
            <w:r>
              <w:rPr>
                <w:rFonts w:ascii="Arial" w:cs="Arial" w:eastAsia="Arial" w:hAnsi="Arial"/>
                <w:sz w:val="18"/>
                <w:szCs w:val="18"/>
                <w:color w:val="auto"/>
                <w:w w:val="95"/>
              </w:rPr>
              <w:t>June 30,</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right"/>
              <w:ind w:right="520"/>
              <w:spacing w:after="0"/>
              <w:rPr>
                <w:sz w:val="20"/>
                <w:szCs w:val="20"/>
                <w:color w:val="auto"/>
              </w:rPr>
            </w:pPr>
            <w:r>
              <w:rPr>
                <w:rFonts w:ascii="Arial" w:cs="Arial" w:eastAsia="Arial" w:hAnsi="Arial"/>
                <w:sz w:val="18"/>
                <w:szCs w:val="18"/>
                <w:color w:val="auto"/>
                <w:w w:val="99"/>
              </w:rPr>
              <w:t>July 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tcPr>
          <w:p>
            <w:pPr>
              <w:jc w:val="right"/>
              <w:ind w:right="420"/>
              <w:spacing w:after="0"/>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July 1,</w:t>
            </w:r>
          </w:p>
        </w:tc>
      </w:tr>
      <w:tr>
        <w:trPr>
          <w:trHeight w:val="205"/>
        </w:trPr>
        <w:tc>
          <w:tcPr>
            <w:tcW w:w="900" w:type="dxa"/>
            <w:vAlign w:val="bottom"/>
            <w:gridSpan w:val="6"/>
          </w:tcPr>
          <w:p>
            <w:pPr>
              <w:spacing w:after="0"/>
              <w:rPr>
                <w:sz w:val="17"/>
                <w:szCs w:val="17"/>
                <w:color w:val="auto"/>
              </w:rPr>
            </w:pPr>
          </w:p>
        </w:tc>
        <w:tc>
          <w:tcPr>
            <w:tcW w:w="380" w:type="dxa"/>
            <w:vAlign w:val="bottom"/>
          </w:tcPr>
          <w:p>
            <w:pPr>
              <w:jc w:val="right"/>
              <w:spacing w:after="0" w:line="205" w:lineRule="exact"/>
              <w:rPr>
                <w:sz w:val="20"/>
                <w:szCs w:val="20"/>
                <w:color w:val="auto"/>
              </w:rPr>
            </w:pPr>
            <w:r>
              <w:rPr>
                <w:rFonts w:ascii="Arial" w:cs="Arial" w:eastAsia="Arial" w:hAnsi="Arial"/>
                <w:sz w:val="18"/>
                <w:szCs w:val="18"/>
                <w:color w:val="auto"/>
                <w:w w:val="94"/>
              </w:rPr>
              <w:t>2002</w:t>
            </w:r>
          </w:p>
        </w:tc>
        <w:tc>
          <w:tcPr>
            <w:tcW w:w="620" w:type="dxa"/>
            <w:vAlign w:val="bottom"/>
          </w:tcPr>
          <w:p>
            <w:pPr>
              <w:spacing w:after="0"/>
              <w:rPr>
                <w:sz w:val="17"/>
                <w:szCs w:val="17"/>
                <w:color w:val="auto"/>
              </w:rPr>
            </w:pPr>
          </w:p>
        </w:tc>
        <w:tc>
          <w:tcPr>
            <w:tcW w:w="90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2001</w:t>
            </w:r>
          </w:p>
        </w:tc>
        <w:tc>
          <w:tcPr>
            <w:tcW w:w="520" w:type="dxa"/>
            <w:vAlign w:val="bottom"/>
          </w:tcPr>
          <w:p>
            <w:pPr>
              <w:spacing w:after="0"/>
              <w:rPr>
                <w:sz w:val="17"/>
                <w:szCs w:val="17"/>
                <w:color w:val="auto"/>
              </w:rPr>
            </w:pPr>
          </w:p>
        </w:tc>
        <w:tc>
          <w:tcPr>
            <w:tcW w:w="1160" w:type="dxa"/>
            <w:vAlign w:val="bottom"/>
            <w:gridSpan w:val="9"/>
          </w:tcPr>
          <w:p>
            <w:pPr>
              <w:jc w:val="right"/>
              <w:spacing w:after="0" w:line="205" w:lineRule="exact"/>
              <w:rPr>
                <w:sz w:val="20"/>
                <w:szCs w:val="20"/>
                <w:color w:val="auto"/>
              </w:rPr>
            </w:pPr>
            <w:r>
              <w:rPr>
                <w:rFonts w:ascii="Arial" w:cs="Arial" w:eastAsia="Arial" w:hAnsi="Arial"/>
                <w:sz w:val="18"/>
                <w:szCs w:val="18"/>
                <w:color w:val="auto"/>
              </w:rPr>
              <w:t>2002</w:t>
            </w:r>
          </w:p>
        </w:tc>
        <w:tc>
          <w:tcPr>
            <w:tcW w:w="420" w:type="dxa"/>
            <w:vAlign w:val="bottom"/>
          </w:tcPr>
          <w:p>
            <w:pPr>
              <w:spacing w:after="0"/>
              <w:rPr>
                <w:sz w:val="17"/>
                <w:szCs w:val="17"/>
                <w:color w:val="auto"/>
              </w:rPr>
            </w:pPr>
          </w:p>
        </w:tc>
        <w:tc>
          <w:tcPr>
            <w:tcW w:w="90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2001</w:t>
            </w:r>
          </w:p>
        </w:tc>
        <w:tc>
          <w:tcPr>
            <w:tcW w:w="18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45"/>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$316,102</w:t>
            </w:r>
          </w:p>
        </w:tc>
        <w:tc>
          <w:tcPr>
            <w:tcW w:w="6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$312,881</w:t>
            </w:r>
          </w:p>
        </w:tc>
        <w:tc>
          <w:tcPr>
            <w:tcW w:w="520" w:type="dxa"/>
            <w:vAlign w:val="bottom"/>
          </w:tcPr>
          <w:p>
            <w:pPr>
              <w:spacing w:after="0"/>
              <w:rPr>
                <w:sz w:val="24"/>
                <w:szCs w:val="24"/>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$ 589,671</w:t>
            </w:r>
          </w:p>
        </w:tc>
        <w:tc>
          <w:tcPr>
            <w:tcW w:w="4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$610,856</w:t>
            </w:r>
          </w:p>
        </w:tc>
        <w:tc>
          <w:tcPr>
            <w:tcW w:w="180" w:type="dxa"/>
            <w:vAlign w:val="bottom"/>
          </w:tcPr>
          <w:p>
            <w:pPr>
              <w:spacing w:after="0"/>
              <w:rPr>
                <w:sz w:val="24"/>
                <w:szCs w:val="24"/>
                <w:color w:val="auto"/>
              </w:rPr>
            </w:pPr>
          </w:p>
        </w:tc>
      </w:tr>
      <w:tr>
        <w:trPr>
          <w:trHeight w:val="243"/>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168,614</w:t>
            </w:r>
          </w:p>
        </w:tc>
        <w:tc>
          <w:tcPr>
            <w:tcW w:w="6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161,260</w:t>
            </w:r>
          </w:p>
        </w:tc>
        <w:tc>
          <w:tcPr>
            <w:tcW w:w="520" w:type="dxa"/>
            <w:vAlign w:val="bottom"/>
          </w:tcPr>
          <w:p>
            <w:pPr>
              <w:spacing w:after="0"/>
              <w:rPr>
                <w:sz w:val="21"/>
                <w:szCs w:val="21"/>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329,755</w:t>
            </w:r>
          </w:p>
        </w:tc>
        <w:tc>
          <w:tcPr>
            <w:tcW w:w="4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309,276</w:t>
            </w:r>
          </w:p>
        </w:tc>
        <w:tc>
          <w:tcPr>
            <w:tcW w:w="180" w:type="dxa"/>
            <w:vAlign w:val="bottom"/>
          </w:tcPr>
          <w:p>
            <w:pPr>
              <w:spacing w:after="0"/>
              <w:rPr>
                <w:sz w:val="21"/>
                <w:szCs w:val="21"/>
                <w:color w:val="auto"/>
              </w:rPr>
            </w:pPr>
          </w:p>
        </w:tc>
      </w:tr>
      <w:tr>
        <w:trPr>
          <w:trHeight w:val="243"/>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149,695</w:t>
            </w:r>
          </w:p>
        </w:tc>
        <w:tc>
          <w:tcPr>
            <w:tcW w:w="6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119,442</w:t>
            </w:r>
          </w:p>
        </w:tc>
        <w:tc>
          <w:tcPr>
            <w:tcW w:w="520" w:type="dxa"/>
            <w:vAlign w:val="bottom"/>
          </w:tcPr>
          <w:p>
            <w:pPr>
              <w:spacing w:after="0"/>
              <w:rPr>
                <w:sz w:val="21"/>
                <w:szCs w:val="21"/>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296,776</w:t>
            </w:r>
          </w:p>
        </w:tc>
        <w:tc>
          <w:tcPr>
            <w:tcW w:w="4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240,783</w:t>
            </w:r>
          </w:p>
        </w:tc>
        <w:tc>
          <w:tcPr>
            <w:tcW w:w="180" w:type="dxa"/>
            <w:vAlign w:val="bottom"/>
          </w:tcPr>
          <w:p>
            <w:pPr>
              <w:spacing w:after="0"/>
              <w:rPr>
                <w:sz w:val="21"/>
                <w:szCs w:val="21"/>
                <w:color w:val="auto"/>
              </w:rPr>
            </w:pPr>
          </w:p>
        </w:tc>
      </w:tr>
      <w:tr>
        <w:trPr>
          <w:trHeight w:val="205"/>
        </w:trPr>
        <w:tc>
          <w:tcPr>
            <w:tcW w:w="660" w:type="dxa"/>
            <w:vAlign w:val="bottom"/>
            <w:gridSpan w:val="3"/>
          </w:tcPr>
          <w:p>
            <w:pPr>
              <w:spacing w:after="0"/>
              <w:rPr>
                <w:sz w:val="17"/>
                <w:szCs w:val="17"/>
                <w:color w:val="auto"/>
              </w:rPr>
            </w:pPr>
          </w:p>
        </w:tc>
        <w:tc>
          <w:tcPr>
            <w:tcW w:w="6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13,292</w:t>
            </w:r>
          </w:p>
        </w:tc>
        <w:tc>
          <w:tcPr>
            <w:tcW w:w="6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10,326</w:t>
            </w:r>
          </w:p>
        </w:tc>
        <w:tc>
          <w:tcPr>
            <w:tcW w:w="52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68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31,823</w:t>
            </w:r>
          </w:p>
        </w:tc>
        <w:tc>
          <w:tcPr>
            <w:tcW w:w="4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6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29,393</w:t>
            </w:r>
          </w:p>
        </w:tc>
        <w:tc>
          <w:tcPr>
            <w:tcW w:w="180" w:type="dxa"/>
            <w:vAlign w:val="bottom"/>
          </w:tcPr>
          <w:p>
            <w:pPr>
              <w:spacing w:after="0"/>
              <w:rPr>
                <w:sz w:val="17"/>
                <w:szCs w:val="17"/>
                <w:color w:val="auto"/>
              </w:rPr>
            </w:pPr>
          </w:p>
        </w:tc>
      </w:tr>
      <w:tr>
        <w:trPr>
          <w:trHeight w:val="223"/>
        </w:trPr>
        <w:tc>
          <w:tcPr>
            <w:tcW w:w="620" w:type="dxa"/>
            <w:vAlign w:val="bottom"/>
            <w:gridSpan w:val="2"/>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647,703</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603,909</w:t>
            </w:r>
          </w:p>
        </w:tc>
        <w:tc>
          <w:tcPr>
            <w:tcW w:w="520" w:type="dxa"/>
            <w:vAlign w:val="bottom"/>
          </w:tcPr>
          <w:p>
            <w:pPr>
              <w:spacing w:after="0"/>
              <w:rPr>
                <w:sz w:val="19"/>
                <w:szCs w:val="19"/>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1,248,025</w:t>
            </w:r>
          </w:p>
        </w:tc>
        <w:tc>
          <w:tcPr>
            <w:tcW w:w="4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1,190,308</w:t>
            </w:r>
          </w:p>
        </w:tc>
        <w:tc>
          <w:tcPr>
            <w:tcW w:w="180" w:type="dxa"/>
            <w:vAlign w:val="bottom"/>
          </w:tcPr>
          <w:p>
            <w:pPr>
              <w:spacing w:after="0"/>
              <w:rPr>
                <w:sz w:val="19"/>
                <w:szCs w:val="19"/>
                <w:color w:val="auto"/>
              </w:rPr>
            </w:pPr>
          </w:p>
        </w:tc>
      </w:tr>
      <w:tr>
        <w:trPr>
          <w:trHeight w:val="505"/>
        </w:trPr>
        <w:tc>
          <w:tcPr>
            <w:tcW w:w="620" w:type="dxa"/>
            <w:vAlign w:val="bottom"/>
            <w:gridSpan w:val="2"/>
          </w:tcPr>
          <w:p>
            <w:pPr>
              <w:spacing w:after="0"/>
              <w:rPr>
                <w:sz w:val="24"/>
                <w:szCs w:val="24"/>
                <w:color w:val="auto"/>
              </w:rPr>
            </w:pPr>
          </w:p>
        </w:tc>
        <w:tc>
          <w:tcPr>
            <w:tcW w:w="6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335,443</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340,114</w:t>
            </w:r>
          </w:p>
        </w:tc>
        <w:tc>
          <w:tcPr>
            <w:tcW w:w="5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78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color w:val="auto"/>
              </w:rPr>
              <w:t>668,683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683,530</w:t>
            </w:r>
          </w:p>
        </w:tc>
        <w:tc>
          <w:tcPr>
            <w:tcW w:w="180" w:type="dxa"/>
            <w:vAlign w:val="bottom"/>
          </w:tcPr>
          <w:p>
            <w:pPr>
              <w:spacing w:after="0"/>
              <w:rPr>
                <w:sz w:val="24"/>
                <w:szCs w:val="24"/>
                <w:color w:val="auto"/>
              </w:rPr>
            </w:pPr>
          </w:p>
        </w:tc>
      </w:tr>
      <w:tr>
        <w:trPr>
          <w:trHeight w:val="243"/>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160,387</w:t>
            </w:r>
          </w:p>
        </w:tc>
        <w:tc>
          <w:tcPr>
            <w:tcW w:w="6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151,409</w:t>
            </w:r>
          </w:p>
        </w:tc>
        <w:tc>
          <w:tcPr>
            <w:tcW w:w="520" w:type="dxa"/>
            <w:vAlign w:val="bottom"/>
          </w:tcPr>
          <w:p>
            <w:pPr>
              <w:spacing w:after="0"/>
              <w:rPr>
                <w:sz w:val="21"/>
                <w:szCs w:val="21"/>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337,252</w:t>
            </w:r>
          </w:p>
        </w:tc>
        <w:tc>
          <w:tcPr>
            <w:tcW w:w="4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299,323</w:t>
            </w:r>
          </w:p>
        </w:tc>
        <w:tc>
          <w:tcPr>
            <w:tcW w:w="180" w:type="dxa"/>
            <w:vAlign w:val="bottom"/>
          </w:tcPr>
          <w:p>
            <w:pPr>
              <w:spacing w:after="0"/>
              <w:rPr>
                <w:sz w:val="21"/>
                <w:szCs w:val="21"/>
                <w:color w:val="auto"/>
              </w:rPr>
            </w:pPr>
          </w:p>
        </w:tc>
      </w:tr>
      <w:tr>
        <w:trPr>
          <w:trHeight w:val="243"/>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41,286</w:t>
            </w:r>
          </w:p>
        </w:tc>
        <w:tc>
          <w:tcPr>
            <w:tcW w:w="6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35,867</w:t>
            </w:r>
          </w:p>
        </w:tc>
        <w:tc>
          <w:tcPr>
            <w:tcW w:w="520" w:type="dxa"/>
            <w:vAlign w:val="bottom"/>
          </w:tcPr>
          <w:p>
            <w:pPr>
              <w:spacing w:after="0"/>
              <w:rPr>
                <w:sz w:val="21"/>
                <w:szCs w:val="21"/>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82,459</w:t>
            </w:r>
          </w:p>
        </w:tc>
        <w:tc>
          <w:tcPr>
            <w:tcW w:w="4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70,499</w:t>
            </w:r>
          </w:p>
        </w:tc>
        <w:tc>
          <w:tcPr>
            <w:tcW w:w="180" w:type="dxa"/>
            <w:vAlign w:val="bottom"/>
          </w:tcPr>
          <w:p>
            <w:pPr>
              <w:spacing w:after="0"/>
              <w:rPr>
                <w:sz w:val="21"/>
                <w:szCs w:val="21"/>
                <w:color w:val="auto"/>
              </w:rPr>
            </w:pPr>
          </w:p>
        </w:tc>
      </w:tr>
      <w:tr>
        <w:trPr>
          <w:trHeight w:val="205"/>
        </w:trPr>
        <w:tc>
          <w:tcPr>
            <w:tcW w:w="880" w:type="dxa"/>
            <w:vAlign w:val="bottom"/>
            <w:gridSpan w:val="5"/>
          </w:tcPr>
          <w:p>
            <w:pPr>
              <w:spacing w:after="0"/>
              <w:rPr>
                <w:sz w:val="17"/>
                <w:szCs w:val="17"/>
                <w:color w:val="auto"/>
              </w:rPr>
            </w:pPr>
          </w:p>
        </w:tc>
        <w:tc>
          <w:tcPr>
            <w:tcW w:w="4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159</w:t>
            </w:r>
          </w:p>
        </w:tc>
        <w:tc>
          <w:tcPr>
            <w:tcW w:w="6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19,926</w:t>
            </w:r>
          </w:p>
        </w:tc>
        <w:tc>
          <w:tcPr>
            <w:tcW w:w="520" w:type="dxa"/>
            <w:vAlign w:val="bottom"/>
          </w:tcPr>
          <w:p>
            <w:pPr>
              <w:spacing w:after="0"/>
              <w:rPr>
                <w:sz w:val="17"/>
                <w:szCs w:val="17"/>
                <w:color w:val="auto"/>
              </w:rPr>
            </w:pPr>
          </w:p>
        </w:tc>
        <w:tc>
          <w:tcPr>
            <w:tcW w:w="580" w:type="dxa"/>
            <w:vAlign w:val="bottom"/>
            <w:gridSpan w:val="5"/>
          </w:tcPr>
          <w:p>
            <w:pPr>
              <w:spacing w:after="0"/>
              <w:rPr>
                <w:sz w:val="17"/>
                <w:szCs w:val="17"/>
                <w:color w:val="auto"/>
              </w:rPr>
            </w:pPr>
          </w:p>
        </w:tc>
        <w:tc>
          <w:tcPr>
            <w:tcW w:w="5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311</w:t>
            </w:r>
          </w:p>
        </w:tc>
        <w:tc>
          <w:tcPr>
            <w:tcW w:w="4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6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37,118</w:t>
            </w:r>
          </w:p>
        </w:tc>
        <w:tc>
          <w:tcPr>
            <w:tcW w:w="180" w:type="dxa"/>
            <w:vAlign w:val="bottom"/>
          </w:tcPr>
          <w:p>
            <w:pPr>
              <w:spacing w:after="0"/>
              <w:rPr>
                <w:sz w:val="17"/>
                <w:szCs w:val="17"/>
                <w:color w:val="auto"/>
              </w:rPr>
            </w:pPr>
          </w:p>
        </w:tc>
      </w:tr>
      <w:tr>
        <w:trPr>
          <w:trHeight w:val="223"/>
        </w:trPr>
        <w:tc>
          <w:tcPr>
            <w:tcW w:w="620" w:type="dxa"/>
            <w:vAlign w:val="bottom"/>
            <w:gridSpan w:val="2"/>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537,275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547,316</w:t>
            </w:r>
          </w:p>
        </w:tc>
        <w:tc>
          <w:tcPr>
            <w:tcW w:w="520" w:type="dxa"/>
            <w:vAlign w:val="bottom"/>
          </w:tcPr>
          <w:p>
            <w:pPr>
              <w:spacing w:after="0"/>
              <w:rPr>
                <w:sz w:val="19"/>
                <w:szCs w:val="19"/>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1,088,705</w:t>
            </w:r>
          </w:p>
        </w:tc>
        <w:tc>
          <w:tcPr>
            <w:tcW w:w="4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1,090,470</w:t>
            </w:r>
          </w:p>
        </w:tc>
        <w:tc>
          <w:tcPr>
            <w:tcW w:w="180" w:type="dxa"/>
            <w:vAlign w:val="bottom"/>
          </w:tcPr>
          <w:p>
            <w:pPr>
              <w:spacing w:after="0"/>
              <w:rPr>
                <w:sz w:val="19"/>
                <w:szCs w:val="19"/>
                <w:color w:val="auto"/>
              </w:rPr>
            </w:pPr>
          </w:p>
        </w:tc>
      </w:tr>
      <w:tr>
        <w:trPr>
          <w:trHeight w:val="262"/>
        </w:trPr>
        <w:tc>
          <w:tcPr>
            <w:tcW w:w="620" w:type="dxa"/>
            <w:vAlign w:val="bottom"/>
            <w:gridSpan w:val="2"/>
          </w:tcPr>
          <w:p>
            <w:pPr>
              <w:spacing w:after="0"/>
              <w:rPr>
                <w:sz w:val="22"/>
                <w:szCs w:val="22"/>
                <w:color w:val="auto"/>
              </w:rPr>
            </w:pPr>
          </w:p>
        </w:tc>
        <w:tc>
          <w:tcPr>
            <w:tcW w:w="6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110,428</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56,593</w:t>
            </w:r>
          </w:p>
        </w:tc>
        <w:tc>
          <w:tcPr>
            <w:tcW w:w="5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78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color w:val="auto"/>
              </w:rPr>
              <w:t>159,320</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99,838</w:t>
            </w:r>
          </w:p>
        </w:tc>
        <w:tc>
          <w:tcPr>
            <w:tcW w:w="180" w:type="dxa"/>
            <w:vAlign w:val="bottom"/>
          </w:tcPr>
          <w:p>
            <w:pPr>
              <w:spacing w:after="0"/>
              <w:rPr>
                <w:sz w:val="22"/>
                <w:szCs w:val="22"/>
                <w:color w:val="auto"/>
              </w:rPr>
            </w:pPr>
          </w:p>
        </w:tc>
      </w:tr>
      <w:tr>
        <w:trPr>
          <w:trHeight w:val="729"/>
        </w:trPr>
        <w:tc>
          <w:tcPr>
            <w:tcW w:w="1900" w:type="dxa"/>
            <w:vAlign w:val="bottom"/>
            <w:gridSpan w:val="8"/>
          </w:tcPr>
          <w:p>
            <w:pPr>
              <w:jc w:val="right"/>
              <w:ind w:right="540"/>
              <w:spacing w:after="0"/>
              <w:rPr>
                <w:sz w:val="20"/>
                <w:szCs w:val="20"/>
                <w:color w:val="auto"/>
              </w:rPr>
            </w:pPr>
            <w:r>
              <w:rPr>
                <w:rFonts w:ascii="Arial" w:cs="Arial" w:eastAsia="Arial" w:hAnsi="Arial"/>
                <w:sz w:val="18"/>
                <w:szCs w:val="18"/>
                <w:color w:val="auto"/>
              </w:rPr>
              <w:t>(9,183)</w:t>
            </w: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(6,641)</w:t>
            </w:r>
          </w:p>
        </w:tc>
        <w:tc>
          <w:tcPr>
            <w:tcW w:w="520" w:type="dxa"/>
            <w:vAlign w:val="bottom"/>
          </w:tcPr>
          <w:p>
            <w:pPr>
              <w:spacing w:after="0"/>
              <w:rPr>
                <w:sz w:val="24"/>
                <w:szCs w:val="24"/>
                <w:color w:val="auto"/>
              </w:rPr>
            </w:pPr>
          </w:p>
        </w:tc>
        <w:tc>
          <w:tcPr>
            <w:tcW w:w="1580" w:type="dxa"/>
            <w:vAlign w:val="bottom"/>
            <w:gridSpan w:val="10"/>
          </w:tcPr>
          <w:p>
            <w:pPr>
              <w:jc w:val="right"/>
              <w:ind w:right="360"/>
              <w:spacing w:after="0"/>
              <w:rPr>
                <w:sz w:val="20"/>
                <w:szCs w:val="20"/>
                <w:color w:val="auto"/>
              </w:rPr>
            </w:pPr>
            <w:r>
              <w:rPr>
                <w:rFonts w:ascii="Arial" w:cs="Arial" w:eastAsia="Arial" w:hAnsi="Arial"/>
                <w:sz w:val="18"/>
                <w:szCs w:val="18"/>
                <w:color w:val="auto"/>
              </w:rPr>
              <w:t>(15,689)</w:t>
            </w:r>
          </w:p>
        </w:tc>
        <w:tc>
          <w:tcPr>
            <w:tcW w:w="1080" w:type="dxa"/>
            <w:vAlign w:val="bottom"/>
            <w:gridSpan w:val="7"/>
          </w:tcPr>
          <w:p>
            <w:pPr>
              <w:jc w:val="right"/>
              <w:ind w:right="120"/>
              <w:spacing w:after="0"/>
              <w:rPr>
                <w:sz w:val="20"/>
                <w:szCs w:val="20"/>
                <w:color w:val="auto"/>
              </w:rPr>
            </w:pPr>
            <w:r>
              <w:rPr>
                <w:rFonts w:ascii="Arial" w:cs="Arial" w:eastAsia="Arial" w:hAnsi="Arial"/>
                <w:sz w:val="18"/>
                <w:szCs w:val="18"/>
                <w:color w:val="auto"/>
              </w:rPr>
              <w:t>(19,102)</w:t>
            </w:r>
          </w:p>
        </w:tc>
      </w:tr>
      <w:tr>
        <w:trPr>
          <w:trHeight w:val="243"/>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1,047</w:t>
            </w:r>
          </w:p>
        </w:tc>
        <w:tc>
          <w:tcPr>
            <w:tcW w:w="520" w:type="dxa"/>
            <w:vAlign w:val="bottom"/>
          </w:tcPr>
          <w:p>
            <w:pPr>
              <w:spacing w:after="0"/>
              <w:rPr>
                <w:sz w:val="21"/>
                <w:szCs w:val="21"/>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21"/>
                <w:szCs w:val="21"/>
                <w:color w:val="auto"/>
              </w:rPr>
            </w:pPr>
          </w:p>
        </w:tc>
      </w:tr>
      <w:tr>
        <w:trPr>
          <w:trHeight w:val="243"/>
        </w:trPr>
        <w:tc>
          <w:tcPr>
            <w:tcW w:w="1900" w:type="dxa"/>
            <w:vAlign w:val="bottom"/>
            <w:gridSpan w:val="8"/>
          </w:tcPr>
          <w:p>
            <w:pPr>
              <w:jc w:val="right"/>
              <w:ind w:right="540"/>
              <w:spacing w:after="0"/>
              <w:rPr>
                <w:sz w:val="20"/>
                <w:szCs w:val="20"/>
                <w:color w:val="auto"/>
              </w:rPr>
            </w:pPr>
            <w:r>
              <w:rPr>
                <w:rFonts w:ascii="Arial" w:cs="Arial" w:eastAsia="Arial" w:hAnsi="Arial"/>
                <w:sz w:val="18"/>
                <w:szCs w:val="18"/>
                <w:color w:val="auto"/>
              </w:rPr>
              <w:t>(8,797)</w:t>
            </w: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(13,240)</w:t>
            </w:r>
          </w:p>
        </w:tc>
        <w:tc>
          <w:tcPr>
            <w:tcW w:w="520" w:type="dxa"/>
            <w:vAlign w:val="bottom"/>
          </w:tcPr>
          <w:p>
            <w:pPr>
              <w:spacing w:after="0"/>
              <w:rPr>
                <w:sz w:val="21"/>
                <w:szCs w:val="21"/>
                <w:color w:val="auto"/>
              </w:rPr>
            </w:pPr>
          </w:p>
        </w:tc>
        <w:tc>
          <w:tcPr>
            <w:tcW w:w="1580" w:type="dxa"/>
            <w:vAlign w:val="bottom"/>
            <w:gridSpan w:val="10"/>
          </w:tcPr>
          <w:p>
            <w:pPr>
              <w:jc w:val="right"/>
              <w:ind w:right="360"/>
              <w:spacing w:after="0"/>
              <w:rPr>
                <w:sz w:val="20"/>
                <w:szCs w:val="20"/>
                <w:color w:val="auto"/>
              </w:rPr>
            </w:pPr>
            <w:r>
              <w:rPr>
                <w:rFonts w:ascii="Arial" w:cs="Arial" w:eastAsia="Arial" w:hAnsi="Arial"/>
                <w:sz w:val="18"/>
                <w:szCs w:val="18"/>
                <w:color w:val="auto"/>
              </w:rPr>
              <w:t>(17,664)</w:t>
            </w:r>
          </w:p>
        </w:tc>
        <w:tc>
          <w:tcPr>
            <w:tcW w:w="1080" w:type="dxa"/>
            <w:vAlign w:val="bottom"/>
            <w:gridSpan w:val="7"/>
          </w:tcPr>
          <w:p>
            <w:pPr>
              <w:jc w:val="right"/>
              <w:ind w:right="120"/>
              <w:spacing w:after="0"/>
              <w:rPr>
                <w:sz w:val="20"/>
                <w:szCs w:val="20"/>
                <w:color w:val="auto"/>
              </w:rPr>
            </w:pPr>
            <w:r>
              <w:rPr>
                <w:rFonts w:ascii="Arial" w:cs="Arial" w:eastAsia="Arial" w:hAnsi="Arial"/>
                <w:sz w:val="18"/>
                <w:szCs w:val="18"/>
                <w:color w:val="auto"/>
              </w:rPr>
              <w:t>(27,864)</w:t>
            </w:r>
          </w:p>
        </w:tc>
      </w:tr>
      <w:tr>
        <w:trPr>
          <w:trHeight w:val="205"/>
        </w:trPr>
        <w:tc>
          <w:tcPr>
            <w:tcW w:w="760" w:type="dxa"/>
            <w:vAlign w:val="bottom"/>
            <w:gridSpan w:val="4"/>
          </w:tcPr>
          <w:p>
            <w:pPr>
              <w:spacing w:after="0"/>
              <w:rPr>
                <w:sz w:val="17"/>
                <w:szCs w:val="17"/>
                <w:color w:val="auto"/>
              </w:rPr>
            </w:pPr>
          </w:p>
        </w:tc>
        <w:tc>
          <w:tcPr>
            <w:tcW w:w="1140" w:type="dxa"/>
            <w:vAlign w:val="bottom"/>
            <w:gridSpan w:val="4"/>
          </w:tcPr>
          <w:p>
            <w:pPr>
              <w:jc w:val="right"/>
              <w:ind w:right="540"/>
              <w:spacing w:after="0" w:line="205" w:lineRule="exact"/>
              <w:rPr>
                <w:sz w:val="20"/>
                <w:szCs w:val="20"/>
                <w:color w:val="auto"/>
              </w:rPr>
            </w:pPr>
            <w:r>
              <w:rPr>
                <w:rFonts w:ascii="Arial" w:cs="Arial" w:eastAsia="Arial" w:hAnsi="Arial"/>
                <w:sz w:val="18"/>
                <w:szCs w:val="18"/>
                <w:color w:val="auto"/>
              </w:rPr>
              <w:t>(5,963)</w:t>
            </w:r>
          </w:p>
        </w:tc>
        <w:tc>
          <w:tcPr>
            <w:tcW w:w="90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(10,717)</w:t>
            </w:r>
          </w:p>
        </w:tc>
        <w:tc>
          <w:tcPr>
            <w:tcW w:w="520" w:type="dxa"/>
            <w:vAlign w:val="bottom"/>
          </w:tcPr>
          <w:p>
            <w:pPr>
              <w:spacing w:after="0"/>
              <w:rPr>
                <w:sz w:val="17"/>
                <w:szCs w:val="17"/>
                <w:color w:val="auto"/>
              </w:rPr>
            </w:pPr>
          </w:p>
        </w:tc>
        <w:tc>
          <w:tcPr>
            <w:tcW w:w="1160" w:type="dxa"/>
            <w:vAlign w:val="bottom"/>
            <w:gridSpan w:val="9"/>
          </w:tcPr>
          <w:p>
            <w:pPr>
              <w:jc w:val="right"/>
              <w:spacing w:after="0" w:line="205" w:lineRule="exact"/>
              <w:rPr>
                <w:sz w:val="20"/>
                <w:szCs w:val="20"/>
                <w:color w:val="auto"/>
              </w:rPr>
            </w:pPr>
            <w:r>
              <w:rPr>
                <w:rFonts w:ascii="Arial" w:cs="Arial" w:eastAsia="Arial" w:hAnsi="Arial"/>
                <w:sz w:val="18"/>
                <w:szCs w:val="18"/>
                <w:color w:val="auto"/>
              </w:rPr>
              <w:t>491</w:t>
            </w:r>
          </w:p>
        </w:tc>
        <w:tc>
          <w:tcPr>
            <w:tcW w:w="420" w:type="dxa"/>
            <w:vAlign w:val="bottom"/>
          </w:tcPr>
          <w:p>
            <w:pPr>
              <w:spacing w:after="0"/>
              <w:rPr>
                <w:sz w:val="17"/>
                <w:szCs w:val="17"/>
                <w:color w:val="auto"/>
              </w:rPr>
            </w:pPr>
          </w:p>
        </w:tc>
        <w:tc>
          <w:tcPr>
            <w:tcW w:w="90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298,053</w:t>
            </w:r>
          </w:p>
        </w:tc>
        <w:tc>
          <w:tcPr>
            <w:tcW w:w="1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5"/>
        </w:trPr>
        <w:tc>
          <w:tcPr>
            <w:tcW w:w="760" w:type="dxa"/>
            <w:vAlign w:val="bottom"/>
            <w:gridSpan w:val="4"/>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4"/>
              </w:rPr>
              <w:t>86,544</w:t>
            </w:r>
          </w:p>
        </w:tc>
        <w:tc>
          <w:tcPr>
            <w:tcW w:w="6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27,042</w:t>
            </w:r>
          </w:p>
        </w:tc>
        <w:tc>
          <w:tcPr>
            <w:tcW w:w="520" w:type="dxa"/>
            <w:vAlign w:val="bottom"/>
          </w:tcPr>
          <w:p>
            <w:pPr>
              <w:spacing w:after="0"/>
              <w:rPr>
                <w:sz w:val="24"/>
                <w:szCs w:val="24"/>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126,650</w:t>
            </w:r>
          </w:p>
        </w:tc>
        <w:tc>
          <w:tcPr>
            <w:tcW w:w="4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352,296</w:t>
            </w:r>
          </w:p>
        </w:tc>
        <w:tc>
          <w:tcPr>
            <w:tcW w:w="180" w:type="dxa"/>
            <w:vAlign w:val="bottom"/>
          </w:tcPr>
          <w:p>
            <w:pPr>
              <w:spacing w:after="0"/>
              <w:rPr>
                <w:sz w:val="24"/>
                <w:szCs w:val="24"/>
                <w:color w:val="auto"/>
              </w:rPr>
            </w:pPr>
          </w:p>
        </w:tc>
      </w:tr>
      <w:tr>
        <w:trPr>
          <w:trHeight w:val="205"/>
        </w:trPr>
        <w:tc>
          <w:tcPr>
            <w:tcW w:w="660" w:type="dxa"/>
            <w:vAlign w:val="bottom"/>
            <w:gridSpan w:val="3"/>
          </w:tcPr>
          <w:p>
            <w:pPr>
              <w:spacing w:after="0"/>
              <w:rPr>
                <w:sz w:val="17"/>
                <w:szCs w:val="17"/>
                <w:color w:val="auto"/>
              </w:rPr>
            </w:pPr>
          </w:p>
        </w:tc>
        <w:tc>
          <w:tcPr>
            <w:tcW w:w="6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35,400</w:t>
            </w:r>
          </w:p>
        </w:tc>
        <w:tc>
          <w:tcPr>
            <w:tcW w:w="6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6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12,550</w:t>
            </w:r>
          </w:p>
        </w:tc>
        <w:tc>
          <w:tcPr>
            <w:tcW w:w="520" w:type="dxa"/>
            <w:vAlign w:val="bottom"/>
          </w:tcPr>
          <w:p>
            <w:pPr>
              <w:spacing w:after="0"/>
              <w:rPr>
                <w:sz w:val="17"/>
                <w:szCs w:val="17"/>
                <w:color w:val="auto"/>
              </w:rPr>
            </w:pPr>
          </w:p>
        </w:tc>
        <w:tc>
          <w:tcPr>
            <w:tcW w:w="580" w:type="dxa"/>
            <w:vAlign w:val="bottom"/>
            <w:gridSpan w:val="5"/>
          </w:tcPr>
          <w:p>
            <w:pPr>
              <w:spacing w:after="0"/>
              <w:rPr>
                <w:sz w:val="17"/>
                <w:szCs w:val="17"/>
                <w:color w:val="auto"/>
              </w:rPr>
            </w:pPr>
          </w:p>
        </w:tc>
        <w:tc>
          <w:tcPr>
            <w:tcW w:w="5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51,800</w:t>
            </w:r>
          </w:p>
        </w:tc>
        <w:tc>
          <w:tcPr>
            <w:tcW w:w="4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6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138,750</w:t>
            </w:r>
          </w:p>
        </w:tc>
        <w:tc>
          <w:tcPr>
            <w:tcW w:w="180" w:type="dxa"/>
            <w:vAlign w:val="bottom"/>
          </w:tcPr>
          <w:p>
            <w:pPr>
              <w:spacing w:after="0"/>
              <w:rPr>
                <w:sz w:val="17"/>
                <w:szCs w:val="17"/>
                <w:color w:val="auto"/>
              </w:rPr>
            </w:pPr>
          </w:p>
        </w:tc>
      </w:tr>
      <w:tr>
        <w:trPr>
          <w:trHeight w:val="262"/>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51,144</w:t>
            </w:r>
          </w:p>
        </w:tc>
        <w:tc>
          <w:tcPr>
            <w:tcW w:w="620" w:type="dxa"/>
            <w:vAlign w:val="bottom"/>
          </w:tcPr>
          <w:p>
            <w:pPr>
              <w:spacing w:after="0"/>
              <w:rPr>
                <w:sz w:val="22"/>
                <w:szCs w:val="22"/>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14,492</w:t>
            </w:r>
          </w:p>
        </w:tc>
        <w:tc>
          <w:tcPr>
            <w:tcW w:w="520" w:type="dxa"/>
            <w:vAlign w:val="bottom"/>
          </w:tcPr>
          <w:p>
            <w:pPr>
              <w:spacing w:after="0"/>
              <w:rPr>
                <w:sz w:val="22"/>
                <w:szCs w:val="22"/>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74,850</w:t>
            </w:r>
          </w:p>
        </w:tc>
        <w:tc>
          <w:tcPr>
            <w:tcW w:w="420" w:type="dxa"/>
            <w:vAlign w:val="bottom"/>
          </w:tcPr>
          <w:p>
            <w:pPr>
              <w:spacing w:after="0"/>
              <w:rPr>
                <w:sz w:val="22"/>
                <w:szCs w:val="22"/>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213,546</w:t>
            </w:r>
          </w:p>
        </w:tc>
        <w:tc>
          <w:tcPr>
            <w:tcW w:w="180" w:type="dxa"/>
            <w:vAlign w:val="bottom"/>
          </w:tcPr>
          <w:p>
            <w:pPr>
              <w:spacing w:after="0"/>
              <w:rPr>
                <w:sz w:val="22"/>
                <w:szCs w:val="22"/>
                <w:color w:val="auto"/>
              </w:rPr>
            </w:pPr>
          </w:p>
        </w:tc>
      </w:tr>
      <w:tr>
        <w:trPr>
          <w:trHeight w:val="448"/>
        </w:trPr>
        <w:tc>
          <w:tcPr>
            <w:tcW w:w="90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500" w:type="dxa"/>
            <w:vAlign w:val="bottom"/>
            <w:gridSpan w:val="4"/>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560" w:type="dxa"/>
            <w:vAlign w:val="bottom"/>
            <w:gridSpan w:val="4"/>
          </w:tcPr>
          <w:p>
            <w:pPr>
              <w:spacing w:after="0"/>
              <w:rPr>
                <w:sz w:val="24"/>
                <w:szCs w:val="24"/>
                <w:color w:val="auto"/>
              </w:rPr>
            </w:pPr>
          </w:p>
        </w:tc>
        <w:tc>
          <w:tcPr>
            <w:tcW w:w="1020" w:type="dxa"/>
            <w:vAlign w:val="bottom"/>
            <w:gridSpan w:val="6"/>
          </w:tcPr>
          <w:p>
            <w:pPr>
              <w:jc w:val="right"/>
              <w:ind w:right="360"/>
              <w:spacing w:after="0"/>
              <w:rPr>
                <w:sz w:val="20"/>
                <w:szCs w:val="20"/>
                <w:color w:val="auto"/>
              </w:rPr>
            </w:pPr>
            <w:r>
              <w:rPr>
                <w:rFonts w:ascii="Arial" w:cs="Arial" w:eastAsia="Arial" w:hAnsi="Arial"/>
                <w:sz w:val="18"/>
                <w:szCs w:val="18"/>
                <w:color w:val="auto"/>
                <w:w w:val="95"/>
              </w:rPr>
              <w:t>(12,100)</w:t>
            </w: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0"/>
        </w:trPr>
        <w:tc>
          <w:tcPr>
            <w:tcW w:w="7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3"/>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51,144</w:t>
            </w:r>
          </w:p>
        </w:tc>
        <w:tc>
          <w:tcPr>
            <w:tcW w:w="620" w:type="dxa"/>
            <w:vAlign w:val="bottom"/>
          </w:tcPr>
          <w:p>
            <w:pPr>
              <w:spacing w:after="0"/>
              <w:rPr>
                <w:sz w:val="22"/>
                <w:szCs w:val="22"/>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14,492</w:t>
            </w:r>
          </w:p>
        </w:tc>
        <w:tc>
          <w:tcPr>
            <w:tcW w:w="520" w:type="dxa"/>
            <w:vAlign w:val="bottom"/>
          </w:tcPr>
          <w:p>
            <w:pPr>
              <w:spacing w:after="0"/>
              <w:rPr>
                <w:sz w:val="22"/>
                <w:szCs w:val="22"/>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62,750</w:t>
            </w:r>
          </w:p>
        </w:tc>
        <w:tc>
          <w:tcPr>
            <w:tcW w:w="420" w:type="dxa"/>
            <w:vAlign w:val="bottom"/>
          </w:tcPr>
          <w:p>
            <w:pPr>
              <w:spacing w:after="0"/>
              <w:rPr>
                <w:sz w:val="22"/>
                <w:szCs w:val="22"/>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213,546</w:t>
            </w:r>
          </w:p>
        </w:tc>
        <w:tc>
          <w:tcPr>
            <w:tcW w:w="180" w:type="dxa"/>
            <w:vAlign w:val="bottom"/>
          </w:tcPr>
          <w:p>
            <w:pPr>
              <w:spacing w:after="0"/>
              <w:rPr>
                <w:sz w:val="22"/>
                <w:szCs w:val="22"/>
                <w:color w:val="auto"/>
              </w:rPr>
            </w:pPr>
          </w:p>
        </w:tc>
      </w:tr>
      <w:tr>
        <w:trPr>
          <w:trHeight w:val="172"/>
        </w:trPr>
        <w:tc>
          <w:tcPr>
            <w:tcW w:w="760" w:type="dxa"/>
            <w:vAlign w:val="bottom"/>
            <w:gridSpan w:val="4"/>
          </w:tcPr>
          <w:p>
            <w:pPr>
              <w:spacing w:after="0"/>
              <w:rPr>
                <w:sz w:val="14"/>
                <w:szCs w:val="14"/>
                <w:color w:val="auto"/>
              </w:rPr>
            </w:pPr>
          </w:p>
        </w:tc>
        <w:tc>
          <w:tcPr>
            <w:tcW w:w="1140" w:type="dxa"/>
            <w:vAlign w:val="bottom"/>
            <w:gridSpan w:val="4"/>
          </w:tcPr>
          <w:p>
            <w:pPr>
              <w:jc w:val="right"/>
              <w:ind w:right="540"/>
              <w:spacing w:after="0" w:line="172" w:lineRule="exact"/>
              <w:rPr>
                <w:sz w:val="20"/>
                <w:szCs w:val="20"/>
                <w:color w:val="auto"/>
              </w:rPr>
            </w:pPr>
            <w:r>
              <w:rPr>
                <w:rFonts w:ascii="Arial" w:cs="Arial" w:eastAsia="Arial" w:hAnsi="Arial"/>
                <w:sz w:val="18"/>
                <w:szCs w:val="18"/>
                <w:color w:val="auto"/>
              </w:rPr>
              <w:t>(259)</w:t>
            </w:r>
          </w:p>
        </w:tc>
        <w:tc>
          <w:tcPr>
            <w:tcW w:w="900" w:type="dxa"/>
            <w:vAlign w:val="bottom"/>
            <w:gridSpan w:val="6"/>
          </w:tcPr>
          <w:p>
            <w:pPr>
              <w:jc w:val="right"/>
              <w:spacing w:after="0" w:line="172" w:lineRule="exact"/>
              <w:rPr>
                <w:sz w:val="20"/>
                <w:szCs w:val="20"/>
                <w:color w:val="auto"/>
              </w:rPr>
            </w:pPr>
            <w:r>
              <w:rPr>
                <w:rFonts w:ascii="Arial" w:cs="Arial" w:eastAsia="Arial" w:hAnsi="Arial"/>
                <w:sz w:val="18"/>
                <w:szCs w:val="18"/>
                <w:color w:val="auto"/>
              </w:rPr>
              <w:t>(263)</w:t>
            </w:r>
          </w:p>
        </w:tc>
        <w:tc>
          <w:tcPr>
            <w:tcW w:w="520" w:type="dxa"/>
            <w:vAlign w:val="bottom"/>
          </w:tcPr>
          <w:p>
            <w:pPr>
              <w:spacing w:after="0"/>
              <w:rPr>
                <w:sz w:val="14"/>
                <w:szCs w:val="14"/>
                <w:color w:val="auto"/>
              </w:rPr>
            </w:pPr>
          </w:p>
        </w:tc>
        <w:tc>
          <w:tcPr>
            <w:tcW w:w="1580" w:type="dxa"/>
            <w:vAlign w:val="bottom"/>
            <w:gridSpan w:val="10"/>
          </w:tcPr>
          <w:p>
            <w:pPr>
              <w:jc w:val="right"/>
              <w:ind w:right="360"/>
              <w:spacing w:after="0" w:line="172" w:lineRule="exact"/>
              <w:rPr>
                <w:sz w:val="20"/>
                <w:szCs w:val="20"/>
                <w:color w:val="auto"/>
              </w:rPr>
            </w:pPr>
            <w:r>
              <w:rPr>
                <w:rFonts w:ascii="Arial" w:cs="Arial" w:eastAsia="Arial" w:hAnsi="Arial"/>
                <w:sz w:val="18"/>
                <w:szCs w:val="18"/>
                <w:color w:val="auto"/>
              </w:rPr>
              <w:t>(784)</w:t>
            </w:r>
          </w:p>
        </w:tc>
        <w:tc>
          <w:tcPr>
            <w:tcW w:w="1080" w:type="dxa"/>
            <w:vAlign w:val="bottom"/>
            <w:gridSpan w:val="7"/>
          </w:tcPr>
          <w:p>
            <w:pPr>
              <w:jc w:val="right"/>
              <w:ind w:right="120"/>
              <w:spacing w:after="0" w:line="172" w:lineRule="exact"/>
              <w:rPr>
                <w:sz w:val="20"/>
                <w:szCs w:val="20"/>
                <w:color w:val="auto"/>
              </w:rPr>
            </w:pPr>
            <w:r>
              <w:rPr>
                <w:rFonts w:ascii="Arial" w:cs="Arial" w:eastAsia="Arial" w:hAnsi="Arial"/>
                <w:sz w:val="18"/>
                <w:szCs w:val="18"/>
                <w:color w:val="auto"/>
              </w:rPr>
              <w:t>(789)</w:t>
            </w: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$ 50,885</w:t>
            </w:r>
          </w:p>
        </w:tc>
        <w:tc>
          <w:tcPr>
            <w:tcW w:w="6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$ 14,229</w:t>
            </w:r>
          </w:p>
        </w:tc>
        <w:tc>
          <w:tcPr>
            <w:tcW w:w="520" w:type="dxa"/>
            <w:vAlign w:val="bottom"/>
          </w:tcPr>
          <w:p>
            <w:pPr>
              <w:spacing w:after="0"/>
              <w:rPr>
                <w:sz w:val="19"/>
                <w:szCs w:val="19"/>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$ 61,966</w:t>
            </w:r>
          </w:p>
        </w:tc>
        <w:tc>
          <w:tcPr>
            <w:tcW w:w="4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$212,757</w:t>
            </w:r>
          </w:p>
        </w:tc>
        <w:tc>
          <w:tcPr>
            <w:tcW w:w="180" w:type="dxa"/>
            <w:vAlign w:val="bottom"/>
          </w:tcPr>
          <w:p>
            <w:pPr>
              <w:spacing w:after="0"/>
              <w:rPr>
                <w:sz w:val="19"/>
                <w:szCs w:val="19"/>
                <w:color w:val="auto"/>
              </w:rPr>
            </w:pPr>
          </w:p>
        </w:tc>
      </w:tr>
      <w:tr>
        <w:trPr>
          <w:trHeight w:val="107"/>
        </w:trPr>
        <w:tc>
          <w:tcPr>
            <w:tcW w:w="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711"/>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$ 5.38</w:t>
            </w:r>
          </w:p>
        </w:tc>
        <w:tc>
          <w:tcPr>
            <w:tcW w:w="6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$ 1.53</w:t>
            </w:r>
          </w:p>
        </w:tc>
        <w:tc>
          <w:tcPr>
            <w:tcW w:w="520" w:type="dxa"/>
            <w:vAlign w:val="bottom"/>
          </w:tcPr>
          <w:p>
            <w:pPr>
              <w:spacing w:after="0"/>
              <w:rPr>
                <w:sz w:val="24"/>
                <w:szCs w:val="24"/>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$ 7.87</w:t>
            </w:r>
          </w:p>
        </w:tc>
        <w:tc>
          <w:tcPr>
            <w:tcW w:w="4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$22.52</w:t>
            </w:r>
          </w:p>
        </w:tc>
        <w:tc>
          <w:tcPr>
            <w:tcW w:w="18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80" w:type="dxa"/>
            <w:vAlign w:val="bottom"/>
            <w:gridSpan w:val="10"/>
          </w:tcPr>
          <w:p>
            <w:pPr>
              <w:jc w:val="right"/>
              <w:ind w:right="3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5"/>
        </w:trPr>
        <w:tc>
          <w:tcPr>
            <w:tcW w:w="1900" w:type="dxa"/>
            <w:vAlign w:val="bottom"/>
            <w:gridSpan w:val="8"/>
          </w:tcPr>
          <w:p>
            <w:pPr>
              <w:jc w:val="right"/>
              <w:ind w:right="540"/>
              <w:spacing w:after="0" w:line="205" w:lineRule="exact"/>
              <w:rPr>
                <w:sz w:val="20"/>
                <w:szCs w:val="20"/>
                <w:color w:val="auto"/>
              </w:rPr>
            </w:pPr>
            <w:r>
              <w:rPr>
                <w:rFonts w:ascii="Arial" w:cs="Arial" w:eastAsia="Arial" w:hAnsi="Arial"/>
                <w:sz w:val="18"/>
                <w:szCs w:val="18"/>
                <w:color w:val="auto"/>
              </w:rPr>
              <w:t>(0.03)</w:t>
            </w:r>
          </w:p>
        </w:tc>
        <w:tc>
          <w:tcPr>
            <w:tcW w:w="90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(0.03)</w:t>
            </w:r>
          </w:p>
        </w:tc>
        <w:tc>
          <w:tcPr>
            <w:tcW w:w="520" w:type="dxa"/>
            <w:vAlign w:val="bottom"/>
          </w:tcPr>
          <w:p>
            <w:pPr>
              <w:spacing w:after="0"/>
              <w:rPr>
                <w:sz w:val="17"/>
                <w:szCs w:val="17"/>
                <w:color w:val="auto"/>
              </w:rPr>
            </w:pPr>
          </w:p>
        </w:tc>
        <w:tc>
          <w:tcPr>
            <w:tcW w:w="1580" w:type="dxa"/>
            <w:vAlign w:val="bottom"/>
            <w:gridSpan w:val="10"/>
          </w:tcPr>
          <w:p>
            <w:pPr>
              <w:jc w:val="right"/>
              <w:ind w:right="360"/>
              <w:spacing w:after="0" w:line="205" w:lineRule="exact"/>
              <w:rPr>
                <w:sz w:val="20"/>
                <w:szCs w:val="20"/>
                <w:color w:val="auto"/>
              </w:rPr>
            </w:pPr>
            <w:r>
              <w:rPr>
                <w:rFonts w:ascii="Arial" w:cs="Arial" w:eastAsia="Arial" w:hAnsi="Arial"/>
                <w:sz w:val="18"/>
                <w:szCs w:val="18"/>
                <w:color w:val="auto"/>
              </w:rPr>
              <w:t>(0.08)</w:t>
            </w:r>
          </w:p>
        </w:tc>
        <w:tc>
          <w:tcPr>
            <w:tcW w:w="1080" w:type="dxa"/>
            <w:vAlign w:val="bottom"/>
            <w:gridSpan w:val="7"/>
          </w:tcPr>
          <w:p>
            <w:pPr>
              <w:jc w:val="right"/>
              <w:ind w:right="120"/>
              <w:spacing w:after="0" w:line="205" w:lineRule="exact"/>
              <w:rPr>
                <w:sz w:val="20"/>
                <w:szCs w:val="20"/>
                <w:color w:val="auto"/>
              </w:rPr>
            </w:pPr>
            <w:r>
              <w:rPr>
                <w:rFonts w:ascii="Arial" w:cs="Arial" w:eastAsia="Arial" w:hAnsi="Arial"/>
                <w:sz w:val="18"/>
                <w:szCs w:val="18"/>
                <w:color w:val="auto"/>
              </w:rPr>
              <w:t>(0.08)</w:t>
            </w:r>
          </w:p>
        </w:tc>
      </w:tr>
      <w:tr>
        <w:trPr>
          <w:trHeight w:val="20"/>
        </w:trPr>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$ 5.35</w:t>
            </w:r>
          </w:p>
        </w:tc>
        <w:tc>
          <w:tcPr>
            <w:tcW w:w="6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$ 1.50</w:t>
            </w:r>
          </w:p>
        </w:tc>
        <w:tc>
          <w:tcPr>
            <w:tcW w:w="520" w:type="dxa"/>
            <w:vAlign w:val="bottom"/>
          </w:tcPr>
          <w:p>
            <w:pPr>
              <w:spacing w:after="0"/>
              <w:rPr>
                <w:sz w:val="19"/>
                <w:szCs w:val="19"/>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$ 6.52</w:t>
            </w:r>
          </w:p>
        </w:tc>
        <w:tc>
          <w:tcPr>
            <w:tcW w:w="4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$22.44</w:t>
            </w:r>
          </w:p>
        </w:tc>
        <w:tc>
          <w:tcPr>
            <w:tcW w:w="180" w:type="dxa"/>
            <w:vAlign w:val="bottom"/>
          </w:tcPr>
          <w:p>
            <w:pPr>
              <w:spacing w:after="0"/>
              <w:rPr>
                <w:sz w:val="19"/>
                <w:szCs w:val="19"/>
                <w:color w:val="auto"/>
              </w:rPr>
            </w:pPr>
          </w:p>
        </w:tc>
      </w:tr>
      <w:tr>
        <w:trPr>
          <w:trHeight w:val="107"/>
        </w:trPr>
        <w:tc>
          <w:tcPr>
            <w:tcW w:w="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954"/>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$ 5.37</w:t>
            </w:r>
          </w:p>
        </w:tc>
        <w:tc>
          <w:tcPr>
            <w:tcW w:w="6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$ 1.53</w:t>
            </w:r>
          </w:p>
        </w:tc>
        <w:tc>
          <w:tcPr>
            <w:tcW w:w="520" w:type="dxa"/>
            <w:vAlign w:val="bottom"/>
          </w:tcPr>
          <w:p>
            <w:pPr>
              <w:spacing w:after="0"/>
              <w:rPr>
                <w:sz w:val="24"/>
                <w:szCs w:val="24"/>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$ 7.86</w:t>
            </w:r>
          </w:p>
        </w:tc>
        <w:tc>
          <w:tcPr>
            <w:tcW w:w="4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$ 22.47</w:t>
            </w:r>
          </w:p>
        </w:tc>
        <w:tc>
          <w:tcPr>
            <w:tcW w:w="18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80" w:type="dxa"/>
            <w:vAlign w:val="bottom"/>
            <w:gridSpan w:val="10"/>
          </w:tcPr>
          <w:p>
            <w:pPr>
              <w:jc w:val="right"/>
              <w:ind w:right="3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5"/>
        </w:trPr>
        <w:tc>
          <w:tcPr>
            <w:tcW w:w="880" w:type="dxa"/>
            <w:vAlign w:val="bottom"/>
            <w:gridSpan w:val="5"/>
          </w:tcPr>
          <w:p>
            <w:pPr>
              <w:spacing w:after="0"/>
              <w:rPr>
                <w:sz w:val="17"/>
                <w:szCs w:val="17"/>
                <w:color w:val="auto"/>
              </w:rPr>
            </w:pPr>
          </w:p>
        </w:tc>
        <w:tc>
          <w:tcPr>
            <w:tcW w:w="1020" w:type="dxa"/>
            <w:vAlign w:val="bottom"/>
            <w:gridSpan w:val="3"/>
          </w:tcPr>
          <w:p>
            <w:pPr>
              <w:jc w:val="right"/>
              <w:ind w:right="560"/>
              <w:spacing w:after="0" w:line="205" w:lineRule="exact"/>
              <w:rPr>
                <w:sz w:val="20"/>
                <w:szCs w:val="20"/>
                <w:color w:val="auto"/>
              </w:rPr>
            </w:pPr>
            <w:r>
              <w:rPr>
                <w:rFonts w:ascii="Arial" w:cs="Arial" w:eastAsia="Arial" w:hAnsi="Arial"/>
                <w:sz w:val="18"/>
                <w:szCs w:val="18"/>
                <w:color w:val="auto"/>
                <w:w w:val="93"/>
              </w:rPr>
              <w:t>(0.03)</w:t>
            </w:r>
          </w:p>
        </w:tc>
        <w:tc>
          <w:tcPr>
            <w:tcW w:w="90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(0.03)</w:t>
            </w:r>
          </w:p>
        </w:tc>
        <w:tc>
          <w:tcPr>
            <w:tcW w:w="520" w:type="dxa"/>
            <w:vAlign w:val="bottom"/>
          </w:tcPr>
          <w:p>
            <w:pPr>
              <w:spacing w:after="0"/>
              <w:rPr>
                <w:sz w:val="17"/>
                <w:szCs w:val="17"/>
                <w:color w:val="auto"/>
              </w:rPr>
            </w:pPr>
          </w:p>
        </w:tc>
        <w:tc>
          <w:tcPr>
            <w:tcW w:w="1580" w:type="dxa"/>
            <w:vAlign w:val="bottom"/>
            <w:gridSpan w:val="10"/>
          </w:tcPr>
          <w:p>
            <w:pPr>
              <w:jc w:val="right"/>
              <w:ind w:right="360"/>
              <w:spacing w:after="0" w:line="205" w:lineRule="exact"/>
              <w:rPr>
                <w:sz w:val="20"/>
                <w:szCs w:val="20"/>
                <w:color w:val="auto"/>
              </w:rPr>
            </w:pPr>
            <w:r>
              <w:rPr>
                <w:rFonts w:ascii="Arial" w:cs="Arial" w:eastAsia="Arial" w:hAnsi="Arial"/>
                <w:sz w:val="18"/>
                <w:szCs w:val="18"/>
                <w:color w:val="auto"/>
              </w:rPr>
              <w:t>(0.08)</w:t>
            </w:r>
          </w:p>
        </w:tc>
        <w:tc>
          <w:tcPr>
            <w:tcW w:w="1080" w:type="dxa"/>
            <w:vAlign w:val="bottom"/>
            <w:gridSpan w:val="7"/>
          </w:tcPr>
          <w:p>
            <w:pPr>
              <w:jc w:val="right"/>
              <w:ind w:right="120"/>
              <w:spacing w:after="0" w:line="205" w:lineRule="exact"/>
              <w:rPr>
                <w:sz w:val="20"/>
                <w:szCs w:val="20"/>
                <w:color w:val="auto"/>
              </w:rPr>
            </w:pPr>
            <w:r>
              <w:rPr>
                <w:rFonts w:ascii="Arial" w:cs="Arial" w:eastAsia="Arial" w:hAnsi="Arial"/>
                <w:sz w:val="18"/>
                <w:szCs w:val="18"/>
                <w:color w:val="auto"/>
              </w:rPr>
              <w:t>(0.08)</w:t>
            </w:r>
          </w:p>
        </w:tc>
      </w:tr>
      <w:tr>
        <w:trPr>
          <w:trHeight w:val="20"/>
        </w:trPr>
        <w:tc>
          <w:tcPr>
            <w:tcW w:w="880" w:type="dxa"/>
            <w:vAlign w:val="bottom"/>
            <w:gridSpan w:val="5"/>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$ 5.34</w:t>
            </w:r>
          </w:p>
        </w:tc>
        <w:tc>
          <w:tcPr>
            <w:tcW w:w="6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$ 1.50</w:t>
            </w:r>
          </w:p>
        </w:tc>
        <w:tc>
          <w:tcPr>
            <w:tcW w:w="520" w:type="dxa"/>
            <w:vAlign w:val="bottom"/>
          </w:tcPr>
          <w:p>
            <w:pPr>
              <w:spacing w:after="0"/>
              <w:rPr>
                <w:sz w:val="19"/>
                <w:szCs w:val="19"/>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$ 6.51</w:t>
            </w:r>
          </w:p>
        </w:tc>
        <w:tc>
          <w:tcPr>
            <w:tcW w:w="42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$ 22.39</w:t>
            </w:r>
          </w:p>
        </w:tc>
        <w:tc>
          <w:tcPr>
            <w:tcW w:w="180" w:type="dxa"/>
            <w:vAlign w:val="bottom"/>
          </w:tcPr>
          <w:p>
            <w:pPr>
              <w:spacing w:after="0"/>
              <w:rPr>
                <w:sz w:val="19"/>
                <w:szCs w:val="19"/>
                <w:color w:val="auto"/>
              </w:rPr>
            </w:pPr>
          </w:p>
        </w:tc>
      </w:tr>
      <w:tr>
        <w:trPr>
          <w:trHeight w:val="107"/>
        </w:trPr>
        <w:tc>
          <w:tcPr>
            <w:tcW w:w="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427"/>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$ 1.40</w:t>
            </w:r>
          </w:p>
        </w:tc>
        <w:tc>
          <w:tcPr>
            <w:tcW w:w="6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$ 1.40</w:t>
            </w:r>
          </w:p>
        </w:tc>
        <w:tc>
          <w:tcPr>
            <w:tcW w:w="520" w:type="dxa"/>
            <w:vAlign w:val="bottom"/>
          </w:tcPr>
          <w:p>
            <w:pPr>
              <w:spacing w:after="0"/>
              <w:rPr>
                <w:sz w:val="24"/>
                <w:szCs w:val="24"/>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$ 4.20</w:t>
            </w:r>
          </w:p>
        </w:tc>
        <w:tc>
          <w:tcPr>
            <w:tcW w:w="4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$ 4.20</w:t>
            </w:r>
          </w:p>
        </w:tc>
        <w:tc>
          <w:tcPr>
            <w:tcW w:w="180" w:type="dxa"/>
            <w:vAlign w:val="bottom"/>
          </w:tcPr>
          <w:p>
            <w:pPr>
              <w:spacing w:after="0"/>
              <w:rPr>
                <w:sz w:val="24"/>
                <w:szCs w:val="24"/>
                <w:color w:val="auto"/>
              </w:rPr>
            </w:pPr>
          </w:p>
        </w:tc>
      </w:tr>
      <w:tr>
        <w:trPr>
          <w:trHeight w:val="107"/>
        </w:trPr>
        <w:tc>
          <w:tcPr>
            <w:tcW w:w="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467"/>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9,503</w:t>
            </w:r>
          </w:p>
        </w:tc>
        <w:tc>
          <w:tcPr>
            <w:tcW w:w="6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9,485</w:t>
            </w:r>
          </w:p>
        </w:tc>
        <w:tc>
          <w:tcPr>
            <w:tcW w:w="520" w:type="dxa"/>
            <w:vAlign w:val="bottom"/>
          </w:tcPr>
          <w:p>
            <w:pPr>
              <w:spacing w:after="0"/>
              <w:rPr>
                <w:sz w:val="24"/>
                <w:szCs w:val="24"/>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9,501</w:t>
            </w:r>
          </w:p>
        </w:tc>
        <w:tc>
          <w:tcPr>
            <w:tcW w:w="4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9,482</w:t>
            </w:r>
          </w:p>
        </w:tc>
        <w:tc>
          <w:tcPr>
            <w:tcW w:w="180" w:type="dxa"/>
            <w:vAlign w:val="bottom"/>
          </w:tcPr>
          <w:p>
            <w:pPr>
              <w:spacing w:after="0"/>
              <w:rPr>
                <w:sz w:val="24"/>
                <w:szCs w:val="24"/>
                <w:color w:val="auto"/>
              </w:rPr>
            </w:pPr>
          </w:p>
        </w:tc>
      </w:tr>
      <w:tr>
        <w:trPr>
          <w:trHeight w:val="243"/>
        </w:trPr>
        <w:tc>
          <w:tcPr>
            <w:tcW w:w="1280" w:type="dxa"/>
            <w:vAlign w:val="bottom"/>
            <w:gridSpan w:val="7"/>
          </w:tcPr>
          <w:p>
            <w:pPr>
              <w:jc w:val="right"/>
              <w:spacing w:after="0"/>
              <w:rPr>
                <w:sz w:val="20"/>
                <w:szCs w:val="20"/>
                <w:color w:val="auto"/>
              </w:rPr>
            </w:pPr>
            <w:r>
              <w:rPr>
                <w:rFonts w:ascii="Arial" w:cs="Arial" w:eastAsia="Arial" w:hAnsi="Arial"/>
                <w:sz w:val="18"/>
                <w:szCs w:val="18"/>
                <w:color w:val="auto"/>
              </w:rPr>
              <w:t>9,521</w:t>
            </w:r>
          </w:p>
        </w:tc>
        <w:tc>
          <w:tcPr>
            <w:tcW w:w="6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9,502</w:t>
            </w:r>
          </w:p>
        </w:tc>
        <w:tc>
          <w:tcPr>
            <w:tcW w:w="520" w:type="dxa"/>
            <w:vAlign w:val="bottom"/>
          </w:tcPr>
          <w:p>
            <w:pPr>
              <w:spacing w:after="0"/>
              <w:rPr>
                <w:sz w:val="21"/>
                <w:szCs w:val="21"/>
                <w:color w:val="auto"/>
              </w:rPr>
            </w:pPr>
          </w:p>
        </w:tc>
        <w:tc>
          <w:tcPr>
            <w:tcW w:w="1160" w:type="dxa"/>
            <w:vAlign w:val="bottom"/>
            <w:gridSpan w:val="9"/>
          </w:tcPr>
          <w:p>
            <w:pPr>
              <w:jc w:val="right"/>
              <w:spacing w:after="0"/>
              <w:rPr>
                <w:sz w:val="20"/>
                <w:szCs w:val="20"/>
                <w:color w:val="auto"/>
              </w:rPr>
            </w:pPr>
            <w:r>
              <w:rPr>
                <w:rFonts w:ascii="Arial" w:cs="Arial" w:eastAsia="Arial" w:hAnsi="Arial"/>
                <w:sz w:val="18"/>
                <w:szCs w:val="18"/>
                <w:color w:val="auto"/>
              </w:rPr>
              <w:t>9,516</w:t>
            </w:r>
          </w:p>
        </w:tc>
        <w:tc>
          <w:tcPr>
            <w:tcW w:w="42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9,500</w:t>
            </w: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-7712075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-7712075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-7712075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-7712075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-2924810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-2924810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-2924810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-2924810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-2924810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-2924810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-2924810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-2924810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-1955165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-1955165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-1955165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-1955165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-1955165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-1955165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-1955165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-1955165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-831850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-831850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-831850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-831850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-831850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-831850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-831850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-831850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-480695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-480695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-480695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-480695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-480695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-480695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-480695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-480695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215900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5380" w:space="60"/>
            <w:col w:w="5980"/>
          </w:cols>
          <w:pgMar w:left="240" w:top="291" w:right="239" w:bottom="0" w:gutter="0" w:footer="0" w:header="0"/>
        </w:sectPr>
      </w:pPr>
    </w:p>
    <w:p>
      <w:pPr>
        <w:spacing w:after="0" w:line="2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2" w:lineRule="exact"/>
        <w:rPr>
          <w:sz w:val="20"/>
          <w:szCs w:val="20"/>
          <w:color w:val="auto"/>
        </w:rPr>
      </w:pPr>
    </w:p>
    <w:p>
      <w:pPr>
        <w:ind w:left="6120"/>
        <w:spacing w:after="0"/>
        <w:tabs>
          <w:tab w:leader="none" w:pos="8960" w:val="left"/>
        </w:tabs>
        <w:rPr>
          <w:sz w:val="20"/>
          <w:szCs w:val="20"/>
          <w:color w:val="auto"/>
        </w:rPr>
      </w:pPr>
      <w:r>
        <w:rPr>
          <w:rFonts w:ascii="Arial" w:cs="Arial" w:eastAsia="Arial" w:hAnsi="Arial"/>
          <w:sz w:val="18"/>
          <w:szCs w:val="18"/>
          <w:color w:val="auto"/>
        </w:rPr>
        <w:t>Thirteen Weeks Ended</w:t>
      </w:r>
      <w:r>
        <w:rPr>
          <w:sz w:val="20"/>
          <w:szCs w:val="20"/>
          <w:color w:val="auto"/>
        </w:rPr>
        <w:tab/>
      </w:r>
      <w:r>
        <w:rPr>
          <w:rFonts w:ascii="Arial" w:cs="Arial" w:eastAsia="Arial" w:hAnsi="Arial"/>
          <w:sz w:val="16"/>
          <w:szCs w:val="16"/>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53340</wp:posOffset>
            </wp:positionV>
            <wp:extent cx="351155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11550" cy="21590"/>
                    </a:xfrm>
                    <a:prstGeom prst="rect">
                      <a:avLst/>
                    </a:prstGeom>
                    <a:noFill/>
                  </pic:spPr>
                </pic:pic>
              </a:graphicData>
            </a:graphic>
          </wp:anchor>
        </w:drawing>
      </w:r>
    </w:p>
    <w:p>
      <w:pPr>
        <w:sectPr>
          <w:pgSz w:w="11900" w:h="16838" w:orient="portrait"/>
          <w:cols w:equalWidth="0" w:num="1">
            <w:col w:w="11420"/>
          </w:cols>
          <w:pgMar w:left="240" w:top="291"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w w:val="95"/>
              </w:rPr>
              <w:t>June 30,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8"/>
                <w:szCs w:val="18"/>
                <w:color w:val="auto"/>
                <w:w w:val="88"/>
              </w:rPr>
              <w:t>July 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jc w:val="right"/>
              <w:ind w:right="720"/>
              <w:spacing w:after="0"/>
              <w:rPr>
                <w:sz w:val="20"/>
                <w:szCs w:val="20"/>
                <w:color w:val="auto"/>
              </w:rPr>
            </w:pPr>
            <w:r>
              <w:rPr>
                <w:rFonts w:ascii="Arial" w:cs="Arial" w:eastAsia="Arial" w:hAnsi="Arial"/>
                <w:sz w:val="18"/>
                <w:szCs w:val="18"/>
                <w:color w:val="auto"/>
                <w:w w:val="98"/>
              </w:rPr>
              <w:t>June 30,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July 1,</w:t>
            </w:r>
          </w:p>
        </w:tc>
      </w:tr>
      <w:tr>
        <w:trPr>
          <w:trHeight w:val="205"/>
        </w:trPr>
        <w:tc>
          <w:tcPr>
            <w:tcW w:w="6060" w:type="dxa"/>
            <w:vAlign w:val="bottom"/>
          </w:tcPr>
          <w:p>
            <w:pPr>
              <w:spacing w:after="0" w:line="205" w:lineRule="exact"/>
              <w:rPr>
                <w:sz w:val="20"/>
                <w:szCs w:val="20"/>
                <w:color w:val="auto"/>
              </w:rPr>
            </w:pPr>
            <w:r>
              <w:rPr>
                <w:rFonts w:ascii="Arial" w:cs="Arial" w:eastAsia="Arial" w:hAnsi="Arial"/>
                <w:sz w:val="18"/>
                <w:szCs w:val="18"/>
                <w:color w:val="auto"/>
              </w:rPr>
              <w:t>(In thousands)</w:t>
            </w:r>
          </w:p>
        </w:tc>
        <w:tc>
          <w:tcPr>
            <w:tcW w:w="440" w:type="dxa"/>
            <w:vAlign w:val="bottom"/>
            <w:gridSpan w:val="5"/>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4"/>
              </w:rPr>
              <w:t>2002</w:t>
            </w:r>
          </w:p>
        </w:tc>
        <w:tc>
          <w:tcPr>
            <w:tcW w:w="520" w:type="dxa"/>
            <w:vAlign w:val="bottom"/>
          </w:tcPr>
          <w:p>
            <w:pPr>
              <w:spacing w:after="0"/>
              <w:rPr>
                <w:sz w:val="17"/>
                <w:szCs w:val="17"/>
                <w:color w:val="auto"/>
              </w:rPr>
            </w:pPr>
          </w:p>
        </w:tc>
        <w:tc>
          <w:tcPr>
            <w:tcW w:w="440" w:type="dxa"/>
            <w:vAlign w:val="bottom"/>
            <w:gridSpan w:val="4"/>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4"/>
              </w:rPr>
              <w:t>2001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4"/>
              </w:rPr>
              <w:t>2002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4"/>
              </w:rPr>
              <w:t>2001</w:t>
            </w:r>
          </w:p>
        </w:tc>
        <w:tc>
          <w:tcPr>
            <w:tcW w:w="40" w:type="dxa"/>
            <w:vAlign w:val="bottom"/>
          </w:tcPr>
          <w:p>
            <w:pPr>
              <w:spacing w:after="0"/>
              <w:rPr>
                <w:sz w:val="17"/>
                <w:szCs w:val="17"/>
                <w:color w:val="auto"/>
              </w:rPr>
            </w:pPr>
          </w:p>
        </w:tc>
      </w:tr>
      <w:tr>
        <w:trPr>
          <w:trHeight w:val="507"/>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$ 51,144</w:t>
            </w:r>
          </w:p>
        </w:tc>
        <w:tc>
          <w:tcPr>
            <w:tcW w:w="52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$ 14,492</w:t>
            </w:r>
          </w:p>
        </w:tc>
        <w:tc>
          <w:tcPr>
            <w:tcW w:w="6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62,750</w:t>
            </w:r>
          </w:p>
        </w:tc>
        <w:tc>
          <w:tcPr>
            <w:tcW w:w="70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$ 213,546</w:t>
            </w:r>
          </w:p>
        </w:tc>
        <w:tc>
          <w:tcPr>
            <w:tcW w:w="40" w:type="dxa"/>
            <w:vAlign w:val="bottom"/>
          </w:tcPr>
          <w:p>
            <w:pPr>
              <w:spacing w:after="0"/>
              <w:rPr>
                <w:sz w:val="24"/>
                <w:szCs w:val="24"/>
                <w:color w:val="auto"/>
              </w:rPr>
            </w:pPr>
          </w:p>
        </w:tc>
      </w:tr>
      <w:tr>
        <w:trPr>
          <w:trHeight w:val="464"/>
        </w:trPr>
        <w:tc>
          <w:tcPr>
            <w:tcW w:w="6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60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4,318</w:t>
            </w:r>
          </w:p>
        </w:tc>
        <w:tc>
          <w:tcPr>
            <w:tcW w:w="52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893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4,417</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(3,376)</w:t>
            </w:r>
          </w:p>
        </w:tc>
      </w:tr>
      <w:tr>
        <w:trPr>
          <w:trHeight w:val="478"/>
        </w:trPr>
        <w:tc>
          <w:tcPr>
            <w:tcW w:w="6060" w:type="dxa"/>
            <w:vAlign w:val="bottom"/>
          </w:tcPr>
          <w:p>
            <w:pPr>
              <w:ind w:left="260"/>
              <w:spacing w:after="0"/>
              <w:rPr>
                <w:sz w:val="20"/>
                <w:szCs w:val="20"/>
                <w:color w:val="auto"/>
              </w:rPr>
            </w:pPr>
            <w:r>
              <w:rPr>
                <w:rFonts w:ascii="Arial" w:cs="Arial" w:eastAsia="Arial" w:hAnsi="Arial"/>
                <w:sz w:val="18"/>
                <w:szCs w:val="18"/>
                <w:color w:val="auto"/>
              </w:rPr>
              <w:t>Change in unrealized gain on available-for-sale securities</w:t>
            </w: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(13,049</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16,767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4"/>
          </w:tcPr>
          <w:p>
            <w:pPr>
              <w:jc w:val="right"/>
              <w:ind w:right="660"/>
              <w:spacing w:after="0"/>
              <w:rPr>
                <w:sz w:val="20"/>
                <w:szCs w:val="20"/>
                <w:color w:val="auto"/>
              </w:rPr>
            </w:pPr>
            <w:r>
              <w:rPr>
                <w:rFonts w:ascii="Arial" w:cs="Arial" w:eastAsia="Arial" w:hAnsi="Arial"/>
                <w:sz w:val="18"/>
                <w:szCs w:val="18"/>
                <w:color w:val="auto"/>
              </w:rPr>
              <w:t>(15,430)</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1,372</w:t>
            </w:r>
          </w:p>
        </w:tc>
        <w:tc>
          <w:tcPr>
            <w:tcW w:w="40" w:type="dxa"/>
            <w:vAlign w:val="bottom"/>
          </w:tcPr>
          <w:p>
            <w:pPr>
              <w:spacing w:after="0"/>
              <w:rPr>
                <w:sz w:val="24"/>
                <w:szCs w:val="24"/>
                <w:color w:val="auto"/>
              </w:rPr>
            </w:pPr>
          </w:p>
        </w:tc>
      </w:tr>
      <w:tr>
        <w:trPr>
          <w:trHeight w:val="203"/>
        </w:trPr>
        <w:tc>
          <w:tcPr>
            <w:tcW w:w="6060" w:type="dxa"/>
            <w:vAlign w:val="bottom"/>
          </w:tcPr>
          <w:p>
            <w:pPr>
              <w:ind w:left="260"/>
              <w:spacing w:after="0" w:line="202" w:lineRule="exact"/>
              <w:rPr>
                <w:sz w:val="20"/>
                <w:szCs w:val="20"/>
                <w:color w:val="auto"/>
              </w:rPr>
            </w:pPr>
            <w:r>
              <w:rPr>
                <w:rFonts w:ascii="Arial" w:cs="Arial" w:eastAsia="Arial" w:hAnsi="Arial"/>
                <w:sz w:val="18"/>
                <w:szCs w:val="18"/>
                <w:color w:val="auto"/>
              </w:rPr>
              <w:t>Less: reclassification adjustment for realized (gains) losses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2"/>
        </w:trPr>
        <w:tc>
          <w:tcPr>
            <w:tcW w:w="6060" w:type="dxa"/>
            <w:vAlign w:val="bottom"/>
          </w:tcPr>
          <w:p>
            <w:pPr>
              <w:ind w:left="300"/>
              <w:spacing w:after="0" w:line="172" w:lineRule="exact"/>
              <w:rPr>
                <w:sz w:val="20"/>
                <w:szCs w:val="20"/>
                <w:color w:val="auto"/>
              </w:rPr>
            </w:pPr>
            <w:r>
              <w:rPr>
                <w:rFonts w:ascii="Arial" w:cs="Arial" w:eastAsia="Arial" w:hAnsi="Arial"/>
                <w:sz w:val="18"/>
                <w:szCs w:val="18"/>
                <w:color w:val="auto"/>
              </w:rPr>
              <w:t>included in net income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line="17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4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394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right"/>
              <w:ind w:right="660"/>
              <w:spacing w:after="0" w:line="172" w:lineRule="exact"/>
              <w:rPr>
                <w:sz w:val="20"/>
                <w:szCs w:val="20"/>
                <w:color w:val="auto"/>
              </w:rPr>
            </w:pPr>
            <w:r>
              <w:rPr>
                <w:rFonts w:ascii="Arial" w:cs="Arial" w:eastAsia="Arial" w:hAnsi="Arial"/>
                <w:sz w:val="18"/>
                <w:szCs w:val="18"/>
                <w:color w:val="auto"/>
              </w:rPr>
              <w:t>(11,209)</w:t>
            </w:r>
          </w:p>
        </w:tc>
        <w:tc>
          <w:tcPr>
            <w:tcW w:w="840" w:type="dxa"/>
            <w:vAlign w:val="bottom"/>
            <w:gridSpan w:val="4"/>
          </w:tcPr>
          <w:p>
            <w:pPr>
              <w:jc w:val="right"/>
              <w:spacing w:after="0" w:line="172" w:lineRule="exact"/>
              <w:rPr>
                <w:sz w:val="20"/>
                <w:szCs w:val="20"/>
                <w:color w:val="auto"/>
              </w:rPr>
            </w:pPr>
            <w:r>
              <w:rPr>
                <w:rFonts w:ascii="Arial" w:cs="Arial" w:eastAsia="Arial" w:hAnsi="Arial"/>
                <w:sz w:val="18"/>
                <w:szCs w:val="18"/>
                <w:color w:val="auto"/>
              </w:rPr>
              <w:t>3,214</w:t>
            </w:r>
          </w:p>
        </w:tc>
        <w:tc>
          <w:tcPr>
            <w:tcW w:w="40" w:type="dxa"/>
            <w:vAlign w:val="bottom"/>
          </w:tcPr>
          <w:p>
            <w:pPr>
              <w:spacing w:after="0"/>
              <w:rPr>
                <w:sz w:val="14"/>
                <w:szCs w:val="14"/>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2"/>
        </w:trPr>
        <w:tc>
          <w:tcPr>
            <w:tcW w:w="606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(8,731</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18,054</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gridSpan w:val="4"/>
          </w:tcPr>
          <w:p>
            <w:pPr>
              <w:jc w:val="right"/>
              <w:ind w:right="660"/>
              <w:spacing w:after="0"/>
              <w:rPr>
                <w:sz w:val="20"/>
                <w:szCs w:val="20"/>
                <w:color w:val="auto"/>
              </w:rPr>
            </w:pPr>
            <w:r>
              <w:rPr>
                <w:rFonts w:ascii="Arial" w:cs="Arial" w:eastAsia="Arial" w:hAnsi="Arial"/>
                <w:sz w:val="18"/>
                <w:szCs w:val="18"/>
                <w:color w:val="auto"/>
              </w:rPr>
              <w:t>(22,222)</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1,210</w:t>
            </w:r>
          </w:p>
        </w:tc>
        <w:tc>
          <w:tcPr>
            <w:tcW w:w="40" w:type="dxa"/>
            <w:vAlign w:val="bottom"/>
          </w:tcPr>
          <w:p>
            <w:pPr>
              <w:spacing w:after="0"/>
              <w:rPr>
                <w:sz w:val="22"/>
                <w:szCs w:val="22"/>
                <w:color w:val="auto"/>
              </w:rPr>
            </w:pPr>
          </w:p>
        </w:tc>
      </w:tr>
      <w:tr>
        <w:trPr>
          <w:trHeight w:val="448"/>
        </w:trPr>
        <w:tc>
          <w:tcPr>
            <w:tcW w:w="6060" w:type="dxa"/>
            <w:vAlign w:val="bottom"/>
          </w:tcPr>
          <w:p>
            <w:pPr>
              <w:spacing w:after="0"/>
              <w:rPr>
                <w:sz w:val="20"/>
                <w:szCs w:val="20"/>
                <w:color w:val="auto"/>
              </w:rPr>
            </w:pPr>
            <w:r>
              <w:rPr>
                <w:rFonts w:ascii="Arial" w:cs="Arial" w:eastAsia="Arial" w:hAnsi="Arial"/>
                <w:sz w:val="18"/>
                <w:szCs w:val="18"/>
                <w:color w:val="auto"/>
              </w:rPr>
              <w:t>Income tax benefit (expense) related to other comprehensive income</w:t>
            </w:r>
          </w:p>
        </w:tc>
        <w:tc>
          <w:tcPr>
            <w:tcW w:w="260" w:type="dxa"/>
            <w:vAlign w:val="bottom"/>
            <w:gridSpan w:val="3"/>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5,080</w:t>
            </w:r>
          </w:p>
        </w:tc>
        <w:tc>
          <w:tcPr>
            <w:tcW w:w="520" w:type="dxa"/>
            <w:vAlign w:val="bottom"/>
          </w:tcPr>
          <w:p>
            <w:pPr>
              <w:spacing w:after="0"/>
              <w:rPr>
                <w:sz w:val="24"/>
                <w:szCs w:val="24"/>
                <w:color w:val="auto"/>
              </w:rPr>
            </w:pPr>
          </w:p>
        </w:tc>
        <w:tc>
          <w:tcPr>
            <w:tcW w:w="360" w:type="dxa"/>
            <w:vAlign w:val="bottom"/>
            <w:gridSpan w:val="3"/>
          </w:tcPr>
          <w:p>
            <w:pPr>
              <w:spacing w:after="0"/>
              <w:rPr>
                <w:sz w:val="24"/>
                <w:szCs w:val="24"/>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w w:val="91"/>
              </w:rPr>
              <w:t>(6,686)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10,345</w:t>
            </w:r>
          </w:p>
        </w:tc>
        <w:tc>
          <w:tcPr>
            <w:tcW w:w="70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60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jc w:val="right"/>
              <w:ind w:right="312"/>
              <w:spacing w:after="0"/>
              <w:rPr>
                <w:sz w:val="20"/>
                <w:szCs w:val="20"/>
                <w:color w:val="auto"/>
              </w:rPr>
            </w:pPr>
            <w:r>
              <w:rPr>
                <w:rFonts w:ascii="Arial" w:cs="Arial" w:eastAsia="Arial" w:hAnsi="Arial"/>
                <w:sz w:val="18"/>
                <w:szCs w:val="18"/>
                <w:color w:val="auto"/>
              </w:rPr>
              <w:t>(3,651 )</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11,368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right"/>
              <w:ind w:right="660"/>
              <w:spacing w:after="0"/>
              <w:rPr>
                <w:sz w:val="20"/>
                <w:szCs w:val="20"/>
                <w:color w:val="auto"/>
              </w:rPr>
            </w:pPr>
            <w:r>
              <w:rPr>
                <w:rFonts w:ascii="Arial" w:cs="Arial" w:eastAsia="Arial" w:hAnsi="Arial"/>
                <w:sz w:val="18"/>
                <w:szCs w:val="18"/>
                <w:color w:val="auto"/>
              </w:rPr>
              <w:t>(11,877)</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(636)</w:t>
            </w:r>
          </w:p>
        </w:tc>
      </w:tr>
      <w:tr>
        <w:trPr>
          <w:trHeight w:val="20"/>
        </w:trPr>
        <w:tc>
          <w:tcPr>
            <w:tcW w:w="60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4"/>
        </w:trPr>
        <w:tc>
          <w:tcPr>
            <w:tcW w:w="606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$ 47,493</w:t>
            </w:r>
          </w:p>
        </w:tc>
        <w:tc>
          <w:tcPr>
            <w:tcW w:w="52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$ 25,860</w:t>
            </w:r>
          </w:p>
        </w:tc>
        <w:tc>
          <w:tcPr>
            <w:tcW w:w="620" w:type="dxa"/>
            <w:vAlign w:val="bottom"/>
          </w:tcPr>
          <w:p>
            <w:pPr>
              <w:spacing w:after="0"/>
              <w:rPr>
                <w:sz w:val="24"/>
                <w:szCs w:val="24"/>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$ 50,873</w:t>
            </w:r>
          </w:p>
        </w:tc>
        <w:tc>
          <w:tcPr>
            <w:tcW w:w="70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$212,910</w:t>
            </w:r>
          </w:p>
        </w:tc>
        <w:tc>
          <w:tcPr>
            <w:tcW w:w="40" w:type="dxa"/>
            <w:vAlign w:val="bottom"/>
          </w:tcPr>
          <w:p>
            <w:pPr>
              <w:spacing w:after="0"/>
              <w:rPr>
                <w:sz w:val="24"/>
                <w:szCs w:val="24"/>
                <w:color w:val="auto"/>
              </w:rPr>
            </w:pPr>
          </w:p>
        </w:tc>
      </w:tr>
      <w:tr>
        <w:trPr>
          <w:trHeight w:val="107"/>
        </w:trPr>
        <w:tc>
          <w:tcPr>
            <w:tcW w:w="6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2"/>
        </w:trPr>
        <w:tc>
          <w:tcPr>
            <w:tcW w:w="5800" w:type="dxa"/>
            <w:vAlign w:val="bottom"/>
          </w:tcPr>
          <w:p>
            <w:pPr>
              <w:spacing w:after="0"/>
              <w:rPr>
                <w:sz w:val="20"/>
                <w:szCs w:val="20"/>
                <w:color w:val="auto"/>
              </w:rPr>
            </w:pPr>
            <w:r>
              <w:rPr>
                <w:rFonts w:ascii="Arial" w:cs="Arial" w:eastAsia="Arial" w:hAnsi="Arial"/>
                <w:sz w:val="18"/>
                <w:szCs w:val="18"/>
                <w:b w:val="1"/>
                <w:bCs w:val="1"/>
                <w:color w:val="auto"/>
              </w:rPr>
              <w:t>The Washington Post Company</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0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0" w:type="dxa"/>
            <w:vAlign w:val="bottom"/>
          </w:tcPr>
          <w:p>
            <w:pPr>
              <w:spacing w:after="0"/>
              <w:rPr>
                <w:sz w:val="20"/>
                <w:szCs w:val="20"/>
                <w:color w:val="auto"/>
              </w:rPr>
            </w:pPr>
            <w:r>
              <w:rPr>
                <w:rFonts w:ascii="Arial" w:cs="Arial" w:eastAsia="Arial" w:hAnsi="Arial"/>
                <w:sz w:val="18"/>
                <w:szCs w:val="18"/>
                <w:color w:val="auto"/>
              </w:rPr>
              <w:t>(In thousands)</w:t>
            </w:r>
          </w:p>
        </w:tc>
        <w:tc>
          <w:tcPr>
            <w:tcW w:w="3920" w:type="dxa"/>
            <w:vAlign w:val="bottom"/>
            <w:gridSpan w:val="7"/>
          </w:tcPr>
          <w:p>
            <w:pPr>
              <w:jc w:val="right"/>
              <w:ind w:right="520"/>
              <w:spacing w:after="0"/>
              <w:rPr>
                <w:sz w:val="20"/>
                <w:szCs w:val="20"/>
                <w:color w:val="auto"/>
              </w:rPr>
            </w:pPr>
            <w:r>
              <w:rPr>
                <w:rFonts w:ascii="Arial" w:cs="Arial" w:eastAsia="Arial" w:hAnsi="Arial"/>
                <w:sz w:val="18"/>
                <w:szCs w:val="18"/>
                <w:color w:val="auto"/>
              </w:rPr>
              <w:t>June 30,2002</w:t>
            </w:r>
          </w:p>
        </w:tc>
        <w:tc>
          <w:tcPr>
            <w:tcW w:w="1640" w:type="dxa"/>
            <w:vAlign w:val="bottom"/>
            <w:gridSpan w:val="9"/>
          </w:tcPr>
          <w:p>
            <w:pPr>
              <w:jc w:val="right"/>
              <w:ind w:right="60"/>
              <w:spacing w:after="0"/>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5"/>
          </w:tcPr>
          <w:p>
            <w:pPr>
              <w:jc w:val="right"/>
              <w:ind w:right="520"/>
              <w:spacing w:after="0" w:line="191" w:lineRule="exact"/>
              <w:rPr>
                <w:sz w:val="20"/>
                <w:szCs w:val="20"/>
                <w:color w:val="auto"/>
              </w:rPr>
            </w:pPr>
            <w:r>
              <w:rPr>
                <w:rFonts w:ascii="Arial" w:cs="Arial" w:eastAsia="Arial" w:hAnsi="Arial"/>
                <w:sz w:val="18"/>
                <w:szCs w:val="18"/>
                <w:color w:val="auto"/>
                <w:w w:val="94"/>
              </w:rPr>
              <w:t>(unaudited)</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2001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Arial" w:cs="Arial" w:eastAsia="Arial" w:hAnsi="Arial"/>
                <w:sz w:val="18"/>
                <w:szCs w:val="18"/>
                <w:color w:val="auto"/>
              </w:rPr>
              <w:t>Assets</w:t>
            </w:r>
          </w:p>
        </w:tc>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5800" w:type="dxa"/>
            <w:vAlign w:val="bottom"/>
          </w:tcPr>
          <w:p>
            <w:pPr>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22,717</w:t>
            </w:r>
          </w:p>
        </w:tc>
        <w:tc>
          <w:tcPr>
            <w:tcW w:w="520" w:type="dxa"/>
            <w:vAlign w:val="bottom"/>
          </w:tcPr>
          <w:p>
            <w:pPr>
              <w:spacing w:after="0"/>
              <w:rPr>
                <w:sz w:val="23"/>
                <w:szCs w:val="23"/>
                <w:color w:val="auto"/>
              </w:rPr>
            </w:pP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31,480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Investments in marketable equity securities</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2,329</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16,366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272,845</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279,328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Federal and state income taxes receivable</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10,253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29,288</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34,579</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361,758</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396,857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5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00" w:type="dxa"/>
            <w:vAlign w:val="bottom"/>
          </w:tcPr>
          <w:p>
            <w:pPr>
              <w:ind w:left="100"/>
              <w:spacing w:after="0"/>
              <w:rPr>
                <w:sz w:val="20"/>
                <w:szCs w:val="20"/>
                <w:color w:val="auto"/>
              </w:rPr>
            </w:pPr>
            <w:r>
              <w:rPr>
                <w:rFonts w:ascii="Arial" w:cs="Arial" w:eastAsia="Arial" w:hAnsi="Arial"/>
                <w:sz w:val="18"/>
                <w:szCs w:val="18"/>
                <w:color w:val="auto"/>
              </w:rPr>
              <w:t>Buildings</w:t>
            </w:r>
          </w:p>
        </w:tc>
        <w:tc>
          <w:tcPr>
            <w:tcW w:w="2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269,205</w:t>
            </w: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267,658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Machinery, equipment and fixtures</w:t>
            </w:r>
          </w:p>
        </w:tc>
        <w:tc>
          <w:tcPr>
            <w:tcW w:w="3400" w:type="dxa"/>
            <w:vAlign w:val="bottom"/>
            <w:gridSpan w:val="6"/>
          </w:tcPr>
          <w:p>
            <w:pPr>
              <w:jc w:val="right"/>
              <w:spacing w:after="0"/>
              <w:rPr>
                <w:sz w:val="20"/>
                <w:szCs w:val="20"/>
                <w:color w:val="auto"/>
              </w:rPr>
            </w:pPr>
            <w:r>
              <w:rPr>
                <w:rFonts w:ascii="Arial" w:cs="Arial" w:eastAsia="Arial" w:hAnsi="Arial"/>
                <w:sz w:val="18"/>
                <w:szCs w:val="18"/>
                <w:color w:val="auto"/>
              </w:rPr>
              <w:t>1,518,447</w:t>
            </w:r>
          </w:p>
        </w:tc>
        <w:tc>
          <w:tcPr>
            <w:tcW w:w="520" w:type="dxa"/>
            <w:vAlign w:val="bottom"/>
          </w:tcPr>
          <w:p>
            <w:pPr>
              <w:spacing w:after="0"/>
              <w:rPr>
                <w:sz w:val="21"/>
                <w:szCs w:val="21"/>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1,422,228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81,246</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800" w:type="dxa"/>
            <w:vAlign w:val="bottom"/>
            <w:vMerge w:val="restart"/>
          </w:tcPr>
          <w:p>
            <w:pPr>
              <w:ind w:left="100"/>
              <w:spacing w:after="0"/>
              <w:rPr>
                <w:sz w:val="20"/>
                <w:szCs w:val="20"/>
                <w:color w:val="auto"/>
              </w:rPr>
            </w:pPr>
            <w:r>
              <w:rPr>
                <w:rFonts w:ascii="Arial" w:cs="Arial" w:eastAsia="Arial" w:hAnsi="Arial"/>
                <w:sz w:val="18"/>
                <w:szCs w:val="18"/>
                <w:color w:val="auto"/>
              </w:rPr>
              <w:t>Less accumulated depreciation</w:t>
            </w:r>
          </w:p>
        </w:tc>
        <w:tc>
          <w:tcPr>
            <w:tcW w:w="3400" w:type="dxa"/>
            <w:vAlign w:val="bottom"/>
            <w:gridSpan w:val="6"/>
          </w:tcPr>
          <w:p>
            <w:pPr>
              <w:jc w:val="right"/>
              <w:spacing w:after="0"/>
              <w:rPr>
                <w:sz w:val="20"/>
                <w:szCs w:val="20"/>
                <w:color w:val="auto"/>
              </w:rPr>
            </w:pPr>
            <w:r>
              <w:rPr>
                <w:rFonts w:ascii="Arial" w:cs="Arial" w:eastAsia="Arial" w:hAnsi="Arial"/>
                <w:sz w:val="18"/>
                <w:szCs w:val="18"/>
                <w:color w:val="auto"/>
              </w:rPr>
              <w:t>1,868,898</w:t>
            </w:r>
          </w:p>
        </w:tc>
        <w:tc>
          <w:tcPr>
            <w:tcW w:w="520" w:type="dxa"/>
            <w:vAlign w:val="bottom"/>
          </w:tcPr>
          <w:p>
            <w:pPr>
              <w:spacing w:after="0"/>
              <w:rPr>
                <w:sz w:val="22"/>
                <w:szCs w:val="22"/>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1,768,994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800" w:type="dxa"/>
            <w:vAlign w:val="bottom"/>
            <w:vMerge w:val="continue"/>
          </w:tcPr>
          <w:p>
            <w:pPr>
              <w:spacing w:after="0"/>
              <w:rPr>
                <w:sz w:val="17"/>
                <w:szCs w:val="17"/>
                <w:color w:val="auto"/>
              </w:rPr>
            </w:pPr>
          </w:p>
        </w:tc>
        <w:tc>
          <w:tcPr>
            <w:tcW w:w="3920" w:type="dxa"/>
            <w:vAlign w:val="bottom"/>
            <w:gridSpan w:val="7"/>
          </w:tcPr>
          <w:p>
            <w:pPr>
              <w:jc w:val="right"/>
              <w:ind w:right="460"/>
              <w:spacing w:after="0" w:line="205" w:lineRule="exact"/>
              <w:rPr>
                <w:sz w:val="20"/>
                <w:szCs w:val="20"/>
                <w:color w:val="auto"/>
              </w:rPr>
            </w:pPr>
            <w:r>
              <w:rPr>
                <w:rFonts w:ascii="Arial" w:cs="Arial" w:eastAsia="Arial" w:hAnsi="Arial"/>
                <w:sz w:val="18"/>
                <w:szCs w:val="18"/>
                <w:color w:val="auto"/>
              </w:rPr>
              <w:t>(879,066)</w:t>
            </w:r>
          </w:p>
        </w:tc>
        <w:tc>
          <w:tcPr>
            <w:tcW w:w="1640" w:type="dxa"/>
            <w:vAlign w:val="bottom"/>
            <w:gridSpan w:val="9"/>
          </w:tcPr>
          <w:p>
            <w:pPr>
              <w:jc w:val="right"/>
              <w:spacing w:after="0" w:line="205" w:lineRule="exact"/>
              <w:rPr>
                <w:sz w:val="20"/>
                <w:szCs w:val="20"/>
                <w:color w:val="auto"/>
              </w:rPr>
            </w:pPr>
            <w:r>
              <w:rPr>
                <w:rFonts w:ascii="Arial" w:cs="Arial" w:eastAsia="Arial" w:hAnsi="Arial"/>
                <w:sz w:val="18"/>
                <w:szCs w:val="18"/>
                <w:color w:val="auto"/>
              </w:rPr>
              <w:t>(794,596)</w:t>
            </w:r>
          </w:p>
        </w:tc>
        <w:tc>
          <w:tcPr>
            <w:tcW w:w="0" w:type="dxa"/>
            <w:vAlign w:val="bottom"/>
          </w:tcPr>
          <w:p>
            <w:pPr>
              <w:spacing w:after="0"/>
              <w:rPr>
                <w:sz w:val="1"/>
                <w:szCs w:val="1"/>
                <w:color w:val="auto"/>
              </w:rPr>
            </w:pPr>
          </w:p>
        </w:tc>
      </w:tr>
      <w:tr>
        <w:trPr>
          <w:trHeight w:val="262"/>
        </w:trPr>
        <w:tc>
          <w:tcPr>
            <w:tcW w:w="5800" w:type="dxa"/>
            <w:vAlign w:val="bottom"/>
            <w:vMerge w:val="restart"/>
          </w:tcPr>
          <w:p>
            <w:pPr>
              <w:ind w:left="100"/>
              <w:spacing w:after="0"/>
              <w:rPr>
                <w:sz w:val="20"/>
                <w:szCs w:val="20"/>
                <w:color w:val="auto"/>
              </w:rPr>
            </w:pPr>
            <w:r>
              <w:rPr>
                <w:rFonts w:ascii="Arial" w:cs="Arial" w:eastAsia="Arial" w:hAnsi="Arial"/>
                <w:sz w:val="18"/>
                <w:szCs w:val="18"/>
                <w:color w:val="auto"/>
              </w:rPr>
              <w:t>Land</w:t>
            </w:r>
          </w:p>
        </w:tc>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989,832</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974,398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800" w:type="dxa"/>
            <w:vAlign w:val="bottom"/>
            <w:vMerge w:val="continue"/>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34,733</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34,733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100"/>
              <w:spacing w:after="0"/>
              <w:rPr>
                <w:sz w:val="20"/>
                <w:szCs w:val="20"/>
                <w:color w:val="auto"/>
              </w:rPr>
            </w:pPr>
            <w:r>
              <w:rPr>
                <w:rFonts w:ascii="Arial" w:cs="Arial" w:eastAsia="Arial" w:hAnsi="Arial"/>
                <w:sz w:val="18"/>
                <w:szCs w:val="18"/>
                <w:color w:val="auto"/>
              </w:rPr>
              <w:t>Construction in progress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83,002</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2"/>
                <w:szCs w:val="22"/>
                <w:color w:val="auto"/>
              </w:rPr>
            </w:pPr>
          </w:p>
        </w:tc>
        <w:tc>
          <w:tcPr>
            <w:tcW w:w="3400" w:type="dxa"/>
            <w:vAlign w:val="bottom"/>
            <w:gridSpan w:val="6"/>
          </w:tcPr>
          <w:p>
            <w:pPr>
              <w:jc w:val="right"/>
              <w:spacing w:after="0"/>
              <w:rPr>
                <w:sz w:val="20"/>
                <w:szCs w:val="20"/>
                <w:color w:val="auto"/>
              </w:rPr>
            </w:pPr>
            <w:r>
              <w:rPr>
                <w:rFonts w:ascii="Arial" w:cs="Arial" w:eastAsia="Arial" w:hAnsi="Arial"/>
                <w:sz w:val="18"/>
                <w:szCs w:val="18"/>
                <w:color w:val="auto"/>
              </w:rPr>
              <w:t>1,107,567</w:t>
            </w:r>
          </w:p>
        </w:tc>
        <w:tc>
          <w:tcPr>
            <w:tcW w:w="520" w:type="dxa"/>
            <w:vAlign w:val="bottom"/>
          </w:tcPr>
          <w:p>
            <w:pPr>
              <w:spacing w:after="0"/>
              <w:rPr>
                <w:sz w:val="22"/>
                <w:szCs w:val="22"/>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1,098,211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8"/>
        </w:trPr>
        <w:tc>
          <w:tcPr>
            <w:tcW w:w="580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197,945</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219,039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77,284</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80,936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Goodwill, net</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771,391</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754,554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Indefinite-lived intangible assets, net</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453,306</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450,759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2,267</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Prepaid pension cost</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466,683</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447,688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78,228</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109,606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0" w:type="dxa"/>
            <w:vAlign w:val="bottom"/>
          </w:tcPr>
          <w:p>
            <w:pPr>
              <w:spacing w:after="0"/>
              <w:rPr>
                <w:sz w:val="19"/>
                <w:szCs w:val="19"/>
                <w:color w:val="auto"/>
              </w:rPr>
            </w:pPr>
          </w:p>
        </w:tc>
        <w:tc>
          <w:tcPr>
            <w:tcW w:w="3400" w:type="dxa"/>
            <w:vAlign w:val="bottom"/>
            <w:gridSpan w:val="6"/>
          </w:tcPr>
          <w:p>
            <w:pPr>
              <w:jc w:val="right"/>
              <w:spacing w:after="0"/>
              <w:rPr>
                <w:sz w:val="20"/>
                <w:szCs w:val="20"/>
                <w:color w:val="auto"/>
              </w:rPr>
            </w:pPr>
            <w:r>
              <w:rPr>
                <w:rFonts w:ascii="Arial" w:cs="Arial" w:eastAsia="Arial" w:hAnsi="Arial"/>
                <w:sz w:val="18"/>
                <w:szCs w:val="18"/>
                <w:color w:val="auto"/>
              </w:rPr>
              <w:t>$3,516,429</w:t>
            </w:r>
          </w:p>
        </w:tc>
        <w:tc>
          <w:tcPr>
            <w:tcW w:w="520" w:type="dxa"/>
            <w:vAlign w:val="bottom"/>
          </w:tcPr>
          <w:p>
            <w:pPr>
              <w:spacing w:after="0"/>
              <w:rPr>
                <w:sz w:val="19"/>
                <w:szCs w:val="19"/>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$3,559,098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0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0"/>
        </w:trPr>
        <w:tc>
          <w:tcPr>
            <w:tcW w:w="580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0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2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303,928</w:t>
            </w:r>
          </w:p>
        </w:tc>
        <w:tc>
          <w:tcPr>
            <w:tcW w:w="52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253,346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142,420</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130,744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Dividends declared</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13,550</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tcPr>
          <w:p>
            <w:pPr>
              <w:ind w:left="100"/>
              <w:spacing w:after="0"/>
              <w:rPr>
                <w:sz w:val="20"/>
                <w:szCs w:val="20"/>
                <w:color w:val="auto"/>
              </w:rPr>
            </w:pPr>
            <w:r>
              <w:rPr>
                <w:rFonts w:ascii="Arial" w:cs="Arial" w:eastAsia="Arial" w:hAnsi="Arial"/>
                <w:sz w:val="18"/>
                <w:szCs w:val="18"/>
                <w:color w:val="auto"/>
              </w:rPr>
              <w:t>Federal and state income taxes payable</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3,267</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00" w:type="dxa"/>
            <w:vAlign w:val="bottom"/>
          </w:tcPr>
          <w:p>
            <w:pPr>
              <w:ind w:left="100"/>
              <w:spacing w:after="0"/>
              <w:rPr>
                <w:sz w:val="20"/>
                <w:szCs w:val="20"/>
                <w:color w:val="auto"/>
              </w:rPr>
            </w:pPr>
            <w:r>
              <w:rPr>
                <w:rFonts w:ascii="Arial" w:cs="Arial" w:eastAsia="Arial" w:hAnsi="Arial"/>
                <w:sz w:val="18"/>
                <w:szCs w:val="18"/>
                <w:color w:val="auto"/>
              </w:rPr>
              <w:t>Short-term borrowings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400,457</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-1544955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-1544955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-1544955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-1544955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143" w:right="2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1"/>
        </w:trPr>
        <w:tc>
          <w:tcPr>
            <w:tcW w:w="822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863,622</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434,090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18"/>
        </w:trPr>
        <w:tc>
          <w:tcPr>
            <w:tcW w:w="822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133,580</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130,824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8220" w:type="dxa"/>
            <w:vAlign w:val="bottom"/>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192,093</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192,540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211,458</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221,949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gridSpan w:val="3"/>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405,779</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883,078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82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1,806,532</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1,862,481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66"/>
        </w:trPr>
        <w:tc>
          <w:tcPr>
            <w:tcW w:w="822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60" w:type="dxa"/>
            <w:vAlign w:val="bottom"/>
            <w:gridSpan w:val="4"/>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12,916</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gridSpan w:val="4"/>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8220" w:type="dxa"/>
            <w:vAlign w:val="bottom"/>
          </w:tcPr>
          <w:p>
            <w:pPr>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jc w:val="right"/>
              <w:ind w:right="1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1"/>
        </w:trPr>
        <w:tc>
          <w:tcPr>
            <w:tcW w:w="822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5"/>
        </w:trPr>
        <w:tc>
          <w:tcPr>
            <w:tcW w:w="822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8220" w:type="dxa"/>
            <w:vAlign w:val="bottom"/>
          </w:tcPr>
          <w:p>
            <w:pPr>
              <w:ind w:left="100"/>
              <w:spacing w:after="0"/>
              <w:rPr>
                <w:sz w:val="20"/>
                <w:szCs w:val="20"/>
                <w:color w:val="auto"/>
              </w:rPr>
            </w:pPr>
            <w:r>
              <w:rPr>
                <w:rFonts w:ascii="Arial" w:cs="Arial" w:eastAsia="Arial" w:hAnsi="Arial"/>
                <w:sz w:val="18"/>
                <w:szCs w:val="18"/>
                <w:color w:val="auto"/>
              </w:rPr>
              <w:t>Capital in excess of par value</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145,124</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142,814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822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3,051,672</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3,029,595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1"/>
        </w:trPr>
        <w:tc>
          <w:tcPr>
            <w:tcW w:w="8220" w:type="dxa"/>
            <w:vAlign w:val="bottom"/>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5"/>
        </w:trPr>
        <w:tc>
          <w:tcPr>
            <w:tcW w:w="8220" w:type="dxa"/>
            <w:vAlign w:val="bottom"/>
          </w:tcPr>
          <w:p>
            <w:pPr>
              <w:ind w:left="200"/>
              <w:spacing w:after="0"/>
              <w:rPr>
                <w:sz w:val="20"/>
                <w:szCs w:val="20"/>
                <w:color w:val="auto"/>
              </w:rPr>
            </w:pPr>
            <w:r>
              <w:rPr>
                <w:rFonts w:ascii="Arial" w:cs="Arial" w:eastAsia="Arial" w:hAnsi="Arial"/>
                <w:sz w:val="18"/>
                <w:szCs w:val="18"/>
                <w:color w:val="auto"/>
              </w:rPr>
              <w:t>Cumulative foreign currency translation adjustment</w:t>
            </w:r>
          </w:p>
        </w:tc>
        <w:tc>
          <w:tcPr>
            <w:tcW w:w="2100" w:type="dxa"/>
            <w:vAlign w:val="bottom"/>
            <w:gridSpan w:val="8"/>
          </w:tcPr>
          <w:p>
            <w:pPr>
              <w:jc w:val="right"/>
              <w:ind w:right="1060"/>
              <w:spacing w:after="0"/>
              <w:rPr>
                <w:sz w:val="20"/>
                <w:szCs w:val="20"/>
                <w:color w:val="auto"/>
              </w:rPr>
            </w:pPr>
            <w:r>
              <w:rPr>
                <w:rFonts w:ascii="Arial" w:cs="Arial" w:eastAsia="Arial" w:hAnsi="Arial"/>
                <w:sz w:val="18"/>
                <w:szCs w:val="18"/>
                <w:color w:val="auto"/>
              </w:rPr>
              <w:t>(5,260)</w:t>
            </w:r>
          </w:p>
        </w:tc>
        <w:tc>
          <w:tcPr>
            <w:tcW w:w="1040" w:type="dxa"/>
            <w:vAlign w:val="bottom"/>
            <w:gridSpan w:val="8"/>
          </w:tcPr>
          <w:p>
            <w:pPr>
              <w:jc w:val="right"/>
              <w:spacing w:after="0"/>
              <w:rPr>
                <w:sz w:val="20"/>
                <w:szCs w:val="20"/>
                <w:color w:val="auto"/>
              </w:rPr>
            </w:pPr>
            <w:r>
              <w:rPr>
                <w:rFonts w:ascii="Arial" w:cs="Arial" w:eastAsia="Arial" w:hAnsi="Arial"/>
                <w:sz w:val="18"/>
                <w:szCs w:val="18"/>
                <w:color w:val="auto"/>
              </w:rPr>
              <w:t>(9,678)</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7,986</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24,281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3"/>
        </w:trPr>
        <w:tc>
          <w:tcPr>
            <w:tcW w:w="8220" w:type="dxa"/>
            <w:vAlign w:val="bottom"/>
          </w:tcPr>
          <w:p>
            <w:pPr>
              <w:ind w:left="100"/>
              <w:spacing w:after="0"/>
              <w:rPr>
                <w:sz w:val="20"/>
                <w:szCs w:val="20"/>
                <w:color w:val="auto"/>
              </w:rPr>
            </w:pPr>
            <w:r>
              <w:rPr>
                <w:rFonts w:ascii="Arial" w:cs="Arial" w:eastAsia="Arial" w:hAnsi="Arial"/>
                <w:sz w:val="18"/>
                <w:szCs w:val="18"/>
                <w:color w:val="auto"/>
              </w:rPr>
              <w:t>Cost of Class B common stock held in treasury</w:t>
            </w:r>
          </w:p>
        </w:tc>
        <w:tc>
          <w:tcPr>
            <w:tcW w:w="140" w:type="dxa"/>
            <w:vAlign w:val="bottom"/>
          </w:tcPr>
          <w:p>
            <w:pPr>
              <w:spacing w:after="0"/>
              <w:rPr>
                <w:sz w:val="18"/>
                <w:szCs w:val="18"/>
                <w:color w:val="auto"/>
              </w:rPr>
            </w:pPr>
          </w:p>
        </w:tc>
        <w:tc>
          <w:tcPr>
            <w:tcW w:w="1960" w:type="dxa"/>
            <w:vAlign w:val="bottom"/>
            <w:gridSpan w:val="7"/>
          </w:tcPr>
          <w:p>
            <w:pPr>
              <w:jc w:val="right"/>
              <w:ind w:right="1060"/>
              <w:spacing w:after="0"/>
              <w:rPr>
                <w:sz w:val="20"/>
                <w:szCs w:val="20"/>
                <w:color w:val="auto"/>
              </w:rPr>
            </w:pPr>
            <w:r>
              <w:rPr>
                <w:rFonts w:ascii="Arial" w:cs="Arial" w:eastAsia="Arial" w:hAnsi="Arial"/>
                <w:sz w:val="18"/>
                <w:szCs w:val="18"/>
                <w:color w:val="auto"/>
                <w:w w:val="95"/>
              </w:rPr>
              <w:t>(1,522,541)</w:t>
            </w:r>
          </w:p>
        </w:tc>
        <w:tc>
          <w:tcPr>
            <w:tcW w:w="1040" w:type="dxa"/>
            <w:vAlign w:val="bottom"/>
            <w:gridSpan w:val="8"/>
          </w:tcPr>
          <w:p>
            <w:pPr>
              <w:jc w:val="right"/>
              <w:spacing w:after="0"/>
              <w:rPr>
                <w:sz w:val="20"/>
                <w:szCs w:val="20"/>
                <w:color w:val="auto"/>
              </w:rPr>
            </w:pPr>
            <w:r>
              <w:rPr>
                <w:rFonts w:ascii="Arial" w:cs="Arial" w:eastAsia="Arial" w:hAnsi="Arial"/>
                <w:sz w:val="18"/>
                <w:szCs w:val="18"/>
                <w:color w:val="auto"/>
              </w:rPr>
              <w:t>(1,523,527)</w:t>
            </w:r>
          </w:p>
        </w:tc>
      </w:tr>
      <w:tr>
        <w:trPr>
          <w:trHeight w:val="223"/>
        </w:trPr>
        <w:tc>
          <w:tcPr>
            <w:tcW w:w="8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1,696,981</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1,683,485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8220" w:type="dxa"/>
            <w:vAlign w:val="bottom"/>
          </w:tcPr>
          <w:p>
            <w:pPr>
              <w:spacing w:after="0"/>
              <w:rPr>
                <w:sz w:val="19"/>
                <w:szCs w:val="19"/>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$3,516,429</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$3,559,098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7"/>
        </w:trPr>
        <w:tc>
          <w:tcPr>
            <w:tcW w:w="8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2"/>
        </w:trPr>
        <w:tc>
          <w:tcPr>
            <w:tcW w:w="7820" w:type="dxa"/>
            <w:vAlign w:val="bottom"/>
          </w:tcPr>
          <w:p>
            <w:pPr>
              <w:spacing w:after="0"/>
              <w:rPr>
                <w:sz w:val="20"/>
                <w:szCs w:val="20"/>
                <w:color w:val="auto"/>
              </w:rPr>
            </w:pPr>
            <w:r>
              <w:rPr>
                <w:rFonts w:ascii="Arial" w:cs="Arial" w:eastAsia="Arial" w:hAnsi="Arial"/>
                <w:sz w:val="18"/>
                <w:szCs w:val="18"/>
                <w:b w:val="1"/>
                <w:bCs w:val="1"/>
                <w:color w:val="auto"/>
              </w:rPr>
              <w:t>The Washington Post Company</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2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4"/>
                <w:szCs w:val="24"/>
                <w:color w:val="auto"/>
              </w:rPr>
            </w:pPr>
          </w:p>
        </w:tc>
        <w:tc>
          <w:tcPr>
            <w:tcW w:w="3600" w:type="dxa"/>
            <w:vAlign w:val="bottom"/>
            <w:gridSpan w:val="8"/>
          </w:tcPr>
          <w:p>
            <w:pPr>
              <w:jc w:val="right"/>
              <w:ind w:right="820"/>
              <w:spacing w:after="0"/>
              <w:rPr>
                <w:sz w:val="20"/>
                <w:szCs w:val="20"/>
                <w:color w:val="auto"/>
              </w:rPr>
            </w:pPr>
            <w:r>
              <w:rPr>
                <w:rFonts w:ascii="Arial" w:cs="Arial" w:eastAsia="Arial" w:hAnsi="Arial"/>
                <w:sz w:val="18"/>
                <w:szCs w:val="18"/>
                <w:color w:val="auto"/>
              </w:rPr>
              <w:t>Twenty-six Weeks Ended</w:t>
            </w:r>
          </w:p>
        </w:tc>
        <w:tc>
          <w:tcPr>
            <w:tcW w:w="0" w:type="dxa"/>
            <w:vAlign w:val="bottom"/>
          </w:tcPr>
          <w:p>
            <w:pPr>
              <w:spacing w:after="0"/>
              <w:rPr>
                <w:sz w:val="1"/>
                <w:szCs w:val="1"/>
                <w:color w:val="auto"/>
              </w:rPr>
            </w:pPr>
          </w:p>
        </w:tc>
      </w:tr>
      <w:tr>
        <w:trPr>
          <w:trHeight w:val="93"/>
        </w:trPr>
        <w:tc>
          <w:tcPr>
            <w:tcW w:w="78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27"/>
        </w:trPr>
        <w:tc>
          <w:tcPr>
            <w:tcW w:w="7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June 30,</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July 1,</w:t>
            </w:r>
          </w:p>
        </w:tc>
        <w:tc>
          <w:tcPr>
            <w:tcW w:w="0" w:type="dxa"/>
            <w:vAlign w:val="bottom"/>
          </w:tcPr>
          <w:p>
            <w:pPr>
              <w:spacing w:after="0"/>
              <w:rPr>
                <w:sz w:val="1"/>
                <w:szCs w:val="1"/>
                <w:color w:val="auto"/>
              </w:rPr>
            </w:pPr>
          </w:p>
        </w:tc>
      </w:tr>
      <w:tr>
        <w:trPr>
          <w:trHeight w:val="205"/>
        </w:trPr>
        <w:tc>
          <w:tcPr>
            <w:tcW w:w="7820" w:type="dxa"/>
            <w:vAlign w:val="bottom"/>
          </w:tcPr>
          <w:p>
            <w:pPr>
              <w:spacing w:after="0" w:line="205" w:lineRule="exact"/>
              <w:rPr>
                <w:sz w:val="20"/>
                <w:szCs w:val="20"/>
                <w:color w:val="auto"/>
              </w:rPr>
            </w:pPr>
            <w:r>
              <w:rPr>
                <w:rFonts w:ascii="Arial" w:cs="Arial" w:eastAsia="Arial" w:hAnsi="Arial"/>
                <w:sz w:val="18"/>
                <w:szCs w:val="18"/>
                <w:color w:val="auto"/>
              </w:rPr>
              <w:t>(In thousands)</w:t>
            </w:r>
          </w:p>
        </w:tc>
        <w:tc>
          <w:tcPr>
            <w:tcW w:w="18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2002</w:t>
            </w:r>
          </w:p>
        </w:tc>
        <w:tc>
          <w:tcPr>
            <w:tcW w:w="440" w:type="dxa"/>
            <w:vAlign w:val="bottom"/>
          </w:tcPr>
          <w:p>
            <w:pPr>
              <w:spacing w:after="0"/>
              <w:rPr>
                <w:sz w:val="17"/>
                <w:szCs w:val="17"/>
                <w:color w:val="auto"/>
              </w:rPr>
            </w:pPr>
          </w:p>
        </w:tc>
        <w:tc>
          <w:tcPr>
            <w:tcW w:w="11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2001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7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8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$ 62,750</w:t>
            </w:r>
          </w:p>
        </w:tc>
        <w:tc>
          <w:tcPr>
            <w:tcW w:w="44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$213,546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620"/>
              <w:spacing w:after="0"/>
              <w:rPr>
                <w:sz w:val="20"/>
                <w:szCs w:val="20"/>
                <w:color w:val="auto"/>
              </w:rPr>
            </w:pPr>
            <w:r>
              <w:rPr>
                <w:rFonts w:ascii="Arial" w:cs="Arial" w:eastAsia="Arial" w:hAnsi="Arial"/>
                <w:sz w:val="18"/>
                <w:szCs w:val="18"/>
                <w:color w:val="auto"/>
              </w:rPr>
              <w:t>Cumulative effect of change in method of accounting for</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900"/>
              <w:spacing w:after="0" w:line="202" w:lineRule="exact"/>
              <w:rPr>
                <w:sz w:val="20"/>
                <w:szCs w:val="20"/>
                <w:color w:val="auto"/>
              </w:rPr>
            </w:pPr>
            <w:r>
              <w:rPr>
                <w:rFonts w:ascii="Arial" w:cs="Arial" w:eastAsia="Arial" w:hAnsi="Arial"/>
                <w:sz w:val="18"/>
                <w:szCs w:val="18"/>
                <w:color w:val="auto"/>
              </w:rPr>
              <w:t>goodwill and other intangibles</w:t>
            </w:r>
          </w:p>
        </w:tc>
        <w:tc>
          <w:tcPr>
            <w:tcW w:w="1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12,100</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Depreciation of property, plant and equipment</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82,459</w:t>
            </w:r>
          </w:p>
        </w:tc>
        <w:tc>
          <w:tcPr>
            <w:tcW w:w="4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70,499</w:t>
            </w: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Amortization of goodwill and other intangibles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Net pension benefit</w:t>
            </w:r>
          </w:p>
        </w:tc>
        <w:tc>
          <w:tcPr>
            <w:tcW w:w="2320" w:type="dxa"/>
            <w:vAlign w:val="bottom"/>
            <w:gridSpan w:val="4"/>
          </w:tcPr>
          <w:p>
            <w:pPr>
              <w:jc w:val="right"/>
              <w:ind w:right="380"/>
              <w:spacing w:after="0"/>
              <w:rPr>
                <w:sz w:val="20"/>
                <w:szCs w:val="20"/>
                <w:color w:val="auto"/>
              </w:rPr>
            </w:pPr>
            <w:r>
              <w:rPr>
                <w:rFonts w:ascii="Arial" w:cs="Arial" w:eastAsia="Arial" w:hAnsi="Arial"/>
                <w:sz w:val="18"/>
                <w:szCs w:val="18"/>
                <w:color w:val="auto"/>
              </w:rPr>
              <w:t>(32,164)</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(39,800)</w:t>
            </w: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Early retirement program expense</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12,986</w:t>
            </w:r>
          </w:p>
        </w:tc>
        <w:tc>
          <w:tcPr>
            <w:tcW w:w="4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Gain from disposition of businesses</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(321,091)</w:t>
            </w: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(Gain) loss on sale of marketable securities</w:t>
            </w:r>
          </w:p>
        </w:tc>
        <w:tc>
          <w:tcPr>
            <w:tcW w:w="2320" w:type="dxa"/>
            <w:vAlign w:val="bottom"/>
            <w:gridSpan w:val="4"/>
          </w:tcPr>
          <w:p>
            <w:pPr>
              <w:jc w:val="right"/>
              <w:ind w:right="380"/>
              <w:spacing w:after="0"/>
              <w:rPr>
                <w:sz w:val="20"/>
                <w:szCs w:val="20"/>
                <w:color w:val="auto"/>
              </w:rPr>
            </w:pPr>
            <w:r>
              <w:rPr>
                <w:rFonts w:ascii="Arial" w:cs="Arial" w:eastAsia="Arial" w:hAnsi="Arial"/>
                <w:sz w:val="18"/>
                <w:szCs w:val="18"/>
                <w:color w:val="auto"/>
              </w:rPr>
              <w:t>(13,209)</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Cost method and other investment write-downs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16,694</w:t>
            </w:r>
          </w:p>
        </w:tc>
        <w:tc>
          <w:tcPr>
            <w:tcW w:w="4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Equity in losses of affiliates, net of distributions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15,689</w:t>
            </w:r>
          </w:p>
        </w:tc>
        <w:tc>
          <w:tcPr>
            <w:tcW w:w="4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19,102</w:t>
            </w:r>
          </w:p>
        </w:tc>
        <w:tc>
          <w:tcPr>
            <w:tcW w:w="0" w:type="dxa"/>
            <w:vAlign w:val="bottom"/>
          </w:tcPr>
          <w:p>
            <w:pPr>
              <w:spacing w:after="0"/>
              <w:rPr>
                <w:sz w:val="1"/>
                <w:szCs w:val="1"/>
                <w:color w:val="auto"/>
              </w:rPr>
            </w:pPr>
          </w:p>
        </w:tc>
      </w:tr>
      <w:tr>
        <w:trPr>
          <w:trHeight w:val="243"/>
        </w:trPr>
        <w:tc>
          <w:tcPr>
            <w:tcW w:w="7820" w:type="dxa"/>
            <w:vAlign w:val="bottom"/>
          </w:tcPr>
          <w:p>
            <w:pPr>
              <w:ind w:left="620"/>
              <w:spacing w:after="0"/>
              <w:rPr>
                <w:sz w:val="20"/>
                <w:szCs w:val="20"/>
                <w:color w:val="auto"/>
              </w:rPr>
            </w:pPr>
            <w:r>
              <w:rPr>
                <w:rFonts w:ascii="Arial" w:cs="Arial" w:eastAsia="Arial" w:hAnsi="Arial"/>
                <w:sz w:val="18"/>
                <w:szCs w:val="18"/>
                <w:color w:val="auto"/>
              </w:rPr>
              <w:t>Provision for deferred income taxes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6,755</w:t>
            </w:r>
          </w:p>
        </w:tc>
        <w:tc>
          <w:tcPr>
            <w:tcW w:w="4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76,965</w:t>
            </w:r>
          </w:p>
        </w:tc>
        <w:tc>
          <w:tcPr>
            <w:tcW w:w="0" w:type="dxa"/>
            <w:vAlign w:val="bottom"/>
          </w:tcPr>
          <w:p>
            <w:pPr>
              <w:spacing w:after="0"/>
              <w:rPr>
                <w:sz w:val="1"/>
                <w:szCs w:val="1"/>
                <w:color w:val="auto"/>
              </w:rPr>
            </w:pPr>
          </w:p>
        </w:tc>
      </w:tr>
      <w:tr>
        <w:trPr>
          <w:trHeight w:val="211"/>
        </w:trPr>
        <w:tc>
          <w:tcPr>
            <w:tcW w:w="7820" w:type="dxa"/>
            <w:vAlign w:val="bottom"/>
          </w:tcPr>
          <w:p>
            <w:pPr>
              <w:ind w:left="620"/>
              <w:spacing w:after="0"/>
              <w:rPr>
                <w:sz w:val="20"/>
                <w:szCs w:val="20"/>
                <w:color w:val="auto"/>
              </w:rPr>
            </w:pPr>
            <w:r>
              <w:rPr>
                <w:rFonts w:ascii="Arial" w:cs="Arial" w:eastAsia="Arial" w:hAnsi="Arial"/>
                <w:sz w:val="18"/>
                <w:szCs w:val="18"/>
                <w:color w:val="auto"/>
              </w:rPr>
              <w:t>Change in assets and liabilities: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820" w:type="dxa"/>
            <w:vAlign w:val="bottom"/>
          </w:tcPr>
          <w:p>
            <w:pPr>
              <w:ind w:left="920"/>
              <w:spacing w:after="0"/>
              <w:rPr>
                <w:sz w:val="20"/>
                <w:szCs w:val="20"/>
                <w:color w:val="auto"/>
              </w:rPr>
            </w:pPr>
            <w:r>
              <w:rPr>
                <w:rFonts w:ascii="Arial" w:cs="Arial" w:eastAsia="Arial" w:hAnsi="Arial"/>
                <w:sz w:val="18"/>
                <w:szCs w:val="18"/>
                <w:color w:val="auto"/>
              </w:rPr>
              <w:t>Decrease in accounts receivable, net</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10,011</w:t>
            </w:r>
          </w:p>
        </w:tc>
        <w:tc>
          <w:tcPr>
            <w:tcW w:w="44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3,429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920"/>
              <w:spacing w:after="0"/>
              <w:rPr>
                <w:sz w:val="20"/>
                <w:szCs w:val="20"/>
                <w:color w:val="auto"/>
              </w:rPr>
            </w:pPr>
            <w:r>
              <w:rPr>
                <w:rFonts w:ascii="Arial" w:cs="Arial" w:eastAsia="Arial" w:hAnsi="Arial"/>
                <w:sz w:val="18"/>
                <w:szCs w:val="18"/>
                <w:color w:val="auto"/>
              </w:rPr>
              <w:t>Increase in inventories</w:t>
            </w:r>
          </w:p>
        </w:tc>
        <w:tc>
          <w:tcPr>
            <w:tcW w:w="2320" w:type="dxa"/>
            <w:vAlign w:val="bottom"/>
            <w:gridSpan w:val="4"/>
          </w:tcPr>
          <w:p>
            <w:pPr>
              <w:jc w:val="right"/>
              <w:ind w:right="380"/>
              <w:spacing w:after="0"/>
              <w:rPr>
                <w:sz w:val="20"/>
                <w:szCs w:val="20"/>
                <w:color w:val="auto"/>
              </w:rPr>
            </w:pPr>
            <w:r>
              <w:rPr>
                <w:rFonts w:ascii="Arial" w:cs="Arial" w:eastAsia="Arial" w:hAnsi="Arial"/>
                <w:sz w:val="18"/>
                <w:szCs w:val="18"/>
                <w:color w:val="auto"/>
              </w:rPr>
              <w:t>(10,246)</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243"/>
        </w:trPr>
        <w:tc>
          <w:tcPr>
            <w:tcW w:w="7820" w:type="dxa"/>
            <w:vAlign w:val="bottom"/>
          </w:tcPr>
          <w:p>
            <w:pPr>
              <w:ind w:left="920"/>
              <w:spacing w:after="0"/>
              <w:rPr>
                <w:sz w:val="20"/>
                <w:szCs w:val="20"/>
                <w:color w:val="auto"/>
              </w:rPr>
            </w:pPr>
            <w:r>
              <w:rPr>
                <w:rFonts w:ascii="Arial" w:cs="Arial" w:eastAsia="Arial" w:hAnsi="Arial"/>
                <w:sz w:val="18"/>
                <w:szCs w:val="18"/>
                <w:color w:val="auto"/>
              </w:rPr>
              <w:t>Increase in accounts payable and accrued liabilities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42,668</w:t>
            </w:r>
          </w:p>
        </w:tc>
        <w:tc>
          <w:tcPr>
            <w:tcW w:w="4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8,809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920"/>
              <w:spacing w:after="0"/>
              <w:rPr>
                <w:sz w:val="20"/>
                <w:szCs w:val="20"/>
                <w:color w:val="auto"/>
              </w:rPr>
            </w:pPr>
            <w:r>
              <w:rPr>
                <w:rFonts w:ascii="Arial" w:cs="Arial" w:eastAsia="Arial" w:hAnsi="Arial"/>
                <w:sz w:val="18"/>
                <w:szCs w:val="18"/>
                <w:color w:val="auto"/>
              </w:rPr>
              <w:t>Decrease in income taxes receivable</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10,253</w:t>
            </w:r>
          </w:p>
        </w:tc>
        <w:tc>
          <w:tcPr>
            <w:tcW w:w="4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43"/>
        </w:trPr>
        <w:tc>
          <w:tcPr>
            <w:tcW w:w="7820" w:type="dxa"/>
            <w:vAlign w:val="bottom"/>
          </w:tcPr>
          <w:p>
            <w:pPr>
              <w:ind w:left="920"/>
              <w:spacing w:after="0"/>
              <w:rPr>
                <w:sz w:val="20"/>
                <w:szCs w:val="20"/>
                <w:color w:val="auto"/>
              </w:rPr>
            </w:pPr>
            <w:r>
              <w:rPr>
                <w:rFonts w:ascii="Arial" w:cs="Arial" w:eastAsia="Arial" w:hAnsi="Arial"/>
                <w:sz w:val="18"/>
                <w:szCs w:val="18"/>
                <w:color w:val="auto"/>
              </w:rPr>
              <w:t>Increase in income taxes payable</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3,267</w:t>
            </w:r>
          </w:p>
        </w:tc>
        <w:tc>
          <w:tcPr>
            <w:tcW w:w="4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6,248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920"/>
              <w:spacing w:after="0"/>
              <w:rPr>
                <w:sz w:val="20"/>
                <w:szCs w:val="20"/>
                <w:color w:val="auto"/>
              </w:rPr>
            </w:pPr>
            <w:r>
              <w:rPr>
                <w:rFonts w:ascii="Arial" w:cs="Arial" w:eastAsia="Arial" w:hAnsi="Arial"/>
                <w:sz w:val="18"/>
                <w:szCs w:val="18"/>
                <w:color w:val="auto"/>
              </w:rPr>
              <w:t>Decrease in other assets and other liabilities, net</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23,164</w:t>
            </w:r>
          </w:p>
        </w:tc>
        <w:tc>
          <w:tcPr>
            <w:tcW w:w="44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35,127</w:t>
            </w:r>
          </w:p>
        </w:tc>
        <w:tc>
          <w:tcPr>
            <w:tcW w:w="0" w:type="dxa"/>
            <w:vAlign w:val="bottom"/>
          </w:tcPr>
          <w:p>
            <w:pPr>
              <w:spacing w:after="0"/>
              <w:rPr>
                <w:sz w:val="1"/>
                <w:szCs w:val="1"/>
                <w:color w:val="auto"/>
              </w:rPr>
            </w:pPr>
          </w:p>
        </w:tc>
      </w:tr>
      <w:tr>
        <w:trPr>
          <w:trHeight w:val="213"/>
        </w:trPr>
        <w:tc>
          <w:tcPr>
            <w:tcW w:w="7820" w:type="dxa"/>
            <w:vAlign w:val="bottom"/>
          </w:tcPr>
          <w:p>
            <w:pPr>
              <w:ind w:left="920"/>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(404)</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20" w:type="dxa"/>
            <w:vAlign w:val="bottom"/>
            <w:vMerge w:val="continue"/>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243,084</w:t>
            </w:r>
          </w:p>
        </w:tc>
        <w:tc>
          <w:tcPr>
            <w:tcW w:w="440" w:type="dxa"/>
            <w:vAlign w:val="bottom"/>
          </w:tcPr>
          <w:p>
            <w:pPr>
              <w:spacing w:after="0"/>
              <w:rPr>
                <w:sz w:val="24"/>
                <w:szCs w:val="24"/>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130,435</w:t>
            </w:r>
          </w:p>
        </w:tc>
        <w:tc>
          <w:tcPr>
            <w:tcW w:w="0" w:type="dxa"/>
            <w:vAlign w:val="bottom"/>
          </w:tcPr>
          <w:p>
            <w:pPr>
              <w:spacing w:after="0"/>
              <w:rPr>
                <w:sz w:val="1"/>
                <w:szCs w:val="1"/>
                <w:color w:val="auto"/>
              </w:rPr>
            </w:pPr>
          </w:p>
        </w:tc>
      </w:tr>
      <w:tr>
        <w:trPr>
          <w:trHeight w:val="464"/>
        </w:trPr>
        <w:tc>
          <w:tcPr>
            <w:tcW w:w="7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82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2320" w:type="dxa"/>
            <w:vAlign w:val="bottom"/>
            <w:gridSpan w:val="4"/>
          </w:tcPr>
          <w:p>
            <w:pPr>
              <w:jc w:val="right"/>
              <w:ind w:right="380"/>
              <w:spacing w:after="0"/>
              <w:rPr>
                <w:sz w:val="20"/>
                <w:szCs w:val="20"/>
                <w:color w:val="auto"/>
              </w:rPr>
            </w:pPr>
            <w:r>
              <w:rPr>
                <w:rFonts w:ascii="Arial" w:cs="Arial" w:eastAsia="Arial" w:hAnsi="Arial"/>
                <w:sz w:val="18"/>
                <w:szCs w:val="18"/>
                <w:color w:val="auto"/>
              </w:rPr>
              <w:t>(79,559)</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(119,922)</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Investments in certain businesses</w:t>
            </w:r>
          </w:p>
        </w:tc>
        <w:tc>
          <w:tcPr>
            <w:tcW w:w="2320" w:type="dxa"/>
            <w:vAlign w:val="bottom"/>
            <w:gridSpan w:val="4"/>
          </w:tcPr>
          <w:p>
            <w:pPr>
              <w:jc w:val="right"/>
              <w:ind w:right="380"/>
              <w:spacing w:after="0"/>
              <w:rPr>
                <w:sz w:val="20"/>
                <w:szCs w:val="20"/>
                <w:color w:val="auto"/>
              </w:rPr>
            </w:pPr>
            <w:r>
              <w:rPr>
                <w:rFonts w:ascii="Arial" w:cs="Arial" w:eastAsia="Arial" w:hAnsi="Arial"/>
                <w:sz w:val="18"/>
                <w:szCs w:val="18"/>
                <w:color w:val="auto"/>
              </w:rPr>
              <w:t>(26,673)</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(104,356)</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Proceeds from the sale of business</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61,921</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Proceeds from sale of marketable securities</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19,701</w:t>
            </w:r>
          </w:p>
        </w:tc>
        <w:tc>
          <w:tcPr>
            <w:tcW w:w="4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Other investments</w:t>
            </w:r>
          </w:p>
        </w:tc>
        <w:tc>
          <w:tcPr>
            <w:tcW w:w="2320" w:type="dxa"/>
            <w:vAlign w:val="bottom"/>
            <w:gridSpan w:val="4"/>
          </w:tcPr>
          <w:p>
            <w:pPr>
              <w:jc w:val="right"/>
              <w:ind w:right="380"/>
              <w:spacing w:after="0"/>
              <w:rPr>
                <w:sz w:val="20"/>
                <w:szCs w:val="20"/>
                <w:color w:val="auto"/>
              </w:rPr>
            </w:pPr>
            <w:r>
              <w:rPr>
                <w:rFonts w:ascii="Arial" w:cs="Arial" w:eastAsia="Arial" w:hAnsi="Arial"/>
                <w:sz w:val="18"/>
                <w:szCs w:val="18"/>
                <w:color w:val="auto"/>
              </w:rPr>
              <w:t>(7,610)</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13"/>
        </w:trPr>
        <w:tc>
          <w:tcPr>
            <w:tcW w:w="7820" w:type="dxa"/>
            <w:vAlign w:val="bottom"/>
          </w:tcPr>
          <w:p>
            <w:pPr>
              <w:ind w:left="360"/>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(189)</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-5466715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-5466715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sectPr>
      </w:pPr>
    </w:p>
    <w:bookmarkStart w:id="4" w:name="page5"/>
    <w:bookmarkEnd w:id="4"/>
    <w:p>
      <w:pPr>
        <w:ind w:left="620"/>
        <w:spacing w:after="0"/>
        <w:rPr>
          <w:sz w:val="20"/>
          <w:szCs w:val="20"/>
          <w:color w:val="auto"/>
        </w:rPr>
      </w:pPr>
      <w:r>
        <w:rPr>
          <w:rFonts w:ascii="Arial" w:cs="Arial" w:eastAsia="Arial" w:hAnsi="Arial"/>
          <w:sz w:val="18"/>
          <w:szCs w:val="18"/>
          <w:color w:val="auto"/>
        </w:rPr>
        <w:t>Net cash used in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(repayment) issuance of commercial paper</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Dividends paid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Common shares repurchased</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exercise of stock options</w:t>
      </w:r>
    </w:p>
    <w:p>
      <w:pPr>
        <w:spacing w:after="0" w:line="279"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Net cash (used in) provided by financing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increase in cash and cash equivalents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Beginning cash and cash equivalents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Ending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tabs>
          <w:tab w:leader="none" w:pos="1500" w:val="left"/>
        </w:tabs>
        <w:rPr>
          <w:sz w:val="20"/>
          <w:szCs w:val="20"/>
          <w:color w:val="auto"/>
        </w:rPr>
      </w:pPr>
      <w:r>
        <w:rPr>
          <w:rFonts w:ascii="Arial" w:cs="Arial" w:eastAsia="Arial" w:hAnsi="Arial"/>
          <w:sz w:val="18"/>
          <w:szCs w:val="18"/>
          <w:u w:val="single" w:color="auto"/>
          <w:color w:val="auto"/>
        </w:rPr>
        <w:t>(94,330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(181,761</w:t>
      </w:r>
      <w:r>
        <w:rPr>
          <w:rFonts w:ascii="Arial" w:cs="Arial" w:eastAsia="Arial" w:hAnsi="Arial"/>
          <w:sz w:val="16"/>
          <w:szCs w:val="16"/>
          <w:color w:val="auto"/>
        </w:rPr>
        <w:t>)</w:t>
      </w:r>
    </w:p>
    <w:p>
      <w:pPr>
        <w:spacing w:after="0" w:line="200" w:lineRule="exact"/>
        <w:rPr>
          <w:sz w:val="20"/>
          <w:szCs w:val="20"/>
          <w:color w:val="auto"/>
        </w:rPr>
      </w:pPr>
    </w:p>
    <w:p>
      <w:pPr>
        <w:spacing w:after="0" w:line="36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(133,192)</w:t>
      </w:r>
      <w:r>
        <w:rPr>
          <w:sz w:val="20"/>
          <w:szCs w:val="20"/>
          <w:color w:val="auto"/>
        </w:rPr>
        <w:tab/>
      </w:r>
      <w:r>
        <w:rPr>
          <w:rFonts w:ascii="Arial" w:cs="Arial" w:eastAsia="Arial" w:hAnsi="Arial"/>
          <w:sz w:val="18"/>
          <w:szCs w:val="18"/>
          <w:color w:val="auto"/>
        </w:rPr>
        <w:t>106,114</w:t>
      </w:r>
    </w:p>
    <w:p>
      <w:pPr>
        <w:spacing w:after="0" w:line="36" w:lineRule="exact"/>
        <w:rPr>
          <w:sz w:val="20"/>
          <w:szCs w:val="20"/>
          <w:color w:val="auto"/>
        </w:rPr>
      </w:pPr>
    </w:p>
    <w:p>
      <w:pPr>
        <w:ind w:left="80"/>
        <w:spacing w:after="0"/>
        <w:tabs>
          <w:tab w:leader="none" w:pos="1600" w:val="left"/>
        </w:tabs>
        <w:rPr>
          <w:sz w:val="20"/>
          <w:szCs w:val="20"/>
          <w:color w:val="auto"/>
        </w:rPr>
      </w:pPr>
      <w:r>
        <w:rPr>
          <w:rFonts w:ascii="Arial" w:cs="Arial" w:eastAsia="Arial" w:hAnsi="Arial"/>
          <w:sz w:val="16"/>
          <w:szCs w:val="16"/>
          <w:color w:val="auto"/>
        </w:rPr>
        <w:t>(27,123)</w:t>
      </w:r>
      <w:r>
        <w:rPr>
          <w:sz w:val="20"/>
          <w:szCs w:val="20"/>
          <w:color w:val="auto"/>
        </w:rPr>
        <w:tab/>
      </w:r>
      <w:r>
        <w:rPr>
          <w:rFonts w:ascii="Arial" w:cs="Arial" w:eastAsia="Arial" w:hAnsi="Arial"/>
          <w:sz w:val="16"/>
          <w:szCs w:val="16"/>
          <w:color w:val="auto"/>
        </w:rPr>
        <w:t>(27,070)</w:t>
      </w:r>
    </w:p>
    <w:p>
      <w:pPr>
        <w:spacing w:after="0" w:line="59" w:lineRule="exact"/>
        <w:rPr>
          <w:sz w:val="20"/>
          <w:szCs w:val="20"/>
          <w:color w:val="auto"/>
        </w:rPr>
      </w:pPr>
    </w:p>
    <w:p>
      <w:pPr>
        <w:ind w:left="1860" w:hanging="1527"/>
        <w:spacing w:after="0"/>
        <w:tabs>
          <w:tab w:leader="none" w:pos="1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(445)</w:t>
      </w:r>
    </w:p>
    <w:p>
      <w:pPr>
        <w:spacing w:after="0" w:line="59"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3,132</w:t>
      </w:r>
      <w:r>
        <w:rPr>
          <w:rFonts w:ascii="Arial" w:cs="Arial" w:eastAsia="Arial" w:hAnsi="Arial"/>
          <w:sz w:val="16"/>
          <w:szCs w:val="16"/>
          <w:color w:val="auto"/>
        </w:rPr>
        <w:t>2,990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-21590</wp:posOffset>
            </wp:positionV>
            <wp:extent cx="3721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211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-21590</wp:posOffset>
            </wp:positionV>
            <wp:extent cx="3721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2110" cy="8890"/>
                    </a:xfrm>
                    <a:prstGeom prst="rect">
                      <a:avLst/>
                    </a:prstGeom>
                    <a:noFill/>
                  </pic:spPr>
                </pic:pic>
              </a:graphicData>
            </a:graphic>
          </wp:anchor>
        </w:drawing>
      </w:r>
    </w:p>
    <w:p>
      <w:pPr>
        <w:spacing w:after="0" w:line="259"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u w:val="single" w:color="auto"/>
          <w:color w:val="auto"/>
        </w:rPr>
        <w:t>(157,517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81,589</w:t>
      </w:r>
    </w:p>
    <w:p>
      <w:pPr>
        <w:spacing w:after="0" w:line="239" w:lineRule="exact"/>
        <w:rPr>
          <w:sz w:val="20"/>
          <w:szCs w:val="20"/>
          <w:color w:val="auto"/>
        </w:rPr>
      </w:pPr>
    </w:p>
    <w:p>
      <w:pPr>
        <w:ind w:left="180"/>
        <w:spacing w:after="0"/>
        <w:tabs>
          <w:tab w:leader="none" w:pos="1660" w:val="left"/>
        </w:tabs>
        <w:rPr>
          <w:sz w:val="20"/>
          <w:szCs w:val="20"/>
          <w:color w:val="auto"/>
        </w:rPr>
      </w:pPr>
      <w:r>
        <w:rPr>
          <w:rFonts w:ascii="Arial" w:cs="Arial" w:eastAsia="Arial" w:hAnsi="Arial"/>
          <w:sz w:val="18"/>
          <w:szCs w:val="18"/>
          <w:color w:val="auto"/>
        </w:rPr>
        <w:t>(8,763)</w:t>
      </w:r>
      <w:r>
        <w:rPr>
          <w:sz w:val="20"/>
          <w:szCs w:val="20"/>
          <w:color w:val="auto"/>
        </w:rPr>
        <w:tab/>
      </w:r>
      <w:r>
        <w:rPr>
          <w:rFonts w:ascii="Arial" w:cs="Arial" w:eastAsia="Arial" w:hAnsi="Arial"/>
          <w:sz w:val="18"/>
          <w:szCs w:val="18"/>
          <w:color w:val="auto"/>
        </w:rPr>
        <w:t>30,263</w:t>
      </w:r>
    </w:p>
    <w:p>
      <w:pPr>
        <w:spacing w:after="0" w:line="239" w:lineRule="exact"/>
        <w:rPr>
          <w:sz w:val="20"/>
          <w:szCs w:val="20"/>
          <w:color w:val="auto"/>
        </w:rPr>
      </w:pPr>
    </w:p>
    <w:p>
      <w:pPr>
        <w:ind w:left="140"/>
        <w:spacing w:after="0"/>
        <w:tabs>
          <w:tab w:leader="none" w:pos="1660" w:val="left"/>
        </w:tabs>
        <w:rPr>
          <w:sz w:val="20"/>
          <w:szCs w:val="20"/>
          <w:color w:val="auto"/>
        </w:rPr>
      </w:pPr>
      <w:r>
        <w:rPr>
          <w:rFonts w:ascii="Arial" w:cs="Arial" w:eastAsia="Arial" w:hAnsi="Arial"/>
          <w:sz w:val="18"/>
          <w:szCs w:val="18"/>
          <w:u w:val="single" w:color="auto"/>
          <w:color w:val="auto"/>
        </w:rPr>
        <w:t>31,480</w:t>
      </w:r>
      <w:r>
        <w:rPr>
          <w:sz w:val="20"/>
          <w:szCs w:val="20"/>
          <w:color w:val="auto"/>
        </w:rPr>
        <w:tab/>
      </w:r>
      <w:r>
        <w:rPr>
          <w:rFonts w:ascii="Arial" w:cs="Arial" w:eastAsia="Arial" w:hAnsi="Arial"/>
          <w:sz w:val="18"/>
          <w:szCs w:val="18"/>
          <w:u w:val="single" w:color="auto"/>
          <w:color w:val="auto"/>
        </w:rPr>
        <w:t>20,345</w:t>
      </w:r>
    </w:p>
    <w:p>
      <w:pPr>
        <w:spacing w:after="0" w:line="239"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$ 22,717</w:t>
      </w:r>
      <w:r>
        <w:rPr>
          <w:sz w:val="20"/>
          <w:szCs w:val="20"/>
          <w:color w:val="auto"/>
        </w:rPr>
        <w:tab/>
      </w:r>
      <w:r>
        <w:rPr>
          <w:rFonts w:ascii="Arial" w:cs="Arial" w:eastAsia="Arial" w:hAnsi="Arial"/>
          <w:sz w:val="16"/>
          <w:szCs w:val="16"/>
          <w:color w:val="auto"/>
        </w:rPr>
        <w:t>$ 50,608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53340</wp:posOffset>
            </wp:positionV>
            <wp:extent cx="154749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380"/>
          </w:cols>
          <w:pgMar w:left="240" w:top="143" w:right="259" w:bottom="0" w:gutter="0" w:footer="0" w:header="0"/>
        </w:sectPr>
      </w:pPr>
    </w:p>
    <w:p>
      <w:pPr>
        <w:spacing w:after="0" w:line="200" w:lineRule="exact"/>
        <w:rPr>
          <w:sz w:val="20"/>
          <w:szCs w:val="20"/>
          <w:color w:val="auto"/>
        </w:rPr>
      </w:pPr>
    </w:p>
    <w:p>
      <w:pPr>
        <w:spacing w:after="0" w:line="338" w:lineRule="exact"/>
        <w:rPr>
          <w:sz w:val="20"/>
          <w:szCs w:val="20"/>
          <w:color w:val="auto"/>
        </w:rPr>
      </w:pPr>
    </w:p>
    <w:p>
      <w:pPr>
        <w:ind w:left="11220"/>
        <w:spacing w:after="0"/>
        <w:rPr>
          <w:sz w:val="20"/>
          <w:szCs w:val="20"/>
          <w:color w:val="auto"/>
        </w:rPr>
      </w:pPr>
      <w:r>
        <w:rPr>
          <w:rFonts w:ascii="Arial" w:cs="Arial" w:eastAsia="Arial" w:hAnsi="Arial"/>
          <w:sz w:val="18"/>
          <w:szCs w:val="18"/>
          <w:color w:val="auto"/>
        </w:rPr>
        <w:t>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Certain 2001 amounts have been reclassified to conform with current year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 Exchanges and Dispositions.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the first six months of 2002, Kaplan acquired several businesses in their higher education and test preparation divisions, totaling $37.9 million, with most of the aggregate purchase price allocated to goodwill. About $9.5 million remains to be paid on these acquisitions, of which $2.1 million has been classified in current liabilities and $7.4 million as long-term debt at June 30, 2002.</w:t>
      </w:r>
    </w:p>
    <w:p>
      <w:pPr>
        <w:spacing w:after="0" w:line="20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During the first six months of 2001, the Company spent approximately $104.4 million on business acquisitions and exchanges, which principally included the purchase of Southern Maryland Newspapers, a division of Chesapeake Publishing Corporation, and amounts paid as part of a cable system exchange with AT&amp;T Broadband. Kaplan also acquired two businesses that are part of their professional division.</w:t>
      </w:r>
    </w:p>
    <w:p>
      <w:pPr>
        <w:spacing w:after="0" w:line="20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gain resulting from the cable system sale and exchange transactions, which is included in "Other income, net" in the Condensed Consolidated Statements of Income, increased net income for the first six months of 2001 by $196.5 million, or $20.69 per share. For income tax purposes, the cable system sale and exchange transactions qualified as like-kind exchanges, and therefore, a large portion of these transactions did not result in a current tax liability.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June 30, 2002 and December 30, 2001 consist of the following (in thousands):</w:t>
      </w:r>
    </w:p>
    <w:p>
      <w:pPr>
        <w:spacing w:after="0" w:line="212" w:lineRule="exact"/>
        <w:rPr>
          <w:sz w:val="20"/>
          <w:szCs w:val="20"/>
          <w:color w:val="auto"/>
        </w:rPr>
      </w:pPr>
    </w:p>
    <w:tbl>
      <w:tblPr>
        <w:tblLayout w:type="fixed"/>
        <w:tblInd w:w="2480" w:type="dxa"/>
        <w:tblCellMar>
          <w:top w:w="0" w:type="dxa"/>
          <w:left w:w="0" w:type="dxa"/>
          <w:bottom w:w="0" w:type="dxa"/>
          <w:right w:w="0" w:type="dxa"/>
        </w:tblCellMar>
      </w:tblPr>
      <w:tr>
        <w:trPr>
          <w:trHeight w:val="211"/>
        </w:trPr>
        <w:tc>
          <w:tcPr>
            <w:tcW w:w="34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2120" w:type="dxa"/>
            <w:vAlign w:val="bottom"/>
            <w:gridSpan w:val="5"/>
          </w:tcPr>
          <w:p>
            <w:pPr>
              <w:jc w:val="right"/>
              <w:ind w:right="20"/>
              <w:spacing w:after="0"/>
              <w:rPr>
                <w:sz w:val="20"/>
                <w:szCs w:val="20"/>
                <w:color w:val="auto"/>
              </w:rPr>
            </w:pPr>
            <w:r>
              <w:rPr>
                <w:rFonts w:ascii="Arial" w:cs="Arial" w:eastAsia="Arial" w:hAnsi="Arial"/>
                <w:sz w:val="18"/>
                <w:szCs w:val="18"/>
                <w:color w:val="auto"/>
              </w:rPr>
              <w:t>December 30,</w:t>
            </w:r>
          </w:p>
        </w:tc>
      </w:tr>
      <w:tr>
        <w:trPr>
          <w:trHeight w:val="205"/>
        </w:trPr>
        <w:tc>
          <w:tcPr>
            <w:tcW w:w="346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480" w:type="dxa"/>
            <w:vAlign w:val="bottom"/>
          </w:tcPr>
          <w:p>
            <w:pPr>
              <w:jc w:val="right"/>
              <w:spacing w:after="0" w:line="205" w:lineRule="exact"/>
              <w:rPr>
                <w:sz w:val="20"/>
                <w:szCs w:val="20"/>
                <w:color w:val="auto"/>
              </w:rPr>
            </w:pPr>
            <w:r>
              <w:rPr>
                <w:rFonts w:ascii="Arial" w:cs="Arial" w:eastAsia="Arial" w:hAnsi="Arial"/>
                <w:sz w:val="18"/>
                <w:szCs w:val="18"/>
                <w:color w:val="auto"/>
              </w:rPr>
              <w:t>2002</w:t>
            </w:r>
          </w:p>
        </w:tc>
        <w:tc>
          <w:tcPr>
            <w:tcW w:w="1580" w:type="dxa"/>
            <w:vAlign w:val="bottom"/>
            <w:gridSpan w:val="3"/>
          </w:tcPr>
          <w:p>
            <w:pPr>
              <w:spacing w:after="0"/>
              <w:rPr>
                <w:sz w:val="17"/>
                <w:szCs w:val="17"/>
                <w:color w:val="auto"/>
              </w:rPr>
            </w:pPr>
          </w:p>
        </w:tc>
        <w:tc>
          <w:tcPr>
            <w:tcW w:w="5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2001</w:t>
            </w:r>
          </w:p>
        </w:tc>
      </w:tr>
      <w:tr>
        <w:trPr>
          <w:trHeight w:val="20"/>
        </w:trPr>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460" w:type="dxa"/>
            <w:vAlign w:val="bottom"/>
          </w:tcPr>
          <w:p>
            <w:pPr>
              <w:spacing w:after="0"/>
              <w:rPr>
                <w:sz w:val="20"/>
                <w:szCs w:val="20"/>
                <w:color w:val="auto"/>
              </w:rPr>
            </w:pPr>
            <w:r>
              <w:rPr>
                <w:rFonts w:ascii="Arial" w:cs="Arial" w:eastAsia="Arial" w:hAnsi="Arial"/>
                <w:sz w:val="18"/>
                <w:szCs w:val="18"/>
                <w:color w:val="auto"/>
              </w:rPr>
              <w:t>Total cost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$187,169</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$195,661</w:t>
            </w:r>
          </w:p>
        </w:tc>
        <w:tc>
          <w:tcPr>
            <w:tcW w:w="20" w:type="dxa"/>
            <w:vAlign w:val="bottom"/>
          </w:tcPr>
          <w:p>
            <w:pPr>
              <w:spacing w:after="0"/>
              <w:rPr>
                <w:sz w:val="22"/>
                <w:szCs w:val="22"/>
                <w:color w:val="auto"/>
              </w:rPr>
            </w:pPr>
          </w:p>
        </w:tc>
      </w:tr>
      <w:tr>
        <w:trPr>
          <w:trHeight w:val="205"/>
        </w:trPr>
        <w:tc>
          <w:tcPr>
            <w:tcW w:w="3460" w:type="dxa"/>
            <w:vAlign w:val="bottom"/>
          </w:tcPr>
          <w:p>
            <w:pPr>
              <w:spacing w:after="0" w:line="205" w:lineRule="exact"/>
              <w:rPr>
                <w:sz w:val="20"/>
                <w:szCs w:val="20"/>
                <w:color w:val="auto"/>
              </w:rPr>
            </w:pPr>
            <w:r>
              <w:rPr>
                <w:rFonts w:ascii="Arial" w:cs="Arial" w:eastAsia="Arial" w:hAnsi="Arial"/>
                <w:sz w:val="18"/>
                <w:szCs w:val="18"/>
                <w:color w:val="auto"/>
              </w:rPr>
              <w:t>Gross unrealized gains</w:t>
            </w:r>
          </w:p>
        </w:tc>
        <w:tc>
          <w:tcPr>
            <w:tcW w:w="260" w:type="dxa"/>
            <w:vAlign w:val="bottom"/>
          </w:tcPr>
          <w:p>
            <w:pPr>
              <w:spacing w:after="0"/>
              <w:rPr>
                <w:sz w:val="17"/>
                <w:szCs w:val="17"/>
                <w:color w:val="auto"/>
              </w:rPr>
            </w:pPr>
          </w:p>
        </w:tc>
        <w:tc>
          <w:tcPr>
            <w:tcW w:w="6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13,105</w:t>
            </w:r>
          </w:p>
        </w:tc>
        <w:tc>
          <w:tcPr>
            <w:tcW w:w="1520" w:type="dxa"/>
            <w:vAlign w:val="bottom"/>
            <w:gridSpan w:val="2"/>
          </w:tcPr>
          <w:p>
            <w:pPr>
              <w:spacing w:after="0"/>
              <w:rPr>
                <w:sz w:val="17"/>
                <w:szCs w:val="17"/>
                <w:color w:val="auto"/>
              </w:rPr>
            </w:pPr>
          </w:p>
        </w:tc>
        <w:tc>
          <w:tcPr>
            <w:tcW w:w="60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39,744</w:t>
            </w:r>
          </w:p>
        </w:tc>
      </w:tr>
      <w:tr>
        <w:trPr>
          <w:trHeight w:val="20"/>
        </w:trPr>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460" w:type="dxa"/>
            <w:vAlign w:val="bottom"/>
          </w:tcPr>
          <w:p>
            <w:pPr>
              <w:spacing w:after="0"/>
              <w:rPr>
                <w:sz w:val="20"/>
                <w:szCs w:val="20"/>
                <w:color w:val="auto"/>
              </w:rPr>
            </w:pPr>
            <w:r>
              <w:rPr>
                <w:rFonts w:ascii="Arial" w:cs="Arial" w:eastAsia="Arial" w:hAnsi="Arial"/>
                <w:sz w:val="18"/>
                <w:szCs w:val="18"/>
                <w:color w:val="auto"/>
              </w:rPr>
              <w:t>Total fair value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$200,274</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$235,405</w:t>
            </w:r>
          </w:p>
        </w:tc>
        <w:tc>
          <w:tcPr>
            <w:tcW w:w="20" w:type="dxa"/>
            <w:vAlign w:val="bottom"/>
          </w:tcPr>
          <w:p>
            <w:pPr>
              <w:spacing w:after="0"/>
              <w:rPr>
                <w:sz w:val="22"/>
                <w:szCs w:val="22"/>
                <w:color w:val="auto"/>
              </w:rPr>
            </w:pPr>
          </w:p>
        </w:tc>
      </w:tr>
      <w:tr>
        <w:trPr>
          <w:trHeight w:val="107"/>
        </w:trPr>
        <w:tc>
          <w:tcPr>
            <w:tcW w:w="34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During the first quarter of 2002, the Company sold its shares of Ticketmaster, resulting in a pre-tax gain of $13.2 million. There were no sales of marketable equity securities in the second quarter of 2002. During the first six months of 2001, proceeds from sales of marketable equity securities were $0.1 million. Gross realized losses on such sales were $0.3 million.</w:t>
      </w:r>
    </w:p>
    <w:p>
      <w:pPr>
        <w:spacing w:after="0" w:line="208"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At June 30, 2002 and December 30, 2001, the carrying value of the Company’s cost method investments was $14.9 million and $29.6 million, respectively. There were no investments in companies constituting cost method investments during the first six months of 2002. During the second quarter and the first six months of 2001, the Company invested $7.7 million in companies constituting cost method investments.</w:t>
      </w:r>
    </w:p>
    <w:p>
      <w:pPr>
        <w:spacing w:after="0" w:line="178"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The Company recorded charges of $6.6 million and $16.7 million during the second quarter and first six months of 2002, respectively, to write-down certain of its investments to estimated fair value; for the same periods of 2001, the Company recorded charges of $5.5 million and $17.3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220"/>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21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At June 30, 2002, the Company had $806.2 million in total debt outstanding, which was comprised of $400.0 million of commercial paper borrowings, $398.2 million of 5.5 percent unsecured notes due February 15, 2009, and $8.0 million in other debt. The Company’s five-year $500 million revolving credit facility, which expires in March 2003, and one-year $250 million revolving credit facility, which expires in September 2002,</w:t>
      </w:r>
    </w:p>
    <w:p>
      <w:pPr>
        <w:sectPr>
          <w:pgSz w:w="11900" w:h="16838" w:orient="portrait"/>
          <w:cols w:equalWidth="0" w:num="1">
            <w:col w:w="11400"/>
          </w:cols>
          <w:pgMar w:left="240" w:top="143" w:right="259" w:bottom="0" w:gutter="0" w:footer="0" w:header="0"/>
          <w:type w:val="continuous"/>
        </w:sectPr>
      </w:pPr>
    </w:p>
    <w:bookmarkStart w:id="5" w:name="page6"/>
    <w:bookmarkEnd w:id="5"/>
    <w:p>
      <w:pPr>
        <w:ind w:right="320"/>
        <w:spacing w:after="0" w:line="239" w:lineRule="auto"/>
        <w:rPr>
          <w:sz w:val="20"/>
          <w:szCs w:val="20"/>
          <w:color w:val="auto"/>
        </w:rPr>
      </w:pPr>
      <w:r>
        <w:rPr>
          <w:rFonts w:ascii="Arial" w:cs="Arial" w:eastAsia="Arial" w:hAnsi="Arial"/>
          <w:sz w:val="18"/>
          <w:szCs w:val="18"/>
          <w:color w:val="auto"/>
        </w:rPr>
        <w:t>support the issuance of the Company’s short-term commercial paper. The Company intends to replace the revolving credit facility agreements prior to their expiration.</w:t>
      </w:r>
    </w:p>
    <w:p>
      <w:pPr>
        <w:spacing w:after="0" w:line="209"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During the second quarter of 2002 and 2001 the Company had average borrowings outstanding of approximately $830.6 million and $949.1 million, respectively, at average annual interest rates of approximately 3.7 percent and 5.8 percent, respectively. During the second quarter of 2002 and 2001, the Company incurred net interest expense on borrowings of $8.7 million and $12.2 million, respectively.</w:t>
      </w:r>
    </w:p>
    <w:p>
      <w:pPr>
        <w:spacing w:after="0" w:line="17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During the first six months of 2002 and 2001 the Company had average borrowings outstanding of approximately $859.5 million and $968.6 million, respectively, at average annual interest rates of approximately 3.6 percent and 5.4 percent, respectively. During the first six months of 2002 and 2001, the Company incurred net interest expense on borrowings of $17.5 million and $26.5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2002 and 2001 asset information is as of June 30, 2002 and December 30, 2001,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Period</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360"/>
          </w:cols>
          <w:pgMar w:left="240" w:top="143"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2002</w:t>
      </w:r>
    </w:p>
    <w:p>
      <w:pPr>
        <w:spacing w:after="0" w:line="55" w:lineRule="exact"/>
        <w:rPr>
          <w:sz w:val="20"/>
          <w:szCs w:val="20"/>
          <w:color w:val="auto"/>
        </w:rPr>
      </w:pPr>
    </w:p>
    <w:p>
      <w:pPr>
        <w:ind w:right="140"/>
        <w:spacing w:after="0" w:line="375" w:lineRule="auto"/>
        <w:rPr>
          <w:sz w:val="20"/>
          <w:szCs w:val="20"/>
          <w:color w:val="auto"/>
        </w:rPr>
      </w:pPr>
      <w:r>
        <w:rPr>
          <w:rFonts w:ascii="Arial" w:cs="Arial" w:eastAsia="Arial" w:hAnsi="Arial"/>
          <w:sz w:val="12"/>
          <w:szCs w:val="12"/>
          <w:color w:val="auto"/>
        </w:rPr>
        <w:t>Operating revenues Income (loss) from</w:t>
      </w:r>
    </w:p>
    <w:p>
      <w:pPr>
        <w:spacing w:after="0" w:line="1" w:lineRule="exact"/>
        <w:rPr>
          <w:sz w:val="20"/>
          <w:szCs w:val="20"/>
          <w:color w:val="auto"/>
        </w:rPr>
      </w:pPr>
    </w:p>
    <w:p>
      <w:pPr>
        <w:ind w:right="240" w:firstLine="75"/>
        <w:spacing w:after="0" w:line="375" w:lineRule="auto"/>
        <w:rPr>
          <w:sz w:val="20"/>
          <w:szCs w:val="20"/>
          <w:color w:val="auto"/>
        </w:rPr>
      </w:pPr>
      <w:r>
        <w:rPr>
          <w:rFonts w:ascii="Arial" w:cs="Arial" w:eastAsia="Arial" w:hAnsi="Arial"/>
          <w:sz w:val="12"/>
          <w:szCs w:val="12"/>
          <w:color w:val="auto"/>
        </w:rPr>
        <w:t>operations Equity in losses of</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affiliates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net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 net</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Income before income</w:t>
      </w:r>
    </w:p>
    <w:p>
      <w:pPr>
        <w:spacing w:after="0" w:line="78" w:lineRule="exact"/>
        <w:rPr>
          <w:sz w:val="20"/>
          <w:szCs w:val="20"/>
          <w:color w:val="auto"/>
        </w:rPr>
      </w:pPr>
    </w:p>
    <w:p>
      <w:pPr>
        <w:ind w:left="80"/>
        <w:spacing w:after="0"/>
        <w:rPr>
          <w:sz w:val="20"/>
          <w:szCs w:val="20"/>
          <w:color w:val="auto"/>
        </w:rPr>
      </w:pPr>
      <w:r>
        <w:rPr>
          <w:rFonts w:ascii="Arial" w:cs="Arial" w:eastAsia="Arial" w:hAnsi="Arial"/>
          <w:sz w:val="14"/>
          <w:szCs w:val="14"/>
          <w:color w:val="auto"/>
        </w:rPr>
        <w:t>taxes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w w:val="95"/>
              </w:rPr>
              <w:t>Newspaper</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Television</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Magazine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Cable</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Corporate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Publishing</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Broadcasting</w:t>
            </w:r>
          </w:p>
        </w:tc>
        <w:tc>
          <w:tcPr>
            <w:tcW w:w="1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Publishing</w:t>
            </w:r>
          </w:p>
        </w:tc>
        <w:tc>
          <w:tcPr>
            <w:tcW w:w="18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Television</w:t>
            </w:r>
          </w:p>
        </w:tc>
        <w:tc>
          <w:tcPr>
            <w:tcW w:w="2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Education</w:t>
            </w:r>
          </w:p>
        </w:tc>
        <w:tc>
          <w:tcPr>
            <w:tcW w:w="2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Office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w w:val="95"/>
              </w:rPr>
              <w:t>Consolidated</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215,067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86,092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88,886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107,963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149,695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647,703</w:t>
            </w:r>
          </w:p>
        </w:tc>
        <w:tc>
          <w:tcPr>
            <w:tcW w:w="40" w:type="dxa"/>
            <w:vAlign w:val="bottom"/>
          </w:tcPr>
          <w:p>
            <w:pPr>
              <w:spacing w:after="0"/>
              <w:rPr>
                <w:sz w:val="24"/>
                <w:szCs w:val="24"/>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37,811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43,459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13,272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21,766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(6,504)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110,428</w:t>
            </w:r>
          </w:p>
        </w:tc>
        <w:tc>
          <w:tcPr>
            <w:tcW w:w="4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(9,183)</w:t>
            </w: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(8,738)</w:t>
            </w:r>
          </w:p>
        </w:tc>
      </w:tr>
      <w:tr>
        <w:trPr>
          <w:trHeight w:val="190"/>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(5,963)</w:t>
            </w:r>
          </w:p>
        </w:tc>
      </w:tr>
      <w:tr>
        <w:trPr>
          <w:trHeight w:val="371"/>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86,544</w:t>
            </w:r>
          </w:p>
        </w:tc>
        <w:tc>
          <w:tcPr>
            <w:tcW w:w="40" w:type="dxa"/>
            <w:vAlign w:val="bottom"/>
          </w:tcPr>
          <w:p>
            <w:pPr>
              <w:spacing w:after="0"/>
              <w:rPr>
                <w:sz w:val="24"/>
                <w:szCs w:val="24"/>
                <w:color w:val="auto"/>
              </w:rPr>
            </w:pPr>
          </w:p>
        </w:tc>
      </w:tr>
      <w:tr>
        <w:trPr>
          <w:trHeight w:val="105"/>
        </w:trPr>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40" w:space="600"/>
            <w:col w:w="9420"/>
          </w:cols>
          <w:pgMar w:left="240" w:top="143" w:right="299" w:bottom="0" w:gutter="0" w:footer="0" w:header="0"/>
          <w:type w:val="continuous"/>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color w:val="auto"/>
              </w:rPr>
              <w:t>Depreciation expense</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10,744</w:t>
            </w:r>
          </w:p>
        </w:tc>
        <w:tc>
          <w:tcPr>
            <w:tcW w:w="3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2,784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20,738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5,998</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41,286</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Amortization expense</w:t>
            </w:r>
          </w:p>
        </w:tc>
        <w:tc>
          <w:tcPr>
            <w:tcW w:w="26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2"/>
              <w:spacing w:after="0"/>
              <w:rPr>
                <w:sz w:val="20"/>
                <w:szCs w:val="20"/>
                <w:color w:val="auto"/>
              </w:rPr>
            </w:pPr>
            <w:r>
              <w:rPr>
                <w:rFonts w:ascii="Arial" w:cs="Arial" w:eastAsia="Arial" w:hAnsi="Arial"/>
                <w:sz w:val="14"/>
                <w:szCs w:val="14"/>
                <w:color w:val="auto"/>
              </w:rPr>
              <w:t>39</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color w:val="auto"/>
              </w:rPr>
              <w:t>116</w:t>
            </w:r>
          </w:p>
        </w:tc>
        <w:tc>
          <w:tcPr>
            <w:tcW w:w="28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4"/>
                <w:szCs w:val="14"/>
                <w:color w:val="auto"/>
              </w:rPr>
              <w:t>Net pension credit (expense)</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5,492</w:t>
            </w:r>
          </w:p>
        </w:tc>
        <w:tc>
          <w:tcPr>
            <w:tcW w:w="3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1,220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9,894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(226)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(298)</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16,082</w:t>
            </w:r>
          </w:p>
        </w:tc>
        <w:tc>
          <w:tcPr>
            <w:tcW w:w="0" w:type="dxa"/>
            <w:vAlign w:val="bottom"/>
          </w:tcPr>
          <w:p>
            <w:pPr>
              <w:spacing w:after="0"/>
              <w:rPr>
                <w:sz w:val="1"/>
                <w:szCs w:val="1"/>
                <w:color w:val="auto"/>
              </w:rPr>
            </w:pPr>
          </w:p>
        </w:tc>
      </w:tr>
      <w:tr>
        <w:trPr>
          <w:trHeight w:val="581"/>
        </w:trPr>
        <w:tc>
          <w:tcPr>
            <w:tcW w:w="1840" w:type="dxa"/>
            <w:vAlign w:val="bottom"/>
          </w:tcPr>
          <w:p>
            <w:pPr>
              <w:spacing w:after="0"/>
              <w:rPr>
                <w:sz w:val="20"/>
                <w:szCs w:val="20"/>
                <w:color w:val="auto"/>
              </w:rPr>
            </w:pPr>
            <w:r>
              <w:rPr>
                <w:rFonts w:ascii="Arial" w:cs="Arial" w:eastAsia="Arial" w:hAnsi="Arial"/>
                <w:sz w:val="14"/>
                <w:szCs w:val="14"/>
                <w:color w:val="auto"/>
              </w:rPr>
              <w:t>Identifiable assets</w:t>
            </w:r>
          </w:p>
        </w:tc>
        <w:tc>
          <w:tcPr>
            <w:tcW w:w="2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698,538</w:t>
            </w:r>
          </w:p>
        </w:tc>
        <w:tc>
          <w:tcPr>
            <w:tcW w:w="3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415,080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458,883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2"/>
              <w:spacing w:after="0"/>
              <w:rPr>
                <w:sz w:val="20"/>
                <w:szCs w:val="20"/>
                <w:color w:val="auto"/>
              </w:rPr>
            </w:pPr>
            <w:r>
              <w:rPr>
                <w:rFonts w:ascii="Arial" w:cs="Arial" w:eastAsia="Arial" w:hAnsi="Arial"/>
                <w:sz w:val="14"/>
                <w:szCs w:val="14"/>
                <w:color w:val="auto"/>
                <w:w w:val="93"/>
              </w:rPr>
              <w:t>1,117,157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537,397</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11,276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3,238,331</w:t>
            </w: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4"/>
                <w:szCs w:val="14"/>
                <w:color w:val="auto"/>
              </w:rPr>
              <w:t>Investments in</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80"/>
              <w:spacing w:after="0"/>
              <w:rPr>
                <w:sz w:val="20"/>
                <w:szCs w:val="20"/>
                <w:color w:val="auto"/>
              </w:rPr>
            </w:pPr>
            <w:r>
              <w:rPr>
                <w:rFonts w:ascii="Arial" w:cs="Arial" w:eastAsia="Arial" w:hAnsi="Arial"/>
                <w:sz w:val="14"/>
                <w:szCs w:val="14"/>
                <w:color w:val="auto"/>
              </w:rPr>
              <w:t>marketable equity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200,274</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Investments in</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80"/>
              <w:spacing w:after="0"/>
              <w:rPr>
                <w:sz w:val="20"/>
                <w:szCs w:val="20"/>
                <w:color w:val="auto"/>
              </w:rPr>
            </w:pPr>
            <w:r>
              <w:rPr>
                <w:rFonts w:ascii="Arial" w:cs="Arial" w:eastAsia="Arial" w:hAnsi="Arial"/>
                <w:sz w:val="14"/>
                <w:szCs w:val="14"/>
                <w:color w:val="auto"/>
              </w:rPr>
              <w:t>affiliates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77,824</w:t>
            </w:r>
          </w:p>
        </w:tc>
        <w:tc>
          <w:tcPr>
            <w:tcW w:w="0" w:type="dxa"/>
            <w:vAlign w:val="bottom"/>
          </w:tcPr>
          <w:p>
            <w:pPr>
              <w:spacing w:after="0"/>
              <w:rPr>
                <w:sz w:val="1"/>
                <w:szCs w:val="1"/>
                <w:color w:val="auto"/>
              </w:rPr>
            </w:pPr>
          </w:p>
        </w:tc>
      </w:tr>
      <w:tr>
        <w:trPr>
          <w:trHeight w:val="223"/>
        </w:trPr>
        <w:tc>
          <w:tcPr>
            <w:tcW w:w="18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3,516,429</w:t>
            </w:r>
          </w:p>
        </w:tc>
        <w:tc>
          <w:tcPr>
            <w:tcW w:w="0" w:type="dxa"/>
            <w:vAlign w:val="bottom"/>
          </w:tcPr>
          <w:p>
            <w:pPr>
              <w:spacing w:after="0"/>
              <w:rPr>
                <w:sz w:val="1"/>
                <w:szCs w:val="1"/>
                <w:color w:val="auto"/>
              </w:rPr>
            </w:pPr>
          </w:p>
        </w:tc>
      </w:tr>
      <w:tr>
        <w:trPr>
          <w:trHeight w:val="105"/>
        </w:trPr>
        <w:tc>
          <w:tcPr>
            <w:tcW w:w="1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Newspaper</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Television</w:t>
            </w:r>
          </w:p>
        </w:tc>
        <w:tc>
          <w:tcPr>
            <w:tcW w:w="2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Magazine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Cable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Corporate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Publishing</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2"/>
              </w:rPr>
              <w:t>Broadcasting</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Publishing</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Television</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Education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87"/>
              </w:rPr>
              <w:t>Office</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2001</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8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212,824</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83,653</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91,543</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96,452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119,437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603,909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Income (loss) from</w:t>
            </w:r>
          </w:p>
        </w:tc>
        <w:tc>
          <w:tcPr>
            <w:tcW w:w="1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operations</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23,130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37,811</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8,540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5,325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(11,507)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(6,706)</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56,593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Pro forma income (loss)</w:t>
            </w:r>
          </w:p>
        </w:tc>
        <w:tc>
          <w:tcPr>
            <w:tcW w:w="18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1880" w:type="dxa"/>
            <w:vAlign w:val="bottom"/>
            <w:gridSpan w:val="2"/>
          </w:tcPr>
          <w:p>
            <w:pPr>
              <w:ind w:left="120"/>
              <w:spacing w:after="0"/>
              <w:rPr>
                <w:sz w:val="20"/>
                <w:szCs w:val="20"/>
                <w:color w:val="auto"/>
              </w:rPr>
            </w:pPr>
            <w:r>
              <w:rPr>
                <w:rFonts w:ascii="Arial" w:cs="Arial" w:eastAsia="Arial" w:hAnsi="Arial"/>
                <w:sz w:val="14"/>
                <w:szCs w:val="14"/>
                <w:color w:val="auto"/>
              </w:rPr>
              <w:t xml:space="preserve">from operations </w:t>
            </w:r>
            <w:r>
              <w:rPr>
                <w:rFonts w:ascii="Arial" w:cs="Arial" w:eastAsia="Arial" w:hAnsi="Arial"/>
                <w:sz w:val="22"/>
                <w:szCs w:val="22"/>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23,816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41,344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10,207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15,524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(7,814)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(6,706)</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76,371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88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4"/>
                <w:szCs w:val="14"/>
                <w:color w:val="auto"/>
              </w:rPr>
              <w:t>(6,641)</w:t>
            </w:r>
          </w:p>
        </w:tc>
        <w:tc>
          <w:tcPr>
            <w:tcW w:w="0" w:type="dxa"/>
            <w:vAlign w:val="bottom"/>
          </w:tcPr>
          <w:p>
            <w:pPr>
              <w:spacing w:after="0"/>
              <w:rPr>
                <w:sz w:val="1"/>
                <w:szCs w:val="1"/>
                <w:color w:val="auto"/>
              </w:rPr>
            </w:pPr>
          </w:p>
        </w:tc>
      </w:tr>
      <w:tr>
        <w:trPr>
          <w:trHeight w:val="68"/>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4"/>
                <w:szCs w:val="14"/>
                <w:color w:val="auto"/>
              </w:rPr>
              <w:t>(12,193)</w:t>
            </w:r>
          </w:p>
        </w:tc>
        <w:tc>
          <w:tcPr>
            <w:tcW w:w="0" w:type="dxa"/>
            <w:vAlign w:val="bottom"/>
          </w:tcPr>
          <w:p>
            <w:pPr>
              <w:spacing w:after="0"/>
              <w:rPr>
                <w:sz w:val="1"/>
                <w:szCs w:val="1"/>
                <w:color w:val="auto"/>
              </w:rPr>
            </w:pPr>
          </w:p>
        </w:tc>
      </w:tr>
      <w:tr>
        <w:trPr>
          <w:trHeight w:val="68"/>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Other expense, net</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4"/>
                <w:szCs w:val="14"/>
                <w:color w:val="auto"/>
              </w:rPr>
              <w:t>(10,717)</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880" w:type="dxa"/>
            <w:vAlign w:val="bottom"/>
            <w:gridSpan w:val="2"/>
          </w:tcPr>
          <w:p>
            <w:pPr>
              <w:spacing w:after="0"/>
              <w:rPr>
                <w:sz w:val="20"/>
                <w:szCs w:val="20"/>
                <w:color w:val="auto"/>
              </w:rPr>
            </w:pPr>
            <w:r>
              <w:rPr>
                <w:rFonts w:ascii="Arial" w:cs="Arial" w:eastAsia="Arial" w:hAnsi="Arial"/>
                <w:sz w:val="14"/>
                <w:szCs w:val="14"/>
                <w:color w:val="auto"/>
              </w:rPr>
              <w:t>Income before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27,042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Depreciation expense</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1880" w:type="dxa"/>
            <w:vAlign w:val="bottom"/>
            <w:gridSpan w:val="2"/>
            <w:vMerge w:val="continue"/>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10,026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2,931</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1,217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16,886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4,807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35,867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Amortization expense</w:t>
            </w:r>
          </w:p>
        </w:tc>
        <w:tc>
          <w:tcPr>
            <w:tcW w:w="18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80" w:type="dxa"/>
            <w:vAlign w:val="bottom"/>
            <w:gridSpan w:val="2"/>
            <w:vMerge w:val="continue"/>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686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3,534</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1,667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10,238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3,801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19,926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Arial" w:cs="Arial" w:eastAsia="Arial" w:hAnsi="Arial"/>
                <w:sz w:val="14"/>
                <w:szCs w:val="14"/>
                <w:color w:val="auto"/>
              </w:rPr>
              <w:t>Net pension credit (expense)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7,123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1,663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11,416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19,878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80" w:type="dxa"/>
            <w:vAlign w:val="bottom"/>
            <w:gridSpan w:val="2"/>
          </w:tcPr>
          <w:p>
            <w:pPr>
              <w:spacing w:after="0"/>
              <w:rPr>
                <w:sz w:val="20"/>
                <w:szCs w:val="20"/>
                <w:color w:val="auto"/>
              </w:rPr>
            </w:pPr>
            <w:r>
              <w:rPr>
                <w:rFonts w:ascii="Arial" w:cs="Arial" w:eastAsia="Arial" w:hAnsi="Arial"/>
                <w:sz w:val="14"/>
                <w:szCs w:val="14"/>
                <w:color w:val="auto"/>
              </w:rPr>
              <w:t>Identifiable assets</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703,947</w:t>
            </w: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419,246</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486,804</w:t>
            </w: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w w:val="93"/>
              </w:rPr>
              <w:t>1,117,426</w:t>
            </w:r>
          </w:p>
        </w:tc>
        <w:tc>
          <w:tcPr>
            <w:tcW w:w="16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472,988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42,346</w:t>
            </w:r>
          </w:p>
        </w:tc>
        <w:tc>
          <w:tcPr>
            <w:tcW w:w="160" w:type="dxa"/>
            <w:vAlign w:val="bottom"/>
          </w:tcPr>
          <w:p>
            <w:pPr>
              <w:spacing w:after="0"/>
              <w:rPr>
                <w:sz w:val="24"/>
                <w:szCs w:val="24"/>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3,242,757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-867410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-867410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Investments in</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marketable equity</w:t>
      </w:r>
    </w:p>
    <w:p>
      <w:pPr>
        <w:sectPr>
          <w:pgSz w:w="11900" w:h="16838" w:orient="portrait"/>
          <w:cols w:equalWidth="0" w:num="1">
            <w:col w:w="11360"/>
          </w:cols>
          <w:pgMar w:left="240" w:top="143" w:right="29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76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30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235,405</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Investments in</w:t>
            </w: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80"/>
              <w:spacing w:after="0"/>
              <w:rPr>
                <w:sz w:val="20"/>
                <w:szCs w:val="20"/>
                <w:color w:val="auto"/>
              </w:rPr>
            </w:pPr>
            <w:r>
              <w:rPr>
                <w:rFonts w:ascii="Arial" w:cs="Arial" w:eastAsia="Arial" w:hAnsi="Arial"/>
                <w:sz w:val="14"/>
                <w:szCs w:val="14"/>
                <w:color w:val="auto"/>
              </w:rPr>
              <w:t>affiliates</w:t>
            </w:r>
          </w:p>
        </w:tc>
        <w:tc>
          <w:tcPr>
            <w:tcW w:w="302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80,936</w:t>
            </w:r>
          </w:p>
        </w:tc>
        <w:tc>
          <w:tcPr>
            <w:tcW w:w="0" w:type="dxa"/>
            <w:vAlign w:val="bottom"/>
          </w:tcPr>
          <w:p>
            <w:pPr>
              <w:spacing w:after="0"/>
              <w:rPr>
                <w:sz w:val="1"/>
                <w:szCs w:val="1"/>
                <w:color w:val="auto"/>
              </w:rPr>
            </w:pPr>
          </w:p>
        </w:tc>
      </w:tr>
      <w:tr>
        <w:trPr>
          <w:trHeight w:val="41"/>
        </w:trPr>
        <w:tc>
          <w:tcPr>
            <w:tcW w:w="4760" w:type="dxa"/>
            <w:vAlign w:val="bottom"/>
            <w:vMerge w:val="restart"/>
          </w:tcPr>
          <w:p>
            <w:pPr>
              <w:ind w:left="40"/>
              <w:spacing w:after="0"/>
              <w:rPr>
                <w:sz w:val="20"/>
                <w:szCs w:val="20"/>
                <w:color w:val="auto"/>
              </w:rPr>
            </w:pPr>
            <w:r>
              <w:rPr>
                <w:rFonts w:ascii="Arial" w:cs="Arial" w:eastAsia="Arial" w:hAnsi="Arial"/>
                <w:sz w:val="14"/>
                <w:szCs w:val="14"/>
                <w:color w:val="auto"/>
              </w:rPr>
              <w:t>Total assets</w:t>
            </w:r>
          </w:p>
        </w:tc>
        <w:tc>
          <w:tcPr>
            <w:tcW w:w="3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760" w:type="dxa"/>
            <w:vAlign w:val="bottom"/>
            <w:vMerge w:val="continue"/>
          </w:tcPr>
          <w:p>
            <w:pPr>
              <w:spacing w:after="0"/>
              <w:rPr>
                <w:sz w:val="13"/>
                <w:szCs w:val="13"/>
                <w:color w:val="auto"/>
              </w:rPr>
            </w:pPr>
          </w:p>
        </w:tc>
        <w:tc>
          <w:tcPr>
            <w:tcW w:w="30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w w:val="86"/>
              </w:rPr>
              <w:t>3,559,098</w:t>
            </w:r>
          </w:p>
        </w:tc>
        <w:tc>
          <w:tcPr>
            <w:tcW w:w="0" w:type="dxa"/>
            <w:vAlign w:val="bottom"/>
          </w:tcPr>
          <w:p>
            <w:pPr>
              <w:spacing w:after="0"/>
              <w:rPr>
                <w:sz w:val="1"/>
                <w:szCs w:val="1"/>
                <w:color w:val="auto"/>
              </w:rPr>
            </w:pPr>
          </w:p>
        </w:tc>
      </w:tr>
      <w:tr>
        <w:trPr>
          <w:trHeight w:val="105"/>
        </w:trPr>
        <w:tc>
          <w:tcPr>
            <w:tcW w:w="47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808080"/>
            </w:tcBorders>
          </w:tcPr>
          <w:p>
            <w:pPr>
              <w:spacing w:after="0"/>
              <w:rPr>
                <w:sz w:val="21"/>
                <w:szCs w:val="21"/>
                <w:color w:val="auto"/>
              </w:rPr>
            </w:pPr>
          </w:p>
        </w:tc>
        <w:tc>
          <w:tcPr>
            <w:tcW w:w="3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-200660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-200660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3" w:lineRule="exact"/>
        <w:rPr>
          <w:sz w:val="20"/>
          <w:szCs w:val="20"/>
          <w:color w:val="auto"/>
        </w:rPr>
      </w:pPr>
    </w:p>
    <w:p>
      <w:pPr>
        <w:ind w:left="220" w:hanging="175"/>
        <w:spacing w:after="0"/>
        <w:tabs>
          <w:tab w:leader="none" w:pos="22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Second quarter 2001 results, adjusted as if SFAS 142 had been adopted at the beginning of 2001 — refer to Note 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 Period</w:t>
      </w:r>
      <w:r>
        <w:rPr>
          <w:rFonts w:ascii="Arial" w:cs="Arial" w:eastAsia="Arial" w:hAnsi="Arial"/>
          <w:sz w:val="18"/>
          <w:szCs w:val="18"/>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in thousands</w:t>
      </w:r>
      <w:r>
        <w:rPr>
          <w:rFonts w:ascii="Arial" w:cs="Arial" w:eastAsia="Arial" w:hAnsi="Arial"/>
          <w:sz w:val="21"/>
          <w:szCs w:val="21"/>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Newspaper</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Television</w:t>
            </w:r>
          </w:p>
        </w:tc>
        <w:tc>
          <w:tcPr>
            <w:tcW w:w="1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Magazine</w:t>
            </w:r>
          </w:p>
        </w:tc>
        <w:tc>
          <w:tcPr>
            <w:tcW w:w="2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Cable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Corporate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Publishing</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Broadcasting</w:t>
            </w:r>
          </w:p>
        </w:tc>
        <w:tc>
          <w:tcPr>
            <w:tcW w:w="1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Publishing</w:t>
            </w:r>
          </w:p>
        </w:tc>
        <w:tc>
          <w:tcPr>
            <w:tcW w:w="2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Television</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Education</w:t>
            </w:r>
          </w:p>
        </w:tc>
        <w:tc>
          <w:tcPr>
            <w:tcW w:w="18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Office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2002</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8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415,839</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161,510</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163,904</w:t>
            </w:r>
          </w:p>
        </w:tc>
        <w:tc>
          <w:tcPr>
            <w:tcW w:w="60" w:type="dxa"/>
            <w:vAlign w:val="bottom"/>
          </w:tcPr>
          <w:p>
            <w:pPr>
              <w:spacing w:after="0"/>
              <w:rPr>
                <w:sz w:val="19"/>
                <w:szCs w:val="19"/>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209,996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296,776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vMerge w:val="restart"/>
          </w:tcPr>
          <w:p>
            <w:pPr>
              <w:jc w:val="right"/>
              <w:spacing w:after="0"/>
              <w:rPr>
                <w:sz w:val="20"/>
                <w:szCs w:val="20"/>
                <w:color w:val="auto"/>
              </w:rPr>
            </w:pPr>
            <w:r>
              <w:rPr>
                <w:rFonts w:ascii="Arial" w:cs="Arial" w:eastAsia="Arial" w:hAnsi="Arial"/>
                <w:sz w:val="14"/>
                <w:szCs w:val="14"/>
                <w:color w:val="auto"/>
              </w:rPr>
              <w:t>1,248,025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operations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55,354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77,010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1,694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37,808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74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(12,620)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159,320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(15,689)</w:t>
            </w:r>
          </w:p>
        </w:tc>
        <w:tc>
          <w:tcPr>
            <w:tcW w:w="0" w:type="dxa"/>
            <w:vAlign w:val="bottom"/>
          </w:tcPr>
          <w:p>
            <w:pPr>
              <w:spacing w:after="0"/>
              <w:rPr>
                <w:sz w:val="1"/>
                <w:szCs w:val="1"/>
                <w:color w:val="auto"/>
              </w:rPr>
            </w:pPr>
          </w:p>
        </w:tc>
      </w:tr>
      <w:tr>
        <w:trPr>
          <w:trHeight w:val="283"/>
        </w:trPr>
        <w:tc>
          <w:tcPr>
            <w:tcW w:w="188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(17,472)</w:t>
            </w:r>
          </w:p>
        </w:tc>
        <w:tc>
          <w:tcPr>
            <w:tcW w:w="0" w:type="dxa"/>
            <w:vAlign w:val="bottom"/>
          </w:tcPr>
          <w:p>
            <w:pPr>
              <w:spacing w:after="0"/>
              <w:rPr>
                <w:sz w:val="1"/>
                <w:szCs w:val="1"/>
                <w:color w:val="auto"/>
              </w:rPr>
            </w:pPr>
          </w:p>
        </w:tc>
      </w:tr>
      <w:tr>
        <w:trPr>
          <w:trHeight w:val="162"/>
        </w:trPr>
        <w:tc>
          <w:tcPr>
            <w:tcW w:w="1880" w:type="dxa"/>
            <w:vAlign w:val="bottom"/>
            <w:gridSpan w:val="2"/>
          </w:tcPr>
          <w:p>
            <w:pPr>
              <w:spacing w:after="0"/>
              <w:rPr>
                <w:sz w:val="20"/>
                <w:szCs w:val="20"/>
                <w:color w:val="auto"/>
              </w:rPr>
            </w:pPr>
            <w:r>
              <w:rPr>
                <w:rFonts w:ascii="Arial" w:cs="Arial" w:eastAsia="Arial" w:hAnsi="Arial"/>
                <w:sz w:val="14"/>
                <w:szCs w:val="14"/>
                <w:color w:val="auto"/>
              </w:rPr>
              <w:t>Other expense, net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4"/>
                <w:szCs w:val="14"/>
                <w:color w:val="auto"/>
              </w:rPr>
              <w:t>491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126,650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Depreciation expense</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1880" w:type="dxa"/>
            <w:vAlign w:val="bottom"/>
            <w:gridSpan w:val="2"/>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21,623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5,549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2,072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41,217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11,998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82,459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Arial" w:cs="Arial" w:eastAsia="Arial" w:hAnsi="Arial"/>
                <w:sz w:val="14"/>
                <w:szCs w:val="14"/>
                <w:color w:val="auto"/>
              </w:rPr>
              <w:t>Net pension credit (expense)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10,983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19,789</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(451)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(597)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32,164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Newspaper</w:t>
            </w: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Television</w:t>
            </w:r>
          </w:p>
        </w:tc>
        <w:tc>
          <w:tcPr>
            <w:tcW w:w="1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Magazine</w:t>
            </w:r>
          </w:p>
        </w:tc>
        <w:tc>
          <w:tcPr>
            <w:tcW w:w="2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Cable</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Corporate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Publishing</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Broadcasting</w:t>
            </w:r>
          </w:p>
        </w:tc>
        <w:tc>
          <w:tcPr>
            <w:tcW w:w="1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Publishing</w:t>
            </w:r>
          </w:p>
        </w:tc>
        <w:tc>
          <w:tcPr>
            <w:tcW w:w="2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Television</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Education</w:t>
            </w:r>
          </w:p>
        </w:tc>
        <w:tc>
          <w:tcPr>
            <w:tcW w:w="18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Office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2001</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880" w:type="dxa"/>
            <w:vAlign w:val="bottom"/>
            <w:gridSpan w:val="2"/>
          </w:tcPr>
          <w:p>
            <w:pPr>
              <w:spacing w:after="0"/>
              <w:rPr>
                <w:sz w:val="20"/>
                <w:szCs w:val="20"/>
                <w:color w:val="auto"/>
              </w:rPr>
            </w:pPr>
            <w:r>
              <w:rPr>
                <w:rFonts w:ascii="Arial" w:cs="Arial" w:eastAsia="Arial" w:hAnsi="Arial"/>
                <w:sz w:val="14"/>
                <w:szCs w:val="14"/>
                <w:color w:val="auto"/>
              </w:rPr>
              <w:t>Operating revenues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431,018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157,854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174,862</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185,629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240,945</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1,190,308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operations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49,406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66,359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6,020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13,081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(21,754)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(13,274)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99,838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4"/>
                <w:szCs w:val="14"/>
                <w:color w:val="auto"/>
              </w:rPr>
              <w:t>Pro forma income (loss)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from operations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50,600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73,426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9,354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30,942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(14,389)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(13,274)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136,659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(19,102)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(26,493)</w:t>
            </w:r>
          </w:p>
        </w:tc>
        <w:tc>
          <w:tcPr>
            <w:tcW w:w="0" w:type="dxa"/>
            <w:vAlign w:val="bottom"/>
          </w:tcPr>
          <w:p>
            <w:pPr>
              <w:spacing w:after="0"/>
              <w:rPr>
                <w:sz w:val="1"/>
                <w:szCs w:val="1"/>
                <w:color w:val="auto"/>
              </w:rPr>
            </w:pPr>
          </w:p>
        </w:tc>
      </w:tr>
      <w:tr>
        <w:trPr>
          <w:trHeight w:val="190"/>
        </w:trPr>
        <w:tc>
          <w:tcPr>
            <w:tcW w:w="1880" w:type="dxa"/>
            <w:vAlign w:val="bottom"/>
            <w:gridSpan w:val="2"/>
          </w:tcPr>
          <w:p>
            <w:pPr>
              <w:spacing w:after="0"/>
              <w:rPr>
                <w:sz w:val="20"/>
                <w:szCs w:val="20"/>
                <w:color w:val="auto"/>
              </w:rPr>
            </w:pPr>
            <w:r>
              <w:rPr>
                <w:rFonts w:ascii="Arial" w:cs="Arial" w:eastAsia="Arial" w:hAnsi="Arial"/>
                <w:sz w:val="14"/>
                <w:szCs w:val="14"/>
                <w:color w:val="auto"/>
              </w:rPr>
              <w:t>Other expense, net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298,053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80" w:type="dxa"/>
            <w:vAlign w:val="bottom"/>
            <w:gridSpan w:val="2"/>
          </w:tcPr>
          <w:p>
            <w:pPr>
              <w:spacing w:after="0"/>
              <w:rPr>
                <w:sz w:val="20"/>
                <w:szCs w:val="20"/>
                <w:color w:val="auto"/>
              </w:rPr>
            </w:pPr>
            <w:r>
              <w:rPr>
                <w:rFonts w:ascii="Arial" w:cs="Arial" w:eastAsia="Arial" w:hAnsi="Arial"/>
                <w:sz w:val="14"/>
                <w:szCs w:val="14"/>
                <w:color w:val="auto"/>
              </w:rPr>
              <w:t>Income before income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gridSpan w:val="2"/>
          </w:tcPr>
          <w:p>
            <w:pPr>
              <w:ind w:left="8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352,296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Depreciation expense</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1880" w:type="dxa"/>
            <w:vAlign w:val="bottom"/>
            <w:gridSpan w:val="2"/>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19,527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5,858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2,437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33,145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9,532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70,499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1,195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3,334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17,939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7,583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37,118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Arial" w:cs="Arial" w:eastAsia="Arial" w:hAnsi="Arial"/>
                <w:sz w:val="14"/>
                <w:szCs w:val="14"/>
                <w:color w:val="auto"/>
              </w:rPr>
              <w:t>Net pension credit (expense)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14,246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3,326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22,832</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(342)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39,756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-3879850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-3879850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-800735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-800735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3" w:lineRule="exact"/>
        <w:rPr>
          <w:sz w:val="20"/>
          <w:szCs w:val="20"/>
          <w:color w:val="auto"/>
        </w:rPr>
      </w:pPr>
    </w:p>
    <w:p>
      <w:pPr>
        <w:ind w:left="220" w:hanging="175"/>
        <w:spacing w:after="0"/>
        <w:tabs>
          <w:tab w:leader="none" w:pos="22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Fiscal year 2001 results, adjusted as if SFAS 142 had been adopted at the beginning of 2001 — refer to Note 5 for additional information</w:t>
      </w:r>
    </w:p>
    <w:p>
      <w:pPr>
        <w:spacing w:after="0" w:line="18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Newspaper publishing includes the publication of newspapers in the Washington, D.C. area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the </w:t>
      </w:r>
      <w:r>
        <w:rPr>
          <w:rFonts w:ascii="Arial" w:cs="Arial" w:eastAsia="Arial" w:hAnsi="Arial"/>
          <w:sz w:val="18"/>
          <w:szCs w:val="18"/>
          <w:i w:val="1"/>
          <w:iCs w:val="1"/>
          <w:color w:val="auto"/>
        </w:rPr>
        <w:t>Gazette</w:t>
      </w:r>
      <w:r>
        <w:rPr>
          <w:rFonts w:ascii="Arial" w:cs="Arial" w:eastAsia="Arial" w:hAnsi="Arial"/>
          <w:sz w:val="18"/>
          <w:szCs w:val="18"/>
          <w:color w:val="auto"/>
        </w:rPr>
        <w:t xml:space="preserve"> community newspapers, and Southern Maryland newspapers) and Everett, Washington (</w:t>
      </w:r>
      <w:r>
        <w:rPr>
          <w:rFonts w:ascii="Arial" w:cs="Arial" w:eastAsia="Arial" w:hAnsi="Arial"/>
          <w:sz w:val="18"/>
          <w:szCs w:val="18"/>
          <w:i w:val="1"/>
          <w:iCs w:val="1"/>
          <w:color w:val="auto"/>
        </w:rPr>
        <w:t>The Everett Herald)</w:t>
      </w:r>
      <w:r>
        <w:rPr>
          <w:rFonts w:ascii="Arial" w:cs="Arial" w:eastAsia="Arial" w:hAnsi="Arial"/>
          <w:sz w:val="18"/>
          <w:szCs w:val="18"/>
          <w:color w:val="auto"/>
        </w:rPr>
        <w:t>. This business division also includes newsprint warehousing, recycling operations and the Company’s electronic media publishing business (primarily washingtonpost.com).</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Each of the stations is network-affiliated except for Jacksonville, which became an independent station on July 15, 2002, when its network affiliation agreement with CBS expired.</w:t>
      </w:r>
    </w:p>
    <w:p>
      <w:pPr>
        <w:spacing w:after="0" w:line="20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Cable television operations consist of cable systems offering basic cable, pay television and other services to approximately 736,100 subscribers in midwestern, western, and southern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6"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1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60"/>
          </w:cols>
          <w:pgMar w:left="240" w:top="126" w:right="299" w:bottom="0" w:gutter="0" w:footer="0" w:header="0"/>
          <w:type w:val="continuous"/>
        </w:sectPr>
      </w:pPr>
    </w:p>
    <w:bookmarkStart w:id="7" w:name="page8"/>
    <w:bookmarkEnd w:id="7"/>
    <w:p>
      <w:pPr>
        <w:spacing w:after="0" w:line="8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Education and career services are provided through the Company’s wholly-owned subsidiary Kaplan, Inc. Kaplan’s businesses include supplemental education services, which is made up of test preparation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offers bachelor’s degrees, associate’s degrees and diploma programs primarily in the fields of healthcare, business and information technology; and online post-secondary and care er programs (various distance-learning businesses, including kaplancollege.com).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5: New Accounting Pronouncement.</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required under SFAS 142, in the first quarter of 2002, the Company completed its transitional impairment review of indefinite-lived intangible assets and no impairment charge was warranted. The Company completed its SFAS 142 transitional goodwill impairment test during the second quarter of 2002. The expected future cash flows for one of the business units in the Company’s magazine segment, on a discounted basis, did not support the net carrying value of the related goodwill. Accordingly, an after-tax goodwill impairment loss of $12.1 million, or $1.27 per share was recorded. As required under SFAS 142, the transitional goodwill impairment loss is recognized as a cumulative effect of change in accounting principle and is reported on a retroactive basis in the first quarter of 2002. Therefore, the loss is included in the Company’s year-to-date results for the six months ended June 30, 2002.</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a pro forma basis, the Company’s operating income would have been $76.4 million in the second quarter of 2001, if SFAS 142 had been adopted at the beginning of fiscal 2001, compared to $110.4 for the second quarter of 2002. On a pro forma basis, the Company’s operating income would have been $136.7 million in the first six months of 2001, if SFAS 142 had been adopted at the beginning of fiscal 2001, compared to $159.3 for the first six months of 2002.</w:t>
      </w:r>
    </w:p>
    <w:p>
      <w:pPr>
        <w:spacing w:after="0" w:line="20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Other pro forma results for the second quarter of 2002, compared to 2001, adjusted as if SFAS 142 had been adopted at the beginning of 2001, are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211"/>
        </w:trPr>
        <w:tc>
          <w:tcPr>
            <w:tcW w:w="5620" w:type="dxa"/>
            <w:vAlign w:val="bottom"/>
          </w:tcPr>
          <w:p>
            <w:pPr>
              <w:spacing w:after="0"/>
              <w:rPr>
                <w:sz w:val="18"/>
                <w:szCs w:val="18"/>
                <w:color w:val="auto"/>
              </w:rPr>
            </w:pPr>
          </w:p>
        </w:tc>
        <w:tc>
          <w:tcPr>
            <w:tcW w:w="2320" w:type="dxa"/>
            <w:vAlign w:val="bottom"/>
            <w:gridSpan w:val="7"/>
          </w:tcPr>
          <w:p>
            <w:pPr>
              <w:ind w:left="92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93"/>
        </w:trPr>
        <w:tc>
          <w:tcPr>
            <w:tcW w:w="56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429"/>
        </w:trPr>
        <w:tc>
          <w:tcPr>
            <w:tcW w:w="5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2002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2001</w:t>
            </w:r>
          </w:p>
        </w:tc>
      </w:tr>
      <w:tr>
        <w:trPr>
          <w:trHeight w:val="464"/>
        </w:trPr>
        <w:tc>
          <w:tcPr>
            <w:tcW w:w="5620" w:type="dxa"/>
            <w:vAlign w:val="bottom"/>
          </w:tcPr>
          <w:p>
            <w:pPr>
              <w:spacing w:after="0"/>
              <w:rPr>
                <w:sz w:val="20"/>
                <w:szCs w:val="20"/>
                <w:color w:val="auto"/>
              </w:rPr>
            </w:pPr>
            <w:r>
              <w:rPr>
                <w:rFonts w:ascii="Arial" w:cs="Arial" w:eastAsia="Arial" w:hAnsi="Arial"/>
                <w:sz w:val="18"/>
                <w:szCs w:val="18"/>
                <w:color w:val="auto"/>
              </w:rPr>
              <w:t>Net income available for common stock as reported</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50,885</w:t>
            </w:r>
          </w:p>
        </w:tc>
        <w:tc>
          <w:tcPr>
            <w:tcW w:w="6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14,229</w:t>
            </w:r>
          </w:p>
        </w:tc>
      </w:tr>
      <w:tr>
        <w:trPr>
          <w:trHeight w:val="407"/>
        </w:trPr>
        <w:tc>
          <w:tcPr>
            <w:tcW w:w="5620" w:type="dxa"/>
            <w:vAlign w:val="bottom"/>
          </w:tcPr>
          <w:p>
            <w:pPr>
              <w:spacing w:after="0"/>
              <w:rPr>
                <w:sz w:val="20"/>
                <w:szCs w:val="20"/>
                <w:color w:val="auto"/>
              </w:rPr>
            </w:pPr>
            <w:r>
              <w:rPr>
                <w:rFonts w:ascii="Arial" w:cs="Arial" w:eastAsia="Arial" w:hAnsi="Arial"/>
                <w:sz w:val="18"/>
                <w:szCs w:val="18"/>
                <w:color w:val="auto"/>
              </w:rPr>
              <w:t>Amortization of goodwill and other intangibles, net of tax</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13,863</w:t>
            </w:r>
          </w:p>
        </w:tc>
      </w:tr>
      <w:tr>
        <w:trPr>
          <w:trHeight w:val="426"/>
        </w:trPr>
        <w:tc>
          <w:tcPr>
            <w:tcW w:w="5620" w:type="dxa"/>
            <w:vAlign w:val="bottom"/>
          </w:tcPr>
          <w:p>
            <w:pPr>
              <w:spacing w:after="0"/>
              <w:rPr>
                <w:sz w:val="20"/>
                <w:szCs w:val="20"/>
                <w:color w:val="auto"/>
              </w:rPr>
            </w:pPr>
            <w:r>
              <w:rPr>
                <w:rFonts w:ascii="Arial" w:cs="Arial" w:eastAsia="Arial" w:hAnsi="Arial"/>
                <w:sz w:val="18"/>
                <w:szCs w:val="18"/>
                <w:color w:val="auto"/>
              </w:rPr>
              <w:t>Pro forma net income available for common stock</w:t>
            </w:r>
          </w:p>
        </w:tc>
        <w:tc>
          <w:tcPr>
            <w:tcW w:w="9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50,885</w:t>
            </w:r>
          </w:p>
        </w:tc>
        <w:tc>
          <w:tcPr>
            <w:tcW w:w="6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28,092</w:t>
            </w:r>
          </w:p>
        </w:tc>
      </w:tr>
      <w:tr>
        <w:trPr>
          <w:trHeight w:val="426"/>
        </w:trPr>
        <w:tc>
          <w:tcPr>
            <w:tcW w:w="56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4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w:t>
            </w:r>
          </w:p>
        </w:tc>
      </w:tr>
      <w:tr>
        <w:trPr>
          <w:trHeight w:val="426"/>
        </w:trPr>
        <w:tc>
          <w:tcPr>
            <w:tcW w:w="5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4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-1710055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-1710055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Other pro forma results for the first six months of 2002, compared to 2001, adjusted as if SFAS 142 had been adopted at the beginning of 2001, are as follows:</w:t>
      </w:r>
    </w:p>
    <w:p>
      <w:pPr>
        <w:spacing w:after="0" w:line="209" w:lineRule="exact"/>
        <w:rPr>
          <w:sz w:val="20"/>
          <w:szCs w:val="20"/>
          <w:color w:val="auto"/>
        </w:rPr>
      </w:pPr>
    </w:p>
    <w:tbl>
      <w:tblPr>
        <w:tblLayout w:type="fixed"/>
        <w:tblInd w:w="166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6"/>
          </w:tcPr>
          <w:p>
            <w:pPr>
              <w:ind w:left="200"/>
              <w:spacing w:after="0"/>
              <w:rPr>
                <w:sz w:val="20"/>
                <w:szCs w:val="20"/>
                <w:color w:val="auto"/>
              </w:rPr>
            </w:pPr>
            <w:r>
              <w:rPr>
                <w:rFonts w:ascii="Arial" w:cs="Arial" w:eastAsia="Arial" w:hAnsi="Arial"/>
                <w:sz w:val="18"/>
                <w:szCs w:val="18"/>
                <w:color w:val="auto"/>
                <w:w w:val="97"/>
              </w:rPr>
              <w:t>Year-to-Date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5460" w:type="dxa"/>
            <w:vAlign w:val="bottom"/>
            <w:vMerge w:val="restart"/>
          </w:tcPr>
          <w:p>
            <w:pPr>
              <w:spacing w:after="0"/>
              <w:rPr>
                <w:sz w:val="20"/>
                <w:szCs w:val="20"/>
                <w:color w:val="auto"/>
              </w:rPr>
            </w:pPr>
            <w:r>
              <w:rPr>
                <w:rFonts w:ascii="Arial" w:cs="Arial" w:eastAsia="Arial" w:hAnsi="Arial"/>
                <w:sz w:val="18"/>
                <w:szCs w:val="18"/>
                <w:color w:val="auto"/>
              </w:rPr>
              <w:t>Income before cumulative effect of change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40"/>
              <w:spacing w:after="0"/>
              <w:rPr>
                <w:sz w:val="20"/>
                <w:szCs w:val="20"/>
                <w:color w:val="auto"/>
              </w:rPr>
            </w:pPr>
            <w:r>
              <w:rPr>
                <w:rFonts w:ascii="Arial" w:cs="Arial" w:eastAsia="Arial" w:hAnsi="Arial"/>
                <w:sz w:val="18"/>
                <w:szCs w:val="18"/>
                <w:color w:val="auto"/>
              </w:rPr>
              <w:t>in accounting principle, as reported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$ 74,850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5"/>
              </w:rPr>
              <w:t>$213,546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5460" w:type="dxa"/>
            <w:vAlign w:val="bottom"/>
          </w:tcPr>
          <w:p>
            <w:pPr>
              <w:spacing w:after="0"/>
              <w:rPr>
                <w:sz w:val="20"/>
                <w:szCs w:val="20"/>
                <w:color w:val="auto"/>
              </w:rPr>
            </w:pPr>
            <w:r>
              <w:rPr>
                <w:rFonts w:ascii="Arial" w:cs="Arial" w:eastAsia="Arial" w:hAnsi="Arial"/>
                <w:sz w:val="18"/>
                <w:szCs w:val="18"/>
                <w:color w:val="auto"/>
              </w:rPr>
              <w:t>Amortization of goodwill and other intangibles, net of tax</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26,087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460" w:type="dxa"/>
            <w:vAlign w:val="bottom"/>
          </w:tcPr>
          <w:p>
            <w:pPr>
              <w:spacing w:after="0"/>
              <w:rPr>
                <w:sz w:val="20"/>
                <w:szCs w:val="20"/>
                <w:color w:val="auto"/>
              </w:rPr>
            </w:pPr>
            <w:r>
              <w:rPr>
                <w:rFonts w:ascii="Arial" w:cs="Arial" w:eastAsia="Arial" w:hAnsi="Arial"/>
                <w:sz w:val="18"/>
                <w:szCs w:val="18"/>
                <w:color w:val="auto"/>
              </w:rPr>
              <w:t>Pro forma income before cumulative</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40"/>
              <w:spacing w:after="0"/>
              <w:rPr>
                <w:sz w:val="20"/>
                <w:szCs w:val="20"/>
                <w:color w:val="auto"/>
              </w:rPr>
            </w:pPr>
            <w:r>
              <w:rPr>
                <w:rFonts w:ascii="Arial" w:cs="Arial" w:eastAsia="Arial" w:hAnsi="Arial"/>
                <w:sz w:val="18"/>
                <w:szCs w:val="18"/>
                <w:color w:val="auto"/>
              </w:rPr>
              <w:t>effect of change in accounting principle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74,850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239,633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46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40"/>
              <w:spacing w:after="0"/>
              <w:rPr>
                <w:sz w:val="20"/>
                <w:szCs w:val="20"/>
                <w:color w:val="auto"/>
              </w:rPr>
            </w:pPr>
            <w:r>
              <w:rPr>
                <w:rFonts w:ascii="Arial" w:cs="Arial" w:eastAsia="Arial" w:hAnsi="Arial"/>
                <w:sz w:val="18"/>
                <w:szCs w:val="18"/>
                <w:color w:val="auto"/>
              </w:rPr>
              <w:t>goodwill and other intangible assets, net of tax</w:t>
            </w:r>
          </w:p>
        </w:tc>
        <w:tc>
          <w:tcPr>
            <w:tcW w:w="1620" w:type="dxa"/>
            <w:vAlign w:val="bottom"/>
            <w:gridSpan w:val="6"/>
          </w:tcPr>
          <w:p>
            <w:pPr>
              <w:jc w:val="right"/>
              <w:ind w:right="100"/>
              <w:spacing w:after="0"/>
              <w:rPr>
                <w:sz w:val="20"/>
                <w:szCs w:val="20"/>
                <w:color w:val="auto"/>
              </w:rPr>
            </w:pPr>
            <w:r>
              <w:rPr>
                <w:rFonts w:ascii="Arial" w:cs="Arial" w:eastAsia="Arial" w:hAnsi="Arial"/>
                <w:sz w:val="18"/>
                <w:szCs w:val="18"/>
                <w:color w:val="auto"/>
              </w:rPr>
              <w:t>(12,100)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4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920" w:type="dxa"/>
            <w:vAlign w:val="bottom"/>
            <w:gridSpan w:val="2"/>
          </w:tcPr>
          <w:p>
            <w:pPr>
              <w:spacing w:after="0"/>
              <w:rPr>
                <w:sz w:val="24"/>
                <w:szCs w:val="24"/>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24"/>
                <w:szCs w:val="24"/>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460" w:type="dxa"/>
            <w:vAlign w:val="bottom"/>
          </w:tcPr>
          <w:p>
            <w:pPr>
              <w:spacing w:after="0"/>
              <w:rPr>
                <w:sz w:val="20"/>
                <w:szCs w:val="20"/>
                <w:color w:val="auto"/>
              </w:rPr>
            </w:pPr>
            <w:r>
              <w:rPr>
                <w:rFonts w:ascii="Arial" w:cs="Arial" w:eastAsia="Arial" w:hAnsi="Arial"/>
                <w:sz w:val="18"/>
                <w:szCs w:val="18"/>
                <w:color w:val="auto"/>
              </w:rPr>
              <w:t>Pro forma net income available for common stock</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$ 61,966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5"/>
              </w:rPr>
              <w:t>$238,844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6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5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54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40"/>
              <w:spacing w:after="0" w:line="202" w:lineRule="exact"/>
              <w:rPr>
                <w:sz w:val="20"/>
                <w:szCs w:val="20"/>
                <w:color w:val="auto"/>
              </w:rPr>
            </w:pPr>
            <w:r>
              <w:rPr>
                <w:rFonts w:ascii="Arial" w:cs="Arial" w:eastAsia="Arial" w:hAnsi="Arial"/>
                <w:sz w:val="18"/>
                <w:szCs w:val="18"/>
                <w:color w:val="auto"/>
              </w:rPr>
              <w:t>Before cumulative effect of change in accounting</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400"/>
              <w:spacing w:after="0"/>
              <w:rPr>
                <w:sz w:val="20"/>
                <w:szCs w:val="20"/>
                <w:color w:val="auto"/>
              </w:rPr>
            </w:pPr>
            <w:r>
              <w:rPr>
                <w:rFonts w:ascii="Arial" w:cs="Arial" w:eastAsia="Arial" w:hAnsi="Arial"/>
                <w:sz w:val="18"/>
                <w:szCs w:val="18"/>
                <w:color w:val="auto"/>
              </w:rPr>
              <w:t>principle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$ 7.87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8"/>
                <w:szCs w:val="18"/>
                <w:color w:val="auto"/>
              </w:rPr>
              <w:t>$ 25.27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-3055620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-3055620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-737870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-737870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-737870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-737870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2" w:orient="portrait"/>
          <w:cols w:equalWidth="0" w:num="1">
            <w:col w:w="11380"/>
          </w:cols>
          <w:pgMar w:left="240" w:top="143" w:right="279" w:bottom="0" w:gutter="0" w:footer="0" w:header="0"/>
        </w:sectPr>
      </w:pPr>
    </w:p>
    <w:bookmarkStart w:id="8" w:name="page9"/>
    <w:bookmarkEnd w:id="8"/>
    <w:tbl>
      <w:tblPr>
        <w:tblLayout w:type="fixed"/>
        <w:tblInd w:w="1660" w:type="dxa"/>
        <w:tblCellMar>
          <w:top w:w="0" w:type="dxa"/>
          <w:left w:w="0" w:type="dxa"/>
          <w:bottom w:w="0" w:type="dxa"/>
          <w:right w:w="0" w:type="dxa"/>
        </w:tblCellMar>
      </w:tblPr>
      <w:tr>
        <w:trPr>
          <w:trHeight w:val="211"/>
        </w:trPr>
        <w:tc>
          <w:tcPr>
            <w:tcW w:w="6020" w:type="dxa"/>
            <w:vAlign w:val="bottom"/>
          </w:tcPr>
          <w:p>
            <w:pPr>
              <w:ind w:left="240"/>
              <w:spacing w:after="0"/>
              <w:rPr>
                <w:sz w:val="20"/>
                <w:szCs w:val="20"/>
                <w:color w:val="auto"/>
              </w:rPr>
            </w:pPr>
            <w:r>
              <w:rPr>
                <w:rFonts w:ascii="Arial" w:cs="Arial" w:eastAsia="Arial" w:hAnsi="Arial"/>
                <w:sz w:val="18"/>
                <w:szCs w:val="18"/>
                <w:color w:val="auto"/>
              </w:rPr>
              <w:t>Cumulative effect of change in accounting principle</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7"/>
        </w:trPr>
        <w:tc>
          <w:tcPr>
            <w:tcW w:w="6020" w:type="dxa"/>
            <w:vAlign w:val="bottom"/>
          </w:tcPr>
          <w:p>
            <w:pPr>
              <w:ind w:left="240"/>
              <w:spacing w:after="0"/>
              <w:rPr>
                <w:sz w:val="20"/>
                <w:szCs w:val="20"/>
                <w:color w:val="auto"/>
              </w:rPr>
            </w:pPr>
            <w:r>
              <w:rPr>
                <w:rFonts w:ascii="Arial" w:cs="Arial" w:eastAsia="Arial" w:hAnsi="Arial"/>
                <w:sz w:val="18"/>
                <w:szCs w:val="18"/>
                <w:color w:val="auto"/>
              </w:rPr>
              <w:t>Redeemable preferred stock dividends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(0.08)</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020" w:type="dxa"/>
            <w:vAlign w:val="bottom"/>
          </w:tcPr>
          <w:p>
            <w:pPr>
              <w:ind w:left="240"/>
              <w:spacing w:after="0"/>
              <w:rPr>
                <w:sz w:val="20"/>
                <w:szCs w:val="20"/>
                <w:color w:val="auto"/>
              </w:rPr>
            </w:pPr>
            <w:r>
              <w:rPr>
                <w:rFonts w:ascii="Arial" w:cs="Arial" w:eastAsia="Arial" w:hAnsi="Arial"/>
                <w:sz w:val="18"/>
                <w:szCs w:val="18"/>
                <w:color w:val="auto"/>
              </w:rPr>
              <w:t>Net income available for common stock</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$ 6.52</w:t>
            </w:r>
          </w:p>
        </w:tc>
        <w:tc>
          <w:tcPr>
            <w:tcW w:w="16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$ 25.19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6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40"/>
              <w:spacing w:after="0" w:line="202" w:lineRule="exact"/>
              <w:rPr>
                <w:sz w:val="20"/>
                <w:szCs w:val="20"/>
                <w:color w:val="auto"/>
              </w:rPr>
            </w:pPr>
            <w:r>
              <w:rPr>
                <w:rFonts w:ascii="Arial" w:cs="Arial" w:eastAsia="Arial" w:hAnsi="Arial"/>
                <w:sz w:val="18"/>
                <w:szCs w:val="18"/>
                <w:color w:val="auto"/>
              </w:rPr>
              <w:t>Before cumulative effect of change in accounting</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20" w:type="dxa"/>
            <w:vAlign w:val="bottom"/>
          </w:tcPr>
          <w:p>
            <w:pPr>
              <w:ind w:left="400"/>
              <w:spacing w:after="0"/>
              <w:rPr>
                <w:sz w:val="20"/>
                <w:szCs w:val="20"/>
                <w:color w:val="auto"/>
              </w:rPr>
            </w:pPr>
            <w:r>
              <w:rPr>
                <w:rFonts w:ascii="Arial" w:cs="Arial" w:eastAsia="Arial" w:hAnsi="Arial"/>
                <w:sz w:val="18"/>
                <w:szCs w:val="18"/>
                <w:color w:val="auto"/>
              </w:rPr>
              <w:t>principle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$ 7.86</w:t>
            </w: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$ 25.22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6020" w:type="dxa"/>
            <w:vAlign w:val="bottom"/>
          </w:tcPr>
          <w:p>
            <w:pPr>
              <w:ind w:left="240"/>
              <w:spacing w:after="0"/>
              <w:rPr>
                <w:sz w:val="20"/>
                <w:szCs w:val="20"/>
                <w:color w:val="auto"/>
              </w:rPr>
            </w:pPr>
            <w:r>
              <w:rPr>
                <w:rFonts w:ascii="Arial" w:cs="Arial" w:eastAsia="Arial" w:hAnsi="Arial"/>
                <w:sz w:val="18"/>
                <w:szCs w:val="18"/>
                <w:color w:val="auto"/>
              </w:rPr>
              <w:t>Cumulative effect of change in accounting principle</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24"/>
                <w:szCs w:val="2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7"/>
        </w:trPr>
        <w:tc>
          <w:tcPr>
            <w:tcW w:w="6020" w:type="dxa"/>
            <w:vAlign w:val="bottom"/>
          </w:tcPr>
          <w:p>
            <w:pPr>
              <w:ind w:left="240"/>
              <w:spacing w:after="0"/>
              <w:rPr>
                <w:sz w:val="20"/>
                <w:szCs w:val="20"/>
                <w:color w:val="auto"/>
              </w:rPr>
            </w:pPr>
            <w:r>
              <w:rPr>
                <w:rFonts w:ascii="Arial" w:cs="Arial" w:eastAsia="Arial" w:hAnsi="Arial"/>
                <w:sz w:val="18"/>
                <w:szCs w:val="18"/>
                <w:color w:val="auto"/>
              </w:rPr>
              <w:t>Redeemable preferred stock dividends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(0.08)</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020" w:type="dxa"/>
            <w:vAlign w:val="bottom"/>
          </w:tcPr>
          <w:p>
            <w:pPr>
              <w:ind w:left="240"/>
              <w:spacing w:after="0"/>
              <w:rPr>
                <w:sz w:val="20"/>
                <w:szCs w:val="20"/>
                <w:color w:val="auto"/>
              </w:rPr>
            </w:pPr>
            <w:r>
              <w:rPr>
                <w:rFonts w:ascii="Arial" w:cs="Arial" w:eastAsia="Arial" w:hAnsi="Arial"/>
                <w:sz w:val="18"/>
                <w:szCs w:val="18"/>
                <w:color w:val="auto"/>
              </w:rPr>
              <w:t>Net income available for common stock</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$ 6.51</w:t>
            </w:r>
          </w:p>
        </w:tc>
        <w:tc>
          <w:tcPr>
            <w:tcW w:w="16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$ 25.14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0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-1692910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-1692910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-1692910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-1692910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accordance with SFAS 142, the Company has reviewed its goodwill and other intangible assets and reported them on the consolidated balance sheet in three categories (goodwill, indefinite-lived intangible assets, and other intangible assets). The Company’s intangible assets with an indefinite life are from franchise agreements at its cable division. Other intangible assets are primarily non-compete agreements, with amortization periods up to five years. At June 30, 2002, goodwill, indefinite lived intangible assets and other intangible assets were net of accumulated amortization of $298.4 million, $163.8 million and $1.0 million, respectively. At December 30, 2001, goodwill, indefinite lived intangible assets and other intangible assets were net of accumulated amortization of $279.4 million, $163.8 million and $0.7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6: Change in Accounting Method – Stock Options</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Effective the first day of the Company’s 2002 fiscal year, the Company has adopted the fair-value-based method of accounting for company stock options as outlined in Statement of Financial Accounting Standards No. 123, “Accounting for Stock-Based Compensation” (SFAS 123). This change in accounting method will be applied prospectively to all awards granted from the beginning of the Company’s fiscal year 2002 and thereafter. Stock options awarded prior to fiscal 2002 will continue to be accounted for under the intrinsic value method under Accounting Principles Board Opinion No. 25, “Accounting for Stock Issued to Employees.”</w:t>
      </w:r>
    </w:p>
    <w:p>
      <w:pPr>
        <w:spacing w:after="0" w:line="21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No stock options have been awarded in fiscal year 2002 through the end of the second quarter; therefore, this change in accounting method has had no impact on the Company’s reported results of operations in 2002. The impact on the Company’s overall 2002 operating results is not expected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1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discussed above, the Company adopted SFAS 142 effective on the first day of its 2002 fiscal year. All operating income comparisons presented below are on a pro forma basis as if SFAS 142 had been adopted at the beginning of 2001. Therefore, 2001 pro forma operating results exclude amortization charges of goodwill and certain other intangible assets that are no longer amortized under SFAS 142.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Comparisons</w:t>
      </w:r>
    </w:p>
    <w:p>
      <w:pPr>
        <w:spacing w:after="0" w:line="23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Net income for the second quarter of 2002 was $51.1 million ($5.34 per share), up from net income of $14.5 million ($1.50 per share) in the second quarter of last year.</w:t>
      </w:r>
    </w:p>
    <w:p>
      <w:pPr>
        <w:spacing w:after="0" w:line="2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Results for the second quarter of 2002 include net losses on the write-down of certain investments ($3.3 million, or $0.34 per share) and an early retirement program charge at Newsweek ($1.6 million, or $0.17 per share). Results for the second quarter of 2001 include losses on the write-down of a non-operating parcel of land and certain investments to their estimated fair value (totaling $4.7 million, or $0.50 per share) and a charge of $13.9 million, or $1.45 per share, for amortization of goodwill and certain other intangible assets that are no longer amortized under SFAS 142. Excluding these items, net income for the second quarter of 2002 totaled $56.0 million, or $5.85 per share, compared to net income of $33.1 million, or $3.45 per share, for the second quarter of 2001. Second quarter 2002 earnings benefited from improved results at all five of the Company’s divisions, with significant increases at The Washing ton Post newspaper and at the Company’s education and cable divisions. These factors were offset in part by increased depreciation expense, a reduced net pension credit, an early retirement program charge at Newsweek and higher stock-based compensation expense accruals at the education division.</w:t>
      </w:r>
    </w:p>
    <w:p>
      <w:pPr>
        <w:spacing w:after="0" w:line="215"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Revenue for the second quarter of 2002 was $647.7 million, up 7 percent from $603.9 million in 2001. Advertising revenue increased 1 percent compared to last year. Circulation and subscriber revenue and education revenue increased 5 percent and 25 percent, respectively.</w:t>
      </w:r>
    </w:p>
    <w:p>
      <w:pPr>
        <w:spacing w:after="0" w:line="16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1 percent increase in advertising revenue is the result of modest growth at the television broadcasting division, relatively flat print advertising revenue at The Post, and a decline in Newsweek advertising revenue. The advertising climate at the newspaper and magazine publishing divisions continues to be soft.</w:t>
      </w:r>
    </w:p>
    <w:p>
      <w:pPr>
        <w:sectPr>
          <w:pgSz w:w="11900" w:h="16838" w:orient="portrait"/>
          <w:cols w:equalWidth="0" w:num="1">
            <w:col w:w="11400"/>
          </w:cols>
          <w:pgMar w:left="240" w:top="426" w:right="259" w:bottom="11" w:gutter="0" w:footer="0" w:header="0"/>
        </w:sectPr>
      </w:pPr>
    </w:p>
    <w:bookmarkStart w:id="9" w:name="page10"/>
    <w:bookmarkEnd w:id="9"/>
    <w:p>
      <w:pPr>
        <w:ind w:right="120"/>
        <w:spacing w:after="0" w:line="239" w:lineRule="auto"/>
        <w:rPr>
          <w:sz w:val="20"/>
          <w:szCs w:val="20"/>
          <w:color w:val="auto"/>
        </w:rPr>
      </w:pPr>
      <w:r>
        <w:rPr>
          <w:rFonts w:ascii="Arial" w:cs="Arial" w:eastAsia="Arial" w:hAnsi="Arial"/>
          <w:sz w:val="18"/>
          <w:szCs w:val="18"/>
          <w:color w:val="auto"/>
        </w:rPr>
        <w:t>The 5 percent improvement in circulation and subscriber revenue is attributable to growth in subscriber revenues at Cable One, from rapid growth in cable modem and digital service revenues.</w:t>
      </w:r>
    </w:p>
    <w:p>
      <w:pPr>
        <w:spacing w:after="0" w:line="209"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The 25 percent increase in education revenue is due to revenue growth in all of Kaplan’s lines of business, particularly the traditional test preparation business and the fixed-facility colleges that were formerly part of Quest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Costs and expenses for the second quarter of 2002, excluding amortization of goodwill and other intangibles, increased 2 percent to $537.1 million, from $527.4 million in 2001. The increase is due to a $2.7 million pre-tax charge from an early retirement program at Newsweek, higher stock-based compensation expense accruals at the education division, increased depreciation expense, and a reduced net pension credit. These factors were partially offset by a 30 percent decrease in newsprint expense and general cost control measures employed throughout the Company.</w:t>
      </w:r>
    </w:p>
    <w:p>
      <w:pPr>
        <w:spacing w:after="0" w:line="211"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 increase in depreciation expense occurred mainly at the cable division, where capital spending in 2001 and 2000 has enabled the cable division to offer digital and broadband cable services to its subscribers.</w:t>
      </w:r>
    </w:p>
    <w:p>
      <w:pPr>
        <w:spacing w:after="0" w:line="20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Company’s expenses for the second quarter of 2002 were reduced by $16.1 million of net pension credits, compared to $19.9 million in the second quarter of 2001. At December 30, 2001, the Company modified certain assumptions surrounding the Company’s pension plans. Specifically, the Company reduced its assumptions on discount rate from 7.5 percent to 7.0 percent and expected return on plan assets from 9.0 percent to 7.5 percent. These assumption changes result in a reduction of approximately $5.5 million in the Company’s net pension credit each quarter. Management expects the 2002 annual net pension credit to approximate $65 million, compared to $76.9 million in 2001, excluding charges related to early retirement programs.</w:t>
      </w:r>
    </w:p>
    <w:p>
      <w:pPr>
        <w:spacing w:after="0" w:line="21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Operating income for the quarter increased 45 percent to $110.4 million, from $76.4 million in 2001, adjusted as if SFAS 142 had been adopted at the beginning of 2001.</w:t>
      </w:r>
    </w:p>
    <w:p>
      <w:pPr>
        <w:spacing w:after="0" w:line="18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color w:val="auto"/>
        </w:rPr>
        <w:t>Newspaper Publishing Division</w:t>
      </w:r>
      <w:r>
        <w:rPr>
          <w:rFonts w:ascii="Arial" w:cs="Arial" w:eastAsia="Arial" w:hAnsi="Arial"/>
          <w:sz w:val="18"/>
          <w:szCs w:val="18"/>
          <w:color w:val="auto"/>
        </w:rPr>
        <w:t>. Newspaper publishing division revenue totaled $215.1 million for the second quarter of 2002, an increase of 1</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from revenue of $212.8 million in the second quarter of 2001. Division operating income for the second quarter increased 59 percent to $37.8 million, from pro forma operating income of $23.8 million in the second quarter of 2001. The increase in operating income for the second quarter is due to an increase in print advertising, cost control initiatives employed throughout the division, and a 30 percent decrease in newsprint expense, offset by a reduced pension credit.</w:t>
      </w:r>
    </w:p>
    <w:p>
      <w:pPr>
        <w:spacing w:after="0" w:line="20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Print advertising at The Washington Post newspaper in the second quarter increased to $143.7 million, from $142.0 million in 2001. The relatively flat print advertising revenues for the second quarter of 2002 were the result of higher revenue from several advertising categories, including preprints, general and other classified advertising, offset by a continued decline in recruitment advertising revenue, with volume decreases of 29 percent in the second quarter.</w:t>
      </w:r>
    </w:p>
    <w:p>
      <w:pPr>
        <w:spacing w:after="0" w:line="20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Revenue generated by the Company’s online publishing activities, primarily washingtonpost.com, totaled $8.7 million for the second quarter of 2002, versus $8.2 million for 2001. Local and national online advertising revenues grew 56 percent for the second quarter, however, revenues at WashingtonJobs.com were flat in the second quarter due to the weak employment market.</w:t>
      </w:r>
    </w:p>
    <w:p>
      <w:pPr>
        <w:spacing w:after="0" w:line="186"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3 percent in the second quarter of 2002 to $86.1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from $83.7 million in 2001, primarily due to an increase in political advertising, offset by a reduction in network compensation due to a new network affiliation agreement with NBC, which goes through 2011. Operating income for the second quarter increased 5 percent to $43.5 million from pro forma operating income of $41.3 million for the second quarter of 2001. Operating income growth for the second quarter of 2002 is due to modest revenue growth and tight cost controls, partially offset by a reduced pension credit.</w:t>
      </w:r>
    </w:p>
    <w:p>
      <w:pPr>
        <w:spacing w:after="0" w:line="20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April 2002, the Company announced that its network affiliation with CBS at WJXT in Jacksonville, Florida, would end. On July 15, 2002, WJXT began operations as an independent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15.</w:t>
      </w:r>
    </w:p>
    <w:p>
      <w:pPr>
        <w:spacing w:after="0" w:line="203" w:lineRule="exact"/>
        <w:rPr>
          <w:sz w:val="20"/>
          <w:szCs w:val="20"/>
          <w:color w:val="auto"/>
        </w:rPr>
      </w:pPr>
    </w:p>
    <w:p>
      <w:pPr>
        <w:jc w:val="both"/>
        <w:ind w:right="260"/>
        <w:spacing w:after="0" w:line="273"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$88.9 million for the second quarter of 2002, a 3 percent</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 from $91.5 million for the second quarter of 2001, primarily due to lower advertising revenue at Newsweek. Operating income totaled $13.3 million for the second quarter of 2002, a 30 percent increase from pro forma operating income of $10.2 million in the second quarter of</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2001. Excluding the $2.7 million pre-tax charge in connection with an early retirement program at Newsweek, operating income increased 56 percent to $15.9 million due to a decline in overall operating expenses, including a reduction in magazine paper rates and subscription costs, offset by lower revenues and a reduced pension credit.</w:t>
      </w:r>
    </w:p>
    <w:p>
      <w:pPr>
        <w:spacing w:after="0" w:line="186" w:lineRule="exact"/>
        <w:rPr>
          <w:sz w:val="20"/>
          <w:szCs w:val="20"/>
          <w:color w:val="auto"/>
        </w:rPr>
      </w:pPr>
    </w:p>
    <w:p>
      <w:pPr>
        <w:jc w:val="both"/>
        <w:ind w:right="200"/>
        <w:spacing w:after="0" w:line="249"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$108.0 million for the second quarter of 2002 represents a 12 percent increase over 2001</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revenue of $96.5 million. The 2002 revenue increase is principally due to rapid growth in the division’s cable modem and digital service revenues.</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Cable division cash flow (operating income excluding depreciation and amortization expense) totaled $42.5 million for the second quarter of 2002, an increase of 31 percent from $32.4 million for the second quarter of 2001. Cable division operating income for the second quarter increased 40 percent from pro forma operating income of $15.5 million for the second quarter of 2001. The increase in operating income is due mostly to the division’s significant revenue growth, offset by higher depreciation expense and increased programming expense.</w:t>
      </w:r>
    </w:p>
    <w:p>
      <w:pPr>
        <w:spacing w:after="0" w:line="20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increase in depreciation expense is due to significant capital spending, primarily in 2001 and 2000, which has enabled the cable division to offer digital and broadband cable services to its subscribers. The cable division began its rollout plan for these services in the third quarter of 2000. At June 30, 2002, the cable division had approximately 232,800 digital cable subscribers, representing a 33 percent penetration of the subscriber base in the markets where digital services are offered. Digital services are currently offered in markets serving 97 percent of the cable division’s subscriber base. The rollout plan for the new digital cable services included an offer for the cable division’s customers to obtain these services free for one year. At June 30, 2002, the cable division had about 94,000 paying digital subscribers, including 15,600 paying digital</w:t>
      </w:r>
    </w:p>
    <w:p>
      <w:pPr>
        <w:sectPr>
          <w:pgSz w:w="11900" w:h="16838" w:orient="portrait"/>
          <w:cols w:equalWidth="0" w:num="1">
            <w:col w:w="11400"/>
          </w:cols>
          <w:pgMar w:left="240" w:top="143" w:right="259" w:bottom="0" w:gutter="0" w:footer="0" w:header="0"/>
        </w:sectPr>
      </w:pPr>
    </w:p>
    <w:bookmarkStart w:id="10" w:name="page11"/>
    <w:bookmarkEnd w:id="10"/>
    <w:p>
      <w:pPr>
        <w:ind w:right="200"/>
        <w:spacing w:after="0" w:line="238" w:lineRule="auto"/>
        <w:rPr>
          <w:sz w:val="20"/>
          <w:szCs w:val="20"/>
          <w:color w:val="auto"/>
        </w:rPr>
      </w:pPr>
      <w:r>
        <w:rPr>
          <w:rFonts w:ascii="Arial" w:cs="Arial" w:eastAsia="Arial" w:hAnsi="Arial"/>
          <w:sz w:val="18"/>
          <w:szCs w:val="18"/>
          <w:color w:val="auto"/>
        </w:rPr>
        <w:t>subscribers in Idaho systems that it had ass umed from the cable exchange transactions completed in the first quarter of 2001 and who were not offered one-year free digital service by the prior owner. The benefits from these services began to show in the first quarter of 2002 and are expected to continue throughout the year, with the remaining portion of free one-year periods generally ending later in 2002.</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June 30, 2002, the cable division had 736,100 basic subscribers, compared to 758,000 at the end of June 2001, with the decrease due primarily to the difficult economic environment over the past year; basic customer disconnects for non-payment of bills have increased significantly. At June 30, 2002, the cable division had 60,600 CableONE.net service subscribers, compared to 32,800 at the end of June 2001, due to a large increase in the Company’s cable modem deployment (offered to 91 percent of homes passed at the end of June 2002) and subscriber penetration rates. Of these subscribers, 56,000 and 19,000 were cable modem subscribers at the end of the second quarter of 2002 and 2001, respectively, with the remainder being dial-up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16.</w:t>
      </w:r>
    </w:p>
    <w:p>
      <w:pPr>
        <w:spacing w:after="0" w:line="203"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$149.7 million for the second quarter of 2002, a 25 percent increase over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$119.4 million for the same period of 2001. Including the charges for stock options held by Kaplan management, Kaplan reported operating income for the second quarter of $0.6 million, compared to a pro forma operating loss of $7.8 million for the second quarter of 2001. Excluding these charges, Kaplan operating earnings were $10.6 million for the second quarter of 2002, compared to operating losses of $0.6 million for the second quarter of 2001. A summary of second quarter operating results, excluding goodwill amortization in 2001, is as follows:</w:t>
      </w:r>
    </w:p>
    <w:p>
      <w:pPr>
        <w:spacing w:after="0" w:line="178" w:lineRule="exact"/>
        <w:rPr>
          <w:sz w:val="20"/>
          <w:szCs w:val="20"/>
          <w:color w:val="auto"/>
        </w:rPr>
      </w:pPr>
    </w:p>
    <w:tbl>
      <w:tblPr>
        <w:tblLayout w:type="fixed"/>
        <w:tblInd w:w="214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7"/>
          </w:tcPr>
          <w:p>
            <w:pPr>
              <w:jc w:val="right"/>
              <w:ind w:right="380"/>
              <w:spacing w:after="0"/>
              <w:rPr>
                <w:sz w:val="20"/>
                <w:szCs w:val="20"/>
                <w:color w:val="auto"/>
              </w:rPr>
            </w:pPr>
            <w:r>
              <w:rPr>
                <w:rFonts w:ascii="Arial" w:cs="Arial" w:eastAsia="Arial" w:hAnsi="Arial"/>
                <w:sz w:val="18"/>
                <w:szCs w:val="18"/>
                <w:color w:val="auto"/>
              </w:rPr>
              <w:t>Second Quarter</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5"/>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r>
      <w:tr>
        <w:trPr>
          <w:trHeight w:val="388"/>
        </w:trPr>
        <w:tc>
          <w:tcPr>
            <w:tcW w:w="2300" w:type="dxa"/>
            <w:vAlign w:val="bottom"/>
            <w:gridSpan w:val="3"/>
          </w:tcPr>
          <w:p>
            <w:pPr>
              <w:ind w:left="580"/>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24"/>
                <w:szCs w:val="24"/>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2001</w:t>
            </w:r>
          </w:p>
        </w:tc>
        <w:tc>
          <w:tcPr>
            <w:tcW w:w="360" w:type="dxa"/>
            <w:vAlign w:val="bottom"/>
          </w:tcPr>
          <w:p>
            <w:pPr>
              <w:spacing w:after="0"/>
              <w:rPr>
                <w:sz w:val="24"/>
                <w:szCs w:val="24"/>
                <w:color w:val="auto"/>
              </w:rPr>
            </w:pPr>
          </w:p>
        </w:tc>
        <w:tc>
          <w:tcPr>
            <w:tcW w:w="1420" w:type="dxa"/>
            <w:vAlign w:val="bottom"/>
            <w:gridSpan w:val="5"/>
          </w:tcPr>
          <w:p>
            <w:pPr>
              <w:ind w:left="20"/>
              <w:spacing w:after="0"/>
              <w:rPr>
                <w:sz w:val="20"/>
                <w:szCs w:val="20"/>
                <w:color w:val="auto"/>
              </w:rPr>
            </w:pPr>
            <w:r>
              <w:rPr>
                <w:rFonts w:ascii="Arial" w:cs="Arial" w:eastAsia="Arial" w:hAnsi="Arial"/>
                <w:sz w:val="18"/>
                <w:szCs w:val="18"/>
                <w:color w:val="auto"/>
              </w:rPr>
              <w:t>% Change</w:t>
            </w:r>
          </w:p>
        </w:tc>
      </w:tr>
      <w:tr>
        <w:trPr>
          <w:trHeight w:val="466"/>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Revenue</w:t>
            </w:r>
          </w:p>
        </w:tc>
        <w:tc>
          <w:tcPr>
            <w:tcW w:w="158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62"/>
        </w:trPr>
        <w:tc>
          <w:tcPr>
            <w:tcW w:w="2300" w:type="dxa"/>
            <w:vAlign w:val="bottom"/>
            <w:gridSpan w:val="3"/>
          </w:tcPr>
          <w:p>
            <w:pPr>
              <w:ind w:left="100"/>
              <w:spacing w:after="0"/>
              <w:rPr>
                <w:sz w:val="20"/>
                <w:szCs w:val="20"/>
                <w:color w:val="auto"/>
              </w:rPr>
            </w:pPr>
            <w:r>
              <w:rPr>
                <w:rFonts w:ascii="Arial" w:cs="Arial" w:eastAsia="Arial" w:hAnsi="Arial"/>
                <w:sz w:val="18"/>
                <w:szCs w:val="18"/>
                <w:color w:val="auto"/>
              </w:rPr>
              <w:t>Supplemental education</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92,623</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81,826</w:t>
            </w:r>
          </w:p>
        </w:tc>
        <w:tc>
          <w:tcPr>
            <w:tcW w:w="360" w:type="dxa"/>
            <w:vAlign w:val="bottom"/>
          </w:tcPr>
          <w:p>
            <w:pPr>
              <w:spacing w:after="0"/>
              <w:rPr>
                <w:sz w:val="22"/>
                <w:szCs w:val="22"/>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2"/>
                <w:szCs w:val="22"/>
                <w:color w:val="auto"/>
              </w:rPr>
            </w:pPr>
          </w:p>
        </w:tc>
      </w:tr>
      <w:tr>
        <w:trPr>
          <w:trHeight w:val="205"/>
        </w:trPr>
        <w:tc>
          <w:tcPr>
            <w:tcW w:w="2300" w:type="dxa"/>
            <w:vAlign w:val="bottom"/>
            <w:gridSpan w:val="3"/>
          </w:tcPr>
          <w:p>
            <w:pPr>
              <w:ind w:left="100"/>
              <w:spacing w:after="0" w:line="205" w:lineRule="exact"/>
              <w:rPr>
                <w:sz w:val="20"/>
                <w:szCs w:val="20"/>
                <w:color w:val="auto"/>
              </w:rPr>
            </w:pPr>
            <w:r>
              <w:rPr>
                <w:rFonts w:ascii="Arial" w:cs="Arial" w:eastAsia="Arial" w:hAnsi="Arial"/>
                <w:sz w:val="18"/>
                <w:szCs w:val="18"/>
                <w:color w:val="auto"/>
              </w:rPr>
              <w:t>Higher education</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57,072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37,611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360" w:type="dxa"/>
            <w:vAlign w:val="bottom"/>
            <w:tcBorders>
              <w:bottom w:val="single" w:sz="8" w:color="auto"/>
            </w:tcBorders>
            <w:gridSpan w:val="2"/>
          </w:tcPr>
          <w:p>
            <w:pPr>
              <w:jc w:val="right"/>
              <w:ind w:right="60"/>
              <w:spacing w:after="0" w:line="205" w:lineRule="exact"/>
              <w:rPr>
                <w:sz w:val="20"/>
                <w:szCs w:val="20"/>
                <w:color w:val="auto"/>
              </w:rPr>
            </w:pPr>
            <w:r>
              <w:rPr>
                <w:rFonts w:ascii="Arial" w:cs="Arial" w:eastAsia="Arial" w:hAnsi="Arial"/>
                <w:sz w:val="18"/>
                <w:szCs w:val="18"/>
                <w:color w:val="auto"/>
                <w:w w:val="91"/>
              </w:rPr>
              <w:t>+52</w:t>
            </w:r>
          </w:p>
        </w:tc>
        <w:tc>
          <w:tcPr>
            <w:tcW w:w="520" w:type="dxa"/>
            <w:vAlign w:val="bottom"/>
          </w:tcPr>
          <w:p>
            <w:pPr>
              <w:spacing w:after="0"/>
              <w:rPr>
                <w:sz w:val="17"/>
                <w:szCs w:val="17"/>
                <w:color w:val="auto"/>
              </w:rPr>
            </w:pPr>
          </w:p>
        </w:tc>
      </w:tr>
      <w:tr>
        <w:trPr>
          <w:trHeight w:val="223"/>
        </w:trPr>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149,695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119,437</w:t>
            </w:r>
          </w:p>
        </w:tc>
        <w:tc>
          <w:tcPr>
            <w:tcW w:w="360" w:type="dxa"/>
            <w:vAlign w:val="bottom"/>
          </w:tcPr>
          <w:p>
            <w:pPr>
              <w:spacing w:after="0"/>
              <w:rPr>
                <w:sz w:val="19"/>
                <w:szCs w:val="19"/>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r>
      <w:tr>
        <w:trPr>
          <w:trHeight w:val="466"/>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Operating income (loss)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62"/>
        </w:trPr>
        <w:tc>
          <w:tcPr>
            <w:tcW w:w="2300" w:type="dxa"/>
            <w:vAlign w:val="bottom"/>
            <w:gridSpan w:val="3"/>
          </w:tcPr>
          <w:p>
            <w:pPr>
              <w:ind w:left="100"/>
              <w:spacing w:after="0"/>
              <w:rPr>
                <w:sz w:val="20"/>
                <w:szCs w:val="20"/>
                <w:color w:val="auto"/>
              </w:rPr>
            </w:pPr>
            <w:r>
              <w:rPr>
                <w:rFonts w:ascii="Arial" w:cs="Arial" w:eastAsia="Arial" w:hAnsi="Arial"/>
                <w:sz w:val="18"/>
                <w:szCs w:val="18"/>
                <w:color w:val="auto"/>
              </w:rPr>
              <w:t>Supplemental education</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10,989</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5,513</w:t>
            </w:r>
          </w:p>
        </w:tc>
        <w:tc>
          <w:tcPr>
            <w:tcW w:w="360" w:type="dxa"/>
            <w:vAlign w:val="bottom"/>
          </w:tcPr>
          <w:p>
            <w:pPr>
              <w:spacing w:after="0"/>
              <w:rPr>
                <w:sz w:val="22"/>
                <w:szCs w:val="22"/>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22"/>
                <w:szCs w:val="22"/>
                <w:color w:val="auto"/>
              </w:rPr>
            </w:pPr>
          </w:p>
        </w:tc>
      </w:tr>
      <w:tr>
        <w:trPr>
          <w:trHeight w:val="243"/>
        </w:trPr>
        <w:tc>
          <w:tcPr>
            <w:tcW w:w="2300" w:type="dxa"/>
            <w:vAlign w:val="bottom"/>
            <w:gridSpan w:val="3"/>
          </w:tcPr>
          <w:p>
            <w:pPr>
              <w:ind w:left="100"/>
              <w:spacing w:after="0"/>
              <w:rPr>
                <w:sz w:val="20"/>
                <w:szCs w:val="20"/>
                <w:color w:val="auto"/>
              </w:rPr>
            </w:pPr>
            <w:r>
              <w:rPr>
                <w:rFonts w:ascii="Arial" w:cs="Arial" w:eastAsia="Arial" w:hAnsi="Arial"/>
                <w:sz w:val="18"/>
                <w:szCs w:val="18"/>
                <w:color w:val="auto"/>
              </w:rPr>
              <w:t>Higher education</w:t>
            </w:r>
          </w:p>
        </w:tc>
        <w:tc>
          <w:tcPr>
            <w:tcW w:w="72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6"/>
          </w:tcPr>
          <w:p>
            <w:pPr>
              <w:jc w:val="right"/>
              <w:ind w:right="320"/>
              <w:spacing w:after="0"/>
              <w:rPr>
                <w:sz w:val="20"/>
                <w:szCs w:val="20"/>
                <w:color w:val="auto"/>
              </w:rPr>
            </w:pPr>
            <w:r>
              <w:rPr>
                <w:rFonts w:ascii="Arial" w:cs="Arial" w:eastAsia="Arial" w:hAnsi="Arial"/>
                <w:sz w:val="18"/>
                <w:szCs w:val="18"/>
                <w:color w:val="auto"/>
              </w:rPr>
              <w:t>(825)</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r>
      <w:tr>
        <w:trPr>
          <w:trHeight w:val="235"/>
        </w:trPr>
        <w:tc>
          <w:tcPr>
            <w:tcW w:w="2300" w:type="dxa"/>
            <w:vAlign w:val="bottom"/>
            <w:gridSpan w:val="3"/>
          </w:tcPr>
          <w:p>
            <w:pPr>
              <w:ind w:left="100"/>
              <w:spacing w:after="0"/>
              <w:rPr>
                <w:sz w:val="20"/>
                <w:szCs w:val="20"/>
                <w:color w:val="auto"/>
              </w:rPr>
            </w:pPr>
            <w:r>
              <w:rPr>
                <w:rFonts w:ascii="Arial" w:cs="Arial" w:eastAsia="Arial" w:hAnsi="Arial"/>
                <w:sz w:val="18"/>
                <w:szCs w:val="18"/>
                <w:color w:val="auto"/>
              </w:rPr>
              <w:t>Kaplan corporate</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3"/>
        </w:trPr>
        <w:tc>
          <w:tcPr>
            <w:tcW w:w="230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overhead</w:t>
            </w:r>
          </w:p>
        </w:tc>
        <w:tc>
          <w:tcPr>
            <w:tcW w:w="720" w:type="dxa"/>
            <w:vAlign w:val="bottom"/>
          </w:tcPr>
          <w:p>
            <w:pPr>
              <w:spacing w:after="0"/>
              <w:rPr>
                <w:sz w:val="17"/>
                <w:szCs w:val="17"/>
                <w:color w:val="auto"/>
              </w:rPr>
            </w:pPr>
          </w:p>
        </w:tc>
        <w:tc>
          <w:tcPr>
            <w:tcW w:w="980" w:type="dxa"/>
            <w:vAlign w:val="bottom"/>
            <w:gridSpan w:val="6"/>
          </w:tcPr>
          <w:p>
            <w:pPr>
              <w:jc w:val="right"/>
              <w:ind w:right="100"/>
              <w:spacing w:after="0" w:line="202" w:lineRule="exact"/>
              <w:rPr>
                <w:sz w:val="20"/>
                <w:szCs w:val="20"/>
                <w:color w:val="auto"/>
              </w:rPr>
            </w:pPr>
            <w:r>
              <w:rPr>
                <w:rFonts w:ascii="Arial" w:cs="Arial" w:eastAsia="Arial" w:hAnsi="Arial"/>
                <w:sz w:val="18"/>
                <w:szCs w:val="18"/>
                <w:color w:val="auto"/>
              </w:rPr>
              <w:t>(5,314)</w:t>
            </w:r>
          </w:p>
        </w:tc>
        <w:tc>
          <w:tcPr>
            <w:tcW w:w="520" w:type="dxa"/>
            <w:vAlign w:val="bottom"/>
          </w:tcPr>
          <w:p>
            <w:pPr>
              <w:spacing w:after="0"/>
              <w:rPr>
                <w:sz w:val="17"/>
                <w:szCs w:val="17"/>
                <w:color w:val="auto"/>
              </w:rPr>
            </w:pPr>
          </w:p>
        </w:tc>
        <w:tc>
          <w:tcPr>
            <w:tcW w:w="1200" w:type="dxa"/>
            <w:vAlign w:val="bottom"/>
            <w:gridSpan w:val="6"/>
          </w:tcPr>
          <w:p>
            <w:pPr>
              <w:jc w:val="right"/>
              <w:ind w:right="320"/>
              <w:spacing w:after="0" w:line="202" w:lineRule="exact"/>
              <w:rPr>
                <w:sz w:val="20"/>
                <w:szCs w:val="20"/>
                <w:color w:val="auto"/>
              </w:rPr>
            </w:pPr>
            <w:r>
              <w:rPr>
                <w:rFonts w:ascii="Arial" w:cs="Arial" w:eastAsia="Arial" w:hAnsi="Arial"/>
                <w:sz w:val="18"/>
                <w:szCs w:val="18"/>
                <w:color w:val="auto"/>
              </w:rPr>
              <w:t>(5,185)</w:t>
            </w:r>
          </w:p>
        </w:tc>
        <w:tc>
          <w:tcPr>
            <w:tcW w:w="1420" w:type="dxa"/>
            <w:vAlign w:val="bottom"/>
            <w:gridSpan w:val="5"/>
          </w:tcPr>
          <w:p>
            <w:pPr>
              <w:jc w:val="right"/>
              <w:ind w:right="520"/>
              <w:spacing w:after="0" w:line="202" w:lineRule="exact"/>
              <w:rPr>
                <w:sz w:val="20"/>
                <w:szCs w:val="20"/>
                <w:color w:val="auto"/>
              </w:rPr>
            </w:pPr>
            <w:r>
              <w:rPr>
                <w:rFonts w:ascii="Arial" w:cs="Arial" w:eastAsia="Arial" w:hAnsi="Arial"/>
                <w:sz w:val="18"/>
                <w:szCs w:val="18"/>
                <w:color w:val="auto"/>
              </w:rPr>
              <w:t>(2)</w:t>
            </w:r>
          </w:p>
        </w:tc>
      </w:tr>
      <w:tr>
        <w:trPr>
          <w:trHeight w:val="172"/>
        </w:trPr>
        <w:tc>
          <w:tcPr>
            <w:tcW w:w="2300" w:type="dxa"/>
            <w:vAlign w:val="bottom"/>
            <w:gridSpan w:val="3"/>
          </w:tcPr>
          <w:p>
            <w:pPr>
              <w:ind w:left="100"/>
              <w:spacing w:after="0" w:line="172"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760" w:type="dxa"/>
            <w:vAlign w:val="bottom"/>
            <w:gridSpan w:val="4"/>
          </w:tcPr>
          <w:p>
            <w:pPr>
              <w:jc w:val="right"/>
              <w:ind w:right="100"/>
              <w:spacing w:after="0" w:line="172" w:lineRule="exact"/>
              <w:rPr>
                <w:sz w:val="20"/>
                <w:szCs w:val="20"/>
                <w:color w:val="auto"/>
              </w:rPr>
            </w:pPr>
            <w:r>
              <w:rPr>
                <w:rFonts w:ascii="Arial" w:cs="Arial" w:eastAsia="Arial" w:hAnsi="Arial"/>
                <w:sz w:val="18"/>
                <w:szCs w:val="18"/>
                <w:color w:val="auto"/>
                <w:w w:val="95"/>
              </w:rPr>
              <w:t>(10,116)</w:t>
            </w:r>
          </w:p>
        </w:tc>
        <w:tc>
          <w:tcPr>
            <w:tcW w:w="520" w:type="dxa"/>
            <w:vAlign w:val="bottom"/>
          </w:tcPr>
          <w:p>
            <w:pPr>
              <w:spacing w:after="0"/>
              <w:rPr>
                <w:sz w:val="14"/>
                <w:szCs w:val="14"/>
                <w:color w:val="auto"/>
              </w:rPr>
            </w:pPr>
          </w:p>
        </w:tc>
        <w:tc>
          <w:tcPr>
            <w:tcW w:w="1200" w:type="dxa"/>
            <w:vAlign w:val="bottom"/>
            <w:gridSpan w:val="6"/>
          </w:tcPr>
          <w:p>
            <w:pPr>
              <w:jc w:val="right"/>
              <w:ind w:right="320"/>
              <w:spacing w:after="0" w:line="172" w:lineRule="exact"/>
              <w:rPr>
                <w:sz w:val="20"/>
                <w:szCs w:val="20"/>
                <w:color w:val="auto"/>
              </w:rPr>
            </w:pPr>
            <w:r>
              <w:rPr>
                <w:rFonts w:ascii="Arial" w:cs="Arial" w:eastAsia="Arial" w:hAnsi="Arial"/>
                <w:sz w:val="18"/>
                <w:szCs w:val="18"/>
                <w:color w:val="auto"/>
              </w:rPr>
              <w:t>(7,317)</w:t>
            </w:r>
          </w:p>
        </w:tc>
        <w:tc>
          <w:tcPr>
            <w:tcW w:w="1420" w:type="dxa"/>
            <w:vAlign w:val="bottom"/>
            <w:gridSpan w:val="5"/>
          </w:tcPr>
          <w:p>
            <w:pPr>
              <w:jc w:val="right"/>
              <w:ind w:right="520"/>
              <w:spacing w:after="0" w:line="172" w:lineRule="exact"/>
              <w:rPr>
                <w:sz w:val="20"/>
                <w:szCs w:val="20"/>
                <w:color w:val="auto"/>
              </w:rPr>
            </w:pPr>
            <w:r>
              <w:rPr>
                <w:rFonts w:ascii="Arial" w:cs="Arial" w:eastAsia="Arial" w:hAnsi="Arial"/>
                <w:sz w:val="18"/>
                <w:szCs w:val="18"/>
                <w:color w:val="auto"/>
              </w:rPr>
              <w:t>(38)</w:t>
            </w:r>
          </w:p>
        </w:tc>
      </w:tr>
      <w:tr>
        <w:trPr>
          <w:trHeight w:val="20"/>
        </w:trPr>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2"/>
        </w:trPr>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6"/>
          </w:tcPr>
          <w:p>
            <w:pPr>
              <w:jc w:val="right"/>
              <w:ind w:right="320"/>
              <w:spacing w:after="0"/>
              <w:rPr>
                <w:sz w:val="20"/>
                <w:szCs w:val="20"/>
                <w:color w:val="auto"/>
              </w:rPr>
            </w:pPr>
            <w:r>
              <w:rPr>
                <w:rFonts w:ascii="Arial" w:cs="Arial" w:eastAsia="Arial" w:hAnsi="Arial"/>
                <w:sz w:val="18"/>
                <w:szCs w:val="18"/>
                <w:color w:val="auto"/>
              </w:rPr>
              <w:t>(7,814)</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r>
      <w:tr>
        <w:trPr>
          <w:trHeight w:val="215"/>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5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-2389505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-2389505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356235</wp:posOffset>
            </wp:positionV>
            <wp:extent cx="145351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35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140" w:right="2240"/>
        <w:spacing w:after="0" w:line="239" w:lineRule="auto"/>
        <w:rPr>
          <w:sz w:val="20"/>
          <w:szCs w:val="20"/>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209"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The improvement in supplemental education results for the second quarter is due mostly to higher enrollments and to a lesser extent higher prices at Kaplan’s traditional test preparation business (particularly the LSAT, MCAT and GRE prep courses), as well as higher revenues and profits from Kaplan’s CFA and real estate exam preparation services. Score! also contributed to the improved results, with increased enrollment from new learning centers opened later in 2001 (148 centers at the end of June 2002, versus 145 centers at the end of June 2001), higher prices and strong cost controls.</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Higher education includes all of Kaplan’s post-secondary education businesses, including the fixed-facility colleges that were formerly part of Quest Education, as well as online post-secondary and career programs (various distance learning businesses). Higher education results are showing significant growth due to student enrollment increases, high student retention rates, and as a result of several acquisitions.</w:t>
      </w:r>
    </w:p>
    <w:p>
      <w:pPr>
        <w:spacing w:after="0" w:line="208"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w:t>
      </w:r>
    </w:p>
    <w:p>
      <w:pPr>
        <w:spacing w:after="0" w:line="209"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increase in other expense for 2002 is attributable to an increase in stock-based incentive compensation, which is due to an increase in Kaplan’s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17.</w:t>
      </w:r>
    </w:p>
    <w:p>
      <w:pPr>
        <w:spacing w:after="0" w:line="20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The Company’s equity in losses of affiliates for the second quarter of 2002 was $9.2 million, compared to losses</w:t>
      </w:r>
      <w:r>
        <w:rPr>
          <w:rFonts w:ascii="Arial" w:cs="Arial" w:eastAsia="Arial" w:hAnsi="Arial"/>
          <w:sz w:val="18"/>
          <w:szCs w:val="18"/>
          <w:b w:val="1"/>
          <w:bCs w:val="1"/>
          <w:color w:val="auto"/>
        </w:rPr>
        <w:t xml:space="preserve"> </w:t>
      </w:r>
      <w:r>
        <w:rPr>
          <w:rFonts w:ascii="Arial" w:cs="Arial" w:eastAsia="Arial" w:hAnsi="Arial"/>
          <w:sz w:val="18"/>
          <w:szCs w:val="18"/>
          <w:color w:val="auto"/>
        </w:rPr>
        <w:t>of $6.6 million for the second quarter of 2001. The Company’s affiliate investments consist of a 49 percent interest in BrassRing LLC, a 50 percent interest in the International Herald Tribune, and a 49 percent interest in Bowater Mersey Paper Company Limited. BrassRing accounted for approximately $6.5 million of the 2002 second quarter equity in losses of affiliates compared to $8.3 million in equity losses for the same period of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Non-Operating Items. </w:t>
      </w:r>
      <w:r>
        <w:rPr>
          <w:rFonts w:ascii="Arial" w:cs="Arial" w:eastAsia="Arial" w:hAnsi="Arial"/>
          <w:sz w:val="18"/>
          <w:szCs w:val="18"/>
          <w:color w:val="auto"/>
        </w:rPr>
        <w:t>The Company recorded other non-operating expense, net, of $6.0 million for the second quarter of 2002, compared to</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$10.7 million of non-operating expense, net, in the second quarter of 2001. The 2002 non-operating expense includes charges for the write-down</w:t>
      </w:r>
    </w:p>
    <w:p>
      <w:pPr>
        <w:sectPr>
          <w:pgSz w:w="11900" w:h="16838" w:orient="portrait"/>
          <w:cols w:equalWidth="0" w:num="1">
            <w:col w:w="11420"/>
          </w:cols>
          <w:pgMar w:left="240" w:top="143" w:right="239" w:bottom="0" w:gutter="0" w:footer="0" w:header="0"/>
        </w:sectPr>
      </w:pPr>
    </w:p>
    <w:bookmarkStart w:id="11" w:name="page12"/>
    <w:bookmarkEnd w:id="11"/>
    <w:p>
      <w:pPr>
        <w:ind w:right="180"/>
        <w:spacing w:after="0" w:line="239" w:lineRule="auto"/>
        <w:rPr>
          <w:sz w:val="20"/>
          <w:szCs w:val="20"/>
          <w:color w:val="auto"/>
        </w:rPr>
      </w:pPr>
      <w:r>
        <w:rPr>
          <w:rFonts w:ascii="Arial" w:cs="Arial" w:eastAsia="Arial" w:hAnsi="Arial"/>
          <w:sz w:val="18"/>
          <w:szCs w:val="18"/>
          <w:color w:val="auto"/>
        </w:rPr>
        <w:t>of certain investments; the 2001 non-operating expense includes charges for the write-down of certain investments and a parcel of non-operating land to their estimated fair value.</w:t>
      </w:r>
    </w:p>
    <w:p>
      <w:pPr>
        <w:spacing w:after="0" w:line="187" w:lineRule="exact"/>
        <w:rPr>
          <w:sz w:val="20"/>
          <w:szCs w:val="20"/>
          <w:color w:val="auto"/>
        </w:rPr>
      </w:pPr>
    </w:p>
    <w:p>
      <w:pPr>
        <w:jc w:val="both"/>
        <w:ind w:right="220"/>
        <w:spacing w:after="0" w:line="249"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$8.7 million for the second quarter of 2002, compared to $12.2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of 2001. The reduction is due to both lower average borrowings and lower interest rates. At June 30, 2002, the Company had $806.2 million in borrowings outstanding at an average interest rate of 3.7 percent.</w:t>
      </w:r>
    </w:p>
    <w:p>
      <w:pPr>
        <w:spacing w:after="0" w:line="180"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second quarter of 2002 was 40.9 percent, compared to 46.4 percent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2001. The effective tax rate for 2002 has declined because the Company no longer has any permanent difference from goodwill amortization not deductible for tax purposes as a result of the adoption of SFAS 142.</w:t>
      </w:r>
    </w:p>
    <w:p>
      <w:pPr>
        <w:spacing w:after="0" w:line="18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second quarter of 2002 was based on 9,521,000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outstanding compared to 9,502,000 for the second quarter of 2001. The Company made no significant repurchases of its stock during the second quarter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Comparisons</w:t>
      </w:r>
    </w:p>
    <w:p>
      <w:pPr>
        <w:spacing w:after="0" w:line="23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Company completed its SFAS 142 transitional goodwill impairment test during the second quarter of 2002, resulting in an impairment loss related to its magazine division of $12.1 million, or $1.27 per share. As required under SFAS 142, the transitional goodwill impairment loss is recognized as a cumulative effect of change in accounting principle and is reported on a retroactive basis in the first quarter of 2002. Therefore, the loss is included in the Company’s year-to-date results for the six months ended June 30, 2002.</w:t>
      </w:r>
    </w:p>
    <w:p>
      <w:pPr>
        <w:spacing w:after="0" w:line="2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For the first six months of 2002, net income totaled $62.8 million ($6.51 per share), compared with net income of $213.5 million ($22.39 per share) for the same period of 2001. Results for the first six months of 2002 include the transitional goodwill impairment loss discussed above ($12.1 million, or $1.27 per share), charges from early retirement programs at Newsweek ($7.7 million, or $0.81 per share), and a net non-operating gain from the sale of marketable securities ($0.6 million, or $0.06 per share). Results for the first six months of 2001 include net non-operating gains, principally from the sale and exchange of certain cable systems ($184.7 million, or $19.44 per share), and a charge of $26.1 million, or $2.75 per share, for amortization of goodwill and other intangible assets that are no longer amortized under SFAS 142. Excluding these items, net income for the first six months of 2002 totaled $82.0 million, or $8.53 per share, compared to net income of $54.9 million, or $5.70 per share, for the first six months of 2001. Consistent with the Company’s results for the second quarter of 2002, the Company’s year-to-date results benefited from improved operating results at the education and cable divisions, along with improved earnings at The Washington Post newspaper in the second quarter. These factors were offset in part by increased depreciation expense, a reduced net pension credit, and higher stock-based compensation expense accruals at the education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Revenue for the first half of 2002 was $1,248.0 million, up 5 percent over revenue of $1,190.3 million for the first six months of 2001. Advertising revenue decreased 3 percent compared to last year. Circulation and subscriber revenue and education revenue increased 7 percent and 23 percent, respectively. The decline in advertising revenue is primarily attributable to a $22.1 million (or 37 percent) decline in classified recruitment advertising revenue at The Washington Post. The 7 percent improvement in circulation and subscriber revenue is attributable to growth in subscriber revenues at Cable One, from rapid growth in cable modem and digital service revenues. The 23 percent increase in education revenue is due to revenue growth in all of Kaplan’s lines of business, particularly the traditional test preparation business and the fixed-facility colleges that were formerly part of Quest Education.</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Costs and expenses for the first six months of 2002, excluding amortization of goodwill and other intangibles, increased 3 percent to $1,088.4 million, from $1,053.4 million in 2001. The increase is due to $13.0 million in pre-tax charges from early retirement programs at Newsweek, higher stock-based compensation expense accruals at the education division, increased depreciation expense, and a reduced net pension credit. These factors were partially offset by a 25 percent decrease in newsprint expense and general cost control measures employed throughout the Company.</w:t>
      </w:r>
    </w:p>
    <w:p>
      <w:pPr>
        <w:spacing w:after="0" w:line="21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Company’s expenses were reduced for the first six months of 2002 by $32.2 million of net pension credits, compared to $39.8 million during the first six months of 2001.</w:t>
      </w:r>
    </w:p>
    <w:p>
      <w:pPr>
        <w:spacing w:after="0" w:line="209" w:lineRule="exact"/>
        <w:rPr>
          <w:sz w:val="20"/>
          <w:szCs w:val="20"/>
          <w:color w:val="auto"/>
        </w:rPr>
      </w:pPr>
    </w:p>
    <w:p>
      <w:pPr>
        <w:ind w:right="800"/>
        <w:spacing w:after="0" w:line="299" w:lineRule="auto"/>
        <w:rPr>
          <w:sz w:val="20"/>
          <w:szCs w:val="20"/>
          <w:color w:val="auto"/>
        </w:rPr>
      </w:pPr>
      <w:r>
        <w:rPr>
          <w:rFonts w:ascii="Arial" w:cs="Arial" w:eastAsia="Arial" w:hAnsi="Arial"/>
          <w:sz w:val="16"/>
          <w:szCs w:val="16"/>
          <w:color w:val="auto"/>
        </w:rPr>
        <w:t>Operating income increased 17 percent to $159.3 million, from $136.7 million in 2001. Excluding the $13.0 million pre-tax charges from Newsweek’s early retirement programs, operating income for the first six months of 2002 was $172.3 million, an increase of 26 percent.</w:t>
      </w:r>
    </w:p>
    <w:p>
      <w:pPr>
        <w:spacing w:after="0" w:line="141"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b w:val="1"/>
          <w:bCs w:val="1"/>
          <w:color w:val="auto"/>
        </w:rPr>
        <w:t>Newspaper Publishing Division</w:t>
      </w:r>
      <w:r>
        <w:rPr>
          <w:rFonts w:ascii="Arial" w:cs="Arial" w:eastAsia="Arial" w:hAnsi="Arial"/>
          <w:sz w:val="18"/>
          <w:szCs w:val="18"/>
          <w:color w:val="auto"/>
        </w:rPr>
        <w:t>. Newspaper publishing division revenue decreased 4 percent to $415.8 million for the first six months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from $431.0 million for the first six months of 2001. Division operating income increased 9 percent to $55.4 million for the first six months of 2002, compared to pro forma operating income of $50.6 million for the first six months of 2001. The increase in operating income for the first six months of 2002 is due to increased circulation revenues, a 25 percent decrease in newsprint expense, and cost control initiatives employed throughout the division, offset by a decrease in print advertising revenues and a reduced pension credit.</w:t>
      </w:r>
    </w:p>
    <w:p>
      <w:pPr>
        <w:spacing w:after="0" w:line="20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Print advertising at The Washington Post newspaper decreased 7 percent to $275.3 million for the first six months of 2002, from $294.6 million for the first six months of 2002. The decrease in print advertising revenues for the first six months of 2002 is primarily due to a $22.1 million decline in recruitment advertising revenue, resulting from a 40 percent volume decline, and a continued decline in retail advertising sales and volume. These declines are partially offset by higher revenues from several advertising categories, including preprints and other classified advertising.</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first six months of 2002, Post daily and Sunday circulation declined 0.1 percent and 0.8 percent, respectively, compared to the same period of the prior year. For the six months ended June 30, 2002, average daily circulation at The Post totaled 759,900 and average Sunday circulation totaled 1,059,700.</w:t>
      </w:r>
    </w:p>
    <w:p>
      <w:pPr>
        <w:spacing w:after="0" w:line="208"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Revenue generated by the Company’s online publishing activities totaled $16.2 million for the first six months of 2002, versus $15.4 million for 2001. Local and national online advertising revenues grew 47 percent for the first six months of 2002. However, revenues at WashingtonJobs.com were down 13 percent for the first six months of 2002 due to the weak employment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3" w:right="239" w:bottom="416" w:gutter="0" w:footer="0" w:header="0"/>
        </w:sectPr>
      </w:pPr>
    </w:p>
    <w:bookmarkStart w:id="12" w:name="page13"/>
    <w:bookmarkEnd w:id="12"/>
    <w:p>
      <w:pPr>
        <w:spacing w:after="0" w:line="36"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19.</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for the first six months of 2002 increased 2 percent to $161.5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from $157.9 million in 2001, due to an increase in national advertising, including political, and Olympics-related advertising at the Company’s NBC affiliates in the first quarter of 2002, partially offset by reduced network compensation revenues due to a new network affiliation agreement with NBC, which goes through 2011. Operating income for the first six months of 2002 increased to $77.0 million, from pro forma operating income of $73.4 million for the first six months of 2001. Operating income growth for the first six months of 2002 is due to modest revenue growth and tight cost controls, partially offset by a reduced pension credit.</w:t>
      </w:r>
    </w:p>
    <w:p>
      <w:pPr>
        <w:spacing w:after="0" w:line="190" w:lineRule="exact"/>
        <w:rPr>
          <w:sz w:val="20"/>
          <w:szCs w:val="20"/>
          <w:color w:val="auto"/>
        </w:rPr>
      </w:pPr>
    </w:p>
    <w:p>
      <w:pPr>
        <w:ind w:right="180"/>
        <w:spacing w:after="0"/>
        <w:rPr>
          <w:sz w:val="20"/>
          <w:szCs w:val="20"/>
          <w:color w:val="auto"/>
        </w:rPr>
      </w:pPr>
      <w:r>
        <w:rPr>
          <w:rFonts w:ascii="Arial" w:cs="Arial" w:eastAsia="Arial" w:hAnsi="Arial"/>
          <w:sz w:val="18"/>
          <w:szCs w:val="18"/>
          <w:b w:val="1"/>
          <w:bCs w:val="1"/>
          <w:color w:val="auto"/>
        </w:rPr>
        <w:t xml:space="preserve">Magazine Publishing Division. </w:t>
      </w:r>
      <w:r>
        <w:rPr>
          <w:rFonts w:ascii="Arial" w:cs="Arial" w:eastAsia="Arial" w:hAnsi="Arial"/>
          <w:sz w:val="18"/>
          <w:szCs w:val="18"/>
          <w:color w:val="auto"/>
        </w:rPr>
        <w:t>Revenue for the magazine publishing division totaled $163.9 million for the first six months of 2002, a 6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from $174.9 million for the first six months of 2001, due primarily to lower advertising revenue at Newsweek. Operating income totaled $1.7 million for the first six months of 2002, down from pro forma operating income of $9.4 million for the first six months of 2001. Excluding the $13.0 million in pre-tax charges in connection with early retirement programs at Newsweek, operating income increased 57 percent to $14.7 million, due to a decline in overall operating expenses, including a reduction in magazine paper rates, print and distribution costs and lower subscription costs, offset by lower revenues and a reduced pension credit.</w:t>
      </w:r>
    </w:p>
    <w:p>
      <w:pPr>
        <w:spacing w:after="0" w:line="21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the third quarter of 2002, the Company will record an estimated $3.1 million additional charge in connection with an early retirement program recently offered to certain employees in Newsweek’s international operations.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for the first six months of 2002 increased 13 percent to $210.0 million, from $185.6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2001, due to rapid growth in the division's cable modem and digital service revenues.</w:t>
      </w:r>
    </w:p>
    <w:p>
      <w:pPr>
        <w:spacing w:after="0" w:line="188"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Cable division cash flow (operating income excluding depreciation and amortization expense) for the first six months of 2002 increased 23 percent to $79.1 million, from $64.2 million in 2001. Cable division operating income for the first six months of 2002 increased 22 percent to $37.8 million from pro forma operating income of $30.9 million for the first six months of 2001. The increase in operating income is due mostly to the division’s significant revenue growth, offset by higher depreciation expense and increased programming expense.</w:t>
      </w:r>
    </w:p>
    <w:p>
      <w:pPr>
        <w:spacing w:after="0" w:line="187" w:lineRule="exact"/>
        <w:rPr>
          <w:sz w:val="20"/>
          <w:szCs w:val="20"/>
          <w:color w:val="auto"/>
        </w:rPr>
      </w:pPr>
    </w:p>
    <w:p>
      <w:pPr>
        <w:ind w:right="320"/>
        <w:spacing w:after="0"/>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For the first six months of 2002, education division revenue totaled $296.8 million, a 23 percent increase over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$240.9 million for the same period of 2001. Including the charges for stock options held by Kaplan management, Kaplan reported operating income of $0.1 million for the first six months of 2002, compared to a pro forma operating loss of $14.4 million for the first six months of 2001. Excluding these charges, Kaplan operating earnings were $26.7 million for the first six months of 2002, compared to operating earnings of $0.9 million for the first six months of 2001. Excluding goodwill amortization in 2001, a summary of operating results for the first six months of 2002 compared to 2001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YTD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452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2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720" w:type="dxa"/>
            <w:vAlign w:val="bottom"/>
          </w:tcPr>
          <w:p>
            <w:pPr>
              <w:spacing w:after="0"/>
              <w:rPr>
                <w:sz w:val="24"/>
                <w:szCs w:val="24"/>
                <w:color w:val="auto"/>
              </w:rPr>
            </w:pPr>
          </w:p>
        </w:tc>
        <w:tc>
          <w:tcPr>
            <w:tcW w:w="45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5"/>
          </w:tcPr>
          <w:p>
            <w:pPr>
              <w:jc w:val="right"/>
              <w:ind w:right="1260"/>
              <w:spacing w:after="0"/>
              <w:rPr>
                <w:sz w:val="20"/>
                <w:szCs w:val="20"/>
                <w:color w:val="auto"/>
              </w:rPr>
            </w:pPr>
            <w:r>
              <w:rPr>
                <w:rFonts w:ascii="Arial" w:cs="Arial" w:eastAsia="Arial" w:hAnsi="Arial"/>
                <w:sz w:val="18"/>
                <w:szCs w:val="18"/>
                <w:color w:val="auto"/>
              </w:rPr>
              <w:t>2001</w:t>
            </w:r>
          </w:p>
        </w:tc>
        <w:tc>
          <w:tcPr>
            <w:tcW w:w="1020" w:type="dxa"/>
            <w:vAlign w:val="bottom"/>
            <w:gridSpan w:val="5"/>
          </w:tcPr>
          <w:p>
            <w:pPr>
              <w:jc w:val="right"/>
              <w:ind w:right="180"/>
              <w:spacing w:after="0"/>
              <w:rPr>
                <w:sz w:val="20"/>
                <w:szCs w:val="20"/>
                <w:color w:val="auto"/>
              </w:rPr>
            </w:pPr>
            <w:r>
              <w:rPr>
                <w:rFonts w:ascii="Arial" w:cs="Arial" w:eastAsia="Arial" w:hAnsi="Arial"/>
                <w:sz w:val="18"/>
                <w:szCs w:val="18"/>
                <w:color w:val="auto"/>
                <w:w w:val="97"/>
              </w:rPr>
              <w:t>% Change</w:t>
            </w:r>
          </w:p>
        </w:tc>
        <w:tc>
          <w:tcPr>
            <w:tcW w:w="0" w:type="dxa"/>
            <w:vAlign w:val="bottom"/>
          </w:tcPr>
          <w:p>
            <w:pPr>
              <w:spacing w:after="0"/>
              <w:rPr>
                <w:sz w:val="1"/>
                <w:szCs w:val="1"/>
                <w:color w:val="auto"/>
              </w:rPr>
            </w:pPr>
          </w:p>
        </w:tc>
      </w:tr>
      <w:tr>
        <w:trPr>
          <w:trHeight w:val="466"/>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Revenue</w:t>
            </w:r>
          </w:p>
        </w:tc>
        <w:tc>
          <w:tcPr>
            <w:tcW w:w="452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240" w:type="dxa"/>
            <w:vAlign w:val="bottom"/>
            <w:gridSpan w:val="3"/>
          </w:tcPr>
          <w:p>
            <w:pPr>
              <w:ind w:left="100"/>
              <w:spacing w:after="0"/>
              <w:rPr>
                <w:sz w:val="20"/>
                <w:szCs w:val="20"/>
                <w:color w:val="auto"/>
              </w:rPr>
            </w:pPr>
            <w:r>
              <w:rPr>
                <w:rFonts w:ascii="Arial" w:cs="Arial" w:eastAsia="Arial" w:hAnsi="Arial"/>
                <w:sz w:val="18"/>
                <w:szCs w:val="18"/>
                <w:color w:val="auto"/>
              </w:rPr>
              <w:t>Supplemental education</w:t>
            </w: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$183,373</w:t>
            </w:r>
          </w:p>
        </w:tc>
        <w:tc>
          <w:tcPr>
            <w:tcW w:w="3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5"/>
              </w:rPr>
              <w:t>162,700</w:t>
            </w:r>
          </w:p>
        </w:tc>
        <w:tc>
          <w:tcPr>
            <w:tcW w:w="126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40" w:type="dxa"/>
            <w:vAlign w:val="bottom"/>
            <w:gridSpan w:val="3"/>
          </w:tcPr>
          <w:p>
            <w:pPr>
              <w:ind w:left="100"/>
              <w:spacing w:after="0" w:line="205" w:lineRule="exact"/>
              <w:rPr>
                <w:sz w:val="20"/>
                <w:szCs w:val="20"/>
                <w:color w:val="auto"/>
              </w:rPr>
            </w:pPr>
            <w:r>
              <w:rPr>
                <w:rFonts w:ascii="Arial" w:cs="Arial" w:eastAsia="Arial" w:hAnsi="Arial"/>
                <w:sz w:val="18"/>
                <w:szCs w:val="18"/>
                <w:color w:val="auto"/>
              </w:rPr>
              <w:t>Higher education</w:t>
            </w:r>
          </w:p>
        </w:tc>
        <w:tc>
          <w:tcPr>
            <w:tcW w:w="20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113,403</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right"/>
              <w:ind w:right="1260"/>
              <w:spacing w:after="0" w:line="205" w:lineRule="exact"/>
              <w:rPr>
                <w:sz w:val="20"/>
                <w:szCs w:val="20"/>
                <w:color w:val="auto"/>
              </w:rPr>
            </w:pPr>
            <w:r>
              <w:rPr>
                <w:rFonts w:ascii="Arial" w:cs="Arial" w:eastAsia="Arial" w:hAnsi="Arial"/>
                <w:sz w:val="18"/>
                <w:szCs w:val="18"/>
                <w:color w:val="auto"/>
              </w:rPr>
              <w:t>78,245</w:t>
            </w:r>
          </w:p>
        </w:tc>
        <w:tc>
          <w:tcPr>
            <w:tcW w:w="8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20" w:type="dxa"/>
            <w:vAlign w:val="bottom"/>
            <w:tcBorders>
              <w:right w:val="single" w:sz="8" w:color="auto"/>
            </w:tcBorders>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Borders>
              <w:right w:val="single" w:sz="8" w:color="auto"/>
            </w:tcBorders>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$296,776</w:t>
            </w:r>
          </w:p>
        </w:tc>
        <w:tc>
          <w:tcPr>
            <w:tcW w:w="320" w:type="dxa"/>
            <w:vAlign w:val="bottom"/>
          </w:tcPr>
          <w:p>
            <w:pPr>
              <w:spacing w:after="0"/>
              <w:rPr>
                <w:sz w:val="19"/>
                <w:szCs w:val="19"/>
                <w:color w:val="auto"/>
              </w:rPr>
            </w:pPr>
          </w:p>
        </w:tc>
        <w:tc>
          <w:tcPr>
            <w:tcW w:w="2700" w:type="dxa"/>
            <w:vAlign w:val="bottom"/>
            <w:gridSpan w:val="7"/>
          </w:tcPr>
          <w:p>
            <w:pPr>
              <w:jc w:val="right"/>
              <w:ind w:right="1260"/>
              <w:spacing w:after="0"/>
              <w:rPr>
                <w:sz w:val="20"/>
                <w:szCs w:val="20"/>
                <w:color w:val="auto"/>
              </w:rPr>
            </w:pPr>
            <w:r>
              <w:rPr>
                <w:rFonts w:ascii="Arial" w:cs="Arial" w:eastAsia="Arial" w:hAnsi="Arial"/>
                <w:sz w:val="18"/>
                <w:szCs w:val="18"/>
                <w:color w:val="auto"/>
              </w:rPr>
              <w:t>$240,945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Operating income (loss)</w:t>
            </w:r>
          </w:p>
        </w:tc>
        <w:tc>
          <w:tcPr>
            <w:tcW w:w="3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240" w:type="dxa"/>
            <w:vAlign w:val="bottom"/>
            <w:gridSpan w:val="3"/>
          </w:tcPr>
          <w:p>
            <w:pPr>
              <w:ind w:left="100"/>
              <w:spacing w:after="0"/>
              <w:rPr>
                <w:sz w:val="20"/>
                <w:szCs w:val="20"/>
                <w:color w:val="auto"/>
              </w:rPr>
            </w:pPr>
            <w:r>
              <w:rPr>
                <w:rFonts w:ascii="Arial" w:cs="Arial" w:eastAsia="Arial" w:hAnsi="Arial"/>
                <w:sz w:val="18"/>
                <w:szCs w:val="18"/>
                <w:color w:val="auto"/>
              </w:rPr>
              <w:t>Supplemental education</w:t>
            </w: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$ 24,191</w:t>
            </w:r>
          </w:p>
        </w:tc>
        <w:tc>
          <w:tcPr>
            <w:tcW w:w="3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5"/>
          </w:tcPr>
          <w:p>
            <w:pPr>
              <w:jc w:val="right"/>
              <w:ind w:right="1260"/>
              <w:spacing w:after="0"/>
              <w:rPr>
                <w:sz w:val="20"/>
                <w:szCs w:val="20"/>
                <w:color w:val="auto"/>
              </w:rPr>
            </w:pPr>
            <w:r>
              <w:rPr>
                <w:rFonts w:ascii="Arial" w:cs="Arial" w:eastAsia="Arial" w:hAnsi="Arial"/>
                <w:sz w:val="18"/>
                <w:szCs w:val="18"/>
                <w:color w:val="auto"/>
              </w:rPr>
              <w:t>11,953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gridSpan w:val="3"/>
          </w:tcPr>
          <w:p>
            <w:pPr>
              <w:ind w:left="100"/>
              <w:spacing w:after="0"/>
              <w:rPr>
                <w:sz w:val="20"/>
                <w:szCs w:val="20"/>
                <w:color w:val="auto"/>
              </w:rPr>
            </w:pPr>
            <w:r>
              <w:rPr>
                <w:rFonts w:ascii="Arial" w:cs="Arial" w:eastAsia="Arial" w:hAnsi="Arial"/>
                <w:sz w:val="18"/>
                <w:szCs w:val="18"/>
                <w:color w:val="auto"/>
              </w:rPr>
              <w:t>Higher education</w:t>
            </w: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13,951</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1,419</w:t>
            </w:r>
          </w:p>
        </w:tc>
        <w:tc>
          <w:tcPr>
            <w:tcW w:w="126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3"/>
          </w:tcPr>
          <w:p>
            <w:pPr>
              <w:ind w:left="100"/>
              <w:spacing w:after="0"/>
              <w:rPr>
                <w:sz w:val="20"/>
                <w:szCs w:val="20"/>
                <w:color w:val="auto"/>
              </w:rPr>
            </w:pPr>
            <w:r>
              <w:rPr>
                <w:rFonts w:ascii="Arial" w:cs="Arial" w:eastAsia="Arial" w:hAnsi="Arial"/>
                <w:sz w:val="18"/>
                <w:szCs w:val="18"/>
                <w:color w:val="auto"/>
              </w:rPr>
              <w:t>Kaplan corporate overhead</w:t>
            </w:r>
          </w:p>
        </w:tc>
        <w:tc>
          <w:tcPr>
            <w:tcW w:w="2400" w:type="dxa"/>
            <w:vAlign w:val="bottom"/>
            <w:gridSpan w:val="5"/>
          </w:tcPr>
          <w:p>
            <w:pPr>
              <w:jc w:val="right"/>
              <w:ind w:right="260"/>
              <w:spacing w:after="0"/>
              <w:rPr>
                <w:sz w:val="20"/>
                <w:szCs w:val="20"/>
                <w:color w:val="auto"/>
              </w:rPr>
            </w:pPr>
            <w:r>
              <w:rPr>
                <w:rFonts w:ascii="Arial" w:cs="Arial" w:eastAsia="Arial" w:hAnsi="Arial"/>
                <w:sz w:val="18"/>
                <w:szCs w:val="18"/>
                <w:color w:val="auto"/>
              </w:rPr>
              <w:t>(11,216)</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5"/>
          </w:tcPr>
          <w:p>
            <w:pPr>
              <w:jc w:val="right"/>
              <w:ind w:right="1200"/>
              <w:spacing w:after="0"/>
              <w:rPr>
                <w:sz w:val="20"/>
                <w:szCs w:val="20"/>
                <w:color w:val="auto"/>
              </w:rPr>
            </w:pPr>
            <w:r>
              <w:rPr>
                <w:rFonts w:ascii="Arial" w:cs="Arial" w:eastAsia="Arial" w:hAnsi="Arial"/>
                <w:sz w:val="18"/>
                <w:szCs w:val="18"/>
                <w:color w:val="auto"/>
              </w:rPr>
              <w:t>(12,280)</w:t>
            </w:r>
          </w:p>
        </w:tc>
        <w:tc>
          <w:tcPr>
            <w:tcW w:w="1020" w:type="dxa"/>
            <w:vAlign w:val="bottom"/>
            <w:gridSpan w:val="5"/>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0"/>
        </w:trPr>
        <w:tc>
          <w:tcPr>
            <w:tcW w:w="5240" w:type="dxa"/>
            <w:vAlign w:val="bottom"/>
            <w:gridSpan w:val="3"/>
          </w:tcPr>
          <w:p>
            <w:pPr>
              <w:ind w:left="100"/>
              <w:spacing w:after="0"/>
              <w:rPr>
                <w:sz w:val="20"/>
                <w:szCs w:val="20"/>
                <w:color w:val="auto"/>
              </w:rPr>
            </w:pPr>
            <w:r>
              <w:rPr>
                <w:rFonts w:ascii="Arial" w:cs="Arial" w:eastAsia="Arial" w:hAnsi="Arial"/>
                <w:sz w:val="18"/>
                <w:szCs w:val="18"/>
                <w:color w:val="auto"/>
              </w:rPr>
              <w:t>Other*</w:t>
            </w:r>
          </w:p>
        </w:tc>
        <w:tc>
          <w:tcPr>
            <w:tcW w:w="2400" w:type="dxa"/>
            <w:vAlign w:val="bottom"/>
            <w:gridSpan w:val="5"/>
          </w:tcPr>
          <w:p>
            <w:pPr>
              <w:jc w:val="right"/>
              <w:ind w:right="260"/>
              <w:spacing w:after="0"/>
              <w:rPr>
                <w:sz w:val="20"/>
                <w:szCs w:val="20"/>
                <w:color w:val="auto"/>
              </w:rPr>
            </w:pPr>
            <w:r>
              <w:rPr>
                <w:rFonts w:ascii="Arial" w:cs="Arial" w:eastAsia="Arial" w:hAnsi="Arial"/>
                <w:sz w:val="18"/>
                <w:szCs w:val="18"/>
                <w:color w:val="auto"/>
              </w:rPr>
              <w:t>(26,852)</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5"/>
          </w:tcPr>
          <w:p>
            <w:pPr>
              <w:jc w:val="right"/>
              <w:ind w:right="1200"/>
              <w:spacing w:after="0"/>
              <w:rPr>
                <w:sz w:val="20"/>
                <w:szCs w:val="20"/>
                <w:color w:val="auto"/>
              </w:rPr>
            </w:pPr>
            <w:r>
              <w:rPr>
                <w:rFonts w:ascii="Arial" w:cs="Arial" w:eastAsia="Arial" w:hAnsi="Arial"/>
                <w:sz w:val="18"/>
                <w:szCs w:val="18"/>
                <w:color w:val="auto"/>
              </w:rPr>
              <w:t>(15,481)</w:t>
            </w:r>
          </w:p>
        </w:tc>
        <w:tc>
          <w:tcPr>
            <w:tcW w:w="1020" w:type="dxa"/>
            <w:vAlign w:val="bottom"/>
            <w:gridSpan w:val="5"/>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20" w:type="dxa"/>
            <w:vAlign w:val="bottom"/>
            <w:tcBorders>
              <w:right w:val="single" w:sz="8" w:color="auto"/>
            </w:tcBorders>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5"/>
          </w:tcPr>
          <w:p>
            <w:pPr>
              <w:jc w:val="right"/>
              <w:ind w:right="1200"/>
              <w:spacing w:after="0"/>
              <w:rPr>
                <w:sz w:val="20"/>
                <w:szCs w:val="20"/>
                <w:color w:val="auto"/>
              </w:rPr>
            </w:pPr>
            <w:r>
              <w:rPr>
                <w:rFonts w:ascii="Arial" w:cs="Arial" w:eastAsia="Arial" w:hAnsi="Arial"/>
                <w:sz w:val="18"/>
                <w:szCs w:val="18"/>
                <w:color w:val="auto"/>
              </w:rPr>
              <w:t>(14,389)</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-2372360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-2372360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356235</wp:posOffset>
            </wp:positionV>
            <wp:extent cx="302260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2260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improvement in supplemental education results for the first half of 2002 is due mostly to higher enrollments and to a lesser extent higher prices at Kaplan’s traditional test preparation business (particularly the LSAT, MCAT and GRE prep courses), as well as higher revenues and profits from Kaplan’s CFA and real estate exam preparation services. Score! also contributed to the improved results, with increased enrollment from new learning centers opened later in 2001 (148 centers at the end of June 2002, versus 145 centers at the end of June 2001), higher prices and strong cost controls.</w:t>
      </w:r>
    </w:p>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Higher education results are showing significant growth due to student enrollment increases, high student retention rates, and as a result of several acquisitions.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decrease in the corporate overhead expense category in 2002 is due to decreased spending for educational software design and development initiatives.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other expense for 2002 is due to higher stock-based compensation accruals due to an increase in Kaplan’s estimated value.</w:t>
      </w:r>
    </w:p>
    <w:p>
      <w:pPr>
        <w:spacing w:after="0" w:line="190"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For the first six months of 2002, the Company’s equity in losses of affiliates totaled $15.7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of $19.1 million for the same period of 2001. BrassRing accounted for approximately $10.7 million of the 2002 first six month equity in losses of affiliates compared to $22.4 million in equity losses for the same period of 2001.</w:t>
      </w:r>
    </w:p>
    <w:p>
      <w:pPr>
        <w:sectPr>
          <w:pgSz w:w="11900" w:h="16875" w:orient="portrait"/>
          <w:cols w:equalWidth="0" w:num="1">
            <w:col w:w="11420"/>
          </w:cols>
          <w:pgMar w:left="240" w:top="170" w:right="239" w:bottom="0" w:gutter="0" w:footer="0" w:header="0"/>
        </w:sectPr>
      </w:pPr>
    </w:p>
    <w:bookmarkStart w:id="13" w:name="page14"/>
    <w:bookmarkEnd w:id="13"/>
    <w:p>
      <w:pPr>
        <w:spacing w:after="0" w:line="242" w:lineRule="auto"/>
        <w:rPr>
          <w:sz w:val="20"/>
          <w:szCs w:val="20"/>
          <w:color w:val="auto"/>
        </w:rPr>
      </w:pPr>
      <w:r>
        <w:rPr>
          <w:rFonts w:ascii="Arial" w:cs="Arial" w:eastAsia="Arial" w:hAnsi="Arial"/>
          <w:sz w:val="18"/>
          <w:szCs w:val="18"/>
          <w:b w:val="1"/>
          <w:bCs w:val="1"/>
          <w:color w:val="auto"/>
        </w:rPr>
        <w:t xml:space="preserve">Non-Operating Items. </w:t>
      </w:r>
      <w:r>
        <w:rPr>
          <w:rFonts w:ascii="Arial" w:cs="Arial" w:eastAsia="Arial" w:hAnsi="Arial"/>
          <w:sz w:val="18"/>
          <w:szCs w:val="18"/>
          <w:color w:val="auto"/>
        </w:rPr>
        <w:t>The Company recorded non-operating income, net, of $0.5 million for the first six months of 2002, compared to non-operating income, net, of $298.1 million for the same period of the prior year. The 2002 non-operating income, net, includes a gain on the sale of marketable securities, offset by write-downs recorded on certain investments. The 2001 non-operating income is comprised mostly of gains arising from the sale and exchange of certain cable systems completed in the first quarter of 2001, offset by write-downs recorded on certain investments and the non-operating land as previously discussed.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Expense</w:t>
      </w:r>
      <w:r>
        <w:rPr>
          <w:rFonts w:ascii="Arial" w:cs="Arial" w:eastAsia="Arial" w:hAnsi="Arial"/>
          <w:sz w:val="16"/>
          <w:szCs w:val="16"/>
          <w:color w:val="auto"/>
        </w:rPr>
        <w:t>. The Company incurred net interest expense of $17.5 million for the first six months of 2002, versus $26.5 million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21.</w:t>
      </w:r>
    </w:p>
    <w:p>
      <w:pPr>
        <w:spacing w:after="0" w:line="20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was 40.9 percent versus 39.4 percent for the 2002 and 2001 six month periods,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effect of the cable gain transactions, the Company’s effective tax rate approximated 45.8 percent for the first six months of 2001. The effective tax rate for 2002 has declined because the Company no longer has any permanent difference from goodwill amortization not deductible for tax purposes as a result of the adoption of SFAS 142.</w:t>
      </w:r>
    </w:p>
    <w:p>
      <w:pPr>
        <w:spacing w:after="0" w:line="18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first six months of 2002 was based on 9,516,000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outstanding compared to 9,500,000 for the first six months of 2001. The Company made no significant repurchases of its stock during the first six months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9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six months of 2002, Kaplan acquired several businesses in their higher education and test preparation divisions, totaling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$37.9 million. About $9.5 million remains to be paid on these acquisitions, of which $2.1 million has been classified in current liabilities and $7.4 million as long-term debt at June 30, 2002.</w:t>
      </w:r>
    </w:p>
    <w:p>
      <w:pPr>
        <w:spacing w:after="0" w:line="1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2002, the Company’s capital expenditures totaled $79.6 million. The Company anticipates it</w:t>
      </w:r>
      <w:r>
        <w:rPr>
          <w:rFonts w:ascii="Arial" w:cs="Arial" w:eastAsia="Arial" w:hAnsi="Arial"/>
          <w:sz w:val="18"/>
          <w:szCs w:val="18"/>
          <w:b w:val="1"/>
          <w:bCs w:val="1"/>
          <w:color w:val="auto"/>
        </w:rPr>
        <w:t xml:space="preserve"> </w:t>
      </w:r>
      <w:r>
        <w:rPr>
          <w:rFonts w:ascii="Arial" w:cs="Arial" w:eastAsia="Arial" w:hAnsi="Arial"/>
          <w:sz w:val="18"/>
          <w:szCs w:val="18"/>
          <w:color w:val="auto"/>
        </w:rPr>
        <w:t>will spend approximately $165.0 million throughout 2002 for property and equipment.</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Throughout the first six months of 2002, the Company’s borrowings, net of repayments, decreased by $126.8 million, with the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cash flows from operations.</w:t>
      </w:r>
    </w:p>
    <w:p>
      <w:pPr>
        <w:spacing w:after="0" w:line="18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At June 30, 2002, the Company had $806.2 million in total debt outstanding, which was comprised of $400.0 million of commercial paper borrowings, $398.2 million of 5.5 percent unsecured notes due February 15, 2009, and $8.0 million in other debt. The Company’s five year $500 million revolving credit facility, which expires in March 2003, and one-year $250 million revolving credit facility, which expires in September 2002, support the issuance of the Company’s short-term commercial paper. The Company intends to replace the revolving credit facility agreements prior to their expiration, at which time the Company expects to classify a portion of its commercial paper borrowings as “Long-Term Debt” in its Consolidated Balance Sheet. In early May 2002, Moody’s downgraded the Company’s long-term debt ratings to A1 from Aa3 and affirmed the Company’s short-term debt rating at P-1.</w:t>
      </w:r>
    </w:p>
    <w:p>
      <w:pPr>
        <w:spacing w:after="0" w:line="209"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During the first six months of 2002 and 2001 the Company had average borrowings outstanding of approximately $859.5 million and $968.6 million, respectively, at average annual interest rates of approximately 3.6 percent and 5.4 percent, respectively. During the first six months of 2002 and 2001, the Company incurred net interest expense on borrowings of $17.5 million and $26.5 million, respectively.</w:t>
      </w:r>
    </w:p>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Method - Stock Options</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Effective the first day of the Company’s 2002 fiscal year, the Company has adopted the fair-value-based method of accounting for company stock options as outlined in Statement of Financial Accounting Standards No. 123, “Accounting for Stock-Based Compensation” (SFAS 123). This change in accounting method will be applied prospectively to all awards granted from the beginning of the Company’s fiscal year 2002 and thereafter. Stock options awarded prior to fiscal 2002 will continue to be accounted for under the intrinsic value method under Accounting Principles Board Opinion No. 25, “Accounting for Stock Issued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120"/>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No stock options have been awarded in fiscal year 2002 through the end of the second quarter; therefore, this change in accounting method has had no impact on the Company’s reported results of operations in 2002. The impact on the Company’s overall 2002 operating results is not expected to be material.</w:t>
      </w:r>
    </w:p>
    <w:p>
      <w:pPr>
        <w:spacing w:after="0" w:line="20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accounting treatment for the Company’s Kaplan stock option plan is not impacted by this change in accounting method, as the expense related to the Kaplan stock option plan has been and will continue to be recorded in the Company’s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1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0" w:gutter="0" w:footer="0" w:header="0"/>
          <w:type w:val="continuous"/>
        </w:sectPr>
      </w:pPr>
    </w:p>
    <w:bookmarkStart w:id="14" w:name="page15"/>
    <w:bookmarkEnd w:id="14"/>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At the Company’s May 9, 2002 Annual Meeting of Stockholders, the stockholders elected each of the nominees named in the Company’s proxy statement dated March 28, 2002 to its Board of Directors. The voting results are set forth below:</w:t>
      </w:r>
    </w:p>
    <w:p>
      <w:pPr>
        <w:spacing w:after="0" w:line="242"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Class A Directors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80"/>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8"/>
                <w:szCs w:val="18"/>
                <w:color w:val="auto"/>
                <w:w w:val="95"/>
              </w:rPr>
              <w:t>Votes</w:t>
            </w:r>
          </w:p>
        </w:tc>
        <w:tc>
          <w:tcPr>
            <w:tcW w:w="820" w:type="dxa"/>
            <w:vAlign w:val="bottom"/>
          </w:tcPr>
          <w:p>
            <w:pPr>
              <w:jc w:val="center"/>
              <w:spacing w:after="0"/>
              <w:rPr>
                <w:sz w:val="20"/>
                <w:szCs w:val="20"/>
                <w:color w:val="auto"/>
              </w:rPr>
            </w:pPr>
            <w:r>
              <w:rPr>
                <w:rFonts w:ascii="Arial" w:cs="Arial" w:eastAsia="Arial" w:hAnsi="Arial"/>
                <w:sz w:val="18"/>
                <w:szCs w:val="18"/>
                <w:color w:val="auto"/>
                <w:w w:val="98"/>
              </w:rPr>
              <w:t>Broker</w:t>
            </w:r>
          </w:p>
        </w:tc>
      </w:tr>
      <w:tr>
        <w:trPr>
          <w:trHeight w:val="172"/>
        </w:trPr>
        <w:tc>
          <w:tcPr>
            <w:tcW w:w="980" w:type="dxa"/>
            <w:vAlign w:val="bottom"/>
          </w:tcPr>
          <w:p>
            <w:pPr>
              <w:spacing w:after="0"/>
              <w:rPr>
                <w:sz w:val="14"/>
                <w:szCs w:val="14"/>
                <w:color w:val="auto"/>
              </w:rPr>
            </w:pPr>
          </w:p>
        </w:tc>
        <w:tc>
          <w:tcPr>
            <w:tcW w:w="680" w:type="dxa"/>
            <w:vAlign w:val="bottom"/>
          </w:tcPr>
          <w:p>
            <w:pPr>
              <w:spacing w:after="0" w:line="172" w:lineRule="exact"/>
              <w:rPr>
                <w:sz w:val="20"/>
                <w:szCs w:val="20"/>
                <w:color w:val="auto"/>
              </w:rPr>
            </w:pPr>
            <w:r>
              <w:rPr>
                <w:rFonts w:ascii="Arial" w:cs="Arial" w:eastAsia="Arial" w:hAnsi="Arial"/>
                <w:sz w:val="18"/>
                <w:szCs w:val="18"/>
                <w:color w:val="auto"/>
                <w:w w:val="91"/>
              </w:rPr>
              <w:t>Nominee</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spacing w:after="0" w:line="172" w:lineRule="exact"/>
              <w:rPr>
                <w:sz w:val="20"/>
                <w:szCs w:val="20"/>
                <w:color w:val="auto"/>
              </w:rPr>
            </w:pPr>
            <w:r>
              <w:rPr>
                <w:rFonts w:ascii="Arial" w:cs="Arial" w:eastAsia="Arial" w:hAnsi="Arial"/>
                <w:sz w:val="18"/>
                <w:szCs w:val="18"/>
                <w:color w:val="auto"/>
              </w:rPr>
              <w:t>Votes For</w:t>
            </w:r>
          </w:p>
        </w:tc>
        <w:tc>
          <w:tcPr>
            <w:tcW w:w="1780" w:type="dxa"/>
            <w:vAlign w:val="bottom"/>
            <w:gridSpan w:val="3"/>
          </w:tcPr>
          <w:p>
            <w:pPr>
              <w:jc w:val="center"/>
              <w:ind w:right="500"/>
              <w:spacing w:after="0" w:line="172" w:lineRule="exact"/>
              <w:rPr>
                <w:sz w:val="20"/>
                <w:szCs w:val="20"/>
                <w:color w:val="auto"/>
              </w:rPr>
            </w:pPr>
            <w:r>
              <w:rPr>
                <w:rFonts w:ascii="Arial" w:cs="Arial" w:eastAsia="Arial" w:hAnsi="Arial"/>
                <w:sz w:val="18"/>
                <w:szCs w:val="18"/>
                <w:color w:val="auto"/>
                <w:w w:val="97"/>
              </w:rPr>
              <w:t>Withheld</w:t>
            </w:r>
          </w:p>
        </w:tc>
        <w:tc>
          <w:tcPr>
            <w:tcW w:w="820" w:type="dxa"/>
            <w:vAlign w:val="bottom"/>
          </w:tcPr>
          <w:p>
            <w:pPr>
              <w:jc w:val="center"/>
              <w:spacing w:after="0" w:line="172" w:lineRule="exact"/>
              <w:rPr>
                <w:sz w:val="20"/>
                <w:szCs w:val="20"/>
                <w:color w:val="auto"/>
              </w:rPr>
            </w:pPr>
            <w:r>
              <w:rPr>
                <w:rFonts w:ascii="Arial" w:cs="Arial" w:eastAsia="Arial" w:hAnsi="Arial"/>
                <w:sz w:val="18"/>
                <w:szCs w:val="18"/>
                <w:color w:val="auto"/>
                <w:w w:val="96"/>
              </w:rPr>
              <w:t>Non-Votes</w:t>
            </w:r>
          </w:p>
        </w:tc>
      </w:tr>
      <w:tr>
        <w:trPr>
          <w:trHeight w:val="20"/>
        </w:trPr>
        <w:tc>
          <w:tcPr>
            <w:tcW w:w="9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599"/>
        </w:trPr>
        <w:tc>
          <w:tcPr>
            <w:tcW w:w="2960" w:type="dxa"/>
            <w:vAlign w:val="bottom"/>
            <w:gridSpan w:val="3"/>
          </w:tcPr>
          <w:p>
            <w:pPr>
              <w:spacing w:after="0"/>
              <w:rPr>
                <w:sz w:val="20"/>
                <w:szCs w:val="20"/>
                <w:color w:val="auto"/>
              </w:rPr>
            </w:pPr>
            <w:r>
              <w:rPr>
                <w:rFonts w:ascii="Arial" w:cs="Arial" w:eastAsia="Arial" w:hAnsi="Arial"/>
                <w:sz w:val="18"/>
                <w:szCs w:val="18"/>
                <w:color w:val="auto"/>
              </w:rPr>
              <w:t>Warren E. Buffett</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1,722,250</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-0-</w:t>
            </w:r>
          </w:p>
        </w:tc>
        <w:tc>
          <w:tcPr>
            <w:tcW w:w="8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270"/>
        </w:trPr>
        <w:tc>
          <w:tcPr>
            <w:tcW w:w="2960" w:type="dxa"/>
            <w:vAlign w:val="bottom"/>
            <w:gridSpan w:val="3"/>
          </w:tcPr>
          <w:p>
            <w:pPr>
              <w:spacing w:after="0"/>
              <w:rPr>
                <w:sz w:val="20"/>
                <w:szCs w:val="20"/>
                <w:color w:val="auto"/>
              </w:rPr>
            </w:pPr>
            <w:r>
              <w:rPr>
                <w:rFonts w:ascii="Arial" w:cs="Arial" w:eastAsia="Arial" w:hAnsi="Arial"/>
                <w:sz w:val="18"/>
                <w:szCs w:val="18"/>
                <w:color w:val="auto"/>
              </w:rPr>
              <w:t>Barry Diller</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1,722,250</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-0-</w:t>
            </w:r>
          </w:p>
        </w:tc>
        <w:tc>
          <w:tcPr>
            <w:tcW w:w="8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270"/>
        </w:trPr>
        <w:tc>
          <w:tcPr>
            <w:tcW w:w="2960" w:type="dxa"/>
            <w:vAlign w:val="bottom"/>
            <w:gridSpan w:val="3"/>
          </w:tcPr>
          <w:p>
            <w:pPr>
              <w:spacing w:after="0"/>
              <w:rPr>
                <w:sz w:val="20"/>
                <w:szCs w:val="20"/>
                <w:color w:val="auto"/>
              </w:rPr>
            </w:pPr>
            <w:r>
              <w:rPr>
                <w:rFonts w:ascii="Arial" w:cs="Arial" w:eastAsia="Arial" w:hAnsi="Arial"/>
                <w:sz w:val="18"/>
                <w:szCs w:val="18"/>
                <w:color w:val="auto"/>
              </w:rPr>
              <w:t>George J. Gillespie, III</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1,722,250</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-0-</w:t>
            </w:r>
          </w:p>
        </w:tc>
        <w:tc>
          <w:tcPr>
            <w:tcW w:w="8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270"/>
        </w:trPr>
        <w:tc>
          <w:tcPr>
            <w:tcW w:w="2960" w:type="dxa"/>
            <w:vAlign w:val="bottom"/>
            <w:gridSpan w:val="3"/>
          </w:tcPr>
          <w:p>
            <w:pPr>
              <w:spacing w:after="0"/>
              <w:rPr>
                <w:sz w:val="20"/>
                <w:szCs w:val="20"/>
                <w:color w:val="auto"/>
              </w:rPr>
            </w:pPr>
            <w:r>
              <w:rPr>
                <w:rFonts w:ascii="Arial" w:cs="Arial" w:eastAsia="Arial" w:hAnsi="Arial"/>
                <w:sz w:val="18"/>
                <w:szCs w:val="18"/>
                <w:color w:val="auto"/>
              </w:rPr>
              <w:t>Donald E. Graham</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1,722,250</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-0-</w:t>
            </w:r>
          </w:p>
        </w:tc>
        <w:tc>
          <w:tcPr>
            <w:tcW w:w="8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270"/>
        </w:trPr>
        <w:tc>
          <w:tcPr>
            <w:tcW w:w="2960" w:type="dxa"/>
            <w:vAlign w:val="bottom"/>
            <w:gridSpan w:val="3"/>
          </w:tcPr>
          <w:p>
            <w:pPr>
              <w:spacing w:after="0"/>
              <w:rPr>
                <w:sz w:val="20"/>
                <w:szCs w:val="20"/>
                <w:color w:val="auto"/>
              </w:rPr>
            </w:pPr>
            <w:r>
              <w:rPr>
                <w:rFonts w:ascii="Arial" w:cs="Arial" w:eastAsia="Arial" w:hAnsi="Arial"/>
                <w:sz w:val="18"/>
                <w:szCs w:val="18"/>
                <w:color w:val="auto"/>
              </w:rPr>
              <w:t>Richard D. Simmons</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1,722,250</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-0-</w:t>
            </w:r>
          </w:p>
        </w:tc>
        <w:tc>
          <w:tcPr>
            <w:tcW w:w="8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270"/>
        </w:trPr>
        <w:tc>
          <w:tcPr>
            <w:tcW w:w="2960" w:type="dxa"/>
            <w:vAlign w:val="bottom"/>
            <w:gridSpan w:val="3"/>
          </w:tcPr>
          <w:p>
            <w:pPr>
              <w:spacing w:after="0"/>
              <w:rPr>
                <w:sz w:val="20"/>
                <w:szCs w:val="20"/>
                <w:color w:val="auto"/>
              </w:rPr>
            </w:pPr>
            <w:r>
              <w:rPr>
                <w:rFonts w:ascii="Arial" w:cs="Arial" w:eastAsia="Arial" w:hAnsi="Arial"/>
                <w:sz w:val="18"/>
                <w:szCs w:val="18"/>
                <w:color w:val="auto"/>
              </w:rPr>
              <w:t>George W. Wilson</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1,722,250</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-0-</w:t>
            </w:r>
          </w:p>
        </w:tc>
        <w:tc>
          <w:tcPr>
            <w:tcW w:w="8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610"/>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Class B Directors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0"/>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8"/>
                <w:szCs w:val="18"/>
                <w:color w:val="auto"/>
                <w:w w:val="95"/>
              </w:rPr>
              <w:t>Votes</w:t>
            </w:r>
          </w:p>
        </w:tc>
        <w:tc>
          <w:tcPr>
            <w:tcW w:w="820" w:type="dxa"/>
            <w:vAlign w:val="bottom"/>
          </w:tcPr>
          <w:p>
            <w:pPr>
              <w:jc w:val="center"/>
              <w:spacing w:after="0"/>
              <w:rPr>
                <w:sz w:val="20"/>
                <w:szCs w:val="20"/>
                <w:color w:val="auto"/>
              </w:rPr>
            </w:pPr>
            <w:r>
              <w:rPr>
                <w:rFonts w:ascii="Arial" w:cs="Arial" w:eastAsia="Arial" w:hAnsi="Arial"/>
                <w:sz w:val="18"/>
                <w:szCs w:val="18"/>
                <w:color w:val="auto"/>
                <w:w w:val="98"/>
              </w:rPr>
              <w:t>Broker</w:t>
            </w:r>
          </w:p>
        </w:tc>
      </w:tr>
      <w:tr>
        <w:trPr>
          <w:trHeight w:val="172"/>
        </w:trPr>
        <w:tc>
          <w:tcPr>
            <w:tcW w:w="980" w:type="dxa"/>
            <w:vAlign w:val="bottom"/>
          </w:tcPr>
          <w:p>
            <w:pPr>
              <w:spacing w:after="0"/>
              <w:rPr>
                <w:sz w:val="14"/>
                <w:szCs w:val="14"/>
                <w:color w:val="auto"/>
              </w:rPr>
            </w:pPr>
          </w:p>
        </w:tc>
        <w:tc>
          <w:tcPr>
            <w:tcW w:w="1980" w:type="dxa"/>
            <w:vAlign w:val="bottom"/>
            <w:gridSpan w:val="2"/>
          </w:tcPr>
          <w:p>
            <w:pPr>
              <w:spacing w:after="0" w:line="172" w:lineRule="exact"/>
              <w:rPr>
                <w:sz w:val="20"/>
                <w:szCs w:val="20"/>
                <w:color w:val="auto"/>
              </w:rPr>
            </w:pPr>
            <w:r>
              <w:rPr>
                <w:rFonts w:ascii="Arial" w:cs="Arial" w:eastAsia="Arial" w:hAnsi="Arial"/>
                <w:sz w:val="18"/>
                <w:szCs w:val="18"/>
                <w:color w:val="auto"/>
              </w:rPr>
              <w:t>Nominee</w:t>
            </w:r>
          </w:p>
        </w:tc>
        <w:tc>
          <w:tcPr>
            <w:tcW w:w="80" w:type="dxa"/>
            <w:vAlign w:val="bottom"/>
          </w:tcPr>
          <w:p>
            <w:pPr>
              <w:spacing w:after="0"/>
              <w:rPr>
                <w:sz w:val="14"/>
                <w:szCs w:val="14"/>
                <w:color w:val="auto"/>
              </w:rPr>
            </w:pPr>
          </w:p>
        </w:tc>
        <w:tc>
          <w:tcPr>
            <w:tcW w:w="1280" w:type="dxa"/>
            <w:vAlign w:val="bottom"/>
            <w:gridSpan w:val="3"/>
          </w:tcPr>
          <w:p>
            <w:pPr>
              <w:spacing w:after="0" w:line="172" w:lineRule="exact"/>
              <w:rPr>
                <w:sz w:val="20"/>
                <w:szCs w:val="20"/>
                <w:color w:val="auto"/>
              </w:rPr>
            </w:pPr>
            <w:r>
              <w:rPr>
                <w:rFonts w:ascii="Arial" w:cs="Arial" w:eastAsia="Arial" w:hAnsi="Arial"/>
                <w:sz w:val="18"/>
                <w:szCs w:val="18"/>
                <w:color w:val="auto"/>
              </w:rPr>
              <w:t>Votes For</w:t>
            </w:r>
          </w:p>
        </w:tc>
        <w:tc>
          <w:tcPr>
            <w:tcW w:w="320" w:type="dxa"/>
            <w:vAlign w:val="bottom"/>
          </w:tcPr>
          <w:p>
            <w:pPr>
              <w:spacing w:after="0"/>
              <w:rPr>
                <w:sz w:val="14"/>
                <w:szCs w:val="14"/>
                <w:color w:val="auto"/>
              </w:rPr>
            </w:pPr>
          </w:p>
        </w:tc>
        <w:tc>
          <w:tcPr>
            <w:tcW w:w="1460" w:type="dxa"/>
            <w:vAlign w:val="bottom"/>
            <w:gridSpan w:val="2"/>
          </w:tcPr>
          <w:p>
            <w:pPr>
              <w:jc w:val="center"/>
              <w:ind w:right="780"/>
              <w:spacing w:after="0" w:line="172" w:lineRule="exact"/>
              <w:rPr>
                <w:sz w:val="20"/>
                <w:szCs w:val="20"/>
                <w:color w:val="auto"/>
              </w:rPr>
            </w:pPr>
            <w:r>
              <w:rPr>
                <w:rFonts w:ascii="Arial" w:cs="Arial" w:eastAsia="Arial" w:hAnsi="Arial"/>
                <w:sz w:val="18"/>
                <w:szCs w:val="18"/>
                <w:color w:val="auto"/>
                <w:w w:val="97"/>
              </w:rPr>
              <w:t>Withheld</w:t>
            </w:r>
          </w:p>
        </w:tc>
        <w:tc>
          <w:tcPr>
            <w:tcW w:w="820" w:type="dxa"/>
            <w:vAlign w:val="bottom"/>
          </w:tcPr>
          <w:p>
            <w:pPr>
              <w:jc w:val="center"/>
              <w:spacing w:after="0" w:line="172" w:lineRule="exact"/>
              <w:rPr>
                <w:sz w:val="20"/>
                <w:szCs w:val="20"/>
                <w:color w:val="auto"/>
              </w:rPr>
            </w:pPr>
            <w:r>
              <w:rPr>
                <w:rFonts w:ascii="Arial" w:cs="Arial" w:eastAsia="Arial" w:hAnsi="Arial"/>
                <w:sz w:val="18"/>
                <w:szCs w:val="18"/>
                <w:color w:val="auto"/>
                <w:w w:val="96"/>
              </w:rPr>
              <w:t>Non-Votes</w:t>
            </w:r>
          </w:p>
        </w:tc>
      </w:tr>
      <w:tr>
        <w:trPr>
          <w:trHeight w:val="20"/>
        </w:trPr>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599"/>
        </w:trPr>
        <w:tc>
          <w:tcPr>
            <w:tcW w:w="2960" w:type="dxa"/>
            <w:vAlign w:val="bottom"/>
            <w:gridSpan w:val="3"/>
          </w:tcPr>
          <w:p>
            <w:pPr>
              <w:ind w:left="20"/>
              <w:spacing w:after="0"/>
              <w:rPr>
                <w:sz w:val="20"/>
                <w:szCs w:val="20"/>
                <w:color w:val="auto"/>
              </w:rPr>
            </w:pPr>
            <w:r>
              <w:rPr>
                <w:rFonts w:ascii="Arial" w:cs="Arial" w:eastAsia="Arial" w:hAnsi="Arial"/>
                <w:sz w:val="18"/>
                <w:szCs w:val="18"/>
                <w:color w:val="auto"/>
              </w:rPr>
              <w:t>Daniel B. Burke</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6,512,664</w:t>
            </w:r>
          </w:p>
        </w:tc>
        <w:tc>
          <w:tcPr>
            <w:tcW w:w="980" w:type="dxa"/>
            <w:vAlign w:val="bottom"/>
            <w:gridSpan w:val="2"/>
          </w:tcPr>
          <w:p>
            <w:pPr>
              <w:jc w:val="center"/>
              <w:ind w:left="232"/>
              <w:spacing w:after="0"/>
              <w:rPr>
                <w:sz w:val="20"/>
                <w:szCs w:val="20"/>
                <w:color w:val="auto"/>
              </w:rPr>
            </w:pPr>
            <w:r>
              <w:rPr>
                <w:rFonts w:ascii="Arial" w:cs="Arial" w:eastAsia="Arial" w:hAnsi="Arial"/>
                <w:sz w:val="18"/>
                <w:szCs w:val="18"/>
                <w:color w:val="auto"/>
                <w:w w:val="98"/>
              </w:rPr>
              <w:t>59,270</w:t>
            </w:r>
          </w:p>
        </w:tc>
        <w:tc>
          <w:tcPr>
            <w:tcW w:w="8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270"/>
        </w:trPr>
        <w:tc>
          <w:tcPr>
            <w:tcW w:w="2960" w:type="dxa"/>
            <w:vAlign w:val="bottom"/>
            <w:gridSpan w:val="3"/>
          </w:tcPr>
          <w:p>
            <w:pPr>
              <w:ind w:left="20"/>
              <w:spacing w:after="0"/>
              <w:rPr>
                <w:sz w:val="20"/>
                <w:szCs w:val="20"/>
                <w:color w:val="auto"/>
              </w:rPr>
            </w:pPr>
            <w:r>
              <w:rPr>
                <w:rFonts w:ascii="Arial" w:cs="Arial" w:eastAsia="Arial" w:hAnsi="Arial"/>
                <w:sz w:val="18"/>
                <w:szCs w:val="18"/>
                <w:color w:val="auto"/>
              </w:rPr>
              <w:t>John L. Dotson Jr.</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6,368,354</w:t>
            </w:r>
          </w:p>
        </w:tc>
        <w:tc>
          <w:tcPr>
            <w:tcW w:w="980" w:type="dxa"/>
            <w:vAlign w:val="bottom"/>
            <w:gridSpan w:val="2"/>
          </w:tcPr>
          <w:p>
            <w:pPr>
              <w:jc w:val="center"/>
              <w:ind w:left="232"/>
              <w:spacing w:after="0"/>
              <w:rPr>
                <w:sz w:val="20"/>
                <w:szCs w:val="20"/>
                <w:color w:val="auto"/>
              </w:rPr>
            </w:pPr>
            <w:r>
              <w:rPr>
                <w:rFonts w:ascii="Arial" w:cs="Arial" w:eastAsia="Arial" w:hAnsi="Arial"/>
                <w:sz w:val="18"/>
                <w:szCs w:val="18"/>
                <w:color w:val="auto"/>
                <w:w w:val="95"/>
              </w:rPr>
              <w:t>203,580</w:t>
            </w:r>
          </w:p>
        </w:tc>
        <w:tc>
          <w:tcPr>
            <w:tcW w:w="8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r>
        <w:trPr>
          <w:trHeight w:val="270"/>
        </w:trPr>
        <w:tc>
          <w:tcPr>
            <w:tcW w:w="2960" w:type="dxa"/>
            <w:vAlign w:val="bottom"/>
            <w:gridSpan w:val="3"/>
          </w:tcPr>
          <w:p>
            <w:pPr>
              <w:ind w:left="20"/>
              <w:spacing w:after="0"/>
              <w:rPr>
                <w:sz w:val="20"/>
                <w:szCs w:val="20"/>
                <w:color w:val="auto"/>
              </w:rPr>
            </w:pPr>
            <w:r>
              <w:rPr>
                <w:rFonts w:ascii="Arial" w:cs="Arial" w:eastAsia="Arial" w:hAnsi="Arial"/>
                <w:sz w:val="18"/>
                <w:szCs w:val="18"/>
                <w:color w:val="auto"/>
              </w:rPr>
              <w:t>Ralph E. Gomory</w:t>
            </w:r>
          </w:p>
        </w:tc>
        <w:tc>
          <w:tcPr>
            <w:tcW w:w="1360" w:type="dxa"/>
            <w:vAlign w:val="bottom"/>
            <w:gridSpan w:val="4"/>
          </w:tcPr>
          <w:p>
            <w:pPr>
              <w:ind w:left="60"/>
              <w:spacing w:after="0"/>
              <w:rPr>
                <w:sz w:val="20"/>
                <w:szCs w:val="20"/>
                <w:color w:val="auto"/>
              </w:rPr>
            </w:pPr>
            <w:r>
              <w:rPr>
                <w:rFonts w:ascii="Arial" w:cs="Arial" w:eastAsia="Arial" w:hAnsi="Arial"/>
                <w:sz w:val="18"/>
                <w:szCs w:val="18"/>
                <w:color w:val="auto"/>
              </w:rPr>
              <w:t>6,520,364</w:t>
            </w:r>
          </w:p>
        </w:tc>
        <w:tc>
          <w:tcPr>
            <w:tcW w:w="980" w:type="dxa"/>
            <w:vAlign w:val="bottom"/>
            <w:gridSpan w:val="2"/>
          </w:tcPr>
          <w:p>
            <w:pPr>
              <w:jc w:val="center"/>
              <w:ind w:left="232"/>
              <w:spacing w:after="0"/>
              <w:rPr>
                <w:sz w:val="20"/>
                <w:szCs w:val="20"/>
                <w:color w:val="auto"/>
              </w:rPr>
            </w:pPr>
            <w:r>
              <w:rPr>
                <w:rFonts w:ascii="Arial" w:cs="Arial" w:eastAsia="Arial" w:hAnsi="Arial"/>
                <w:sz w:val="18"/>
                <w:szCs w:val="18"/>
                <w:color w:val="auto"/>
                <w:w w:val="98"/>
              </w:rPr>
              <w:t>51,570</w:t>
            </w:r>
          </w:p>
        </w:tc>
        <w:tc>
          <w:tcPr>
            <w:tcW w:w="8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 and Reports on Form 8-K</w:t>
      </w:r>
      <w:r>
        <w:rPr>
          <w:rFonts w:ascii="Arial" w:cs="Arial" w:eastAsia="Arial" w:hAnsi="Arial"/>
          <w:sz w:val="18"/>
          <w:szCs w:val="18"/>
          <w:b w:val="1"/>
          <w:bCs w:val="1"/>
          <w:color w:val="auto"/>
        </w:rPr>
        <w:t>.</w:t>
      </w:r>
    </w:p>
    <w:p>
      <w:pPr>
        <w:spacing w:after="0" w:line="23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exhibits to this report:</w:t>
      </w:r>
    </w:p>
    <w:p>
      <w:pPr>
        <w:sectPr>
          <w:pgSz w:w="11900" w:h="16864" w:orient="portrait"/>
          <w:cols w:equalWidth="0" w:num="1">
            <w:col w:w="11360"/>
          </w:cols>
          <w:pgMar w:left="240" w:top="121" w:right="299" w:bottom="0" w:gutter="0" w:footer="0" w:header="0"/>
        </w:sect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Number</w:t>
      </w: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30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11</w:t>
      </w:r>
    </w:p>
    <w:p>
      <w:pPr>
        <w:spacing w:after="0" w:line="14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18</w:t>
      </w:r>
    </w:p>
    <w:p>
      <w:pPr>
        <w:spacing w:after="0" w:line="14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Description</w:t>
      </w:r>
    </w:p>
    <w:p>
      <w:pPr>
        <w:spacing w:after="0" w:line="200" w:lineRule="exact"/>
        <w:rPr>
          <w:sz w:val="20"/>
          <w:szCs w:val="20"/>
          <w:color w:val="auto"/>
        </w:rPr>
      </w:pPr>
    </w:p>
    <w:p>
      <w:pPr>
        <w:spacing w:after="0" w:line="38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10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By-Laws of the Company as amended through March 8, 2001 (incorporated by reference to Exhibit 3.2 to the Company’s Annual Report on Form 10-K for the fiscal year ended December 31, 2000).</w:t>
      </w:r>
    </w:p>
    <w:p>
      <w:pPr>
        <w:spacing w:after="0" w:line="101"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10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Assignment and Acceptance Agreement and Assumption Agreement, each dated as of February 28, 2002, pursuant to which GE Capital CFE, Inc. became an Assuming Lender under the Credit Agreement dated as of March 17, 1998, among the Company, Citibank, N.A., Wachovia Bank of Georgia, N.A., and the other Lenders named therein (incorporated by reference to Exhibit 4.2 to the Company’s Annual Report on Form 10-K for the fiscal year ended December 30, 2001).</w:t>
      </w:r>
    </w:p>
    <w:p>
      <w:pPr>
        <w:spacing w:after="0" w:line="7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Indenture dated as of February 17, 1999, between the Company and The First National Bank of Chicago, as Trustee (incorporated by reference to Exhibit 4.3 to the Company’s Annual Report on Form 10-K for the fiscal year ended January 3, 1999).</w:t>
      </w:r>
    </w:p>
    <w:p>
      <w:pPr>
        <w:spacing w:after="0" w:line="100"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364-Day Credit Agreement dated as of September 20, 2000, among the Company, Citibank, N.A., Suntrust Bank and The Chase Manhattan Bank (incorporated by reference to Exhibit 4.4 to the Company’s Quarterly Report on Form 10-Q for the quarter ended October 1, 2000).</w:t>
      </w:r>
    </w:p>
    <w:p>
      <w:pPr>
        <w:spacing w:after="0" w:line="10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Amendment and Restatement dated as of September 19, 2001, to the 364-Day Credit Agreement dated as of September 20, 2000, among the Company, Citibank, N.A., SunTrust Bank and The Chase Manhattan Bank (incorporated by reference to Exhibit 4.5 to the Company’s Quarterly Report on Form 10-Q for the quarter ended September 30, 2001).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Calculation of Earnings per Share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Preference letter from independent accountants.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p>
      <w:pPr>
        <w:spacing w:after="0" w:line="153" w:lineRule="exact"/>
        <w:rPr>
          <w:sz w:val="20"/>
          <w:szCs w:val="20"/>
          <w:color w:val="auto"/>
        </w:rPr>
      </w:pPr>
    </w:p>
    <w:p>
      <w:pPr>
        <w:sectPr>
          <w:pgSz w:w="11900" w:h="16864" w:orient="portrait"/>
          <w:cols w:equalWidth="0" w:num="2">
            <w:col w:w="940" w:space="720"/>
            <w:col w:w="9700"/>
          </w:cols>
          <w:pgMar w:left="240" w:top="121" w:right="299" w:bottom="0" w:gutter="0" w:footer="0" w:header="0"/>
          <w:type w:val="continuous"/>
        </w:sectPr>
      </w:pPr>
    </w:p>
    <w:p>
      <w:pPr>
        <w:ind w:left="400"/>
        <w:spacing w:after="0"/>
        <w:tabs>
          <w:tab w:leader="none" w:pos="1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 No reports on Form 8-K were filed during the period covered by this report.</w:t>
      </w:r>
    </w:p>
    <w:p>
      <w:pPr>
        <w:sectPr>
          <w:pgSz w:w="11900" w:h="16864" w:orient="portrait"/>
          <w:cols w:equalWidth="0" w:num="1">
            <w:col w:w="11360"/>
          </w:cols>
          <w:pgMar w:left="240" w:top="121" w:right="299" w:bottom="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t>25.</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THE WASHINGTON POST COMPANY</w:t>
      </w:r>
    </w:p>
    <w:p>
      <w:pPr>
        <w:ind w:left="7160"/>
        <w:spacing w:after="0"/>
        <w:rPr>
          <w:sz w:val="20"/>
          <w:szCs w:val="20"/>
          <w:color w:val="auto"/>
        </w:rPr>
      </w:pPr>
      <w:r>
        <w:rPr>
          <w:rFonts w:ascii="Arial" w:cs="Arial" w:eastAsia="Arial" w:hAnsi="Arial"/>
          <w:sz w:val="14"/>
          <w:szCs w:val="14"/>
          <w:color w:val="auto"/>
        </w:rPr>
        <w:t>(Registrant)</w:t>
      </w:r>
    </w:p>
    <w:p>
      <w:pPr>
        <w:spacing w:after="0" w:line="248" w:lineRule="exact"/>
        <w:rPr>
          <w:sz w:val="20"/>
          <w:szCs w:val="20"/>
          <w:color w:val="auto"/>
        </w:rPr>
      </w:pPr>
    </w:p>
    <w:p>
      <w:pPr>
        <w:spacing w:after="0"/>
        <w:tabs>
          <w:tab w:leader="none" w:pos="620" w:val="left"/>
          <w:tab w:leader="none" w:pos="6640" w:val="left"/>
        </w:tabs>
        <w:rPr>
          <w:sz w:val="20"/>
          <w:szCs w:val="20"/>
          <w:color w:val="auto"/>
        </w:rPr>
      </w:pPr>
      <w:r>
        <w:rPr>
          <w:rFonts w:ascii="Arial" w:cs="Arial" w:eastAsia="Arial" w:hAnsi="Arial"/>
          <w:sz w:val="18"/>
          <w:szCs w:val="18"/>
          <w:color w:val="auto"/>
        </w:rPr>
        <w:t>Date:</w:t>
        <w:tab/>
        <w:t>August 9, 2002</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80645</wp:posOffset>
            </wp:positionV>
            <wp:extent cx="67062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237"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Donald E. Graham, Chairman &amp; Chief Executive Officer</w:t>
      </w:r>
    </w:p>
    <w:p>
      <w:pPr>
        <w:ind w:left="668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291" w:lineRule="exact"/>
        <w:rPr>
          <w:sz w:val="20"/>
          <w:szCs w:val="20"/>
          <w:color w:val="auto"/>
        </w:rPr>
      </w:pPr>
    </w:p>
    <w:p>
      <w:pPr>
        <w:spacing w:after="0"/>
        <w:tabs>
          <w:tab w:leader="none" w:pos="620" w:val="left"/>
          <w:tab w:leader="none" w:pos="6660" w:val="left"/>
        </w:tabs>
        <w:rPr>
          <w:sz w:val="20"/>
          <w:szCs w:val="20"/>
          <w:color w:val="auto"/>
        </w:rPr>
      </w:pPr>
      <w:r>
        <w:rPr>
          <w:rFonts w:ascii="Arial" w:cs="Arial" w:eastAsia="Arial" w:hAnsi="Arial"/>
          <w:sz w:val="18"/>
          <w:szCs w:val="18"/>
          <w:color w:val="auto"/>
        </w:rPr>
        <w:t>Date:</w:t>
        <w:tab/>
        <w:t>August 9, 2002</w:t>
      </w:r>
      <w:r>
        <w:rPr>
          <w:sz w:val="20"/>
          <w:szCs w:val="20"/>
          <w:color w:val="auto"/>
        </w:rPr>
        <w:tab/>
      </w:r>
      <w:r>
        <w:rPr>
          <w:rFonts w:ascii="Arial" w:cs="Arial" w:eastAsia="Arial" w:hAnsi="Arial"/>
          <w:sz w:val="16"/>
          <w:szCs w:val="16"/>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80645</wp:posOffset>
            </wp:positionV>
            <wp:extent cx="67062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237"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John B. Morse, Jr., Vice President-Finance</w:t>
      </w:r>
    </w:p>
    <w:p>
      <w:pPr>
        <w:ind w:left="670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360"/>
          </w:cols>
          <w:pgMar w:left="240" w:top="696"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3"/>
        </w:trPr>
        <w:tc>
          <w:tcPr>
            <w:tcW w:w="2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7"/>
          </w:tcPr>
          <w:p>
            <w:pPr>
              <w:jc w:val="center"/>
              <w:ind w:left="392"/>
              <w:spacing w:after="0"/>
              <w:rPr>
                <w:sz w:val="20"/>
                <w:szCs w:val="20"/>
                <w:color w:val="auto"/>
              </w:rPr>
            </w:pPr>
            <w:r>
              <w:rPr>
                <w:rFonts w:ascii="Arial" w:cs="Arial" w:eastAsia="Arial" w:hAnsi="Arial"/>
                <w:sz w:val="18"/>
                <w:szCs w:val="18"/>
                <w:b w:val="1"/>
                <w:bCs w:val="1"/>
                <w:color w:val="auto"/>
                <w:w w:val="96"/>
              </w:rPr>
              <w:t>Exhibit 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9"/>
        </w:trPr>
        <w:tc>
          <w:tcPr>
            <w:tcW w:w="2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14"/>
          </w:tcPr>
          <w:p>
            <w:pPr>
              <w:jc w:val="right"/>
              <w:ind w:right="200"/>
              <w:spacing w:after="0"/>
              <w:rPr>
                <w:sz w:val="20"/>
                <w:szCs w:val="20"/>
                <w:color w:val="auto"/>
              </w:rPr>
            </w:pPr>
            <w:r>
              <w:rPr>
                <w:rFonts w:ascii="Arial" w:cs="Arial" w:eastAsia="Arial" w:hAnsi="Arial"/>
                <w:sz w:val="18"/>
                <w:szCs w:val="18"/>
                <w:b w:val="1"/>
                <w:bCs w:val="1"/>
                <w:color w:val="auto"/>
                <w:w w:val="98"/>
              </w:rPr>
              <w:t>THE WASHINGTON POST COMPANY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9"/>
        </w:trPr>
        <w:tc>
          <w:tcPr>
            <w:tcW w:w="2600" w:type="dxa"/>
            <w:vAlign w:val="bottom"/>
          </w:tcPr>
          <w:p>
            <w:pPr>
              <w:spacing w:after="0"/>
              <w:rPr>
                <w:sz w:val="24"/>
                <w:szCs w:val="24"/>
                <w:color w:val="auto"/>
              </w:rPr>
            </w:pPr>
          </w:p>
        </w:tc>
        <w:tc>
          <w:tcPr>
            <w:tcW w:w="5940" w:type="dxa"/>
            <w:vAlign w:val="bottom"/>
            <w:gridSpan w:val="23"/>
          </w:tcPr>
          <w:p>
            <w:pPr>
              <w:jc w:val="center"/>
              <w:ind w:left="192"/>
              <w:spacing w:after="0"/>
              <w:rPr>
                <w:sz w:val="20"/>
                <w:szCs w:val="20"/>
                <w:color w:val="auto"/>
              </w:rPr>
            </w:pPr>
            <w:r>
              <w:rPr>
                <w:rFonts w:ascii="Arial" w:cs="Arial" w:eastAsia="Arial" w:hAnsi="Arial"/>
                <w:sz w:val="18"/>
                <w:szCs w:val="18"/>
                <w:b w:val="1"/>
                <w:bCs w:val="1"/>
                <w:color w:val="auto"/>
                <w:w w:val="97"/>
              </w:rPr>
              <w:t>CALCULATION OF EARNINGS PER SHARE OF COMMON STOCK</w:t>
            </w:r>
          </w:p>
        </w:tc>
      </w:tr>
      <w:tr>
        <w:trPr>
          <w:trHeight w:val="419"/>
        </w:trPr>
        <w:tc>
          <w:tcPr>
            <w:tcW w:w="2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13"/>
          </w:tcPr>
          <w:p>
            <w:pPr>
              <w:jc w:val="center"/>
              <w:ind w:right="8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In thousands of shares</w:t>
            </w:r>
            <w:r>
              <w:rPr>
                <w:rFonts w:ascii="Arial" w:cs="Arial" w:eastAsia="Arial" w:hAnsi="Arial"/>
                <w:sz w:val="18"/>
                <w:szCs w:val="18"/>
                <w:color w:val="auto"/>
                <w:w w:val="97"/>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80"/>
        </w:trPr>
        <w:tc>
          <w:tcPr>
            <w:tcW w:w="2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11"/>
          </w:tcPr>
          <w:p>
            <w:pPr>
              <w:jc w:val="right"/>
              <w:ind w:right="420"/>
              <w:spacing w:after="0"/>
              <w:rPr>
                <w:sz w:val="20"/>
                <w:szCs w:val="20"/>
                <w:color w:val="auto"/>
              </w:rPr>
            </w:pPr>
            <w:r>
              <w:rPr>
                <w:rFonts w:ascii="Arial" w:cs="Arial" w:eastAsia="Arial" w:hAnsi="Arial"/>
                <w:sz w:val="18"/>
                <w:szCs w:val="18"/>
                <w:color w:val="auto"/>
                <w:w w:val="96"/>
              </w:rPr>
              <w:t>Thirteen Weeks Ended</w:t>
            </w:r>
          </w:p>
        </w:tc>
        <w:tc>
          <w:tcPr>
            <w:tcW w:w="2220" w:type="dxa"/>
            <w:vAlign w:val="bottom"/>
            <w:gridSpan w:val="10"/>
          </w:tcPr>
          <w:p>
            <w:pPr>
              <w:jc w:val="right"/>
              <w:spacing w:after="0"/>
              <w:rPr>
                <w:sz w:val="20"/>
                <w:szCs w:val="20"/>
                <w:color w:val="auto"/>
              </w:rPr>
            </w:pPr>
            <w:r>
              <w:rPr>
                <w:rFonts w:ascii="Arial" w:cs="Arial" w:eastAsia="Arial" w:hAnsi="Arial"/>
                <w:sz w:val="18"/>
                <w:szCs w:val="18"/>
                <w:color w:val="auto"/>
              </w:rPr>
              <w:t>Twenty-six Weeks Ended</w:t>
            </w:r>
          </w:p>
        </w:tc>
      </w:tr>
      <w:tr>
        <w:trPr>
          <w:trHeight w:val="20"/>
        </w:trPr>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62"/>
        </w:trPr>
        <w:tc>
          <w:tcPr>
            <w:tcW w:w="2600" w:type="dxa"/>
            <w:vAlign w:val="bottom"/>
          </w:tcPr>
          <w:p>
            <w:pPr>
              <w:spacing w:after="0"/>
              <w:rPr>
                <w:sz w:val="22"/>
                <w:szCs w:val="22"/>
                <w:color w:val="auto"/>
              </w:rPr>
            </w:pPr>
          </w:p>
        </w:tc>
        <w:tc>
          <w:tcPr>
            <w:tcW w:w="2020" w:type="dxa"/>
            <w:vAlign w:val="bottom"/>
            <w:gridSpan w:val="6"/>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Pr>
          <w:p>
            <w:pPr>
              <w:spacing w:after="0"/>
              <w:rPr>
                <w:sz w:val="22"/>
                <w:szCs w:val="22"/>
                <w:color w:val="auto"/>
              </w:rPr>
            </w:pPr>
          </w:p>
        </w:tc>
        <w:tc>
          <w:tcPr>
            <w:tcW w:w="940" w:type="dxa"/>
            <w:vAlign w:val="bottom"/>
            <w:gridSpan w:val="6"/>
          </w:tcPr>
          <w:p>
            <w:pPr>
              <w:jc w:val="right"/>
              <w:ind w:right="400"/>
              <w:spacing w:after="0"/>
              <w:rPr>
                <w:sz w:val="20"/>
                <w:szCs w:val="20"/>
                <w:color w:val="auto"/>
              </w:rPr>
            </w:pPr>
            <w:r>
              <w:rPr>
                <w:rFonts w:ascii="Arial" w:cs="Arial" w:eastAsia="Arial" w:hAnsi="Arial"/>
                <w:sz w:val="18"/>
                <w:szCs w:val="18"/>
                <w:color w:val="auto"/>
                <w:w w:val="99"/>
              </w:rPr>
              <w:t>July 1,</w:t>
            </w:r>
          </w:p>
        </w:tc>
        <w:tc>
          <w:tcPr>
            <w:tcW w:w="1300" w:type="dxa"/>
            <w:vAlign w:val="bottom"/>
            <w:gridSpan w:val="6"/>
          </w:tcPr>
          <w:p>
            <w:pPr>
              <w:jc w:val="right"/>
              <w:ind w:right="42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July 1,</w:t>
            </w:r>
          </w:p>
        </w:tc>
      </w:tr>
      <w:tr>
        <w:trPr>
          <w:trHeight w:val="205"/>
        </w:trPr>
        <w:tc>
          <w:tcPr>
            <w:tcW w:w="2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2002</w:t>
            </w:r>
          </w:p>
        </w:tc>
        <w:tc>
          <w:tcPr>
            <w:tcW w:w="1700" w:type="dxa"/>
            <w:vAlign w:val="bottom"/>
            <w:gridSpan w:val="7"/>
          </w:tcPr>
          <w:p>
            <w:pPr>
              <w:jc w:val="right"/>
              <w:ind w:right="400"/>
              <w:spacing w:after="0" w:line="205" w:lineRule="exact"/>
              <w:rPr>
                <w:sz w:val="20"/>
                <w:szCs w:val="20"/>
                <w:color w:val="auto"/>
              </w:rPr>
            </w:pPr>
            <w:r>
              <w:rPr>
                <w:rFonts w:ascii="Arial" w:cs="Arial" w:eastAsia="Arial" w:hAnsi="Arial"/>
                <w:sz w:val="18"/>
                <w:szCs w:val="18"/>
                <w:color w:val="auto"/>
              </w:rPr>
              <w:t>2001</w:t>
            </w:r>
          </w:p>
        </w:tc>
        <w:tc>
          <w:tcPr>
            <w:tcW w:w="1300" w:type="dxa"/>
            <w:vAlign w:val="bottom"/>
            <w:gridSpan w:val="6"/>
          </w:tcPr>
          <w:p>
            <w:pPr>
              <w:jc w:val="right"/>
              <w:ind w:right="420"/>
              <w:spacing w:after="0" w:line="205" w:lineRule="exact"/>
              <w:rPr>
                <w:sz w:val="20"/>
                <w:szCs w:val="20"/>
                <w:color w:val="auto"/>
              </w:rPr>
            </w:pPr>
            <w:r>
              <w:rPr>
                <w:rFonts w:ascii="Arial" w:cs="Arial" w:eastAsia="Arial" w:hAnsi="Arial"/>
                <w:sz w:val="18"/>
                <w:szCs w:val="18"/>
                <w:color w:val="auto"/>
              </w:rPr>
              <w:t>2002</w:t>
            </w:r>
          </w:p>
        </w:tc>
        <w:tc>
          <w:tcPr>
            <w:tcW w:w="9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2001</w:t>
            </w:r>
          </w:p>
        </w:tc>
      </w:tr>
      <w:tr>
        <w:trPr>
          <w:trHeight w:val="505"/>
        </w:trPr>
        <w:tc>
          <w:tcPr>
            <w:tcW w:w="2600" w:type="dxa"/>
            <w:vAlign w:val="bottom"/>
          </w:tcPr>
          <w:p>
            <w:pPr>
              <w:spacing w:after="0"/>
              <w:rPr>
                <w:sz w:val="20"/>
                <w:szCs w:val="20"/>
                <w:color w:val="auto"/>
              </w:rPr>
            </w:pPr>
            <w:r>
              <w:rPr>
                <w:rFonts w:ascii="Arial" w:cs="Arial" w:eastAsia="Arial" w:hAnsi="Arial"/>
                <w:sz w:val="18"/>
                <w:szCs w:val="18"/>
                <w:color w:val="auto"/>
              </w:rPr>
              <w:t>Number of shares of</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Class A and Class B</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at beginning of period</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9,498</w:t>
            </w: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9,484</w:t>
            </w:r>
          </w:p>
        </w:tc>
        <w:tc>
          <w:tcPr>
            <w:tcW w:w="42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9,495</w:t>
            </w:r>
          </w:p>
        </w:tc>
        <w:tc>
          <w:tcPr>
            <w:tcW w:w="4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9,460</w:t>
            </w:r>
          </w:p>
        </w:tc>
      </w:tr>
      <w:tr>
        <w:trPr>
          <w:trHeight w:val="446"/>
        </w:trPr>
        <w:tc>
          <w:tcPr>
            <w:tcW w:w="2600" w:type="dxa"/>
            <w:vAlign w:val="bottom"/>
          </w:tcPr>
          <w:p>
            <w:pPr>
              <w:spacing w:after="0"/>
              <w:rPr>
                <w:sz w:val="20"/>
                <w:szCs w:val="20"/>
                <w:color w:val="auto"/>
              </w:rPr>
            </w:pPr>
            <w:r>
              <w:rPr>
                <w:rFonts w:ascii="Arial" w:cs="Arial" w:eastAsia="Arial" w:hAnsi="Arial"/>
                <w:sz w:val="18"/>
                <w:szCs w:val="18"/>
                <w:color w:val="auto"/>
              </w:rPr>
              <w:t>Issuance of shares of</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Class B common stock</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(weighted), net of forfeiture</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color w:val="auto"/>
              </w:rPr>
              <w:t>of restricted stock awards</w:t>
            </w: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w:t>
            </w:r>
          </w:p>
        </w:tc>
        <w:tc>
          <w:tcPr>
            <w:tcW w:w="1700" w:type="dxa"/>
            <w:vAlign w:val="bottom"/>
            <w:gridSpan w:val="7"/>
          </w:tcPr>
          <w:p>
            <w:pPr>
              <w:jc w:val="right"/>
              <w:ind w:right="400"/>
              <w:spacing w:after="0" w:line="205" w:lineRule="exact"/>
              <w:rPr>
                <w:sz w:val="20"/>
                <w:szCs w:val="20"/>
                <w:color w:val="auto"/>
              </w:rPr>
            </w:pPr>
            <w:r>
              <w:rPr>
                <w:rFonts w:ascii="Arial" w:cs="Arial" w:eastAsia="Arial" w:hAnsi="Arial"/>
                <w:sz w:val="18"/>
                <w:szCs w:val="18"/>
                <w:color w:val="auto"/>
              </w:rPr>
              <w:t>1</w:t>
            </w:r>
          </w:p>
        </w:tc>
        <w:tc>
          <w:tcPr>
            <w:tcW w:w="1300" w:type="dxa"/>
            <w:vAlign w:val="bottom"/>
            <w:gridSpan w:val="6"/>
          </w:tcPr>
          <w:p>
            <w:pPr>
              <w:jc w:val="right"/>
              <w:ind w:right="420"/>
              <w:spacing w:after="0" w:line="205" w:lineRule="exact"/>
              <w:rPr>
                <w:sz w:val="20"/>
                <w:szCs w:val="20"/>
                <w:color w:val="auto"/>
              </w:rPr>
            </w:pPr>
            <w:r>
              <w:rPr>
                <w:rFonts w:ascii="Arial" w:cs="Arial" w:eastAsia="Arial" w:hAnsi="Arial"/>
                <w:sz w:val="18"/>
                <w:szCs w:val="18"/>
                <w:color w:val="auto"/>
              </w:rPr>
              <w:t>6</w:t>
            </w:r>
          </w:p>
        </w:tc>
        <w:tc>
          <w:tcPr>
            <w:tcW w:w="9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22</w:t>
            </w:r>
          </w:p>
        </w:tc>
      </w:tr>
      <w:tr>
        <w:trPr>
          <w:trHeight w:val="464"/>
        </w:trPr>
        <w:tc>
          <w:tcPr>
            <w:tcW w:w="2600" w:type="dxa"/>
            <w:vAlign w:val="bottom"/>
          </w:tcPr>
          <w:p>
            <w:pPr>
              <w:spacing w:after="0"/>
              <w:rPr>
                <w:sz w:val="20"/>
                <w:szCs w:val="20"/>
                <w:color w:val="auto"/>
              </w:rPr>
            </w:pPr>
            <w:r>
              <w:rPr>
                <w:rFonts w:ascii="Arial" w:cs="Arial" w:eastAsia="Arial" w:hAnsi="Arial"/>
                <w:sz w:val="18"/>
                <w:szCs w:val="18"/>
                <w:color w:val="auto"/>
              </w:rPr>
              <w:t>Shares used in the</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computation of basic</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9,503</w:t>
            </w: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9,485</w:t>
            </w:r>
          </w:p>
        </w:tc>
        <w:tc>
          <w:tcPr>
            <w:tcW w:w="42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9,501</w:t>
            </w:r>
          </w:p>
        </w:tc>
        <w:tc>
          <w:tcPr>
            <w:tcW w:w="4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9,482</w:t>
            </w:r>
          </w:p>
        </w:tc>
      </w:tr>
      <w:tr>
        <w:trPr>
          <w:trHeight w:val="446"/>
        </w:trPr>
        <w:tc>
          <w:tcPr>
            <w:tcW w:w="2600" w:type="dxa"/>
            <w:vAlign w:val="bottom"/>
          </w:tcPr>
          <w:p>
            <w:pPr>
              <w:spacing w:after="0"/>
              <w:rPr>
                <w:sz w:val="20"/>
                <w:szCs w:val="20"/>
                <w:color w:val="auto"/>
              </w:rPr>
            </w:pPr>
            <w:r>
              <w:rPr>
                <w:rFonts w:ascii="Arial" w:cs="Arial" w:eastAsia="Arial" w:hAnsi="Arial"/>
                <w:sz w:val="18"/>
                <w:szCs w:val="18"/>
                <w:color w:val="auto"/>
              </w:rPr>
              <w:t>Adjustment to reflect</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dilution from common stock</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color w:val="auto"/>
              </w:rPr>
              <w:t>equivalents</w:t>
            </w: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18</w:t>
            </w:r>
          </w:p>
        </w:tc>
        <w:tc>
          <w:tcPr>
            <w:tcW w:w="12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17</w:t>
            </w:r>
          </w:p>
        </w:tc>
        <w:tc>
          <w:tcPr>
            <w:tcW w:w="420" w:type="dxa"/>
            <w:vAlign w:val="bottom"/>
          </w:tcPr>
          <w:p>
            <w:pPr>
              <w:spacing w:after="0"/>
              <w:rPr>
                <w:sz w:val="17"/>
                <w:szCs w:val="17"/>
                <w:color w:val="auto"/>
              </w:rPr>
            </w:pPr>
          </w:p>
        </w:tc>
        <w:tc>
          <w:tcPr>
            <w:tcW w:w="1300" w:type="dxa"/>
            <w:vAlign w:val="bottom"/>
            <w:gridSpan w:val="6"/>
          </w:tcPr>
          <w:p>
            <w:pPr>
              <w:jc w:val="right"/>
              <w:ind w:right="420"/>
              <w:spacing w:after="0" w:line="205" w:lineRule="exact"/>
              <w:rPr>
                <w:sz w:val="20"/>
                <w:szCs w:val="20"/>
                <w:color w:val="auto"/>
              </w:rPr>
            </w:pPr>
            <w:r>
              <w:rPr>
                <w:rFonts w:ascii="Arial" w:cs="Arial" w:eastAsia="Arial" w:hAnsi="Arial"/>
                <w:sz w:val="18"/>
                <w:szCs w:val="18"/>
                <w:color w:val="auto"/>
              </w:rPr>
              <w:t>15</w:t>
            </w:r>
          </w:p>
        </w:tc>
        <w:tc>
          <w:tcPr>
            <w:tcW w:w="9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18</w:t>
            </w:r>
          </w:p>
        </w:tc>
      </w:tr>
      <w:tr>
        <w:trPr>
          <w:trHeight w:val="464"/>
        </w:trPr>
        <w:tc>
          <w:tcPr>
            <w:tcW w:w="2600" w:type="dxa"/>
            <w:vAlign w:val="bottom"/>
          </w:tcPr>
          <w:p>
            <w:pPr>
              <w:spacing w:after="0"/>
              <w:rPr>
                <w:sz w:val="20"/>
                <w:szCs w:val="20"/>
                <w:color w:val="auto"/>
              </w:rPr>
            </w:pPr>
            <w:r>
              <w:rPr>
                <w:rFonts w:ascii="Arial" w:cs="Arial" w:eastAsia="Arial" w:hAnsi="Arial"/>
                <w:sz w:val="18"/>
                <w:szCs w:val="18"/>
                <w:color w:val="auto"/>
              </w:rPr>
              <w:t>Shares used in the</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computation of diluted</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color w:val="auto"/>
              </w:rPr>
              <w:t>earnings per common share</w:t>
            </w: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7"/>
              </w:rPr>
              <w:t>9,521</w:t>
            </w:r>
          </w:p>
        </w:tc>
        <w:tc>
          <w:tcPr>
            <w:tcW w:w="12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9,502</w:t>
            </w:r>
          </w:p>
        </w:tc>
        <w:tc>
          <w:tcPr>
            <w:tcW w:w="420" w:type="dxa"/>
            <w:vAlign w:val="bottom"/>
          </w:tcPr>
          <w:p>
            <w:pPr>
              <w:spacing w:after="0"/>
              <w:rPr>
                <w:sz w:val="17"/>
                <w:szCs w:val="17"/>
                <w:color w:val="auto"/>
              </w:rPr>
            </w:pPr>
          </w:p>
        </w:tc>
        <w:tc>
          <w:tcPr>
            <w:tcW w:w="1300" w:type="dxa"/>
            <w:vAlign w:val="bottom"/>
            <w:gridSpan w:val="6"/>
          </w:tcPr>
          <w:p>
            <w:pPr>
              <w:jc w:val="right"/>
              <w:ind w:right="420"/>
              <w:spacing w:after="0" w:line="205" w:lineRule="exact"/>
              <w:rPr>
                <w:sz w:val="20"/>
                <w:szCs w:val="20"/>
                <w:color w:val="auto"/>
              </w:rPr>
            </w:pPr>
            <w:r>
              <w:rPr>
                <w:rFonts w:ascii="Arial" w:cs="Arial" w:eastAsia="Arial" w:hAnsi="Arial"/>
                <w:sz w:val="18"/>
                <w:szCs w:val="18"/>
                <w:color w:val="auto"/>
              </w:rPr>
              <w:t>9,516</w:t>
            </w:r>
          </w:p>
        </w:tc>
        <w:tc>
          <w:tcPr>
            <w:tcW w:w="9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9,500</w:t>
            </w:r>
          </w:p>
        </w:tc>
      </w:tr>
      <w:tr>
        <w:trPr>
          <w:trHeight w:val="464"/>
        </w:trPr>
        <w:tc>
          <w:tcPr>
            <w:tcW w:w="2600" w:type="dxa"/>
            <w:vAlign w:val="bottom"/>
          </w:tcPr>
          <w:p>
            <w:pPr>
              <w:spacing w:after="0"/>
              <w:rPr>
                <w:sz w:val="20"/>
                <w:szCs w:val="20"/>
                <w:color w:val="auto"/>
              </w:rPr>
            </w:pPr>
            <w:r>
              <w:rPr>
                <w:rFonts w:ascii="Arial" w:cs="Arial" w:eastAsia="Arial" w:hAnsi="Arial"/>
                <w:sz w:val="18"/>
                <w:szCs w:val="18"/>
                <w:color w:val="auto"/>
              </w:rPr>
              <w:t>Net income available for</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color w:val="auto"/>
              </w:rPr>
              <w:t>common shares</w:t>
            </w:r>
          </w:p>
        </w:tc>
        <w:tc>
          <w:tcPr>
            <w:tcW w:w="20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$50,885</w:t>
            </w:r>
          </w:p>
        </w:tc>
        <w:tc>
          <w:tcPr>
            <w:tcW w:w="12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$14,229</w:t>
            </w:r>
          </w:p>
        </w:tc>
        <w:tc>
          <w:tcPr>
            <w:tcW w:w="420" w:type="dxa"/>
            <w:vAlign w:val="bottom"/>
          </w:tcPr>
          <w:p>
            <w:pPr>
              <w:spacing w:after="0"/>
              <w:rPr>
                <w:sz w:val="17"/>
                <w:szCs w:val="17"/>
                <w:color w:val="auto"/>
              </w:rPr>
            </w:pPr>
          </w:p>
        </w:tc>
        <w:tc>
          <w:tcPr>
            <w:tcW w:w="1300" w:type="dxa"/>
            <w:vAlign w:val="bottom"/>
            <w:gridSpan w:val="6"/>
          </w:tcPr>
          <w:p>
            <w:pPr>
              <w:jc w:val="right"/>
              <w:ind w:right="420"/>
              <w:spacing w:after="0" w:line="205" w:lineRule="exact"/>
              <w:rPr>
                <w:sz w:val="20"/>
                <w:szCs w:val="20"/>
                <w:color w:val="auto"/>
              </w:rPr>
            </w:pPr>
            <w:r>
              <w:rPr>
                <w:rFonts w:ascii="Arial" w:cs="Arial" w:eastAsia="Arial" w:hAnsi="Arial"/>
                <w:sz w:val="18"/>
                <w:szCs w:val="18"/>
                <w:color w:val="auto"/>
              </w:rPr>
              <w:t>$ 61,966</w:t>
            </w:r>
          </w:p>
        </w:tc>
        <w:tc>
          <w:tcPr>
            <w:tcW w:w="9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$212,757</w:t>
            </w:r>
          </w:p>
        </w:tc>
      </w:tr>
      <w:tr>
        <w:trPr>
          <w:trHeight w:val="464"/>
        </w:trPr>
        <w:tc>
          <w:tcPr>
            <w:tcW w:w="2600" w:type="dxa"/>
            <w:vAlign w:val="bottom"/>
          </w:tcPr>
          <w:p>
            <w:pPr>
              <w:spacing w:after="0"/>
              <w:rPr>
                <w:sz w:val="20"/>
                <w:szCs w:val="20"/>
                <w:color w:val="auto"/>
              </w:rPr>
            </w:pPr>
            <w:r>
              <w:rPr>
                <w:rFonts w:ascii="Arial" w:cs="Arial" w:eastAsia="Arial" w:hAnsi="Arial"/>
                <w:sz w:val="18"/>
                <w:szCs w:val="18"/>
                <w:color w:val="auto"/>
              </w:rPr>
              <w:t>Basic earnings per common</w:t>
            </w:r>
          </w:p>
        </w:tc>
        <w:tc>
          <w:tcPr>
            <w:tcW w:w="14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color w:val="auto"/>
              </w:rPr>
              <w:t>share</w:t>
            </w:r>
          </w:p>
        </w:tc>
        <w:tc>
          <w:tcPr>
            <w:tcW w:w="15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5.35</w:t>
            </w:r>
          </w:p>
        </w:tc>
        <w:tc>
          <w:tcPr>
            <w:tcW w:w="12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$ 1.50</w:t>
            </w:r>
          </w:p>
        </w:tc>
        <w:tc>
          <w:tcPr>
            <w:tcW w:w="420" w:type="dxa"/>
            <w:vAlign w:val="bottom"/>
          </w:tcPr>
          <w:p>
            <w:pPr>
              <w:spacing w:after="0"/>
              <w:rPr>
                <w:sz w:val="17"/>
                <w:szCs w:val="17"/>
                <w:color w:val="auto"/>
              </w:rPr>
            </w:pPr>
          </w:p>
        </w:tc>
        <w:tc>
          <w:tcPr>
            <w:tcW w:w="1300" w:type="dxa"/>
            <w:vAlign w:val="bottom"/>
            <w:gridSpan w:val="6"/>
          </w:tcPr>
          <w:p>
            <w:pPr>
              <w:jc w:val="right"/>
              <w:ind w:right="420"/>
              <w:spacing w:after="0" w:line="205" w:lineRule="exact"/>
              <w:rPr>
                <w:sz w:val="20"/>
                <w:szCs w:val="20"/>
                <w:color w:val="auto"/>
              </w:rPr>
            </w:pPr>
            <w:r>
              <w:rPr>
                <w:rFonts w:ascii="Arial" w:cs="Arial" w:eastAsia="Arial" w:hAnsi="Arial"/>
                <w:sz w:val="18"/>
                <w:szCs w:val="18"/>
                <w:color w:val="auto"/>
              </w:rPr>
              <w:t>$ 6.52</w:t>
            </w:r>
          </w:p>
        </w:tc>
        <w:tc>
          <w:tcPr>
            <w:tcW w:w="9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$ 22.44</w:t>
            </w:r>
          </w:p>
        </w:tc>
      </w:tr>
      <w:tr>
        <w:trPr>
          <w:trHeight w:val="464"/>
        </w:trPr>
        <w:tc>
          <w:tcPr>
            <w:tcW w:w="2600" w:type="dxa"/>
            <w:vAlign w:val="bottom"/>
          </w:tcPr>
          <w:p>
            <w:pPr>
              <w:spacing w:after="0"/>
              <w:rPr>
                <w:sz w:val="20"/>
                <w:szCs w:val="20"/>
                <w:color w:val="auto"/>
              </w:rPr>
            </w:pPr>
            <w:r>
              <w:rPr>
                <w:rFonts w:ascii="Arial" w:cs="Arial" w:eastAsia="Arial" w:hAnsi="Arial"/>
                <w:sz w:val="18"/>
                <w:szCs w:val="18"/>
                <w:color w:val="auto"/>
              </w:rPr>
              <w:t>Diluted earnings per</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05"/>
        </w:trPr>
        <w:tc>
          <w:tcPr>
            <w:tcW w:w="2600" w:type="dxa"/>
            <w:vAlign w:val="bottom"/>
          </w:tcPr>
          <w:p>
            <w:pPr>
              <w:spacing w:after="0" w:line="205" w:lineRule="exact"/>
              <w:rPr>
                <w:sz w:val="20"/>
                <w:szCs w:val="20"/>
                <w:color w:val="auto"/>
              </w:rPr>
            </w:pPr>
            <w:r>
              <w:rPr>
                <w:rFonts w:ascii="Arial" w:cs="Arial" w:eastAsia="Arial" w:hAnsi="Arial"/>
                <w:sz w:val="18"/>
                <w:szCs w:val="18"/>
                <w:color w:val="auto"/>
              </w:rPr>
              <w:t>common share</w:t>
            </w:r>
          </w:p>
        </w:tc>
        <w:tc>
          <w:tcPr>
            <w:tcW w:w="15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7"/>
                <w:szCs w:val="17"/>
                <w:color w:val="auto"/>
              </w:rPr>
            </w:pPr>
          </w:p>
        </w:tc>
        <w:tc>
          <w:tcPr>
            <w:tcW w:w="340" w:type="dxa"/>
            <w:vAlign w:val="bottom"/>
          </w:tcPr>
          <w:p>
            <w:pPr>
              <w:jc w:val="right"/>
              <w:spacing w:after="0" w:line="205" w:lineRule="exact"/>
              <w:rPr>
                <w:sz w:val="20"/>
                <w:szCs w:val="20"/>
                <w:color w:val="auto"/>
              </w:rPr>
            </w:pPr>
            <w:r>
              <w:rPr>
                <w:rFonts w:ascii="Arial" w:cs="Arial" w:eastAsia="Arial" w:hAnsi="Arial"/>
                <w:sz w:val="18"/>
                <w:szCs w:val="18"/>
                <w:color w:val="auto"/>
                <w:w w:val="91"/>
              </w:rPr>
              <w:t>5.34</w:t>
            </w:r>
          </w:p>
        </w:tc>
        <w:tc>
          <w:tcPr>
            <w:tcW w:w="12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$ 1.50</w:t>
            </w:r>
          </w:p>
        </w:tc>
        <w:tc>
          <w:tcPr>
            <w:tcW w:w="420" w:type="dxa"/>
            <w:vAlign w:val="bottom"/>
          </w:tcPr>
          <w:p>
            <w:pPr>
              <w:spacing w:after="0"/>
              <w:rPr>
                <w:sz w:val="17"/>
                <w:szCs w:val="17"/>
                <w:color w:val="auto"/>
              </w:rPr>
            </w:pPr>
          </w:p>
        </w:tc>
        <w:tc>
          <w:tcPr>
            <w:tcW w:w="1300" w:type="dxa"/>
            <w:vAlign w:val="bottom"/>
            <w:gridSpan w:val="6"/>
          </w:tcPr>
          <w:p>
            <w:pPr>
              <w:jc w:val="right"/>
              <w:ind w:right="420"/>
              <w:spacing w:after="0" w:line="205" w:lineRule="exact"/>
              <w:rPr>
                <w:sz w:val="20"/>
                <w:szCs w:val="20"/>
                <w:color w:val="auto"/>
              </w:rPr>
            </w:pPr>
            <w:r>
              <w:rPr>
                <w:rFonts w:ascii="Arial" w:cs="Arial" w:eastAsia="Arial" w:hAnsi="Arial"/>
                <w:sz w:val="18"/>
                <w:szCs w:val="18"/>
                <w:color w:val="auto"/>
              </w:rPr>
              <w:t>$ 6.51</w:t>
            </w:r>
          </w:p>
        </w:tc>
        <w:tc>
          <w:tcPr>
            <w:tcW w:w="9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$ 22.39</w:t>
            </w:r>
          </w:p>
        </w:tc>
      </w:tr>
      <w:tr>
        <w:trPr>
          <w:trHeight w:val="20"/>
        </w:trPr>
        <w:tc>
          <w:tcPr>
            <w:tcW w:w="2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ectPr>
          <w:pgSz w:w="11900" w:h="16838" w:orient="portrait"/>
          <w:cols w:equalWidth="0" w:num="1">
            <w:col w:w="10219"/>
          </w:cols>
          <w:pgMar w:left="240" w:top="121"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August 9,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4" w:lineRule="auto"/>
        <w:rPr>
          <w:sz w:val="20"/>
          <w:szCs w:val="20"/>
          <w:color w:val="auto"/>
        </w:rPr>
      </w:pPr>
      <w:r>
        <w:rPr>
          <w:rFonts w:ascii="Arial" w:cs="Arial" w:eastAsia="Arial" w:hAnsi="Arial"/>
          <w:sz w:val="18"/>
          <w:szCs w:val="18"/>
          <w:color w:val="auto"/>
        </w:rPr>
        <w:t>The Washington Post Company</w:t>
      </w:r>
    </w:p>
    <w:p>
      <w:pPr>
        <w:spacing w:after="0" w:line="181" w:lineRule="auto"/>
        <w:rPr>
          <w:sz w:val="20"/>
          <w:szCs w:val="20"/>
          <w:color w:val="auto"/>
        </w:rPr>
      </w:pPr>
      <w:r>
        <w:rPr>
          <w:rFonts w:ascii="Arial" w:cs="Arial" w:eastAsia="Arial" w:hAnsi="Arial"/>
          <w:sz w:val="17"/>
          <w:szCs w:val="17"/>
          <w:color w:val="auto"/>
        </w:rPr>
        <w:t>1150 15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are providing this letter to you for inclusion as an exhibit to your Form 10-Q filing pursuant to Item 601 of Regulation S-K.</w:t>
      </w:r>
    </w:p>
    <w:p>
      <w:pPr>
        <w:spacing w:after="0" w:line="21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have been provided a copy of the Company's Quarterly Report on Form 10-Q for the period ended June 30, 2002. Note 6 therein describes a change in accounting principle for awards of stock-based compensation from the intrinsic value based method to the fair value based method. We note that the preferability of the fair value based method of accounting for awards of stock-based compensation has been addressed in Statement of Financial Accounting Standards No. 123, "Accounting for Stock-based Compensation". In this Statement, the Financial Accounting Standards Board specified that the fair value based method was the preferable method.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the adoption of a preferable accounting principle in conformity with Accounting Principles Board Opinion No. 20.</w:t>
      </w:r>
    </w:p>
    <w:p>
      <w:pPr>
        <w:spacing w:after="0" w:line="187"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We have not audited any financial statements of the Company as of any date or for any period subsequent to December 30, 2001. Accordingly, our comments are subject to change upon completion of an audit of the financial statements covering the period of the accounting change.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ectPr>
          <w:pgSz w:w="11900" w:h="16838" w:orient="portrait"/>
          <w:cols w:equalWidth="0" w:num="1">
            <w:col w:w="11420"/>
          </w:cols>
          <w:pgMar w:left="240" w:top="143"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99.1</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PURSUANT TO</w:t>
      </w:r>
    </w:p>
    <w:p>
      <w:pPr>
        <w:ind w:left="4700"/>
        <w:spacing w:after="0" w:line="234" w:lineRule="auto"/>
        <w:rPr>
          <w:sz w:val="20"/>
          <w:szCs w:val="20"/>
          <w:color w:val="auto"/>
        </w:rPr>
      </w:pPr>
      <w:r>
        <w:rPr>
          <w:rFonts w:ascii="Arial" w:cs="Arial" w:eastAsia="Arial" w:hAnsi="Arial"/>
          <w:sz w:val="18"/>
          <w:szCs w:val="18"/>
          <w:color w:val="auto"/>
        </w:rPr>
        <w:t>18 U.S.C. SECTION 1350</w:t>
      </w:r>
    </w:p>
    <w:p>
      <w:pPr>
        <w:ind w:left="4480"/>
        <w:spacing w:after="0" w:line="235"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SECTION 906 OF THE SARBANES-OXLEY ACT OF 2002</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June 30, 2002 as filed with the Securities and Exchange Commission on the date hereof (the “Report”), I, Donald E. Graham, Chief Executive Officer of the Company, certify, pursuant to 18 U.S.C. § 1350, as adopted pursuant to § 906 of the Sarbanes-Oxley Act of 2002, that:</w:t>
      </w:r>
    </w:p>
    <w:p>
      <w:pPr>
        <w:spacing w:after="0" w:line="20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firstLine="8"/>
        <w:spacing w:after="0" w:line="485"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Donald E. Graham</w:t>
      </w:r>
    </w:p>
    <w:p>
      <w:pPr>
        <w:spacing w:after="0" w:line="235" w:lineRule="auto"/>
        <w:rPr>
          <w:sz w:val="20"/>
          <w:szCs w:val="20"/>
          <w:color w:val="auto"/>
        </w:rPr>
      </w:pPr>
      <w:r>
        <w:rPr>
          <w:rFonts w:ascii="Arial" w:cs="Arial" w:eastAsia="Arial" w:hAnsi="Arial"/>
          <w:sz w:val="18"/>
          <w:szCs w:val="18"/>
          <w:color w:val="auto"/>
        </w:rPr>
        <w:t>Donald E. Graham</w:t>
      </w:r>
    </w:p>
    <w:p>
      <w:pPr>
        <w:spacing w:after="0" w:line="235"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9, 2002</w:t>
      </w:r>
    </w:p>
    <w:p>
      <w:pPr>
        <w:sectPr>
          <w:pgSz w:w="11900" w:h="16838" w:orient="portrait"/>
          <w:cols w:equalWidth="0" w:num="1">
            <w:col w:w="11420"/>
          </w:cols>
          <w:pgMar w:left="240" w:top="143"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99.2</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PURSUANT TO</w:t>
      </w:r>
    </w:p>
    <w:p>
      <w:pPr>
        <w:ind w:left="4700"/>
        <w:spacing w:after="0" w:line="234" w:lineRule="auto"/>
        <w:rPr>
          <w:sz w:val="20"/>
          <w:szCs w:val="20"/>
          <w:color w:val="auto"/>
        </w:rPr>
      </w:pPr>
      <w:r>
        <w:rPr>
          <w:rFonts w:ascii="Arial" w:cs="Arial" w:eastAsia="Arial" w:hAnsi="Arial"/>
          <w:sz w:val="18"/>
          <w:szCs w:val="18"/>
          <w:color w:val="auto"/>
        </w:rPr>
        <w:t>18 U.S.C. SECTION 1350</w:t>
      </w:r>
    </w:p>
    <w:p>
      <w:pPr>
        <w:ind w:left="4480"/>
        <w:spacing w:after="0" w:line="235"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SECTION 906 OF THE SARBANES-OXLEY ACT OF 2002</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June 30, 2002 as filed with the Securities and Exchange Commission on the date hereof (the “Report”), I, John B. Morse, Jr., Vice President-Finance, Chief Financial Officer of the Company, certify, pursuant to 18 U.S.C. § 1350, as adopted pursuant to § 906 of the Sarbanes-Oxley Act of 2002, that:</w:t>
      </w:r>
    </w:p>
    <w:p>
      <w:pPr>
        <w:spacing w:after="0" w:line="20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right="840" w:firstLine="8"/>
        <w:spacing w:after="0" w:line="239"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234" w:lineRule="auto"/>
        <w:rPr>
          <w:sz w:val="20"/>
          <w:szCs w:val="20"/>
          <w:color w:val="auto"/>
        </w:rPr>
      </w:pPr>
      <w:r>
        <w:rPr>
          <w:rFonts w:ascii="Arial" w:cs="Arial" w:eastAsia="Arial" w:hAnsi="Arial"/>
          <w:sz w:val="18"/>
          <w:szCs w:val="18"/>
          <w:color w:val="auto"/>
        </w:rPr>
        <w:t>Vice President-Finance,</w:t>
      </w:r>
    </w:p>
    <w:p>
      <w:pPr>
        <w:ind w:left="10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9, 2002</w:t>
      </w: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334"/>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2019-12-13T08:08:24Z</dcterms:created>
  <dcterms:modified xsi:type="dcterms:W3CDTF">2019-12-13T08:08:24Z</dcterms:modified>
</cp:coreProperties>
</file>