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720"/>
        <w:spacing w:after="0"/>
        <w:rPr>
          <w:sz w:val="20"/>
          <w:szCs w:val="20"/>
          <w:color w:val="auto"/>
        </w:rPr>
      </w:pPr>
      <w:r>
        <w:rPr>
          <w:rFonts w:ascii="Arial" w:cs="Arial" w:eastAsia="Arial" w:hAnsi="Arial"/>
          <w:sz w:val="22"/>
          <w:szCs w:val="22"/>
          <w:b w:val="1"/>
          <w:bCs w:val="1"/>
          <w:color w:val="auto"/>
        </w:rPr>
        <w:t>Date of Report (Date of earliest event reported) October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2"/>
              <w:spacing w:after="0"/>
              <w:rPr>
                <w:sz w:val="20"/>
                <w:szCs w:val="20"/>
                <w:color w:val="auto"/>
              </w:rPr>
            </w:pPr>
            <w:r>
              <w:rPr>
                <w:rFonts w:ascii="Arial" w:cs="Arial" w:eastAsia="Arial" w:hAnsi="Arial"/>
                <w:sz w:val="18"/>
                <w:szCs w:val="18"/>
                <w:b w:val="1"/>
                <w:bCs w:val="1"/>
                <w:color w:val="auto"/>
                <w:w w:val="88"/>
              </w:rPr>
              <w:t>Delaware</w:t>
            </w:r>
          </w:p>
        </w:tc>
        <w:tc>
          <w:tcPr>
            <w:tcW w:w="3720" w:type="dxa"/>
            <w:vAlign w:val="bottom"/>
          </w:tcPr>
          <w:p>
            <w:pPr>
              <w:jc w:val="center"/>
              <w:ind w:right="104"/>
              <w:spacing w:after="0"/>
              <w:rPr>
                <w:sz w:val="20"/>
                <w:szCs w:val="20"/>
                <w:color w:val="auto"/>
              </w:rPr>
            </w:pPr>
            <w:r>
              <w:rPr>
                <w:rFonts w:ascii="Arial" w:cs="Arial" w:eastAsia="Arial" w:hAnsi="Arial"/>
                <w:sz w:val="18"/>
                <w:szCs w:val="18"/>
                <w:b w:val="1"/>
                <w:bCs w:val="1"/>
                <w:color w:val="auto"/>
                <w:w w:val="89"/>
              </w:rPr>
              <w:t>1-6714</w:t>
            </w:r>
          </w:p>
        </w:tc>
        <w:tc>
          <w:tcPr>
            <w:tcW w:w="2320" w:type="dxa"/>
            <w:vAlign w:val="bottom"/>
          </w:tcPr>
          <w:p>
            <w:pPr>
              <w:jc w:val="center"/>
              <w:ind w:left="1204"/>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2900" w:type="dxa"/>
            <w:vAlign w:val="bottom"/>
          </w:tcPr>
          <w:p>
            <w:pPr>
              <w:jc w:val="center"/>
              <w:ind w:right="12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7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5"/>
              </w:rPr>
              <w:t>(Commission</w:t>
            </w:r>
          </w:p>
        </w:tc>
        <w:tc>
          <w:tcPr>
            <w:tcW w:w="2320" w:type="dxa"/>
            <w:vAlign w:val="bottom"/>
          </w:tcPr>
          <w:p>
            <w:pPr>
              <w:jc w:val="center"/>
              <w:ind w:left="1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2"/>
              <w:spacing w:after="0"/>
              <w:rPr>
                <w:sz w:val="20"/>
                <w:szCs w:val="20"/>
                <w:color w:val="auto"/>
              </w:rPr>
            </w:pPr>
            <w:r>
              <w:rPr>
                <w:rFonts w:ascii="Arial" w:cs="Arial" w:eastAsia="Arial" w:hAnsi="Arial"/>
                <w:sz w:val="14"/>
                <w:szCs w:val="14"/>
                <w:b w:val="1"/>
                <w:bCs w:val="1"/>
                <w:color w:val="auto"/>
                <w:w w:val="87"/>
              </w:rPr>
              <w:t>of incorporation)</w:t>
            </w:r>
          </w:p>
        </w:tc>
        <w:tc>
          <w:tcPr>
            <w:tcW w:w="372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File Number)</w:t>
            </w:r>
          </w:p>
        </w:tc>
        <w:tc>
          <w:tcPr>
            <w:tcW w:w="2320" w:type="dxa"/>
            <w:vAlign w:val="bottom"/>
          </w:tcPr>
          <w:p>
            <w:pPr>
              <w:jc w:val="center"/>
              <w:ind w:left="11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900" w:type="dxa"/>
            <w:vAlign w:val="bottom"/>
          </w:tcPr>
          <w:p>
            <w:pPr>
              <w:jc w:val="center"/>
              <w:ind w:left="402"/>
              <w:spacing w:after="0"/>
              <w:rPr>
                <w:sz w:val="20"/>
                <w:szCs w:val="20"/>
                <w:color w:val="auto"/>
              </w:rPr>
            </w:pPr>
            <w:r>
              <w:rPr>
                <w:rFonts w:ascii="Arial" w:cs="Arial" w:eastAsia="Arial" w:hAnsi="Arial"/>
                <w:sz w:val="18"/>
                <w:szCs w:val="18"/>
                <w:b w:val="1"/>
                <w:bCs w:val="1"/>
                <w:color w:val="auto"/>
                <w:w w:val="88"/>
              </w:rPr>
              <w:t>1150 15th Street, N.W.</w:t>
            </w:r>
          </w:p>
        </w:tc>
        <w:tc>
          <w:tcPr>
            <w:tcW w:w="37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31"/>
        </w:trPr>
        <w:tc>
          <w:tcPr>
            <w:tcW w:w="2900" w:type="dxa"/>
            <w:vAlign w:val="bottom"/>
          </w:tcPr>
          <w:p>
            <w:pPr>
              <w:jc w:val="center"/>
              <w:ind w:left="382"/>
              <w:spacing w:after="0"/>
              <w:rPr>
                <w:sz w:val="20"/>
                <w:szCs w:val="20"/>
                <w:color w:val="auto"/>
              </w:rPr>
            </w:pPr>
            <w:r>
              <w:rPr>
                <w:rFonts w:ascii="Arial" w:cs="Arial" w:eastAsia="Arial" w:hAnsi="Arial"/>
                <w:sz w:val="18"/>
                <w:szCs w:val="18"/>
                <w:b w:val="1"/>
                <w:bCs w:val="1"/>
                <w:color w:val="auto"/>
                <w:w w:val="88"/>
              </w:rPr>
              <w:t>Washington, D.C.</w:t>
            </w:r>
          </w:p>
        </w:tc>
        <w:tc>
          <w:tcPr>
            <w:tcW w:w="3720" w:type="dxa"/>
            <w:vAlign w:val="bottom"/>
          </w:tcPr>
          <w:p>
            <w:pPr>
              <w:spacing w:after="0"/>
              <w:rPr>
                <w:sz w:val="20"/>
                <w:szCs w:val="20"/>
                <w:color w:val="auto"/>
              </w:rPr>
            </w:pPr>
          </w:p>
        </w:tc>
        <w:tc>
          <w:tcPr>
            <w:tcW w:w="2320" w:type="dxa"/>
            <w:vAlign w:val="bottom"/>
          </w:tcPr>
          <w:p>
            <w:pPr>
              <w:jc w:val="right"/>
              <w:ind w:right="1144"/>
              <w:spacing w:after="0"/>
              <w:rPr>
                <w:sz w:val="20"/>
                <w:szCs w:val="20"/>
                <w:color w:val="auto"/>
              </w:rPr>
            </w:pPr>
            <w:r>
              <w:rPr>
                <w:rFonts w:ascii="Arial" w:cs="Arial" w:eastAsia="Arial" w:hAnsi="Arial"/>
                <w:sz w:val="18"/>
                <w:szCs w:val="18"/>
                <w:b w:val="1"/>
                <w:bCs w:val="1"/>
                <w:color w:val="auto"/>
              </w:rPr>
              <w:t>20071</w:t>
            </w:r>
          </w:p>
        </w:tc>
      </w:tr>
      <w:tr>
        <w:trPr>
          <w:trHeight w:val="174"/>
        </w:trPr>
        <w:tc>
          <w:tcPr>
            <w:tcW w:w="2900" w:type="dxa"/>
            <w:vAlign w:val="bottom"/>
          </w:tcPr>
          <w:p>
            <w:pPr>
              <w:jc w:val="center"/>
              <w:ind w:left="3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720" w:type="dxa"/>
            <w:vAlign w:val="bottom"/>
          </w:tcPr>
          <w:p>
            <w:pPr>
              <w:spacing w:after="0"/>
              <w:rPr>
                <w:sz w:val="15"/>
                <w:szCs w:val="15"/>
                <w:color w:val="auto"/>
              </w:rPr>
            </w:pPr>
          </w:p>
        </w:tc>
        <w:tc>
          <w:tcPr>
            <w:tcW w:w="2320" w:type="dxa"/>
            <w:vAlign w:val="bottom"/>
          </w:tcPr>
          <w:p>
            <w:pPr>
              <w:jc w:val="center"/>
              <w:ind w:right="4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900" w:type="dxa"/>
            <w:vAlign w:val="bottom"/>
          </w:tcPr>
          <w:p>
            <w:pPr>
              <w:spacing w:after="0"/>
              <w:rPr>
                <w:sz w:val="24"/>
                <w:szCs w:val="24"/>
                <w:color w:val="auto"/>
              </w:rPr>
            </w:pPr>
          </w:p>
        </w:tc>
        <w:tc>
          <w:tcPr>
            <w:tcW w:w="3720" w:type="dxa"/>
            <w:vAlign w:val="bottom"/>
          </w:tcPr>
          <w:p>
            <w:pPr>
              <w:jc w:val="right"/>
              <w:ind w:right="1464"/>
              <w:spacing w:after="0"/>
              <w:rPr>
                <w:sz w:val="20"/>
                <w:szCs w:val="20"/>
                <w:color w:val="auto"/>
              </w:rPr>
            </w:pPr>
            <w:r>
              <w:rPr>
                <w:rFonts w:ascii="Arial" w:cs="Arial" w:eastAsia="Arial" w:hAnsi="Arial"/>
                <w:sz w:val="18"/>
                <w:szCs w:val="18"/>
                <w:b w:val="1"/>
                <w:bCs w:val="1"/>
                <w:color w:val="auto"/>
              </w:rPr>
              <w:t>(202) 334-6000</w:t>
            </w:r>
          </w:p>
        </w:tc>
        <w:tc>
          <w:tcPr>
            <w:tcW w:w="2320" w:type="dxa"/>
            <w:vAlign w:val="bottom"/>
          </w:tcPr>
          <w:p>
            <w:pPr>
              <w:spacing w:after="0"/>
              <w:rPr>
                <w:sz w:val="24"/>
                <w:szCs w:val="24"/>
                <w:color w:val="auto"/>
              </w:rPr>
            </w:pPr>
          </w:p>
        </w:tc>
      </w:tr>
      <w:tr>
        <w:trPr>
          <w:trHeight w:val="174"/>
        </w:trPr>
        <w:tc>
          <w:tcPr>
            <w:tcW w:w="2900" w:type="dxa"/>
            <w:vAlign w:val="bottom"/>
          </w:tcPr>
          <w:p>
            <w:pPr>
              <w:spacing w:after="0"/>
              <w:rPr>
                <w:sz w:val="15"/>
                <w:szCs w:val="15"/>
                <w:color w:val="auto"/>
              </w:rPr>
            </w:pPr>
          </w:p>
        </w:tc>
        <w:tc>
          <w:tcPr>
            <w:tcW w:w="3720" w:type="dxa"/>
            <w:vAlign w:val="bottom"/>
          </w:tcPr>
          <w:p>
            <w:pPr>
              <w:jc w:val="center"/>
              <w:ind w:right="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320" w:type="dxa"/>
            <w:vAlign w:val="bottom"/>
          </w:tcPr>
          <w:p>
            <w:pPr>
              <w:spacing w:after="0"/>
              <w:rPr>
                <w:sz w:val="15"/>
                <w:szCs w:val="15"/>
                <w:color w:val="auto"/>
              </w:rPr>
            </w:pP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October 30, 2009, The Washington Post Company issued a press release announcing the Company’s earnings for the third quarter and first nine months ended September 27, 2009. A copy of this press release is furnished with this report as an exhibit to this Form 8-K.</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October 30, 2009.</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408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41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460" w:val="left"/>
          <w:tab w:leader="none" w:pos="8200" w:val="left"/>
          <w:tab w:leader="none" w:pos="8540" w:val="left"/>
        </w:tabs>
        <w:rPr>
          <w:sz w:val="20"/>
          <w:szCs w:val="20"/>
          <w:color w:val="auto"/>
        </w:rPr>
      </w:pPr>
      <w:r>
        <w:rPr>
          <w:rFonts w:ascii="Arial" w:cs="Arial" w:eastAsia="Arial" w:hAnsi="Arial"/>
          <w:sz w:val="18"/>
          <w:szCs w:val="18"/>
          <w:color w:val="auto"/>
        </w:rPr>
        <w:t>Date</w:t>
        <w:tab/>
        <w:t>October 30,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w:t>
      </w:r>
      <w:r>
        <w:rPr>
          <w:rFonts w:ascii="Arial" w:cs="Arial" w:eastAsia="Arial" w:hAnsi="Arial"/>
          <w:sz w:val="13"/>
          <w:szCs w:val="13"/>
          <w:color w:val="auto"/>
        </w:rPr>
        <w:t>AL</w:t>
      </w:r>
      <w:r>
        <w:rPr>
          <w:rFonts w:ascii="Arial" w:cs="Arial" w:eastAsia="Arial" w:hAnsi="Arial"/>
          <w:sz w:val="16"/>
          <w:szCs w:val="16"/>
          <w:color w:val="auto"/>
        </w:rPr>
        <w:t xml:space="preserve"> S. J</w:t>
      </w:r>
      <w:r>
        <w:rPr>
          <w:rFonts w:ascii="Arial" w:cs="Arial" w:eastAsia="Arial" w:hAnsi="Arial"/>
          <w:sz w:val="13"/>
          <w:szCs w:val="13"/>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69462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6265" cy="17145"/>
                    </a:xfrm>
                    <a:prstGeom prst="rect">
                      <a:avLst/>
                    </a:prstGeom>
                    <a:noFill/>
                  </pic:spPr>
                </pic:pic>
              </a:graphicData>
            </a:graphic>
          </wp:anchor>
        </w:drawing>
      </w:r>
    </w:p>
    <w:p>
      <w:pPr>
        <w:spacing w:after="0" w:line="12"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Hal S. Jones</w:t>
      </w:r>
    </w:p>
    <w:p>
      <w:pPr>
        <w:jc w:val="center"/>
        <w:ind w:left="6640"/>
        <w:spacing w:after="0" w:line="223" w:lineRule="auto"/>
        <w:rPr>
          <w:sz w:val="20"/>
          <w:szCs w:val="20"/>
          <w:color w:val="auto"/>
        </w:rPr>
      </w:pPr>
      <w:r>
        <w:rPr>
          <w:rFonts w:ascii="Arial" w:cs="Arial" w:eastAsia="Arial" w:hAnsi="Arial"/>
          <w:sz w:val="14"/>
          <w:szCs w:val="14"/>
          <w:b w:val="1"/>
          <w:bCs w:val="1"/>
          <w:color w:val="auto"/>
        </w:rPr>
        <w:t>Senior Vice President - Finance</w:t>
      </w:r>
    </w:p>
    <w:p>
      <w:pPr>
        <w:jc w:val="center"/>
        <w:ind w:left="66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October 30, 2009.</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Contact:</w:t>
            </w:r>
          </w:p>
        </w:tc>
        <w:tc>
          <w:tcPr>
            <w:tcW w:w="6600" w:type="dxa"/>
            <w:vAlign w:val="bottom"/>
          </w:tcPr>
          <w:p>
            <w:pPr>
              <w:ind w:left="340"/>
              <w:spacing w:after="0"/>
              <w:rPr>
                <w:sz w:val="20"/>
                <w:szCs w:val="20"/>
                <w:color w:val="auto"/>
              </w:rPr>
            </w:pPr>
            <w:r>
              <w:rPr>
                <w:rFonts w:ascii="Arial" w:cs="Arial" w:eastAsia="Arial" w:hAnsi="Arial"/>
                <w:sz w:val="18"/>
                <w:szCs w:val="18"/>
                <w:color w:val="auto"/>
              </w:rPr>
              <w:t>Hal S. Jones</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For Immediate Release</w:t>
            </w:r>
          </w:p>
        </w:tc>
      </w:tr>
      <w:tr>
        <w:trPr>
          <w:trHeight w:val="235"/>
        </w:trPr>
        <w:tc>
          <w:tcPr>
            <w:tcW w:w="940" w:type="dxa"/>
            <w:vAlign w:val="bottom"/>
          </w:tcPr>
          <w:p>
            <w:pPr>
              <w:spacing w:after="0"/>
              <w:rPr>
                <w:sz w:val="20"/>
                <w:szCs w:val="20"/>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(202) 334-6645</w:t>
            </w:r>
          </w:p>
        </w:tc>
        <w:tc>
          <w:tcPr>
            <w:tcW w:w="1640" w:type="dxa"/>
            <w:vAlign w:val="bottom"/>
          </w:tcPr>
          <w:p>
            <w:pPr>
              <w:spacing w:after="0"/>
              <w:rPr>
                <w:sz w:val="20"/>
                <w:szCs w:val="20"/>
                <w:color w:val="auto"/>
              </w:rPr>
            </w:pPr>
            <w:r>
              <w:rPr>
                <w:rFonts w:ascii="Arial" w:cs="Arial" w:eastAsia="Arial" w:hAnsi="Arial"/>
                <w:sz w:val="18"/>
                <w:szCs w:val="18"/>
                <w:color w:val="auto"/>
              </w:rPr>
              <w:t>October 30, 2009</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EARNINGS</w:t>
      </w:r>
    </w:p>
    <w:p>
      <w:pPr>
        <w:spacing w:after="0" w:line="16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$17.1 million ($1.81 per share) for its third quarter ended September 27, 2009, compared to net income of $10.4 million ($1.08 per share) for the third quarter of last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third quarter of 2009:</w:t>
      </w:r>
    </w:p>
    <w:p>
      <w:pPr>
        <w:spacing w:after="0" w:line="90"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$6.1 million in accelerated depreciation at The Washington Post (after-tax impact of $3.8 million, or $0.40 per share);</w:t>
      </w:r>
    </w:p>
    <w:p>
      <w:pPr>
        <w:spacing w:after="0" w:line="90" w:lineRule="exact"/>
        <w:rPr>
          <w:rFonts w:ascii="Arial" w:cs="Arial" w:eastAsia="Arial" w:hAnsi="Arial"/>
          <w:sz w:val="18"/>
          <w:szCs w:val="18"/>
          <w:color w:val="auto"/>
        </w:rPr>
      </w:pPr>
    </w:p>
    <w:p>
      <w:pPr>
        <w:ind w:left="440" w:right="14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$25.4 million goodwill and other long-lived assets impairment charge related to Kaplan Ventures (after-tax impact of $18.8 million, or $2.00 per share); and</w:t>
      </w:r>
    </w:p>
    <w:p>
      <w:pPr>
        <w:spacing w:after="0" w:line="50" w:lineRule="exact"/>
        <w:rPr>
          <w:rFonts w:ascii="Arial" w:cs="Arial" w:eastAsia="Arial" w:hAnsi="Arial"/>
          <w:sz w:val="18"/>
          <w:szCs w:val="18"/>
          <w:color w:val="auto"/>
        </w:rPr>
      </w:pPr>
    </w:p>
    <w:p>
      <w:pPr>
        <w:ind w:left="440" w:right="4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decline in equity in earnings (losses) of affiliates associated with $29.0 million in impairment charges at two of the Company’s affiliates (after-tax impact of $18.8 million, or $2.00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third quarter of 2008:</w:t>
      </w:r>
    </w:p>
    <w:p>
      <w:pPr>
        <w:spacing w:after="0" w:line="90" w:lineRule="exact"/>
        <w:rPr>
          <w:sz w:val="20"/>
          <w:szCs w:val="20"/>
          <w:color w:val="auto"/>
        </w:rPr>
      </w:pPr>
    </w:p>
    <w:p>
      <w:pPr>
        <w:ind w:left="440" w:right="38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$59.7 million goodwill impairment charge at the Company’s community newspapers and The Herald (after-tax impact of $41.9 million, or $4.48 per share);</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$12.5 million in accelerated depreciation at The Washington Post (after-tax impact of $7.9 million, or $0.84 per share); and</w:t>
      </w:r>
    </w:p>
    <w:p>
      <w:pPr>
        <w:spacing w:after="0" w:line="9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$20.6 million in non-operating unrealized foreign currency losses arising from the strengthening of the U.S. dollar (after-tax impact of $13.0 million, or $1.39 per share).</w:t>
      </w:r>
    </w:p>
    <w:p>
      <w:pPr>
        <w:spacing w:after="0" w:line="132"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Revenue for the third quarter of 2009 was $1,148.7 million, up 2% from $1,128.7 million in the third quarter of 2008. The increase is due to revenue growth at the education and cable television divisions. Revenues were down at the Company’s newspaper publishing, magazine publishing and television broadcasting divisions.</w:t>
      </w:r>
    </w:p>
    <w:p>
      <w:pPr>
        <w:sectPr>
          <w:pgSz w:w="11900" w:h="16838" w:orient="portrait"/>
          <w:cols w:equalWidth="0" w:num="1">
            <w:col w:w="11420"/>
          </w:cols>
          <w:pgMar w:left="240" w:top="125" w:right="239" w:bottom="1440" w:gutter="0" w:footer="0" w:header="0"/>
        </w:sectPr>
      </w:pPr>
    </w:p>
    <w:bookmarkStart w:id="5" w:name="page6"/>
    <w:bookmarkEnd w:id="5"/>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income increased in the third quarter of 2009 to $61.2 million, from $40.3 million in the third quarter of 2008. Excluding the operating items discussed above, the education division reported improved results for the quarter, and the newspaper publishing division reported increased losses. The magazine publishing division reported an operating loss for the third quarter, and operating results were down at the television broadcasting division. Cable television division results declined modestly for the third quarter of 2009.</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first nine months of 2009, net income totaled $9.0 million ($1.08 per share), compared with $47.0 million ($4.86 per share) for the same period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first nine months of 2009:</w:t>
      </w:r>
    </w:p>
    <w:p>
      <w:pPr>
        <w:spacing w:after="0" w:line="90"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$63.4 million in early retirement program expense at The Washington Post and Newsweek (after-tax impact of $39.3 million, or $4.18 per share);</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$33.0 million in restructuring charges related to Kaplan’s Score and Test Prep operations (after-tax impact of $20.5 million, or $2.18 per share);</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$33.8 million in accelerated depreciation at The Washington Post (after-tax impact of $21.0 million, or $2.23 per share);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$25.4 million goodwill and other long-lived assets impairment charge related to Kaplan Ventures (after-tax impact of $18.8 million, or $2.00 per share);</w:t>
      </w:r>
    </w:p>
    <w:p>
      <w:pPr>
        <w:spacing w:after="0" w:line="113" w:lineRule="exact"/>
        <w:rPr>
          <w:rFonts w:ascii="Arial" w:cs="Arial" w:eastAsia="Arial" w:hAnsi="Arial"/>
          <w:sz w:val="16"/>
          <w:szCs w:val="16"/>
          <w:color w:val="auto"/>
        </w:rPr>
      </w:pPr>
    </w:p>
    <w:p>
      <w:pPr>
        <w:ind w:left="44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equity in earnings (losses) of affiliates associated with $29.0 million in impairment charges at two of the Company’s affiliates (after-tax impact of $18.8 million, or $2.00 per share); and</w:t>
      </w:r>
    </w:p>
    <w:p>
      <w:pPr>
        <w:spacing w:after="0" w:line="50" w:lineRule="exact"/>
        <w:rPr>
          <w:rFonts w:ascii="Arial" w:cs="Arial" w:eastAsia="Arial" w:hAnsi="Arial"/>
          <w:sz w:val="18"/>
          <w:szCs w:val="18"/>
          <w:color w:val="auto"/>
        </w:rPr>
      </w:pPr>
    </w:p>
    <w:p>
      <w:pPr>
        <w:ind w:left="440" w:right="100" w:hanging="324"/>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$18.4 million in non-operating unrealized foreign currency gains arising from the weakening of the U.S. dollar (after-tax impact of $11.4 million, or $1.21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first nine months of 2008:</w:t>
      </w:r>
    </w:p>
    <w:p>
      <w:pPr>
        <w:spacing w:after="0" w:line="90" w:lineRule="exact"/>
        <w:rPr>
          <w:sz w:val="20"/>
          <w:szCs w:val="20"/>
          <w:color w:val="auto"/>
        </w:rPr>
      </w:pPr>
    </w:p>
    <w:p>
      <w:pPr>
        <w:ind w:left="440" w:right="24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Charges of $112.0 million related to early retirement program expense at The Washington Post newspaper, the corporate office and Newsweek (after-tax impact of $67.8 million, or $7.13 per share);</w:t>
      </w:r>
    </w:p>
    <w:p>
      <w:pPr>
        <w:spacing w:after="0" w:line="50" w:lineRule="exact"/>
        <w:rPr>
          <w:rFonts w:ascii="Arial" w:cs="Arial" w:eastAsia="Arial" w:hAnsi="Arial"/>
          <w:sz w:val="18"/>
          <w:szCs w:val="18"/>
          <w:color w:val="auto"/>
        </w:rPr>
      </w:pPr>
    </w:p>
    <w:p>
      <w:pPr>
        <w:ind w:left="440" w:right="34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$59.7 million goodwill impairment charge at the Company’s community newspapers and The Herald (after-tax impact of $41.9 million, or $4.48 per share);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 w:name="page7"/>
    <w:bookmarkEnd w:id="6"/>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$13.7 million in accelerated depreciation at The Washington Post (after-tax impact of $8.6 million, or $0.91 per share);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Expenses and charges of $3.9 million in connection with restructuring at certain Test Prep operations (after-tax impact of $2.4 million, or $0.26 per share);</w:t>
      </w:r>
    </w:p>
    <w:p>
      <w:pPr>
        <w:spacing w:after="0" w:line="113" w:lineRule="exact"/>
        <w:rPr>
          <w:rFonts w:ascii="Arial" w:cs="Arial" w:eastAsia="Arial" w:hAnsi="Arial"/>
          <w:sz w:val="16"/>
          <w:szCs w:val="16"/>
          <w:color w:val="auto"/>
        </w:rPr>
      </w:pPr>
    </w:p>
    <w:p>
      <w:pPr>
        <w:ind w:left="440" w:right="100" w:hanging="324"/>
        <w:spacing w:after="0" w:line="26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decline in equity in earnings (losses) of affiliates associated with $6.8 million in impairment charges at two of the Company’s affiliates (after-tax impact of $4.1 million, or $0.43 per share); and</w:t>
      </w:r>
    </w:p>
    <w:p>
      <w:pPr>
        <w:spacing w:after="0" w:line="50" w:lineRule="exact"/>
        <w:rPr>
          <w:rFonts w:ascii="Arial" w:cs="Arial" w:eastAsia="Arial" w:hAnsi="Arial"/>
          <w:sz w:val="18"/>
          <w:szCs w:val="18"/>
          <w:color w:val="auto"/>
        </w:rPr>
      </w:pPr>
    </w:p>
    <w:p>
      <w:pPr>
        <w:ind w:left="440" w:right="400" w:hanging="324"/>
        <w:spacing w:after="0" w:line="26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$13.4 million in non-operating unrealized foreign currency losses arising from the strengthening of the U.S. dollar (after-tax impact of $8.4 million, or $0.89 per share).</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Revenue for the first nine months of 2009 was $3,331.3 million, up 1% from $3,298.0 in the first nine months of 2008, due to increased revenues at the Company’s education and cable television divisions, partially offset by revenue declines at the Company’s newspaper publishing, magazine publishing and television broadcasting divisions.</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 reported operating income of $47.8 million for the first nine months of 2009, compared to operating income of $112.0 million for the first nine months of 2008. Excluding the operating items discussed above, the education division reported improved results for the period, and the newspaper publishing and magazine publishing divisions reported increased losses. Operating results were down at the television broadcasting division, while the cable television division reported improved results for the period.</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Company’s operating income for the third quarter and first nine months of 2009 included $2.3 million and $5.2 million of net pension credits, respectively, compared to $6.4 million and $19.6 million of net pension credits, respectively, for the same periods of 2008, excluding charges related to early retirement programs.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Division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Education division revenue totaled $684.5 million for the third quarter of 2009, a 14% increase over revenue of $602.7 million for the same period of 2008. Kaplan reported operating income of $45.9 million for the third quarter of 2009, down 10% from $51.1 million in the third quarter of 2008. Results for the third quarter of 2009 included a goodwill and other long-lived assets impairment charge of $25.4 million related to two businesses at Kaplan Ventures.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first nine months of 2009, education division revenue totaled $1,927.4 million, a 12% increase over revenue of $1,722.5 million for the same period of 2008. Kaplan reported operating income of $115.2 million for the first nine months of 2009, down 21% from $145.3 million for the first nine months of 2008.</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Kaplan completed a reorganization of its organizational and internal reporting structure during the third quarter of 2009. As a result, the Company has made changes to the composition of its reporting segments. A summary of Kaplan’s operating results reported under this new structure for the third quarter and the first nine months of 2009 compared to 2008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40" w:type="dxa"/>
            <w:vAlign w:val="bottom"/>
            <w:vMerge w:val="restart"/>
          </w:tcPr>
          <w:p>
            <w:pPr>
              <w:ind w:left="840"/>
              <w:spacing w:after="0"/>
              <w:rPr>
                <w:sz w:val="20"/>
                <w:szCs w:val="20"/>
                <w:color w:val="auto"/>
              </w:rPr>
            </w:pPr>
            <w:r>
              <w:rPr>
                <w:rFonts w:ascii="Arial" w:cs="Arial" w:eastAsia="Arial" w:hAnsi="Arial"/>
                <w:sz w:val="14"/>
                <w:szCs w:val="14"/>
                <w:color w:val="auto"/>
              </w:rPr>
              <w:t>(In thousands)</w:t>
            </w: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color w:val="auto"/>
                <w:w w:val="91"/>
              </w:rPr>
              <w:t>Third Quarter</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color w:val="auto"/>
              </w:rPr>
              <w:t>YTD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ind w:left="160"/>
              <w:spacing w:after="0" w:line="13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ind w:left="140"/>
              <w:spacing w:after="0" w:line="13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3"/>
              <w:spacing w:after="0" w:line="159"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3"/>
              <w:spacing w:after="0" w:line="159" w:lineRule="exact"/>
              <w:rPr>
                <w:sz w:val="20"/>
                <w:szCs w:val="20"/>
                <w:color w:val="auto"/>
              </w:rPr>
            </w:pPr>
            <w:r>
              <w:rPr>
                <w:rFonts w:ascii="Arial" w:cs="Arial" w:eastAsia="Arial" w:hAnsi="Arial"/>
                <w:sz w:val="14"/>
                <w:szCs w:val="14"/>
                <w:color w:val="auto"/>
              </w:rPr>
              <w:t>2008</w:t>
            </w:r>
          </w:p>
        </w:tc>
        <w:tc>
          <w:tcPr>
            <w:tcW w:w="280" w:type="dxa"/>
            <w:vAlign w:val="bottom"/>
          </w:tcPr>
          <w:p>
            <w:pPr>
              <w:spacing w:after="0"/>
              <w:rPr>
                <w:sz w:val="13"/>
                <w:szCs w:val="13"/>
                <w:color w:val="auto"/>
              </w:rPr>
            </w:pPr>
          </w:p>
        </w:tc>
        <w:tc>
          <w:tcPr>
            <w:tcW w:w="6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1"/>
              </w:rPr>
              <w:t>Change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3"/>
              <w:spacing w:after="0" w:line="159" w:lineRule="exact"/>
              <w:rPr>
                <w:sz w:val="20"/>
                <w:szCs w:val="20"/>
                <w:color w:val="auto"/>
              </w:rPr>
            </w:pPr>
            <w:r>
              <w:rPr>
                <w:rFonts w:ascii="Arial" w:cs="Arial" w:eastAsia="Arial" w:hAnsi="Arial"/>
                <w:sz w:val="14"/>
                <w:szCs w:val="14"/>
                <w:color w:val="auto"/>
              </w:rPr>
              <w:t>2009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3"/>
              <w:spacing w:after="0" w:line="159" w:lineRule="exact"/>
              <w:rPr>
                <w:sz w:val="20"/>
                <w:szCs w:val="20"/>
                <w:color w:val="auto"/>
              </w:rPr>
            </w:pPr>
            <w:r>
              <w:rPr>
                <w:rFonts w:ascii="Arial" w:cs="Arial" w:eastAsia="Arial" w:hAnsi="Arial"/>
                <w:sz w:val="14"/>
                <w:szCs w:val="14"/>
                <w:color w:val="auto"/>
              </w:rPr>
              <w:t>2008</w:t>
            </w:r>
          </w:p>
        </w:tc>
        <w:tc>
          <w:tcPr>
            <w:tcW w:w="300" w:type="dxa"/>
            <w:vAlign w:val="bottom"/>
          </w:tcPr>
          <w:p>
            <w:pPr>
              <w:spacing w:after="0"/>
              <w:rPr>
                <w:sz w:val="13"/>
                <w:szCs w:val="13"/>
                <w:color w:val="auto"/>
              </w:rPr>
            </w:pP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77"/>
              </w:rPr>
              <w:t>Change</w:t>
            </w:r>
          </w:p>
        </w:tc>
        <w:tc>
          <w:tcPr>
            <w:tcW w:w="0" w:type="dxa"/>
            <w:vAlign w:val="bottom"/>
          </w:tcPr>
          <w:p>
            <w:pPr>
              <w:spacing w:after="0"/>
              <w:rPr>
                <w:sz w:val="1"/>
                <w:szCs w:val="1"/>
                <w:color w:val="auto"/>
              </w:rPr>
            </w:pPr>
          </w:p>
        </w:tc>
      </w:tr>
      <w:tr>
        <w:trPr>
          <w:trHeight w:val="169"/>
        </w:trPr>
        <w:tc>
          <w:tcPr>
            <w:tcW w:w="50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Higher education</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408,658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302,026</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1,119,142</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837,064</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 excluding Score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109,319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122,109</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366,287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Score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7,518</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23,982</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international</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138,089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141,895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407,402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Kaplan ventures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30,459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31,815</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90,897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93,108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Intersegment elimination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(2,995)</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(8,108)</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(6,442)</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684,516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602,739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1,927,369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1,722,459</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4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88,737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45,927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128,949</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Test prep, excluding Score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16,363</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45,051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Score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(2,268)</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(7,834)</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10,825</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34,519</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(2,311)</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(1,367)</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(15,577)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(11,477)</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(38,984)</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(33,546)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stock compensation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(9,798)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(3,151)</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(17,247)</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(10,503)</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Impairment of goodwill and other long-lived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(25,387)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(25,387)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Intersegment elimination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51,126</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145,278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as well as online post-secondary and career programs. Higher education revenue grew 35% for the third quarter of 2009 and 34% for the first nine months of 2009 due mostly to strong enrollment growth. Operating income at KHE improved 93% in the third quarter of 2009, reflecting this strong enrollment growth. Operating income increased 55% for the first nine months of 2009 due to this strong enrollment growth, offset by increased marketing and advertising costs in the first quarter of 2009, including a $21.0 million national media campaign. At September 30, 2009, KHE’s enrollments totaled 103,800, a 28% increase compared to total enrollments of 81,400 at September 30, 2008. Enrollment growth was particularly strong at Kaplan University’s online offerings, which grew at 37% in the first nine months of 2009.</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ind w:right="80"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Test prep includes Kaplan’s standardized test preparation and tutoring offerings, as well as the professional domestic training business, K12 and other businesses. Test prep revenue, excluding Score and revenue from acquired businesses, declined 11% in the third quarter and 9% in the first nine months of 2009 due to continued revenue declines in the real estate and financial education businesses, declines at the traditional test prep programs and softness in other programs. Test prep operating income, excluding Score, was also down in the third quarter and first nine months of 2009 due to declines at the traditional test prep programs and softness in other programs, offset by improved results at test prep’s professional domestic training businesses due to expense reductions.</w:t>
      </w:r>
    </w:p>
    <w:p>
      <w:pPr>
        <w:spacing w:after="0" w:line="10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end of March 2009, the Company approved a plan to offer tutoring services, previously provided at Score, in Kaplan test prep centers. The plan was substantially completed by the end of the second quarter of 2009; 14 existing Score centers were converted into Kaplan test prep centers and the remaining 64 Score centers were closed. Score revenues declined to $8.6 million in the first nine months of 2009, from $24.0 in the first nine months of 2008. Operating losses at Score increased to $36.5 million in the first nine months of 2009, inclusive of $24.9 million in restructuring-related charges, compared to $7.8 million in operating losses for the first nine months of 2008.</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2007, Kaplan announced restructuring plans at its professional domestic training businesses that involved product changes and decentralization of certain operations, in addition to employee terminations. These businesses are now part of Kaplan’s test prep division. In the fourth quarter of 2008, Kaplan expanded this restructuring to include additional operations. Total restructuring-related expenses of $0.9 million and $8.1 million were recorded in the third quarter and first nine months of 2009, respectively, related to lease termination, accelerated depreciation of fixed assets and severance costs, compared to $0.7 million and $3.9 million in restructuring-related severance costs recorded in the third quarter and first nine months of 2008, respectively.</w:t>
      </w:r>
    </w:p>
    <w:p>
      <w:pPr>
        <w:spacing w:after="0" w:line="11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Kaplan International includes professional training and post-secondary education businesses outside the United States, as well as English-language programs. Kaplan International revenue declined 3% in the third quarter of 2009 and 6% in the first nine months of 2009. Excluding revenue from acquired businesses, Kaplan International revenue was down 9% for the third quarter of 2009 and 11% in the first nine months of 2009. The declines are the result of unfavorable exchange rates in the U.K., Europe and Australia and declines in English-language programs. These declines were offset by revenue growth at International’s Asian operations. Likewise, Kaplan International operating income is down largely due to weakness in the English-language programs and the financial education programs in the U.K., offset by improved operating results at International’s Asian operations.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Kaplan Ventures is made up of a number of businesses in various stages of development that are managed separately from the other education businesses. Kaplan Ventures includes Kaplan EduNeering, Kaplan Compliance Solutions, Education Connection, Kaplan Virtual Education, Kidum and other smaller businesses. Revenues at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9" w:name="page10"/>
    <w:bookmarkEnd w:id="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Kaplan Ventures declined 4% in the third quarter and 2% in the first nine months of 2009. Kaplan Ventures reported operating losses of $7.6 million and $13.0 million for the third quarter and first nine months of 2009, compared to operating losses of $2.3 million and $1.4 million for the same periods of 2008, due primarily to increased losses at Kaplan Virtual Education, a developing group of online high school institutions. A goodwill and other long-lived assets impairment charge of $25.4 million was recorded at Kaplan in the third quarter of 2009 related to certain of the Kaplan Venture’s businesses, as the book value of these businesses exceeded their estimated fair value.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represents unallocated expenses of Kaplan, Inc.’s corporate office and other minor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Cable television division revenue of $189.6 million for the third quarter of 2009 represents a 4% increase from $181.8 million in the third quarter of 2008; for the first nine months of 2009, revenue increased 5% to $559.8 million, from $535.0 million in the same period of 2008. The 2009 revenue increase is due to continued growth in the division’s cable modem and telephone revenues, and a $4 monthly rate increase for most basic subscribers in June 2009.</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Cable division operating income declined 3% to $40.3 million in the third quarter of 2009, versus $41.6 million in the third quarter of 2008; cable division operating income for the first nine months of 2009 increased 5% to $122.1 million, from $116.0 million for the first nine months of 2008. The decline in operating income in the third quarter of 2009 is due to increased programming, bad debt and general and administrative costs. The increase in operating income for the first nine months of 2009 is the result of the division’s revenue growth.</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September 30, 2009, Revenue Generating Units (RGUs) grew 1% due to continued growth in high-speed data and telephony subscribers, partially offset by a reduction in basic and digital subscribers. A summary of RGUs is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5240" w:type="dxa"/>
            <w:vAlign w:val="bottom"/>
            <w:gridSpan w:val="2"/>
          </w:tcPr>
          <w:p>
            <w:pPr>
              <w:jc w:val="right"/>
              <w:spacing w:after="0"/>
              <w:rPr>
                <w:sz w:val="20"/>
                <w:szCs w:val="20"/>
                <w:color w:val="auto"/>
              </w:rPr>
            </w:pPr>
            <w:r>
              <w:rPr>
                <w:rFonts w:ascii="Arial" w:cs="Arial" w:eastAsia="Arial" w:hAnsi="Arial"/>
                <w:sz w:val="14"/>
                <w:szCs w:val="14"/>
                <w:color w:val="auto"/>
              </w:rPr>
              <w:t>September 30,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September 30,</w:t>
            </w: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w w:val="93"/>
              </w:rPr>
              <w:t>Cable Television Division Subscribers</w:t>
            </w:r>
          </w:p>
        </w:tc>
        <w:tc>
          <w:tcPr>
            <w:tcW w:w="524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2009</w:t>
            </w:r>
          </w:p>
        </w:tc>
        <w:tc>
          <w:tcPr>
            <w:tcW w:w="122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2008</w:t>
            </w:r>
          </w:p>
        </w:tc>
      </w:tr>
      <w:tr>
        <w:trPr>
          <w:trHeight w:val="102"/>
        </w:trPr>
        <w:tc>
          <w:tcPr>
            <w:tcW w:w="2220" w:type="dxa"/>
            <w:vAlign w:val="bottom"/>
            <w:tcBorders>
              <w:top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r>
      <w:tr>
        <w:trPr>
          <w:trHeight w:val="216"/>
        </w:trPr>
        <w:tc>
          <w:tcPr>
            <w:tcW w:w="2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677,751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701,711</w:t>
            </w: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Digital</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221,564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224,231</w:t>
            </w:r>
          </w:p>
        </w:tc>
      </w:tr>
      <w:tr>
        <w:trPr>
          <w:trHeight w:val="216"/>
        </w:trPr>
        <w:tc>
          <w:tcPr>
            <w:tcW w:w="2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High-speed data</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388,567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368,614</w:t>
            </w:r>
          </w:p>
        </w:tc>
      </w:tr>
      <w:tr>
        <w:trPr>
          <w:trHeight w:val="223"/>
        </w:trPr>
        <w:tc>
          <w:tcPr>
            <w:tcW w:w="2220" w:type="dxa"/>
            <w:vAlign w:val="bottom"/>
          </w:tcPr>
          <w:p>
            <w:pPr>
              <w:ind w:left="440"/>
              <w:spacing w:after="0"/>
              <w:rPr>
                <w:sz w:val="20"/>
                <w:szCs w:val="20"/>
                <w:color w:val="auto"/>
              </w:rPr>
            </w:pPr>
            <w:r>
              <w:rPr>
                <w:rFonts w:ascii="Arial" w:cs="Arial" w:eastAsia="Arial" w:hAnsi="Arial"/>
                <w:sz w:val="18"/>
                <w:szCs w:val="18"/>
                <w:color w:val="auto"/>
              </w:rPr>
              <w:t>Telephony</w:t>
            </w:r>
          </w:p>
        </w:tc>
        <w:tc>
          <w:tcPr>
            <w:tcW w:w="44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105,211</w:t>
            </w:r>
          </w:p>
        </w:tc>
        <w:tc>
          <w:tcPr>
            <w:tcW w:w="4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90,994</w:t>
            </w:r>
          </w:p>
        </w:tc>
      </w:tr>
      <w:tr>
        <w:trPr>
          <w:trHeight w:val="216"/>
        </w:trPr>
        <w:tc>
          <w:tcPr>
            <w:tcW w:w="2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1,393,093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1,385,550</w:t>
            </w:r>
          </w:p>
        </w:tc>
      </w:tr>
      <w:tr>
        <w:trPr>
          <w:trHeight w:val="20"/>
        </w:trPr>
        <w:tc>
          <w:tcPr>
            <w:tcW w:w="22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Newspaper publishing division revenue totaled $156.3 million for the third quarter of 2009, a decrease of 20% from $196.2 million in the third quarter of 2008; division revenue decreased 19% to $485.9 million for the first nine months of 2009, from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0" w:name="page11"/>
    <w:bookmarkEnd w:id="10"/>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$599.6 million for the first nine months of 2008. Print advertising revenue at The Post in the third quarter of 2009 declined 28% to $70.0 million, from $97.2 million in the third quarter of 2008, and decreased 27% to $224.4 million for the first nine months of 2009, from $308.6 million in the same period of 2008. The print revenue decline in 2009 is due to large decreases in classified, general, zones and retail advertising. Revenue generated by the Company’s newspaper online publishing activities, primarily washingtonpost.com, declined 18% to $22.6 million for the third quarter of 2009, versus $27.4 million for the third quarter of 2008; newspaper online revenues declined 12% to $68.1 million in the first nine months of 2009, versus $77.3 million for the first nine months of 2008. Display online advertising revenue declined 14% and 4% for the third quarter and first nine months of 2009, respectively. Online classified advertising revenue on washingtonpost.com declined 27% and 26% for the third quarter and first nine months of 2009,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first nine months of 2009, Post daily and Sunday circulation declined 3.6% and 3.7%, respectively, compared to the same periods of the prior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27, 2009, average daily circulation at The Post totaled 600,800 and average Sunday circulation totaled 840,100.</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previously announced, the Company offered a Voluntary Retirement Incentive Program to certain employees of The Washington Post newspaper in the first quarter of 2009. A total of 221 employees accepted the offer, and early retirement program expense of $56.8 million was recorded in the second quarter of 2009, which is being funded primarily from the assets of the Company’s pension plans. In the third quarter of 2009, the Company offered a Voluntary Retirement Incentive Program to certain employees at Robinson Terminal Warehouse Corporation; $1.1 million in early retirement program expense was recorded in the third quarter of 2009, also to be funded from the assets of the Company’s pension plans. In the first quarter of 2008, a Voluntary Retirement Incentive Program was also offered, with 231 employees accepting the offer; $79.8 million in early retirement program expense was recorded in the second quarter of 2008, also funded primarily from the assets of the Company’s pension plans.</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Post closed its College Park, MD, printing plant in July 2009 and has consolidated its printing operations in Springfield, VA. The Post is also in the process of consolidating certain other operations in Washington, DC. In connection with these activities, accelerated depreciation of $6.1 million and $33.8 million was recorded in the third quarter and first nine months of 2009, respectively; accelerated depreciation of $12.5 million and $13.7 million was recorded in the third quarter and first nine months of 2008, respectively. The Company will incur additional costs related to the shutdown of the College Park, MD printing plant that will be recorded as incurred. The Company also expects to incur a loss on an office lease in conjunction with the consolidation of operations. A portion of the loss may be recorded in the fourth quarter of 2009 and the remainder in 2010, depending on the timing of the consolidation. Additionally, in the third quarter of 2008, the Company completed an impairment review of its community newspapers and The Herald, which resulted in a $59.7 million goodwill impairment loss.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newspaper division reported an operating loss of $23.6 million in the third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 of 2009, compared to an operating loss of $82.7 million in the third quarter of 2008. For the first nine months of 2009, the newspaper division reported an operating loss of $166.7 million, compared to an operating loss of $178.3 million for the first nine months of 2008. Excluding early retirement program charges, accelerated depreciation and goodwill impairment losses, operating results declined in the third quarter and first nine months of 2009 due to the significant decline in division advertising revenue and increased bad debt expense, offset by expense reductions. Newsprint expense was down 37% and 19% for the third quarter and first nine months of 2009, respectively, due to a decline in newsprint consumption and prices.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newspaper division operating results for the third quarter and the first nine months of 2009 compared to 2008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color w:val="auto"/>
                <w:w w:val="91"/>
              </w:rPr>
              <w:t>Third Quarter</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color w:val="auto"/>
                <w:w w:val="89"/>
              </w:rPr>
              <w:t>Year-to-Date</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ind w:left="140"/>
              <w:spacing w:after="0" w:line="131"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ind w:left="140"/>
              <w:spacing w:after="0" w:line="13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540" w:type="dxa"/>
            <w:vAlign w:val="bottom"/>
          </w:tcPr>
          <w:p>
            <w:pPr>
              <w:ind w:left="1200"/>
              <w:spacing w:after="0" w:line="159"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640" w:type="dxa"/>
            <w:vAlign w:val="bottom"/>
          </w:tcPr>
          <w:p>
            <w:pPr>
              <w:jc w:val="right"/>
              <w:ind w:right="135"/>
              <w:spacing w:after="0" w:line="159"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35"/>
              <w:spacing w:after="0" w:line="159" w:lineRule="exact"/>
              <w:rPr>
                <w:sz w:val="20"/>
                <w:szCs w:val="20"/>
                <w:color w:val="auto"/>
              </w:rPr>
            </w:pPr>
            <w:r>
              <w:rPr>
                <w:rFonts w:ascii="Arial" w:cs="Arial" w:eastAsia="Arial" w:hAnsi="Arial"/>
                <w:sz w:val="14"/>
                <w:szCs w:val="14"/>
                <w:color w:val="auto"/>
              </w:rPr>
              <w:t>2008</w:t>
            </w:r>
          </w:p>
        </w:tc>
        <w:tc>
          <w:tcPr>
            <w:tcW w:w="400" w:type="dxa"/>
            <w:vAlign w:val="bottom"/>
          </w:tcPr>
          <w:p>
            <w:pPr>
              <w:spacing w:after="0"/>
              <w:rPr>
                <w:sz w:val="13"/>
                <w:szCs w:val="13"/>
                <w:color w:val="auto"/>
              </w:rPr>
            </w:pPr>
          </w:p>
        </w:tc>
        <w:tc>
          <w:tcPr>
            <w:tcW w:w="720" w:type="dxa"/>
            <w:vAlign w:val="bottom"/>
            <w:gridSpan w:val="2"/>
          </w:tcPr>
          <w:p>
            <w:pPr>
              <w:spacing w:after="0" w:line="159" w:lineRule="exact"/>
              <w:rPr>
                <w:sz w:val="20"/>
                <w:szCs w:val="20"/>
                <w:color w:val="auto"/>
              </w:rPr>
            </w:pPr>
            <w:r>
              <w:rPr>
                <w:rFonts w:ascii="Arial" w:cs="Arial" w:eastAsia="Arial" w:hAnsi="Arial"/>
                <w:sz w:val="14"/>
                <w:szCs w:val="14"/>
                <w:color w:val="auto"/>
              </w:rPr>
              <w:t>Change</w:t>
            </w:r>
          </w:p>
        </w:tc>
        <w:tc>
          <w:tcPr>
            <w:tcW w:w="720" w:type="dxa"/>
            <w:vAlign w:val="bottom"/>
          </w:tcPr>
          <w:p>
            <w:pPr>
              <w:jc w:val="right"/>
              <w:ind w:right="135"/>
              <w:spacing w:after="0" w:line="159"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3"/>
                <w:szCs w:val="13"/>
                <w:color w:val="auto"/>
              </w:rPr>
            </w:pP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2008</w:t>
            </w:r>
          </w:p>
        </w:tc>
        <w:tc>
          <w:tcPr>
            <w:tcW w:w="400" w:type="dxa"/>
            <w:vAlign w:val="bottom"/>
          </w:tcPr>
          <w:p>
            <w:pPr>
              <w:spacing w:after="0"/>
              <w:rPr>
                <w:sz w:val="13"/>
                <w:szCs w:val="13"/>
                <w:color w:val="auto"/>
              </w:rPr>
            </w:pPr>
          </w:p>
        </w:tc>
        <w:tc>
          <w:tcPr>
            <w:tcW w:w="520" w:type="dxa"/>
            <w:vAlign w:val="bottom"/>
            <w:gridSpan w:val="2"/>
          </w:tcPr>
          <w:p>
            <w:pPr>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5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156,281</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196,217</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$ 485,937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$ 599,593</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Operating expenses, excluding special charges</w:t>
            </w: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(172,675)*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(206,807)*</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(560,942)*</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(624,716)*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(10,590)*</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(75,005)*</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(25,123)*</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Early retirement program expense</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(57,924)</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(79,800)</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 charge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(59,690)</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(59,690)</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Accelerated depreciation</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(6,104)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(12,469)</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(33,792)</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(13,682)</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(82,749)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(166,721)</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(178,295)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*Non-GAAP measure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 for the television broadcasting division decreased 17% in the third quarter of 2009 to $64.6 million, from $78.0 million in 2008; for the first nine months of 2009, revenue decreased 19% to $192.4 million, from $238.5 million in 2008. The decrease in revenue is due to weaker advertising demand in all markets and most product categories, particularly automotive; political advertising revenue also declined by $3.9 million and $7.1 million for the third quarter and first nine months of 2009, respectively. Additionally, in the third quarter of 2008, the television broadcasting division benefited from $6.3 million in incremental summer Olympics-related advertising at the Company’s NBC affiliates.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third quarter of 2008, the television broadcasting division recorded $4.9 million in non-cash property, plant and equipment gains as a reduction to expense due to new digital equipment received at no cost from Sprint/Nextel in connection with an FCC mandate reallocating a portion of the broadcast spectrum in order to eliminate interference with public safety wireless communication systems.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income for the third quarter of 2009 declined 50% to $15.1 million, from $30.1 million in 2008; operating income for the first nine months of 2009 declined 52% to $41.5 million, from $86.4 million in 2008. The operating income declines for the third quarter and first nine months of 2009 are due to the revenue decreases discussed above and the $4.9 million in non-cash gains in the third quarter of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 for the magazine publishing division totaled $40.2 million in the third quarter of 2009, a 33% decrease from $60.0 million in the third quarter of 2008; division revenue totaled $131.8 million for the first nine months of 2009, a 25% decrease from $176.0 million in the first nine months of 2008. The decline is due to a 48% and 38% reduction in advertising revenue at Newsweek for the third quarter and first nine months of 2009, respectively, resulting from fewer ad pages at both the domestic and international editions. In February 2009, Newsweek announced a circulation rate base reduction at its domestic edition, from 2.6 million to 1.5 million, by January 2010.</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previously announced, Newsweek offered a Voluntary Retirement Incentive Program to certain employees in November 2008 and 44 employees accepted the offer in the first quarter of 2009; early retirement program expense of $6.6 million was recorded in the first quarter of 2009, which is being funded primarily from the assets of the Company’s pension plans. In the first quarter of 2008, Newsweek also offered a Voluntary Retirement Incentive Program to certain employees and 117 employees accepted the offer. The early retirement program expense in 2008 totaled $29.2 million, also funded primarily from the assets of the Company’s pension plans. Of this amount, $24.6 million was recorded in the first quarter of 2008 and $4.6 million was recorded in the second quarter of 2008. In the third quarter of 2009, Newsweek continued to implement cost savings initiatives at its operations and $2.7 million in severance costs were recorded. Additional costs savings initiatives are underway that are expected to result in added charges in the fourth quarter of 2009.</w:t>
      </w:r>
    </w:p>
    <w:p>
      <w:pPr>
        <w:spacing w:after="0" w:line="118"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division had an operating loss of $4.3 million in the third quarter of 2009, compared to operating income of $9.0 million in the third quarter of 2008; the division had an operating loss of $29.7 million for the first nine months of 2009, compared to an operating loss of $27.0 million for the first nine months of 2008. Excluding early retirement program expense, the division’s operating loss increased in the third quarter and first nine months of 2009 due to the revenue reductions discussed above and a reduced pension credit, offset by a decline in subscription and editorial expenses at the domestic edition of Newsweek.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and Corporate Office</w:t>
      </w:r>
    </w:p>
    <w:p>
      <w:pPr>
        <w:spacing w:after="0" w:line="90"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Other businesses and corporate office included the expenses of the Company’s corporate office and the operating results of Avenue100 Media Solutions (formerly CourseAdvisor). The 2008 results include $3.0 million in early retirement program expense at the corporate office recorded in the second quarter.</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in (Losses) Earnings of Affiliates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equity in losses of affiliates for the third quarter of 2009 was $27.1 million, compared to losses of $0.6 million for the third quarter of 2008. For the first nine months of 2009, the Company’s equity in losses of affiliates totaled $28.2 million, compared to losses of $9.5 million for the same period of 2008.</w:t>
      </w:r>
    </w:p>
    <w:p>
      <w:pPr>
        <w:spacing w:after="0" w:line="14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Results for the third quarter of 2009 include $29.0 million in write-downs at two of the Company’s affiliate investments. The loss primarily relates to an impairment charge recorded on the Company’s interest in Bowater Mersey Paper Company, as a result of the challenging economic environment for newsprint producers. Results for the first nine months of 2008 included $6.8 million in impairment charges at two of the Company’s affiliates.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holds a 49% interest in Bowater Mersey Paper Company and interests in several other affiliates.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Company recorded other non-operating income, net, of $0.1 million for the third quarter of 2009, compared to other non-operating expense, net, of $21.1 million for the third quarter of 2008. The third quarter 2008 non-operating expense, net, included $20.6 million in unrealized foreign currency losses.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recorded other non-operating income, net, of $15.8 million for the first nine months of 2009, compared to other non-operating expense, net, of $14.1 million for the same period of the prior year. The 2009 non-operating income, net, included $18.4 million in unrealized foreign currency gains, offset by $2.9 million in impairment write-downs on cost method investments and other items. The 2008 non-operating expense, net, included $13.4 million in unrealized foreign currency losses.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noted above, a large part of the Company’s non-operating income (expense) is from unrealized foreign currency gains or losses arising from the translation of British pound and Australian dollar-denominated intercompany loans into U.S. dollars. The unrealized foreign currency gains in the first nine months of 2009 were the result of a weakening of the U.S. dollar against the British pound and the Australian dollar in the first nine months of 2009, versus the exchange rates in effect at the end of 2008. The unrealized foreign currency losses in the first nine months of 2008 were the result of a strengthening of the U.S. dollar against the British pound and the Australian dollar in the first nine months of 2008, versus the exchange rates in effect at the end of 2007.</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Interest Expense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incurred net interest expense of $7.0 million and $21.3 million for the third quarter and first nine months of 2009, respectively, compared to $5.7 million and $15.0 million for the same periods of 2008. The increases are due to a decline in interest income, as well as higher average interest rates in the first nine months of 2009 versus the same period of the prior year. At September 27, 2009, the Company had $399.1 million in borrowings outstanding at an average interest rate of 7.2%.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effective tax rate for the third quarter and first nine months of 2009 was 37.2% and 36.7%, respectively. The low effective tax rates for both of these periods are due primarily to favorable adjustments recorded in the third quarter of 2009 for a reduction in state income taxes and for prior year permanent federal tax deductions, offset by $8.5 million of nondeductible goodwill in connection with the impairment charge related to Kaplan Ventures recorded in the third quarter of 2009.</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effective tax rate for the third quarter and first nine months of 2008 was 19.5% and 36.0%, respectively. The low effective tax rate for both of these periods is due to a reduction in state income taxes and a favorable $4.6 million provision to return adjustment from 2007, offset by $5.9 million of nondeductible goodwill in connection with the impairment charge recorded in the third quarter of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calculation of diluted earnings per share for the third quarter and first nine months of 2009 was based on 9,401,010 and 9,399,501 weighted average shares outstanding, respectively, compared to 9,358,096 and 9,458,193, respectively, for the third quarter and first nine months of 2008. In the first quarter of 2009, the Company repurchased 3,359 shares of its Class B common stock at a cost of $1.4 million from recipients of vested awards of restricted shares at market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Third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1,148,711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1,128,658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Operating expenses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(985,230)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(950,265)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(73,524)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(6,767)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(4,912)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other long-lived assets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(59,690)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221"/>
        </w:trPr>
        <w:tc>
          <w:tcPr>
            <w:tcW w:w="4880" w:type="dxa"/>
            <w:vAlign w:val="bottom"/>
            <w:gridSpan w:val="2"/>
            <w:vMerge w:val="continue"/>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61,233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40,267</w:t>
            </w:r>
          </w:p>
        </w:tc>
        <w:tc>
          <w:tcPr>
            <w:tcW w:w="4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affiliates, net</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(609)</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Interest income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1,173</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(6,882)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(21,083)</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(10,100)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(2,500)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(236)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line="20" w:lineRule="exact"/>
              <w:rPr>
                <w:sz w:val="1"/>
                <w:szCs w:val="1"/>
                <w:color w:val="auto"/>
              </w:rPr>
            </w:pPr>
          </w:p>
        </w:tc>
      </w:tr>
      <w:tr>
        <w:trPr>
          <w:trHeight w:val="209"/>
        </w:trPr>
        <w:tc>
          <w:tcPr>
            <w:tcW w:w="4880" w:type="dxa"/>
            <w:vAlign w:val="bottom"/>
            <w:gridSpan w:val="2"/>
            <w:vMerge w:val="continue"/>
          </w:tcPr>
          <w:p>
            <w:pPr>
              <w:spacing w:after="0"/>
              <w:rPr>
                <w:sz w:val="18"/>
                <w:szCs w:val="18"/>
                <w:color w:val="auto"/>
              </w:rPr>
            </w:pP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color w:val="auto"/>
              </w:rPr>
              <w:t>Basic average shares outstanding</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9,340,067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9,334,057</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average shares outstanding</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9,401,010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9,358,096</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520" w:type="dxa"/>
            <w:vAlign w:val="bottom"/>
          </w:tcPr>
          <w:p>
            <w:pPr>
              <w:jc w:val="right"/>
              <w:ind w:right="25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3,331,299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3,298,015</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Operating expenses</w:t>
            </w: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(3,005,847)</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(2,915,106)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(231,651)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(195,463)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(20,606)</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(15,804)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other long-lived assets</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(25,387)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(59,690)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1"/>
        </w:trPr>
        <w:tc>
          <w:tcPr>
            <w:tcW w:w="4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47,808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111,952</w:t>
            </w:r>
          </w:p>
        </w:tc>
        <w:tc>
          <w:tcPr>
            <w:tcW w:w="4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affiliates, net</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(28,160)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(9,505)</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Interest income</w:t>
            </w: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4,555</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(23,114)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(19,514)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15,779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(14,052)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(26,400)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3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(141)</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Washington Post Company</w:t>
            </w:r>
          </w:p>
        </w:tc>
        <w:tc>
          <w:tcPr>
            <w:tcW w:w="3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46,895</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(946)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45,949</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209"/>
        </w:trPr>
        <w:tc>
          <w:tcPr>
            <w:tcW w:w="4880" w:type="dxa"/>
            <w:vAlign w:val="bottom"/>
            <w:gridSpan w:val="2"/>
            <w:vMerge w:val="continue"/>
          </w:tcPr>
          <w:p>
            <w:pPr>
              <w:spacing w:after="0"/>
              <w:rPr>
                <w:sz w:val="18"/>
                <w:szCs w:val="18"/>
                <w:color w:val="auto"/>
              </w:rPr>
            </w:pP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4.87</w:t>
            </w:r>
          </w:p>
        </w:tc>
        <w:tc>
          <w:tcPr>
            <w:tcW w:w="4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color w:val="auto"/>
              </w:rPr>
              <w:t>Basic average shares outstanding</w:t>
            </w:r>
          </w:p>
        </w:tc>
        <w:tc>
          <w:tcPr>
            <w:tcW w:w="3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9,339,646</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9,432,642</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average shares outstanding</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9,399,501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9,458,193</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400" w:type="dxa"/>
            <w:vAlign w:val="bottom"/>
          </w:tcPr>
          <w:p>
            <w:pPr>
              <w:jc w:val="right"/>
              <w:ind w:right="2392"/>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Third Quarter</w:t>
            </w: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Year-to-Date</w:t>
            </w: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8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Change</w:t>
            </w: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684,516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602,739</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87"/>
              </w:rPr>
              <w:t>1,927,369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1,722,459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189,647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181,840</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559,839</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535,011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156,281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196,217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485,937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599,593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64,599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78,003</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192,415</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238,507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40,167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131,776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176,043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15,314</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11,534</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39,290</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30,134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(1,813)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(5,327)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84"/>
              </w:rPr>
              <w:t>1,148,711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1,128,658</w:t>
            </w:r>
          </w:p>
        </w:tc>
        <w:tc>
          <w:tcPr>
            <w:tcW w:w="1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87"/>
              </w:rPr>
              <w:t>3,331,299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84"/>
              </w:rPr>
              <w:t>3,298,015</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638,616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551,613</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w w:val="87"/>
              </w:rPr>
              <w:t>1,812,200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1,577,181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149,318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140,215</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437,691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418,996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179,903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278,966</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652,658</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777,888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49,547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47,895</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150,952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152,143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44,481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50,925</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161,462</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203,045</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27,426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20,421</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73,855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60,542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(1,813)</w:t>
            </w: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(1,644)</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(5,327)</w:t>
            </w: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(3,732)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84"/>
              </w:rPr>
              <w:t>1,087,478</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1,088,391</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87"/>
              </w:rPr>
              <w:t>3,283,491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3,186,063</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45,900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115,169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145,278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40,329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41,625</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122,148</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116,015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(23,622)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(82,749)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8"/>
              </w:rPr>
              <w:t>(166,721)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(178,295)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15,052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30,108</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41,463</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86,364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(4,314)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(29,686)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(12,112)</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(8,887)</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(34,565)</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(30,408)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61,233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40,267</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47,808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111,952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3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19,017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61,099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49,171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30,800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30,524</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92,998</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92,091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15,352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64,861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45,481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3,528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2,361</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9,458</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6,831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2,672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563</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336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70,094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231,651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195,463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7"/>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w w:val="93"/>
              </w:rPr>
              <w:t>Amortization of intangible assets and impairment of goodwill and other</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Pr>
          <w:p>
            <w:pPr>
              <w:ind w:left="200"/>
              <w:spacing w:after="0"/>
              <w:rPr>
                <w:sz w:val="20"/>
                <w:szCs w:val="20"/>
                <w:color w:val="auto"/>
              </w:rPr>
            </w:pPr>
            <w:r>
              <w:rPr>
                <w:rFonts w:ascii="Arial" w:cs="Arial" w:eastAsia="Arial" w:hAnsi="Arial"/>
                <w:sz w:val="18"/>
                <w:szCs w:val="18"/>
                <w:b w:val="1"/>
                <w:bCs w:val="1"/>
                <w:color w:val="auto"/>
              </w:rPr>
              <w:t>long-lived assets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31,004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42,634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736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60,164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1,530</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2,392</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4,591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32,154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45,993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75,494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3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Pension (Expense) Credit:</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(4,152)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(1,319)</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(1,116)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(5,168)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(71,784)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(84,315)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809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9,080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18,938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businesses and corporate office</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(661)</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(1,875)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(59,335)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(85,452)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280" w:right="239" w:bottom="1440" w:gutter="0" w:footer="0" w:header="0"/>
        </w:sectPr>
      </w:pPr>
    </w:p>
    <w:p>
      <w:pPr>
        <w:jc w:val="center"/>
        <w:spacing w:after="0"/>
        <w:rPr>
          <w:sz w:val="20"/>
          <w:szCs w:val="20"/>
          <w:color w:val="auto"/>
        </w:rPr>
      </w:pPr>
      <w:r>
        <w:rPr>
          <w:rFonts w:ascii="Arial" w:cs="Arial" w:eastAsia="Arial" w:hAnsi="Arial"/>
          <w:sz w:val="16"/>
          <w:szCs w:val="16"/>
          <w:color w:val="auto"/>
        </w:rPr>
        <w:t>14</w:t>
      </w:r>
    </w:p>
    <w:sectPr>
      <w:pgSz w:w="11900" w:h="16838" w:orient="portrait"/>
      <w:cols w:equalWidth="0" w:num="1">
        <w:col w:w="1142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2019-12-10T03:45:03Z</dcterms:created>
  <dcterms:modified xsi:type="dcterms:W3CDTF">2019-12-10T03:45:03Z</dcterms:modified>
</cp:coreProperties>
</file>