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047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047740"/>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O'Shaughnessy Laura</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09/03/2024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Graham Holdings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GHC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1300 NORTH 17TH STREET</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1700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2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ARLINGTON VA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22209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3000" w:type="dxa"/>
            <w:vAlign w:val="bottom"/>
          </w:tcPr>
          <w:p>
            <w:pPr>
              <w:jc w:val="center"/>
              <w:ind w:left="1062"/>
              <w:spacing w:after="0"/>
              <w:rPr>
                <w:sz w:val="20"/>
                <w:szCs w:val="20"/>
                <w:color w:val="auto"/>
              </w:rPr>
            </w:pPr>
            <w:r>
              <w:rPr>
                <w:rFonts w:ascii="Times New Roman" w:cs="Times New Roman" w:eastAsia="Times New Roman" w:hAnsi="Times New Roman"/>
                <w:sz w:val="20"/>
                <w:szCs w:val="20"/>
                <w:color w:val="0000FF"/>
                <w:w w:val="97"/>
              </w:rPr>
              <w:t>4,099</w:t>
            </w:r>
          </w:p>
        </w:tc>
        <w:tc>
          <w:tcPr>
            <w:tcW w:w="1080" w:type="dxa"/>
            <w:vAlign w:val="bottom"/>
          </w:tcPr>
          <w:p>
            <w:pPr>
              <w:jc w:val="center"/>
              <w:ind w:left="24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76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3000" w:type="dxa"/>
            <w:vAlign w:val="bottom"/>
          </w:tcPr>
          <w:p>
            <w:pPr>
              <w:jc w:val="center"/>
              <w:ind w:left="1062"/>
              <w:spacing w:after="0"/>
              <w:rPr>
                <w:sz w:val="20"/>
                <w:szCs w:val="20"/>
                <w:color w:val="auto"/>
              </w:rPr>
            </w:pPr>
            <w:r>
              <w:rPr>
                <w:rFonts w:ascii="Times New Roman" w:cs="Times New Roman" w:eastAsia="Times New Roman" w:hAnsi="Times New Roman"/>
                <w:sz w:val="20"/>
                <w:szCs w:val="20"/>
                <w:color w:val="0000FF"/>
                <w:w w:val="97"/>
              </w:rPr>
              <w:t>2,700</w:t>
            </w:r>
          </w:p>
        </w:tc>
        <w:tc>
          <w:tcPr>
            <w:tcW w:w="1080" w:type="dxa"/>
            <w:vAlign w:val="bottom"/>
          </w:tcPr>
          <w:p>
            <w:pPr>
              <w:jc w:val="center"/>
              <w:ind w:left="24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760" w:type="dxa"/>
            <w:vAlign w:val="bottom"/>
            <w:tcBorders>
              <w:bottom w:val="single" w:sz="8" w:color="2C2C2C"/>
            </w:tcBorders>
          </w:tcPr>
          <w:p>
            <w:pPr>
              <w:spacing w:after="0"/>
              <w:rPr>
                <w:sz w:val="6"/>
                <w:szCs w:val="6"/>
                <w:color w:val="auto"/>
              </w:rPr>
            </w:pPr>
          </w:p>
        </w:tc>
        <w:tc>
          <w:tcPr>
            <w:tcW w:w="300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3000" w:type="dxa"/>
            <w:vAlign w:val="bottom"/>
            <w:tcBorders>
              <w:bottom w:val="single" w:sz="8" w:color="2C2C2C"/>
            </w:tcBorders>
          </w:tcPr>
          <w:p>
            <w:pPr>
              <w:jc w:val="center"/>
              <w:ind w:left="1062"/>
              <w:spacing w:after="0"/>
              <w:rPr>
                <w:sz w:val="20"/>
                <w:szCs w:val="20"/>
                <w:color w:val="auto"/>
              </w:rPr>
            </w:pPr>
            <w:r>
              <w:rPr>
                <w:rFonts w:ascii="Times New Roman" w:cs="Times New Roman" w:eastAsia="Times New Roman" w:hAnsi="Times New Roman"/>
                <w:sz w:val="20"/>
                <w:szCs w:val="20"/>
                <w:color w:val="0000FF"/>
                <w:w w:val="94"/>
              </w:rPr>
              <w:t>16,156</w:t>
            </w:r>
          </w:p>
        </w:tc>
        <w:tc>
          <w:tcPr>
            <w:tcW w:w="1080" w:type="dxa"/>
            <w:vAlign w:val="bottom"/>
            <w:tcBorders>
              <w:bottom w:val="single" w:sz="8" w:color="2C2C2C"/>
            </w:tcBorders>
          </w:tcPr>
          <w:p>
            <w:pPr>
              <w:jc w:val="center"/>
              <w:ind w:left="24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Spouse</w:t>
            </w:r>
            <w:r>
              <w:rPr>
                <w:rFonts w:ascii="Times New Roman" w:cs="Times New Roman" w:eastAsia="Times New Roman" w:hAnsi="Times New Roman"/>
                <w:sz w:val="25"/>
                <w:szCs w:val="25"/>
                <w:color w:val="008000"/>
                <w:vertAlign w:val="superscript"/>
              </w:rPr>
              <w:t>(2)</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B Common Stock</w:t>
            </w:r>
          </w:p>
        </w:tc>
        <w:tc>
          <w:tcPr>
            <w:tcW w:w="3000" w:type="dxa"/>
            <w:vAlign w:val="bottom"/>
            <w:tcBorders>
              <w:bottom w:val="single" w:sz="8" w:color="2C2C2C"/>
            </w:tcBorders>
          </w:tcPr>
          <w:p>
            <w:pPr>
              <w:jc w:val="center"/>
              <w:ind w:left="1062"/>
              <w:spacing w:after="0"/>
              <w:rPr>
                <w:sz w:val="20"/>
                <w:szCs w:val="20"/>
                <w:color w:val="auto"/>
              </w:rPr>
            </w:pPr>
            <w:r>
              <w:rPr>
                <w:rFonts w:ascii="Times New Roman" w:cs="Times New Roman" w:eastAsia="Times New Roman" w:hAnsi="Times New Roman"/>
                <w:sz w:val="20"/>
                <w:szCs w:val="20"/>
                <w:color w:val="0000FF"/>
                <w:w w:val="97"/>
              </w:rPr>
              <w:t>5,600</w:t>
            </w:r>
          </w:p>
        </w:tc>
        <w:tc>
          <w:tcPr>
            <w:tcW w:w="1080" w:type="dxa"/>
            <w:vAlign w:val="bottom"/>
            <w:tcBorders>
              <w:bottom w:val="single" w:sz="8" w:color="2C2C2C"/>
            </w:tcBorders>
          </w:tcPr>
          <w:p>
            <w:pPr>
              <w:jc w:val="center"/>
              <w:ind w:left="24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20"/>
                <w:szCs w:val="20"/>
                <w:color w:val="0000FF"/>
              </w:rPr>
              <w:t>Trust</w:t>
            </w:r>
            <w:r>
              <w:rPr>
                <w:rFonts w:ascii="Times New Roman" w:cs="Times New Roman" w:eastAsia="Times New Roman" w:hAnsi="Times New Roman"/>
                <w:sz w:val="25"/>
                <w:szCs w:val="25"/>
                <w:color w:val="008000"/>
                <w:vertAlign w:val="superscript"/>
              </w:rPr>
              <w:t>(3)</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6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8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8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B Common</w:t>
            </w:r>
          </w:p>
        </w:tc>
        <w:tc>
          <w:tcPr>
            <w:tcW w:w="860" w:type="dxa"/>
            <w:vAlign w:val="bottom"/>
            <w:vMerge w:val="restart"/>
          </w:tcPr>
          <w:p>
            <w:pPr>
              <w:jc w:val="right"/>
              <w:ind w:right="79"/>
              <w:spacing w:after="0"/>
              <w:rPr>
                <w:sz w:val="20"/>
                <w:szCs w:val="20"/>
                <w:color w:val="auto"/>
              </w:rPr>
            </w:pPr>
            <w:r>
              <w:rPr>
                <w:rFonts w:ascii="Times New Roman" w:cs="Times New Roman" w:eastAsia="Times New Roman" w:hAnsi="Times New Roman"/>
                <w:sz w:val="20"/>
                <w:szCs w:val="20"/>
                <w:color w:val="0000FF"/>
              </w:rPr>
              <w:t>2,700</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8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7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B Common</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132,415</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0000FF"/>
              </w:rPr>
              <w:t>I</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Spouse</w:t>
            </w:r>
            <w:r>
              <w:rPr>
                <w:rFonts w:ascii="Times New Roman" w:cs="Times New Roman" w:eastAsia="Times New Roman" w:hAnsi="Times New Roman"/>
                <w:sz w:val="25"/>
                <w:szCs w:val="25"/>
                <w:color w:val="008000"/>
                <w:vertAlign w:val="superscript"/>
              </w:rPr>
              <w:t>(4)</w:t>
            </w:r>
          </w:p>
        </w:tc>
        <w:tc>
          <w:tcPr>
            <w:tcW w:w="0" w:type="dxa"/>
            <w:vAlign w:val="bottom"/>
          </w:tcPr>
          <w:p>
            <w:pPr>
              <w:spacing w:after="0"/>
              <w:rPr>
                <w:sz w:val="1"/>
                <w:szCs w:val="1"/>
                <w:color w:val="auto"/>
              </w:rPr>
            </w:pPr>
          </w:p>
        </w:tc>
      </w:tr>
      <w:tr>
        <w:trPr>
          <w:trHeight w:val="196"/>
        </w:trPr>
        <w:tc>
          <w:tcPr>
            <w:tcW w:w="3020" w:type="dxa"/>
            <w:vAlign w:val="bottom"/>
            <w:vMerge w:val="continue"/>
          </w:tcPr>
          <w:p>
            <w:pPr>
              <w:spacing w:after="0"/>
              <w:rPr>
                <w:sz w:val="17"/>
                <w:szCs w:val="17"/>
                <w:color w:val="auto"/>
              </w:rPr>
            </w:pPr>
          </w:p>
        </w:tc>
        <w:tc>
          <w:tcPr>
            <w:tcW w:w="98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78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rPr>
              <w:t>Stock</w:t>
            </w:r>
          </w:p>
        </w:tc>
        <w:tc>
          <w:tcPr>
            <w:tcW w:w="8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30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8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Shares of Class A Common Stock are convertible into shares of Class B Common Stock at any time on a one-for-one basis and have no expiration date.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has no voting or investment power with respect to such shares. The reporting person disclaims beneficial ownership of the reported securities.</w:t>
      </w:r>
    </w:p>
    <w:p>
      <w:pPr>
        <w:spacing w:after="0" w:line="52" w:lineRule="exact"/>
        <w:rPr>
          <w:rFonts w:ascii="Times New Roman" w:cs="Times New Roman" w:eastAsia="Times New Roman" w:hAnsi="Times New Roman"/>
          <w:sz w:val="15"/>
          <w:szCs w:val="15"/>
          <w:color w:val="008000"/>
        </w:rPr>
      </w:pPr>
    </w:p>
    <w:p>
      <w:pPr>
        <w:ind w:left="40" w:right="8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person's spouse is a trustee of such trust. The reporting person is a beneficiary of such trust but has no voting or investment power with respect to the shares held in such trust. The reporting person disclaims beneficial ownership of the reported securities.</w:t>
      </w:r>
    </w:p>
    <w:p>
      <w:pPr>
        <w:spacing w:after="0" w:line="17" w:lineRule="exact"/>
        <w:rPr>
          <w:rFonts w:ascii="Times New Roman" w:cs="Times New Roman" w:eastAsia="Times New Roman" w:hAnsi="Times New Roman"/>
          <w:sz w:val="15"/>
          <w:szCs w:val="15"/>
          <w:color w:val="008000"/>
        </w:rPr>
      </w:pPr>
    </w:p>
    <w:p>
      <w:pPr>
        <w:ind w:left="40" w:right="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person's spouse has the right to purchase 132,415 shares of Class B Common Stock, pursuant to stock options. The reporting person disclaims beneficial ownership of the reported securities.</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 for Laura G. O'Shaughnessy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Nicole Maddrey,</w:t>
            </w:r>
          </w:p>
        </w:tc>
        <w:tc>
          <w:tcPr>
            <w:tcW w:w="6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09/05/2024</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Executing Section 16 Forms, Form 144 and Schedule 13D or 13G</w:t>
      </w:r>
    </w:p>
    <w:p>
      <w:pPr>
        <w:spacing w:after="0" w:line="254" w:lineRule="exact"/>
        <w:rPr>
          <w:sz w:val="20"/>
          <w:szCs w:val="20"/>
          <w:color w:val="auto"/>
        </w:rPr>
      </w:pPr>
    </w:p>
    <w:p>
      <w:pPr>
        <w:ind w:right="100" w:firstLine="720"/>
        <w:spacing w:after="0" w:line="253" w:lineRule="auto"/>
        <w:rPr>
          <w:sz w:val="20"/>
          <w:szCs w:val="20"/>
          <w:color w:val="auto"/>
        </w:rPr>
      </w:pPr>
      <w:r>
        <w:rPr>
          <w:rFonts w:ascii="Times New Roman" w:cs="Times New Roman" w:eastAsia="Times New Roman" w:hAnsi="Times New Roman"/>
          <w:sz w:val="20"/>
          <w:szCs w:val="20"/>
          <w:color w:val="auto"/>
        </w:rPr>
        <w:t>KNOW ALL BY THESE PRESENTS that the undersigned, a director, executive officer or beneficial owner of more than five percent of the equity securities of Graham Holdings Company, a Delaware corporation (hereinafter called the “Company”), hereby appoints NICOLE MADDREY, WALLACE COONEY, and SANDRA STONESIFER, and each of them, the undersigned’s true and lawful attorneys-in-fact and agents with full power to act without the other and with full power of substitution and re-substitution, to execute, deliver and file, for the undersigned and in the undersigned’s name, place and stead, any and all statements, reports and forms, and any and all amendments and supplements thereto, required to be filed with the Securities and Exchange Commission (a) under Section 16(a) of the Securities Exchange Act of 1934 and the rules and regulations adopted thereunder, (b) Form 144, and (c) Schedule 13D or Schedule 13G, in each case as the same may be amended from time to time, with respect to the ownership and changes in ownership of equity securities of the Company and derivatives of such equity securities, hereby granting to said attorneys-in-fact and agents, and each of them, full power and authority to do and perform each and every act and thing requisite and necessary to be done in and about the premises as fully and to all intents and purposes as the undersigned might or could do in person, hereby ratifying and confirming all that said attorneys-in-fact or agents or any of them, or their substitute or substitutes, may lawfully do or cause to be done by virtue hereof.</w:t>
      </w:r>
    </w:p>
    <w:p>
      <w:pPr>
        <w:spacing w:after="0" w:line="210"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6" w:lineRule="exact"/>
        <w:rPr>
          <w:sz w:val="20"/>
          <w:szCs w:val="20"/>
          <w:color w:val="auto"/>
        </w:rPr>
      </w:pPr>
    </w:p>
    <w:p>
      <w:pPr>
        <w:ind w:right="80" w:firstLine="720"/>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and Schedule 13D or Schedule 13G with respect to the undersigned’s holdings of and transactions in securities issued by the Company, unless (i) earlier revoked by the undersigned in a signed writing delivered to the foregoing attorneys-in-fact, or (ii) with respect to each individual attorney-in-fact, upon their retirement or termination of employment with the Company. The undersigned agrees that such attorneys-in-fact may rely entirely on information furnished orally or in writing by the undersigned to the attorneys-in-fact.</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9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/s/ Laura G. O’Shaughnessy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457200</wp:posOffset>
            </wp:positionH>
            <wp:positionV relativeFrom="paragraph">
              <wp:posOffset>28575</wp:posOffset>
            </wp:positionV>
            <wp:extent cx="19437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943735" cy="19050"/>
                    </a:xfrm>
                    <a:prstGeom prst="rect">
                      <a:avLst/>
                    </a:prstGeom>
                    <a:noFill/>
                  </pic:spPr>
                </pic:pic>
              </a:graphicData>
            </a:graphic>
          </wp:anchor>
        </w:drawing>
      </w:r>
    </w:p>
    <w:p>
      <w:pPr>
        <w:spacing w:after="0" w:line="3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Laura G. O’Shaughnessy</w:t>
      </w:r>
    </w:p>
    <w:p>
      <w:pPr>
        <w:spacing w:after="0" w:line="250" w:lineRule="exact"/>
        <w:rPr>
          <w:sz w:val="20"/>
          <w:szCs w:val="20"/>
          <w:color w:val="auto"/>
        </w:rPr>
      </w:pPr>
    </w:p>
    <w:p>
      <w:pPr>
        <w:ind w:left="720"/>
        <w:spacing w:after="0"/>
        <w:tabs>
          <w:tab w:leader="none" w:pos="1400" w:val="left"/>
        </w:tabs>
        <w:rPr>
          <w:sz w:val="20"/>
          <w:szCs w:val="20"/>
          <w:color w:val="auto"/>
        </w:rPr>
      </w:pPr>
      <w:r>
        <w:rPr>
          <w:rFonts w:ascii="Times New Roman" w:cs="Times New Roman" w:eastAsia="Times New Roman" w:hAnsi="Times New Roman"/>
          <w:sz w:val="20"/>
          <w:szCs w:val="20"/>
          <w:color w:val="auto"/>
        </w:rPr>
        <w:t>Date:</w:t>
        <w:tab/>
        <w:t>6/7/2024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895985</wp:posOffset>
            </wp:positionH>
            <wp:positionV relativeFrom="paragraph">
              <wp:posOffset>28575</wp:posOffset>
            </wp:positionV>
            <wp:extent cx="150558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05585" cy="19050"/>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13477" TargetMode="External"/><Relationship Id="rId11" Type="http://schemas.openxmlformats.org/officeDocument/2006/relationships/hyperlink" Target="http://www.sec.gov/cgi-bin/browse-edgar?action=getcompany&amp;CIK=00001048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2024-09-05T16:38:26Z</dcterms:created>
  <dcterms:modified xsi:type="dcterms:W3CDTF">2024-09-05T16:38:26Z</dcterms:modified>
</cp:coreProperties>
</file>