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p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pPr>
      <w:r/>
    </w:p>
    <w:p>
      <w:pPr>
        <w:pStyle w:val="HorizontalLine"/>
        <w:pBdr>
          <w:bottom w:val="double" w:sz="2" w:space="0" w:color="808080"/>
        </w:pBdr>
        <w:bidi w:val="0"/>
        <w:spacing w:before="0" w:after="283"/>
        <w:jc w:val="left"/>
      </w:p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pPr>
            <w:r>
              <w:t xml:space="preserve">SECURITIES AND EXCHANGE COMMISSION </w:t>
              <w:br/>
              <w:t xml:space="preserve">Washington, D.C. 20549 </w:t>
            </w:r>
          </w:p>
        </w:tc>
      </w:tr>
      <w:tr>
        <w:tc>
          <w:tcPr>
            <w:tcW w:w="10205" w:type="dxa"/>
            <w:tcBorders/>
            <w:vAlign w:val="center"/>
          </w:tcPr>
          <w:p>
            <w:pPr>
              <w:pStyle w:val="TableContents"/>
              <w:bidi w:val="0"/>
              <w:jc w:val="left"/>
            </w:pPr>
            <w:r/>
          </w:p>
          <w:p>
            <w:pPr>
              <w:pStyle w:val="TableContents"/>
              <w:bidi w:val="0"/>
              <w:spacing w:before="0" w:after="0"/>
              <w:jc w:val="left"/>
            </w:pPr>
            <w:r>
              <w:t xml:space="preserve">SCHEDULE 13D </w:t>
            </w:r>
          </w:p>
          <w:p>
            <w:pPr>
              <w:pStyle w:val="TableContents"/>
              <w:bidi w:val="0"/>
              <w:spacing w:before="0" w:after="0"/>
              <w:jc w:val="left"/>
            </w:pPr>
            <w:r/>
          </w:p>
          <w:p>
            <w:pPr>
              <w:pStyle w:val="TableContents"/>
              <w:bidi w:val="0"/>
              <w:spacing w:before="0" w:after="0"/>
              <w:jc w:val="left"/>
            </w:pPr>
            <w:r>
              <w:t xml:space="preserve">Under the Securities Exchange Act of 1934 </w:t>
            </w:r>
          </w:p>
          <w:p>
            <w:pPr>
              <w:pStyle w:val="TableContents"/>
              <w:bidi w:val="0"/>
              <w:spacing w:before="0" w:after="0"/>
              <w:jc w:val="left"/>
            </w:p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pPr>
            <w:r/>
          </w:p>
        </w:tc>
      </w:tr>
      <w:tr>
        <w:tc>
          <w:tcPr>
            <w:tcW w:w="10205" w:type="dxa"/>
            <w:tcBorders/>
            <w:vAlign w:val="center"/>
          </w:tcPr>
          <w:p>
            <w:pPr>
              <w:pStyle w:val="TableContents"/>
              <w:bidi w:val="0"/>
              <w:spacing w:before="0" w:after="0"/>
              <w:jc w:val="center"/>
              <w:rPr>
                <w:b/>
                <w:color w:val="0000FF"/>
              </w:rPr>
            </w:pPr>
            <w:r>
              <w:rPr>
                <w:b/>
                <w:color w:val="0000FF"/>
              </w:rPr>
              <w:t>Graham Holdings Company</w:t>
            </w:r>
          </w:p>
          <w:p>
            <w:pPr>
              <w:pStyle w:val="HorizontalLine"/>
              <w:bidi w:val="0"/>
              <w:jc w:val="center"/>
            </w:pPr>
            <w:r/>
          </w:p>
          <w:p>
            <w:pPr>
              <w:pStyle w:val="TableContents"/>
              <w:bidi w:val="0"/>
              <w:spacing w:before="0" w:after="0"/>
              <w:jc w:val="center"/>
              <w:rPr>
                <w:b/>
              </w:rPr>
            </w:pPr>
            <w:r>
              <w:rPr>
                <w:b/>
              </w:rPr>
              <w:t>(Name of Issuer)</w:t>
            </w:r>
          </w:p>
          <w:p>
            <w:pPr>
              <w:pStyle w:val="TableContents"/>
              <w:bidi w:val="0"/>
              <w:spacing w:before="0" w:after="0"/>
              <w:jc w:val="left"/>
            </w:pPr>
            <w:r/>
          </w:p>
        </w:tc>
      </w:tr>
      <w:tr>
        <w:tc>
          <w:tcPr>
            <w:tcW w:w="10205" w:type="dxa"/>
            <w:tcBorders/>
            <w:vAlign w:val="center"/>
          </w:tcPr>
          <w:p>
            <w:pPr>
              <w:pStyle w:val="TableContents"/>
              <w:bidi w:val="0"/>
              <w:spacing w:before="0" w:after="0"/>
              <w:jc w:val="center"/>
              <w:rPr>
                <w:b/>
                <w:color w:val="0000FF"/>
              </w:rPr>
            </w:pPr>
            <w:r>
              <w:rPr>
                <w:b/>
                <w:color w:val="0000FF"/>
              </w:rPr>
              <w:t>Class B Common Stock $1.00 par value</w:t>
            </w:r>
          </w:p>
          <w:p>
            <w:pPr>
              <w:pStyle w:val="HorizontalLine"/>
              <w:bidi w:val="0"/>
              <w:jc w:val="center"/>
            </w:pPr>
            <w:r/>
          </w:p>
          <w:p>
            <w:pPr>
              <w:pStyle w:val="TableContents"/>
              <w:bidi w:val="0"/>
              <w:spacing w:before="0" w:after="0"/>
              <w:jc w:val="center"/>
              <w:rPr>
                <w:b/>
              </w:rPr>
            </w:pPr>
            <w:r>
              <w:rPr>
                <w:b/>
              </w:rPr>
              <w:t>(Title of Class of Securities)</w:t>
            </w:r>
          </w:p>
          <w:p>
            <w:pPr>
              <w:pStyle w:val="TableContents"/>
              <w:bidi w:val="0"/>
              <w:spacing w:before="0" w:after="0"/>
              <w:jc w:val="left"/>
            </w:pPr>
            <w:r/>
          </w:p>
        </w:tc>
      </w:tr>
      <w:tr>
        <w:tc>
          <w:tcPr>
            <w:tcW w:w="10205" w:type="dxa"/>
            <w:tcBorders/>
            <w:vAlign w:val="center"/>
          </w:tcPr>
          <w:p>
            <w:pPr>
              <w:pStyle w:val="HorizontalLine"/>
              <w:bidi w:val="0"/>
              <w:jc w:val="center"/>
            </w:pPr>
            <w:r/>
          </w:p>
          <w:p>
            <w:pPr>
              <w:pStyle w:val="TableContents"/>
              <w:bidi w:val="0"/>
              <w:spacing w:before="0" w:after="0"/>
              <w:jc w:val="center"/>
              <w:rPr>
                <w:b/>
              </w:rPr>
            </w:pPr>
            <w:r>
              <w:rPr>
                <w:b/>
              </w:rPr>
              <w:t>(CUSIP Number)</w:t>
            </w:r>
          </w:p>
          <w:p>
            <w:pPr>
              <w:pStyle w:val="TableContents"/>
              <w:bidi w:val="0"/>
              <w:spacing w:before="0" w:after="0"/>
              <w:jc w:val="left"/>
            </w:pPr>
            <w:r/>
          </w:p>
        </w:tc>
      </w:tr>
      <w:tr>
        <w:tc>
          <w:tcPr>
            <w:tcW w:w="10205" w:type="dxa"/>
            <w:tcBorders/>
            <w:vAlign w:val="center"/>
          </w:tcPr>
          <w:p>
            <w:pPr>
              <w:pStyle w:val="TableContents"/>
              <w:bidi w:val="0"/>
              <w:spacing w:before="0" w:after="0"/>
              <w:jc w:val="center"/>
              <w:rPr>
                <w:b/>
                <w:color w:val="0000FF"/>
              </w:rPr>
            </w:pPr>
            <w:r>
              <w:rPr>
                <w:b/>
                <w:color w:val="0000FF"/>
              </w:rPr>
              <w:t>Nicole M. Maddrey</w:t>
              <w:br/>
              <w:t>Graham Holdings Company, 1812 North Moore Street</w:t>
              <w:br/>
              <w:t>Arlington, VA, 22209</w:t>
              <w:br/>
              <w:t>(703) 345-6300</w:t>
            </w:r>
          </w:p>
          <w:p>
            <w:pPr>
              <w:pStyle w:val="HorizontalLine"/>
              <w:bidi w:val="0"/>
              <w:jc w:val="center"/>
            </w:pPr>
            <w:r/>
          </w:p>
          <w:p>
            <w:pPr>
              <w:pStyle w:val="TableContents"/>
              <w:bidi w:val="0"/>
              <w:spacing w:before="0" w:after="0"/>
              <w:jc w:val="center"/>
              <w:rPr>
                <w:b/>
              </w:rPr>
            </w:pPr>
            <w:r>
              <w:rPr>
                <w:b/>
              </w:rPr>
              <w:t>(Name, Address and Telephone Number of Person Authorized to Receive Notices and Communications)</w:t>
            </w:r>
          </w:p>
        </w:tc>
      </w:tr>
      <w:tr>
        <w:tc>
          <w:tcPr>
            <w:tcW w:w="10205" w:type="dxa"/>
            <w:tcBorders/>
            <w:vAlign w:val="center"/>
          </w:tcPr>
          <w:p>
            <w:pPr>
              <w:pStyle w:val="TableContents"/>
              <w:bidi w:val="0"/>
              <w:spacing w:before="0" w:after="0"/>
              <w:jc w:val="center"/>
              <w:rPr>
                <w:b/>
                <w:color w:val="0000FF"/>
              </w:rPr>
            </w:pPr>
            <w:r>
              <w:rPr>
                <w:b/>
                <w:color w:val="0000FF"/>
              </w:rPr>
              <w:t>10/29/2026</w:t>
            </w:r>
          </w:p>
          <w:p>
            <w:pPr>
              <w:pStyle w:val="HorizontalLine"/>
              <w:bidi w:val="0"/>
              <w:jc w:val="center"/>
            </w:p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pPr>
      <w:r/>
    </w:p>
    <w:p>
      <w:pPr>
        <w:pStyle w:val="TextBody"/>
        <w:bidi w:val="0"/>
        <w:spacing w:before="0" w:after="0"/>
        <w:jc w:val="both"/>
      </w:pPr>
      <w:r>
        <w:t xml:space="preserve">If the filing person has previously filed a statement on Schedule 13G to report the acquisition that is the subject of this Schedule 13D, and is filing this schedule because of §§ 240.13d-1(e), 240.13d-1(f) or 240.13d-1(g), check the following box. </w:t>
      </w: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pPr>
      <w:r/>
    </w:p>
    <w:p>
      <w:pPr>
        <w:pStyle w:val="TextBody"/>
        <w:bidi w:val="0"/>
        <w:spacing w:before="0" w:after="0"/>
        <w:jc w:val="both"/>
      </w:pPr>
      <w: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283"/>
        <w:jc w:val="left"/>
      </w:pPr>
      <w:r/>
    </w:p>
    <w:p>
      <w:pPr>
        <w:pStyle w:val="TextBody"/>
        <w:bidi w:val="0"/>
        <w:spacing w:before="0" w:after="0"/>
        <w:jc w:val="left"/>
      </w:pPr>
      <w: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c>
          <w:tcPr>
            <w:tcW w:w="1996" w:type="dxa"/>
            <w:tcBorders/>
            <w:vAlign w:val="center"/>
          </w:tcPr>
          <w:p>
            <w:pPr>
              <w:pStyle w:val="TableContents"/>
              <w:bidi w:val="0"/>
              <w:jc w:val="left"/>
            </w:pPr>
            <w:r/>
          </w:p>
          <w:p>
            <w:pPr>
              <w:pStyle w:val="TableContents"/>
              <w:bidi w:val="0"/>
              <w:spacing w:before="0" w:after="283"/>
              <w:jc w:val="center"/>
            </w:pPr>
            <w: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9"/>
        <w:gridCol w:w="8076"/>
      </w:tblGrid>
      <w:tr>
        <w:tc>
          <w:tcPr>
            <w:tcW w:w="2129" w:type="dxa"/>
            <w:tcBorders/>
            <w:vAlign w:val="center"/>
          </w:tcPr>
          <w:p>
            <w:pPr>
              <w:pStyle w:val="TableContents"/>
              <w:bidi w:val="0"/>
              <w:spacing w:before="0" w:after="283"/>
              <w:jc w:val="left"/>
            </w:pPr>
            <w:r>
              <w:t>1</w:t>
            </w:r>
          </w:p>
        </w:tc>
        <w:tc>
          <w:tcPr>
            <w:tcW w:w="8076" w:type="dxa"/>
            <w:tcBorders/>
            <w:vAlign w:val="center"/>
          </w:tcPr>
          <w:p>
            <w:pPr>
              <w:pStyle w:val="TableContents"/>
              <w:bidi w:val="0"/>
              <w:jc w:val="left"/>
            </w:pPr>
            <w:r>
              <w:t xml:space="preserve">Name of reporting person </w:t>
            </w:r>
          </w:p>
          <w:p>
            <w:pPr>
              <w:pStyle w:val="TableContents"/>
              <w:bidi w:val="0"/>
              <w:spacing w:before="0" w:after="0"/>
              <w:jc w:val="left"/>
            </w:pPr>
            <w:r>
              <w:t>Laura G. O'Shaughnessy</w:t>
            </w:r>
          </w:p>
        </w:tc>
      </w:tr>
      <w:tr>
        <w:tc>
          <w:tcPr>
            <w:tcW w:w="2129" w:type="dxa"/>
            <w:tcBorders/>
            <w:vAlign w:val="center"/>
          </w:tcPr>
          <w:p>
            <w:pPr>
              <w:pStyle w:val="TableContents"/>
              <w:bidi w:val="0"/>
              <w:spacing w:before="0" w:after="283"/>
              <w:jc w:val="left"/>
            </w:pPr>
            <w:r>
              <w:t>2</w:t>
            </w:r>
          </w:p>
        </w:tc>
        <w:tc>
          <w:tcPr>
            <w:tcW w:w="8076" w:type="dxa"/>
            <w:tcBorders/>
            <w:vAlign w:val="center"/>
          </w:tcPr>
          <w:p>
            <w:pPr>
              <w:pStyle w:val="TableContents"/>
              <w:bidi w:val="0"/>
              <w:jc w:val="left"/>
            </w:pPr>
            <w:r>
              <w:t xml:space="preserve">Check the appropriate box if a member of a Group (See Instructions) </w:t>
            </w:r>
          </w:p>
          <w:p>
            <w:pPr>
              <w:pStyle w:val="TableContents"/>
              <w:bidi w:val="0"/>
              <w:spacing w:before="0" w:after="0"/>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t xml:space="preserve">  </w:t>
            </w:r>
            <w:r>
              <w:t xml:space="preserve">(a) </w:t>
              <w:br/>
            </w: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t xml:space="preserve">  (b) </w:t>
            </w:r>
          </w:p>
        </w:tc>
      </w:tr>
      <w:tr>
        <w:tc>
          <w:tcPr>
            <w:tcW w:w="2129" w:type="dxa"/>
            <w:tcBorders/>
            <w:vAlign w:val="center"/>
          </w:tcPr>
          <w:p>
            <w:pPr>
              <w:pStyle w:val="TableContents"/>
              <w:bidi w:val="0"/>
              <w:spacing w:before="0" w:after="283"/>
              <w:jc w:val="left"/>
            </w:pPr>
            <w:r>
              <w:t>3</w:t>
            </w:r>
          </w:p>
        </w:tc>
        <w:tc>
          <w:tcPr>
            <w:tcW w:w="8076" w:type="dxa"/>
            <w:tcBorders/>
            <w:vAlign w:val="center"/>
          </w:tcPr>
          <w:p>
            <w:pPr>
              <w:pStyle w:val="TableContents"/>
              <w:bidi w:val="0"/>
              <w:spacing w:before="0" w:after="283"/>
              <w:jc w:val="left"/>
            </w:pPr>
            <w:r>
              <w:t>SEC use only</w:t>
            </w:r>
          </w:p>
        </w:tc>
      </w:tr>
      <w:tr>
        <w:tc>
          <w:tcPr>
            <w:tcW w:w="2129" w:type="dxa"/>
            <w:tcBorders/>
            <w:vAlign w:val="center"/>
          </w:tcPr>
          <w:p>
            <w:pPr>
              <w:pStyle w:val="TableContents"/>
              <w:bidi w:val="0"/>
              <w:spacing w:before="0" w:after="283"/>
              <w:jc w:val="left"/>
            </w:pPr>
            <w:r>
              <w:t>4</w:t>
            </w:r>
          </w:p>
        </w:tc>
        <w:tc>
          <w:tcPr>
            <w:tcW w:w="8076" w:type="dxa"/>
            <w:tcBorders/>
            <w:vAlign w:val="center"/>
          </w:tcPr>
          <w:p>
            <w:pPr>
              <w:pStyle w:val="TableContents"/>
              <w:bidi w:val="0"/>
              <w:jc w:val="left"/>
            </w:pPr>
            <w:r>
              <w:t xml:space="preserve">Source of funds (See Instructions) </w:t>
            </w:r>
          </w:p>
          <w:p>
            <w:pPr>
              <w:pStyle w:val="TableContents"/>
              <w:bidi w:val="0"/>
              <w:spacing w:before="0" w:after="0"/>
              <w:jc w:val="left"/>
            </w:pPr>
            <w:r>
              <w:t>OO</w:t>
            </w:r>
          </w:p>
        </w:tc>
      </w:tr>
      <w:tr>
        <w:tc>
          <w:tcPr>
            <w:tcW w:w="2129" w:type="dxa"/>
            <w:tcBorders/>
            <w:vAlign w:val="center"/>
          </w:tcPr>
          <w:p>
            <w:pPr>
              <w:pStyle w:val="TableContents"/>
              <w:bidi w:val="0"/>
              <w:spacing w:before="0" w:after="283"/>
              <w:jc w:val="left"/>
            </w:pPr>
            <w:r>
              <w:t>5</w:t>
            </w:r>
          </w:p>
        </w:tc>
        <w:tc>
          <w:tcPr>
            <w:tcW w:w="8076" w:type="dxa"/>
            <w:tcBorders/>
            <w:vAlign w:val="center"/>
          </w:tcPr>
          <w:p>
            <w:pPr>
              <w:pStyle w:val="TableContents"/>
              <w:bidi w:val="0"/>
              <w:spacing w:before="0" w:after="283"/>
              <w:jc w:val="left"/>
            </w:pPr>
            <w:r>
              <w:t xml:space="preserve">Check if disclosure of legal proceedings is required pursuant to Items 2(d) or 2(e) </w:t>
              <w:br/>
              <w:br/>
            </w: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c>
          <w:tcPr>
            <w:tcW w:w="2129" w:type="dxa"/>
            <w:tcBorders/>
            <w:vAlign w:val="center"/>
          </w:tcPr>
          <w:p>
            <w:pPr>
              <w:pStyle w:val="TableContents"/>
              <w:bidi w:val="0"/>
              <w:spacing w:before="0" w:after="283"/>
              <w:jc w:val="left"/>
            </w:pPr>
            <w:r>
              <w:t>6</w:t>
            </w:r>
          </w:p>
        </w:tc>
        <w:tc>
          <w:tcPr>
            <w:tcW w:w="8076" w:type="dxa"/>
            <w:tcBorders/>
            <w:vAlign w:val="center"/>
          </w:tcPr>
          <w:p>
            <w:pPr>
              <w:pStyle w:val="TableContents"/>
              <w:bidi w:val="0"/>
              <w:jc w:val="left"/>
            </w:pPr>
            <w:r>
              <w:t xml:space="preserve">Citizenship or place of organization </w:t>
            </w:r>
          </w:p>
          <w:p>
            <w:pPr>
              <w:pStyle w:val="TableContents"/>
              <w:bidi w:val="0"/>
              <w:spacing w:before="0" w:after="0"/>
              <w:jc w:val="left"/>
            </w:pPr>
            <w:r>
              <w:t xml:space="preserve">UNITED STATES </w:t>
            </w:r>
          </w:p>
        </w:tc>
      </w:tr>
      <w:tr>
        <w:tc>
          <w:tcPr>
            <w:tcW w:w="2129" w:type="dxa"/>
            <w:tcBorders/>
            <w:vAlign w:val="center"/>
          </w:tcPr>
          <w:p>
            <w:pPr>
              <w:pStyle w:val="TableContents"/>
              <w:bidi w:val="0"/>
              <w:spacing w:before="0" w:after="0"/>
              <w:jc w:val="left"/>
            </w:pPr>
            <w: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c>
                <w:tcPr>
                  <w:tcW w:w="362" w:type="dxa"/>
                  <w:tcBorders/>
                  <w:vAlign w:val="center"/>
                </w:tcPr>
                <w:p>
                  <w:pPr>
                    <w:pStyle w:val="TableContents"/>
                    <w:bidi w:val="0"/>
                    <w:spacing w:before="0" w:after="283"/>
                    <w:jc w:val="left"/>
                  </w:pPr>
                  <w:r>
                    <w:t>7</w:t>
                  </w:r>
                </w:p>
              </w:tc>
              <w:tc>
                <w:tcPr>
                  <w:tcW w:w="4163" w:type="dxa"/>
                  <w:tcBorders/>
                  <w:vAlign w:val="center"/>
                </w:tcPr>
                <w:p>
                  <w:pPr>
                    <w:pStyle w:val="TableContents"/>
                    <w:bidi w:val="0"/>
                    <w:jc w:val="left"/>
                  </w:pPr>
                  <w:r>
                    <w:t xml:space="preserve">Sole Voting Power </w:t>
                  </w:r>
                </w:p>
                <w:p>
                  <w:pPr>
                    <w:pStyle w:val="TableContents"/>
                    <w:bidi w:val="0"/>
                    <w:spacing w:before="0" w:after="0"/>
                    <w:jc w:val="left"/>
                  </w:pPr>
                  <w:r>
                    <w:t>200,197.00</w:t>
                  </w:r>
                </w:p>
              </w:tc>
            </w:tr>
            <w:tr>
              <w:tc>
                <w:tcPr>
                  <w:tcW w:w="362" w:type="dxa"/>
                  <w:tcBorders/>
                  <w:vAlign w:val="center"/>
                </w:tcPr>
                <w:p>
                  <w:pPr>
                    <w:pStyle w:val="TableContents"/>
                    <w:bidi w:val="0"/>
                    <w:spacing w:before="0" w:after="283"/>
                    <w:jc w:val="left"/>
                  </w:pPr>
                  <w:r>
                    <w:t>8</w:t>
                  </w:r>
                </w:p>
              </w:tc>
              <w:tc>
                <w:tcPr>
                  <w:tcW w:w="4163" w:type="dxa"/>
                  <w:tcBorders/>
                  <w:vAlign w:val="center"/>
                </w:tcPr>
                <w:p>
                  <w:pPr>
                    <w:pStyle w:val="TableContents"/>
                    <w:bidi w:val="0"/>
                    <w:jc w:val="left"/>
                  </w:pPr>
                  <w:r>
                    <w:t xml:space="preserve">Shared Voting Power </w:t>
                  </w:r>
                </w:p>
                <w:p>
                  <w:pPr>
                    <w:pStyle w:val="TableContents"/>
                    <w:bidi w:val="0"/>
                    <w:spacing w:before="0" w:after="0"/>
                    <w:jc w:val="left"/>
                  </w:pPr>
                  <w:r>
                    <w:t>234,492.00</w:t>
                  </w:r>
                </w:p>
              </w:tc>
            </w:tr>
            <w:tr>
              <w:tc>
                <w:tcPr>
                  <w:tcW w:w="362" w:type="dxa"/>
                  <w:tcBorders/>
                  <w:vAlign w:val="center"/>
                </w:tcPr>
                <w:p>
                  <w:pPr>
                    <w:pStyle w:val="TableContents"/>
                    <w:bidi w:val="0"/>
                    <w:spacing w:before="0" w:after="283"/>
                    <w:jc w:val="left"/>
                  </w:pPr>
                  <w:r>
                    <w:t>9</w:t>
                  </w:r>
                </w:p>
              </w:tc>
              <w:tc>
                <w:tcPr>
                  <w:tcW w:w="4163" w:type="dxa"/>
                  <w:tcBorders/>
                  <w:vAlign w:val="center"/>
                </w:tcPr>
                <w:p>
                  <w:pPr>
                    <w:pStyle w:val="TableContents"/>
                    <w:bidi w:val="0"/>
                    <w:jc w:val="left"/>
                  </w:pPr>
                  <w:r>
                    <w:t xml:space="preserve">Sole Dispositive Power </w:t>
                  </w:r>
                </w:p>
                <w:p>
                  <w:pPr>
                    <w:pStyle w:val="TableContents"/>
                    <w:bidi w:val="0"/>
                    <w:spacing w:before="0" w:after="0"/>
                    <w:jc w:val="left"/>
                  </w:pPr>
                  <w:r>
                    <w:t>0.00</w:t>
                  </w:r>
                </w:p>
              </w:tc>
            </w:tr>
            <w:tr>
              <w:tc>
                <w:tcPr>
                  <w:tcW w:w="362" w:type="dxa"/>
                  <w:tcBorders/>
                  <w:vAlign w:val="center"/>
                </w:tcPr>
                <w:p>
                  <w:pPr>
                    <w:pStyle w:val="TableContents"/>
                    <w:bidi w:val="0"/>
                    <w:spacing w:before="0" w:after="283"/>
                    <w:jc w:val="left"/>
                  </w:pPr>
                  <w:r>
                    <w:t>10</w:t>
                  </w:r>
                </w:p>
              </w:tc>
              <w:tc>
                <w:tcPr>
                  <w:tcW w:w="4163" w:type="dxa"/>
                  <w:tcBorders/>
                  <w:vAlign w:val="center"/>
                </w:tcPr>
                <w:p>
                  <w:pPr>
                    <w:pStyle w:val="TableContents"/>
                    <w:bidi w:val="0"/>
                    <w:jc w:val="left"/>
                  </w:pPr>
                  <w:r>
                    <w:t xml:space="preserve">Shared Dispositive Power </w:t>
                  </w:r>
                </w:p>
                <w:p>
                  <w:pPr>
                    <w:pStyle w:val="TableContents"/>
                    <w:bidi w:val="0"/>
                    <w:spacing w:before="0" w:after="0"/>
                    <w:jc w:val="left"/>
                  </w:pPr>
                  <w:r>
                    <w:t>42,787.00</w:t>
                  </w:r>
                </w:p>
              </w:tc>
            </w:tr>
          </w:tbl>
          <w:p>
            <w:pPr>
              <w:pStyle w:val="TableContents"/>
              <w:bidi w:val="0"/>
              <w:spacing w:before="0" w:after="283"/>
              <w:jc w:val="left"/>
            </w:pPr>
            <w:r/>
          </w:p>
        </w:tc>
        <w:tc>
          <w:tcPr>
            <w:tcW w:w="8076" w:type="dxa"/>
            <w:tcBorders/>
            <w:vAlign w:val="center"/>
          </w:tcPr>
          <w:p>
            <w:pPr>
              <w:pStyle w:val="TableContents"/>
              <w:bidi w:val="0"/>
              <w:spacing w:before="0" w:after="283"/>
              <w:jc w:val="left"/>
              <w:rPr>
                <w:sz w:val="4"/>
                <w:szCs w:val="4"/>
              </w:rPr>
            </w:pPr>
            <w:r>
              <w:rPr>
                <w:sz w:val="4"/>
                <w:szCs w:val="4"/>
              </w:rPr>
            </w:r>
          </w:p>
        </w:tc>
      </w:tr>
      <w:tr>
        <w:tc>
          <w:tcPr>
            <w:tcW w:w="2129" w:type="dxa"/>
            <w:tcBorders/>
            <w:vAlign w:val="center"/>
          </w:tcPr>
          <w:p>
            <w:pPr>
              <w:pStyle w:val="TableContents"/>
              <w:bidi w:val="0"/>
              <w:spacing w:before="0" w:after="283"/>
              <w:jc w:val="left"/>
            </w:pPr>
            <w:r>
              <w:t>11</w:t>
            </w:r>
          </w:p>
        </w:tc>
        <w:tc>
          <w:tcPr>
            <w:tcW w:w="8076" w:type="dxa"/>
            <w:tcBorders/>
            <w:vAlign w:val="center"/>
          </w:tcPr>
          <w:p>
            <w:pPr>
              <w:pStyle w:val="TableContents"/>
              <w:bidi w:val="0"/>
              <w:jc w:val="left"/>
            </w:pPr>
            <w:r>
              <w:t xml:space="preserve">Aggregate amount beneficially owned by each reporting person </w:t>
            </w:r>
          </w:p>
          <w:p>
            <w:pPr>
              <w:pStyle w:val="TableContents"/>
              <w:bidi w:val="0"/>
              <w:spacing w:before="0" w:after="0"/>
              <w:jc w:val="left"/>
            </w:pPr>
            <w:r>
              <w:t>434,689.00</w:t>
            </w:r>
          </w:p>
        </w:tc>
      </w:tr>
      <w:tr>
        <w:tc>
          <w:tcPr>
            <w:tcW w:w="2129" w:type="dxa"/>
            <w:tcBorders/>
            <w:vAlign w:val="center"/>
          </w:tcPr>
          <w:p>
            <w:pPr>
              <w:pStyle w:val="TableContents"/>
              <w:bidi w:val="0"/>
              <w:spacing w:before="0" w:after="283"/>
              <w:jc w:val="left"/>
            </w:pPr>
            <w:r>
              <w:t>12</w:t>
            </w:r>
          </w:p>
        </w:tc>
        <w:tc>
          <w:tcPr>
            <w:tcW w:w="8076" w:type="dxa"/>
            <w:tcBorders/>
            <w:vAlign w:val="center"/>
          </w:tcPr>
          <w:p>
            <w:pPr>
              <w:pStyle w:val="TableContents"/>
              <w:bidi w:val="0"/>
              <w:spacing w:before="0" w:after="283"/>
              <w:jc w:val="left"/>
            </w:pPr>
            <w:r>
              <w:t xml:space="preserve">Check if the aggregate amount in Row (11) excludes certain shares (See Instructions) </w:t>
              <w:br/>
              <w:br/>
            </w:r>
            <w: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c>
          <w:tcPr>
            <w:tcW w:w="2129" w:type="dxa"/>
            <w:tcBorders/>
            <w:vAlign w:val="center"/>
          </w:tcPr>
          <w:p>
            <w:pPr>
              <w:pStyle w:val="TableContents"/>
              <w:bidi w:val="0"/>
              <w:spacing w:before="0" w:after="283"/>
              <w:jc w:val="left"/>
            </w:pPr>
            <w:r>
              <w:t>13</w:t>
            </w:r>
          </w:p>
        </w:tc>
        <w:tc>
          <w:tcPr>
            <w:tcW w:w="8076" w:type="dxa"/>
            <w:tcBorders/>
            <w:vAlign w:val="center"/>
          </w:tcPr>
          <w:p>
            <w:pPr>
              <w:pStyle w:val="TableContents"/>
              <w:bidi w:val="0"/>
              <w:jc w:val="left"/>
            </w:pPr>
            <w:r>
              <w:t xml:space="preserve">Percent of class represented by amount in Row (11) </w:t>
            </w:r>
          </w:p>
          <w:p>
            <w:pPr>
              <w:pStyle w:val="TableContents"/>
              <w:bidi w:val="0"/>
              <w:spacing w:before="0" w:after="0"/>
              <w:jc w:val="left"/>
            </w:pPr>
            <w:r>
              <w:t xml:space="preserve">12.00 % </w:t>
            </w:r>
          </w:p>
        </w:tc>
      </w:tr>
      <w:tr>
        <w:tc>
          <w:tcPr>
            <w:tcW w:w="2129" w:type="dxa"/>
            <w:tcBorders/>
            <w:vAlign w:val="center"/>
          </w:tcPr>
          <w:p>
            <w:pPr>
              <w:pStyle w:val="TableContents"/>
              <w:bidi w:val="0"/>
              <w:spacing w:before="0" w:after="283"/>
              <w:jc w:val="left"/>
            </w:pPr>
            <w:r>
              <w:t>14</w:t>
            </w:r>
          </w:p>
        </w:tc>
        <w:tc>
          <w:tcPr>
            <w:tcW w:w="8076" w:type="dxa"/>
            <w:tcBorders/>
            <w:vAlign w:val="center"/>
          </w:tcPr>
          <w:p>
            <w:pPr>
              <w:pStyle w:val="TableContents"/>
              <w:bidi w:val="0"/>
              <w:jc w:val="left"/>
            </w:pPr>
            <w:r>
              <w:t xml:space="preserve">Type of Reporting Person (See Instructions) </w:t>
            </w:r>
          </w:p>
          <w:p>
            <w:pPr>
              <w:pStyle w:val="TableContents"/>
              <w:bidi w:val="0"/>
              <w:spacing w:before="0" w:after="0"/>
              <w:jc w:val="left"/>
            </w:pPr>
            <w:r>
              <w:t>IN</w:t>
            </w:r>
          </w:p>
        </w:tc>
      </w:tr>
    </w:tbl>
    <w:p>
      <w:pPr>
        <w:pStyle w:val="TextBody"/>
        <w:bidi w:val="0"/>
        <w:spacing w:before="0" w:after="0"/>
        <w:jc w:val="left"/>
      </w:p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pPr>
      <w:r>
        <w:t>Notes to Row 11: The aggregate amount reported as beneficially owned in Row 11 does not include (i) 58,167 Class B shares that the Reporting Person's spouse has the right to purchase pursuant to stock options and (ii) 13 Class B shares held by the Reporting Person's spouse. Notes to Row 13: Calculated based on 3,616,609 shares of Class B Common Stock outstanding (3,204,785 shares of Class B Common Stock outstanding as of October 23, 2026, plus 411,824 shares issuable upon conversion of Class A Common Stock beneficially owned by the Reporting Person, share for share, into Class B Common Stock)</w:t>
      </w:r>
    </w:p>
    <w:tbl>
      <w:tblPr>
        <w:tblW w:w="1996" w:type="dxa"/>
        <w:jc w:val="left"/>
        <w:tblInd w:w="0" w:type="dxa"/>
        <w:tblLayout w:type="fixed"/>
        <w:tblCellMar>
          <w:top w:w="28" w:type="dxa"/>
          <w:left w:w="28" w:type="dxa"/>
          <w:bottom w:w="28" w:type="dxa"/>
          <w:right w:w="28" w:type="dxa"/>
        </w:tblCellMar>
      </w:tblPr>
      <w:tblGrid>
        <w:gridCol w:w="1996"/>
      </w:tblGrid>
      <w:tr>
        <w:tc>
          <w:tcPr>
            <w:tcW w:w="1996" w:type="dxa"/>
            <w:tcBorders/>
            <w:vAlign w:val="center"/>
          </w:tcPr>
          <w:p>
            <w:pPr>
              <w:pStyle w:val="TableContents"/>
              <w:bidi w:val="0"/>
              <w:jc w:val="left"/>
            </w:pPr>
            <w:r/>
          </w:p>
          <w:p>
            <w:pPr>
              <w:pStyle w:val="TableContents"/>
              <w:bidi w:val="0"/>
              <w:spacing w:before="0" w:after="283"/>
              <w:jc w:val="center"/>
            </w:pPr>
            <w: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70"/>
        <w:gridCol w:w="8880"/>
        <w:gridCol w:w="155"/>
      </w:tblGrid>
      <w:tr>
        <w:tc>
          <w:tcPr>
            <w:tcW w:w="1170" w:type="dxa"/>
            <w:tcBorders/>
            <w:vAlign w:val="center"/>
          </w:tcPr>
          <w:p>
            <w:pPr>
              <w:pStyle w:val="TableContents"/>
              <w:bidi w:val="0"/>
              <w:spacing w:before="0" w:after="283"/>
              <w:jc w:val="left"/>
            </w:pPr>
            <w:r>
              <w:t>Item 1.</w:t>
            </w:r>
          </w:p>
        </w:tc>
        <w:tc>
          <w:tcPr>
            <w:tcW w:w="8880" w:type="dxa"/>
            <w:tcBorders/>
            <w:vAlign w:val="center"/>
          </w:tcPr>
          <w:p>
            <w:pPr>
              <w:pStyle w:val="TableContents"/>
              <w:bidi w:val="0"/>
              <w:spacing w:before="0" w:after="283"/>
              <w:jc w:val="left"/>
            </w:pPr>
            <w:r>
              <w:t>Security and Issuer</w:t>
            </w:r>
          </w:p>
        </w:tc>
        <w:tc>
          <w:tcPr>
            <w:tcW w:w="155" w:type="dxa"/>
            <w:tcBorders/>
          </w:tcPr>
          <w:p>
            <w:pPr>
              <w:pStyle w:val="TableContents"/>
              <w:bidi w:val="0"/>
              <w:spacing w:before="0" w:after="283"/>
              <w:jc w:val="left"/>
              <w:rPr>
                <w:sz w:val="4"/>
                <w:szCs w:val="4"/>
              </w:rPr>
            </w:pPr>
            <w:r>
              <w:rPr>
                <w:sz w:val="4"/>
                <w:szCs w:val="4"/>
              </w:rPr>
            </w:r>
          </w:p>
        </w:tc>
      </w:tr>
      <w:tr>
        <w:tc>
          <w:tcPr>
            <w:tcW w:w="1170" w:type="dxa"/>
            <w:tcBorders/>
            <w:vAlign w:val="center"/>
          </w:tcPr>
          <w:p>
            <w:pPr>
              <w:pStyle w:val="TableContents"/>
              <w:bidi w:val="0"/>
              <w:spacing w:before="0" w:after="283"/>
              <w:jc w:val="left"/>
            </w:pPr>
            <w:r>
              <w:t>(a)</w:t>
            </w:r>
          </w:p>
        </w:tc>
        <w:tc>
          <w:tcPr>
            <w:tcW w:w="8880" w:type="dxa"/>
            <w:tcBorders/>
            <w:vAlign w:val="center"/>
          </w:tcPr>
          <w:p>
            <w:pPr>
              <w:pStyle w:val="TableContents"/>
              <w:bidi w:val="0"/>
              <w:jc w:val="left"/>
            </w:pPr>
            <w:r>
              <w:t xml:space="preserve">Title of Class of Securities: </w:t>
            </w:r>
          </w:p>
          <w:p>
            <w:pPr>
              <w:pStyle w:val="TableContents"/>
              <w:bidi w:val="0"/>
              <w:spacing w:before="0" w:after="0"/>
              <w:jc w:val="left"/>
            </w:pPr>
            <w:r>
              <w:t>Class B Common Stock $1.00 par value</w:t>
            </w:r>
          </w:p>
        </w:tc>
        <w:tc>
          <w:tcPr>
            <w:tcW w:w="155" w:type="dxa"/>
            <w:tcBorders/>
          </w:tcPr>
          <w:p>
            <w:pPr>
              <w:pStyle w:val="TableContents"/>
              <w:bidi w:val="0"/>
              <w:spacing w:before="0" w:after="283"/>
              <w:jc w:val="left"/>
              <w:rPr>
                <w:sz w:val="4"/>
                <w:szCs w:val="4"/>
              </w:rPr>
            </w:pPr>
            <w:r>
              <w:rPr>
                <w:sz w:val="4"/>
                <w:szCs w:val="4"/>
              </w:rPr>
            </w:r>
          </w:p>
        </w:tc>
      </w:tr>
      <w:tr>
        <w:tc>
          <w:tcPr>
            <w:tcW w:w="1170" w:type="dxa"/>
            <w:tcBorders/>
            <w:vAlign w:val="center"/>
          </w:tcPr>
          <w:p>
            <w:pPr>
              <w:pStyle w:val="TableContents"/>
              <w:bidi w:val="0"/>
              <w:spacing w:before="0" w:after="283"/>
              <w:jc w:val="left"/>
            </w:pPr>
            <w:r>
              <w:t>(b)</w:t>
            </w:r>
          </w:p>
        </w:tc>
        <w:tc>
          <w:tcPr>
            <w:tcW w:w="8880" w:type="dxa"/>
            <w:tcBorders/>
            <w:vAlign w:val="center"/>
          </w:tcPr>
          <w:p>
            <w:pPr>
              <w:pStyle w:val="TableContents"/>
              <w:bidi w:val="0"/>
              <w:jc w:val="left"/>
            </w:pPr>
            <w:r>
              <w:t xml:space="preserve">Name of Issuer: </w:t>
            </w:r>
          </w:p>
          <w:p>
            <w:pPr>
              <w:pStyle w:val="TableContents"/>
              <w:bidi w:val="0"/>
              <w:spacing w:before="0" w:after="0"/>
              <w:jc w:val="left"/>
            </w:pPr>
            <w:r>
              <w:t>Graham Holdings Company</w:t>
            </w:r>
          </w:p>
        </w:tc>
        <w:tc>
          <w:tcPr>
            <w:tcW w:w="155" w:type="dxa"/>
            <w:tcBorders/>
          </w:tcPr>
          <w:p>
            <w:pPr>
              <w:pStyle w:val="TableContents"/>
              <w:bidi w:val="0"/>
              <w:spacing w:before="0" w:after="283"/>
              <w:jc w:val="left"/>
              <w:rPr>
                <w:sz w:val="4"/>
                <w:szCs w:val="4"/>
              </w:rPr>
            </w:pPr>
            <w:r>
              <w:rPr>
                <w:sz w:val="4"/>
                <w:szCs w:val="4"/>
              </w:rPr>
            </w:r>
          </w:p>
        </w:tc>
      </w:tr>
      <w:tr>
        <w:tc>
          <w:tcPr>
            <w:tcW w:w="1170" w:type="dxa"/>
            <w:tcBorders/>
            <w:vAlign w:val="center"/>
          </w:tcPr>
          <w:p>
            <w:pPr>
              <w:pStyle w:val="TableContents"/>
              <w:bidi w:val="0"/>
              <w:spacing w:before="0" w:after="283"/>
              <w:jc w:val="left"/>
            </w:pPr>
            <w:r>
              <w:t>(c)</w:t>
            </w:r>
          </w:p>
        </w:tc>
        <w:tc>
          <w:tcPr>
            <w:tcW w:w="8880" w:type="dxa"/>
            <w:tcBorders/>
            <w:vAlign w:val="center"/>
          </w:tcPr>
          <w:p>
            <w:pPr>
              <w:pStyle w:val="TableContents"/>
              <w:bidi w:val="0"/>
              <w:jc w:val="left"/>
            </w:pPr>
            <w:r>
              <w:t xml:space="preserve">Address of Issuer's Principal Executive Offices: </w:t>
            </w:r>
          </w:p>
          <w:p>
            <w:pPr>
              <w:pStyle w:val="TableContents"/>
              <w:bidi w:val="0"/>
              <w:spacing w:before="0" w:after="0"/>
              <w:jc w:val="left"/>
            </w:pPr>
            <w:r>
              <w:t>1812 North Moore Street, Suite 2100, Arlington, VIRGINIA , 22209.</w:t>
            </w:r>
          </w:p>
        </w:tc>
        <w:tc>
          <w:tcPr>
            <w:tcW w:w="155" w:type="dxa"/>
            <w:tcBorders/>
          </w:tcPr>
          <w:p>
            <w:pPr>
              <w:pStyle w:val="TableContents"/>
              <w:bidi w:val="0"/>
              <w:spacing w:before="0" w:after="283"/>
              <w:jc w:val="left"/>
              <w:rPr>
                <w:sz w:val="4"/>
                <w:szCs w:val="4"/>
              </w:rPr>
            </w:pPr>
            <w:r>
              <w:rPr>
                <w:sz w:val="4"/>
                <w:szCs w:val="4"/>
              </w:rPr>
            </w:r>
          </w:p>
        </w:tc>
      </w:tr>
      <w:t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pPr>
            <w:r>
              <w:t>Explanatory Note: This statement on Schedule 13D (this "Statement") relates to Class B Common Stock par value $1.00 per share (the "Class B Common Stock"), of Graham Holdings Company, a Delaware corporation (the "Company"). The statement on Schedule 13D filed by Laura G. O'Shaughnessy dated September 5, 2024 (the "Schedule 13D"), is hereby amended and supplemented as set forth below. All capitalized terms not otherwise defined herein shall have the meanings ascribed to them in the Schedule 13D. This Statement is being filed, in part, to reflect a change in the percentage of the outstanding Class B Common Stock beneficially owned by the Reporting Person as a result of the change in the outstanding shares of Class B Common Stock reported by the Company in its Quarterly Report on Form 10-Q filed with the Securities and Exchange Commission on October 29, 2026, and certain earlier transactions by the Reporting Person.</w:t>
            </w:r>
          </w:p>
        </w:tc>
      </w:tr>
      <w:tr>
        <w:tc>
          <w:tcPr>
            <w:tcW w:w="1170" w:type="dxa"/>
            <w:tcBorders/>
            <w:vAlign w:val="center"/>
          </w:tcPr>
          <w:p>
            <w:pPr>
              <w:pStyle w:val="TableContents"/>
              <w:bidi w:val="0"/>
              <w:spacing w:before="0" w:after="283"/>
              <w:jc w:val="left"/>
            </w:pPr>
            <w:r>
              <w:t>Item 2.</w:t>
            </w:r>
          </w:p>
        </w:tc>
        <w:tc>
          <w:tcPr>
            <w:tcW w:w="8880" w:type="dxa"/>
            <w:tcBorders/>
            <w:vAlign w:val="center"/>
          </w:tcPr>
          <w:p>
            <w:pPr>
              <w:pStyle w:val="TableContents"/>
              <w:bidi w:val="0"/>
              <w:spacing w:before="0" w:after="283"/>
              <w:jc w:val="left"/>
            </w:pPr>
            <w:r>
              <w:t>Identity and Background</w:t>
            </w:r>
          </w:p>
        </w:tc>
        <w:tc>
          <w:tcPr>
            <w:tcW w:w="155" w:type="dxa"/>
            <w:tcBorders/>
          </w:tcPr>
          <w:p>
            <w:pPr>
              <w:pStyle w:val="TableContents"/>
              <w:bidi w:val="0"/>
              <w:spacing w:before="0" w:after="283"/>
              <w:jc w:val="left"/>
              <w:rPr>
                <w:sz w:val="4"/>
                <w:szCs w:val="4"/>
              </w:rPr>
            </w:pPr>
            <w:r>
              <w:rPr>
                <w:sz w:val="4"/>
                <w:szCs w:val="4"/>
              </w:rPr>
            </w:r>
          </w:p>
        </w:tc>
      </w:tr>
      <w:tr>
        <w:tc>
          <w:tcPr>
            <w:tcW w:w="1170" w:type="dxa"/>
            <w:tcBorders/>
            <w:vAlign w:val="center"/>
          </w:tcPr>
          <w:p>
            <w:pPr>
              <w:pStyle w:val="TableContents"/>
              <w:bidi w:val="0"/>
              <w:spacing w:before="0" w:after="283"/>
              <w:jc w:val="left"/>
            </w:pPr>
            <w:r>
              <w:t>(b)</w:t>
            </w:r>
          </w:p>
        </w:tc>
        <w:tc>
          <w:tcPr>
            <w:tcW w:w="8880" w:type="dxa"/>
            <w:tcBorders/>
            <w:vAlign w:val="center"/>
          </w:tcPr>
          <w:p>
            <w:pPr>
              <w:pStyle w:val="TableContents"/>
              <w:bidi w:val="0"/>
              <w:spacing w:before="0" w:after="0"/>
              <w:jc w:val="left"/>
            </w:pPr>
            <w:r>
              <w:t>The description set forth in Item 2(b) of the Schedule 13D is hereby amended in its entirety to read as follows: The principal business address of the Reporting Person is 1812 North Moore Street, Suite 2100, Arlington, VA 22209.</w:t>
            </w:r>
          </w:p>
        </w:tc>
        <w:tc>
          <w:tcPr>
            <w:tcW w:w="155" w:type="dxa"/>
            <w:tcBorders/>
          </w:tcPr>
          <w:p>
            <w:pPr>
              <w:pStyle w:val="TableContents"/>
              <w:bidi w:val="0"/>
              <w:spacing w:before="0" w:after="283"/>
              <w:jc w:val="left"/>
              <w:rPr>
                <w:sz w:val="4"/>
                <w:szCs w:val="4"/>
              </w:rPr>
            </w:pPr>
            <w:r>
              <w:rPr>
                <w:sz w:val="4"/>
                <w:szCs w:val="4"/>
              </w:rPr>
            </w:r>
          </w:p>
        </w:tc>
      </w:tr>
      <w:tr>
        <w:tc>
          <w:tcPr>
            <w:tcW w:w="1170" w:type="dxa"/>
            <w:tcBorders/>
            <w:vAlign w:val="center"/>
          </w:tcPr>
          <w:p>
            <w:pPr>
              <w:pStyle w:val="TableContents"/>
              <w:bidi w:val="0"/>
              <w:spacing w:before="0" w:after="283"/>
              <w:jc w:val="left"/>
            </w:pPr>
            <w:r>
              <w:t>Item 5.</w:t>
            </w:r>
          </w:p>
        </w:tc>
        <w:tc>
          <w:tcPr>
            <w:tcW w:w="8880" w:type="dxa"/>
            <w:tcBorders/>
            <w:vAlign w:val="center"/>
          </w:tcPr>
          <w:p>
            <w:pPr>
              <w:pStyle w:val="TableContents"/>
              <w:bidi w:val="0"/>
              <w:spacing w:before="0" w:after="283"/>
              <w:jc w:val="left"/>
            </w:pPr>
            <w:r>
              <w:t>Interest in Securities of the Issuer</w:t>
            </w:r>
          </w:p>
        </w:tc>
        <w:tc>
          <w:tcPr>
            <w:tcW w:w="155" w:type="dxa"/>
            <w:tcBorders/>
          </w:tcPr>
          <w:p>
            <w:pPr>
              <w:pStyle w:val="TableContents"/>
              <w:bidi w:val="0"/>
              <w:spacing w:before="0" w:after="283"/>
              <w:jc w:val="left"/>
              <w:rPr>
                <w:sz w:val="4"/>
                <w:szCs w:val="4"/>
              </w:rPr>
            </w:pPr>
            <w:r>
              <w:rPr>
                <w:sz w:val="4"/>
                <w:szCs w:val="4"/>
              </w:rPr>
            </w:r>
          </w:p>
        </w:tc>
      </w:tr>
      <w:tr>
        <w:tc>
          <w:tcPr>
            <w:tcW w:w="1170" w:type="dxa"/>
            <w:tcBorders/>
            <w:vAlign w:val="center"/>
          </w:tcPr>
          <w:p>
            <w:pPr>
              <w:pStyle w:val="TableContents"/>
              <w:bidi w:val="0"/>
              <w:spacing w:before="0" w:after="283"/>
              <w:jc w:val="left"/>
            </w:pPr>
            <w:r>
              <w:t>(a)</w:t>
            </w:r>
          </w:p>
        </w:tc>
        <w:tc>
          <w:tcPr>
            <w:tcW w:w="8880" w:type="dxa"/>
            <w:tcBorders/>
            <w:vAlign w:val="center"/>
          </w:tcPr>
          <w:p>
            <w:pPr>
              <w:pStyle w:val="TableContents"/>
              <w:bidi w:val="0"/>
              <w:spacing w:before="0" w:after="0"/>
              <w:jc w:val="left"/>
            </w:pPr>
            <w:r>
              <w:t>Item 5(a) and Item 5(b) of the Schedule 13D is hereby amended in its entirety to read as follows: Interests of the Reporting Person: As of November 2, 2026, the Reporting Person was the beneficial owner (as determined in accordance with Rule 13d-3(a), (c) and (d) under the Act) of 434,689 shares of Class B Common Stock of the Company, constituting approximately 12.0% of such shares then outstanding (as determined in accordance with Rule 13d-3(d)(1) under the Act). Such beneficial ownership is as set forth in paragraphs (a) through (d) below. (a) 191,705 shares of Class A Common Stock, par value $1.00 per share ("Class A Common Stock"), of the Company (Class A Common Stock being convertible share for share into Class B Common Stock), held in trusts for the benefit of the Reporting Person and her siblings, respectively, for which the Reporting Person had shared voting power with respect to such shares by virtue of a revocable proxy granted by Daniel L. Mosley, as trustee. The Reporting Person has determined in light of the relevant facts and circumstances that she had shared voting power with respect to such shares. (b) 200,197 shares of Class A Common Stock, held in trusts for the benefit of the Reporting Person's father, for which the Reporting Person had sole voting power with respect to such shares by virtue of a revocable proxy granted by the Reporting Person's father and Mr. Mosley, as trustees. (c) 19,922 shares of Class A Common Stock, held by the Reporting Person. The Reporting Person has determined in light of the relevant facts and circumstances that she had shared voting and investment power with respect to such shares with her spouse. (d) 22,865 shares of Class B Common Stock, held jointly by the Reporting Person and her spouse. The Reporting Person has determined in light of the relevant facts and circumstances that she had shared voting and investment power with respect to such shares with her spouse.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c>
          <w:tcPr>
            <w:tcW w:w="1759" w:type="dxa"/>
            <w:tcBorders/>
            <w:vAlign w:val="center"/>
          </w:tcPr>
          <w:p>
            <w:pPr>
              <w:pStyle w:val="TableContents"/>
              <w:bidi w:val="0"/>
              <w:spacing w:before="0" w:after="283"/>
              <w:jc w:val="left"/>
            </w:pPr>
            <w:r>
              <w:t>    </w:t>
            </w:r>
            <w:r>
              <w:t>SIGNATURE</w:t>
            </w:r>
          </w:p>
        </w:tc>
        <w:tc>
          <w:tcPr>
            <w:tcW w:w="8446" w:type="dxa"/>
            <w:tcBorders/>
            <w:vAlign w:val="center"/>
          </w:tcPr>
          <w:p>
            <w:pPr>
              <w:pStyle w:val="TableContents"/>
              <w:bidi w:val="0"/>
              <w:spacing w:before="0" w:after="283"/>
              <w:jc w:val="left"/>
            </w:pPr>
            <w:r>
              <w:t> </w:t>
            </w:r>
          </w:p>
        </w:tc>
      </w:tr>
      <w:tr>
        <w:tc>
          <w:tcPr>
            <w:tcW w:w="1759" w:type="dxa"/>
            <w:tcBorders/>
            <w:vAlign w:val="center"/>
          </w:tcPr>
          <w:p>
            <w:pPr>
              <w:pStyle w:val="TableContents"/>
              <w:bidi w:val="0"/>
              <w:spacing w:before="0" w:after="283"/>
              <w:jc w:val="left"/>
            </w:pPr>
            <w:r>
              <w:t> </w:t>
            </w:r>
          </w:p>
        </w:tc>
        <w:tc>
          <w:tcPr>
            <w:tcW w:w="8446" w:type="dxa"/>
            <w:tcBorders/>
            <w:vAlign w:val="center"/>
          </w:tcPr>
          <w:p>
            <w:pPr>
              <w:pStyle w:val="TableContents"/>
              <w:bidi w:val="0"/>
              <w:spacing w:before="0" w:after="283"/>
              <w:jc w:val="both"/>
            </w:pPr>
            <w:r>
              <w:t xml:space="preserve">After reasonable inquiry and to the best of my knowledge and belief, I certify that the information set forth in this statement is true, complete and correct. </w:t>
            </w:r>
          </w:p>
        </w:tc>
      </w:tr>
    </w:tbl>
    <w:tbl>
      <w:tblPr>
        <w:tblW w:w="5396" w:type="dxa"/>
        <w:jc w:val="left"/>
        <w:tblInd w:w="0" w:type="dxa"/>
        <w:tblLayout w:type="fixed"/>
        <w:tblCellMar>
          <w:top w:w="28" w:type="dxa"/>
          <w:left w:w="28" w:type="dxa"/>
          <w:bottom w:w="28" w:type="dxa"/>
          <w:right w:w="28" w:type="dxa"/>
        </w:tblCellMar>
      </w:tblPr>
      <w:tblGrid>
        <w:gridCol w:w="2698"/>
        <w:gridCol w:w="2698"/>
      </w:tblGrid>
      <w:tr>
        <w:tc>
          <w:tcPr>
            <w:tcW w:w="2698" w:type="dxa"/>
            <w:tcBorders/>
            <w:vAlign w:val="center"/>
          </w:tcPr>
          <w:p>
            <w:pPr>
              <w:pStyle w:val="TableContents"/>
              <w:bidi w:val="0"/>
              <w:spacing w:before="0" w:after="0"/>
              <w:jc w:val="left"/>
            </w:pPr>
            <w:r>
              <w:t> </w:t>
            </w:r>
          </w:p>
          <w:tbl>
            <w:tblPr>
              <w:tblW w:w="2551" w:type="dxa"/>
              <w:jc w:val="left"/>
              <w:tblInd w:w="0" w:type="dxa"/>
              <w:tblLayout w:type="fixed"/>
              <w:tblCellMar>
                <w:top w:w="28" w:type="dxa"/>
                <w:left w:w="28" w:type="dxa"/>
                <w:bottom w:w="28" w:type="dxa"/>
                <w:right w:w="28" w:type="dxa"/>
              </w:tblCellMar>
            </w:tblPr>
            <w:tblGrid>
              <w:gridCol w:w="2551"/>
            </w:tblGrid>
            <w:tr>
              <w:tc>
                <w:tcPr>
                  <w:tcW w:w="2551" w:type="dxa"/>
                  <w:tcBorders/>
                  <w:vAlign w:val="center"/>
                </w:tcPr>
                <w:p>
                  <w:pPr>
                    <w:pStyle w:val="TableContents"/>
                    <w:bidi w:val="0"/>
                    <w:spacing w:before="0" w:after="0"/>
                    <w:jc w:val="left"/>
                  </w:pPr>
                  <w:r>
                    <w:t>Laura G. O'Shaughnessy</w:t>
                  </w:r>
                </w:p>
              </w:tc>
            </w:tr>
          </w:tbl>
          <w:p>
            <w:pPr>
              <w:pStyle w:val="TableContents"/>
              <w:bidi w:val="0"/>
              <w:spacing w:before="0" w:after="283"/>
              <w:jc w:val="left"/>
            </w:p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73"/>
        <w:gridCol w:w="4132"/>
      </w:tblGrid>
      <w:tr>
        <w:tc>
          <w:tcPr>
            <w:tcW w:w="6073" w:type="dxa"/>
            <w:tcBorders/>
            <w:vAlign w:val="center"/>
          </w:tcPr>
          <w:p>
            <w:pPr>
              <w:pStyle w:val="TableContents"/>
              <w:bidi w:val="0"/>
              <w:spacing w:before="0" w:after="0"/>
              <w:jc w:val="left"/>
            </w:pPr>
            <w:r>
              <w:t> </w:t>
            </w:r>
          </w:p>
          <w:tbl>
            <w:tblPr>
              <w:tblW w:w="10205" w:type="dxa"/>
              <w:jc w:val="left"/>
              <w:tblInd w:w="0" w:type="dxa"/>
              <w:tblLayout w:type="fixed"/>
              <w:tblCellMar>
                <w:top w:w="28" w:type="dxa"/>
                <w:left w:w="28" w:type="dxa"/>
                <w:bottom w:w="28" w:type="dxa"/>
                <w:right w:w="28" w:type="dxa"/>
              </w:tblCellMar>
            </w:tblPr>
            <w:tblGrid>
              <w:gridCol w:w="1160"/>
              <w:gridCol w:w="9045"/>
            </w:tblGrid>
            <w:tr>
              <w:tc>
                <w:tcPr>
                  <w:tcW w:w="1160" w:type="dxa"/>
                  <w:tcBorders/>
                  <w:vAlign w:val="center"/>
                </w:tcPr>
                <w:p>
                  <w:pPr>
                    <w:pStyle w:val="TableContents"/>
                    <w:bidi w:val="0"/>
                    <w:spacing w:before="0" w:after="283"/>
                    <w:jc w:val="left"/>
                  </w:pPr>
                  <w:r>
                    <w:t>Signature:</w:t>
                  </w:r>
                </w:p>
              </w:tc>
              <w:tc>
                <w:tcPr>
                  <w:tcW w:w="9045" w:type="dxa"/>
                  <w:tcBorders/>
                  <w:vAlign w:val="center"/>
                </w:tcPr>
                <w:p>
                  <w:pPr>
                    <w:pStyle w:val="TableContents"/>
                    <w:bidi w:val="0"/>
                    <w:spacing w:before="0" w:after="283"/>
                    <w:jc w:val="left"/>
                  </w:pPr>
                  <w:r>
                    <w:t>/s/ Nicole M. Maddrey</w:t>
                  </w:r>
                </w:p>
              </w:tc>
            </w:tr>
            <w:tr>
              <w:tc>
                <w:tcPr>
                  <w:tcW w:w="1160" w:type="dxa"/>
                  <w:tcBorders/>
                  <w:vAlign w:val="center"/>
                </w:tcPr>
                <w:p>
                  <w:pPr>
                    <w:pStyle w:val="TableContents"/>
                    <w:bidi w:val="0"/>
                    <w:spacing w:before="0" w:after="283"/>
                    <w:jc w:val="left"/>
                  </w:pPr>
                  <w:r>
                    <w:t>Name/Title:</w:t>
                  </w:r>
                </w:p>
              </w:tc>
              <w:tc>
                <w:tcPr>
                  <w:tcW w:w="9045" w:type="dxa"/>
                  <w:tcBorders/>
                  <w:vAlign w:val="center"/>
                </w:tcPr>
                <w:p>
                  <w:pPr>
                    <w:pStyle w:val="TableContents"/>
                    <w:bidi w:val="0"/>
                    <w:spacing w:before="0" w:after="283"/>
                    <w:jc w:val="left"/>
                  </w:pPr>
                  <w:r>
                    <w:t>Nicole M. Maddrey, Attorney-in-Fact for Laura G. O'Shaughnessy</w:t>
                  </w:r>
                </w:p>
              </w:tc>
            </w:tr>
            <w:tr>
              <w:tc>
                <w:tcPr>
                  <w:tcW w:w="1160" w:type="dxa"/>
                  <w:tcBorders/>
                  <w:vAlign w:val="center"/>
                </w:tcPr>
                <w:p>
                  <w:pPr>
                    <w:pStyle w:val="TableContents"/>
                    <w:bidi w:val="0"/>
                    <w:spacing w:before="0" w:after="283"/>
                    <w:jc w:val="left"/>
                  </w:pPr>
                  <w:r>
                    <w:t>Date:</w:t>
                  </w:r>
                </w:p>
              </w:tc>
              <w:tc>
                <w:tcPr>
                  <w:tcW w:w="9045" w:type="dxa"/>
                  <w:tcBorders/>
                  <w:vAlign w:val="center"/>
                </w:tcPr>
                <w:p>
                  <w:pPr>
                    <w:pStyle w:val="TableContents"/>
                    <w:bidi w:val="0"/>
                    <w:spacing w:before="0" w:after="283"/>
                    <w:jc w:val="left"/>
                  </w:pPr>
                  <w:r>
                    <w:t>11/02/2026</w:t>
                  </w:r>
                </w:p>
              </w:tc>
            </w:tr>
          </w:tbl>
          <w:p>
            <w:pPr>
              <w:pStyle w:val="TableContents"/>
              <w:bidi w:val="0"/>
              <w:spacing w:before="0" w:after="283"/>
              <w:jc w:val="left"/>
            </w:pPr>
            <w:r/>
          </w:p>
        </w:tc>
        <w:tc>
          <w:tcPr>
            <w:tcW w:w="41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1044</Words>
  <Characters>5317</Characters>
  <CharactersWithSpaces>6319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