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272655" cy="62496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6249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0"/>
                </w:rPr>
                <w:t>Rosen Andrew Stephen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Graham Holdings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GHC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Executive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GRAHAM HOLDINGS 1300 NORTH 17TH</w:t>
            </w:r>
          </w:p>
        </w:tc>
        <w:tc>
          <w:tcPr>
            <w:tcW w:w="200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03/03/2020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1700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5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22209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337" w:hanging="337"/>
        <w:spacing w:after="0"/>
        <w:tabs>
          <w:tab w:leader="none" w:pos="337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37" w:right="600"/>
        <w:spacing w:after="0" w:line="256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8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23" w:space="720"/>
            <w:col w:w="3277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60" w:type="dxa"/>
            <w:vAlign w:val="bottom"/>
            <w:gridSpan w:val="6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03/03/2020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1,600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325.26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20,195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03/05/2020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5,200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325.26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25,395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0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B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325.26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03/03/2020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02/22/2021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66,058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B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5,200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325.26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03/05/2020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5,200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02/22/2021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60,858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Employee Stock Option was granted on 2/22/2011 and vested annually over four years. The option is fully vested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Andrew Stephen Rosen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03/05/2020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-3498850</wp:posOffset>
            </wp:positionV>
            <wp:extent cx="24765" cy="2941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941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05148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2020-03-05T16:04:58Z</dcterms:created>
  <dcterms:modified xsi:type="dcterms:W3CDTF">2020-03-05T16:04:58Z</dcterms:modified>
</cp:coreProperties>
</file>