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Daniels, Diana M.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620"/>
        <w:spacing w:after="0" w:line="238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54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5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Statement for Month/Year December 1999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220" w:hanging="255"/>
        <w:spacing w:after="0" w:line="238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|12/6/9|M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|$205.50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|12/6/9|F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|364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|$564.125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|12/10/|S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|447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|$575.00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|3,036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0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3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|$205.50 |12/6/|M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20" w:type="dxa"/>
            <w:vAlign w:val="bottom"/>
            <w:gridSpan w:val="4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|/91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|/00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9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3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(Option right to buy) |$543.00 |12/20|J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720" w:type="dxa"/>
            <w:vAlign w:val="bottom"/>
            <w:gridSpan w:val="4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|12/20|12/20|Class B Comm|1,000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|/00* |/09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9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47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*Employee Stock Option granted on transaction date pursuant to The Washington Post Company Stock Option Plan in transaction exempt under old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5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Rule 16b-3. Option becomes exercisable in 25 percent increments on anniversary dates of the grant, starting December 20, 2000. SIGNATURE OF REPORTING PERSON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Diana M. Daniels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2000</w:t>
      </w:r>
    </w:p>
    <w:sectPr>
      <w:pgSz w:w="11900" w:h="16838" w:orient="portrait"/>
      <w:cols w:equalWidth="0" w:num="1">
        <w:col w:w="11100"/>
      </w:cols>
      <w:pgMar w:left="44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2020-10-07T09:29:37Z</dcterms:created>
  <dcterms:modified xsi:type="dcterms:W3CDTF">2020-10-07T09:29:37Z</dcterms:modified>
</cp:coreProperties>
</file>