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 8-K</w:t>
      </w:r>
    </w:p>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Current Report Pursuant to Section 13 or 15(d)</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February 16, 2017</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89"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37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c>
          <w:tcPr>
            <w:tcW w:w="3380" w:type="dxa"/>
            <w:vAlign w:val="bottom"/>
          </w:tcPr>
          <w:p>
            <w:pPr>
              <w:jc w:val="right"/>
              <w:ind w:right="1410"/>
              <w:spacing w:after="0"/>
              <w:rPr>
                <w:sz w:val="20"/>
                <w:szCs w:val="20"/>
                <w:color w:val="auto"/>
              </w:rPr>
            </w:pPr>
            <w:r>
              <w:rPr>
                <w:rFonts w:ascii="Arial" w:cs="Arial" w:eastAsia="Arial" w:hAnsi="Arial"/>
                <w:sz w:val="18"/>
                <w:szCs w:val="18"/>
                <w:color w:val="auto"/>
              </w:rPr>
              <w:t>1-6714</w:t>
            </w:r>
          </w:p>
        </w:tc>
        <w:tc>
          <w:tcPr>
            <w:tcW w:w="3240" w:type="dxa"/>
            <w:vAlign w:val="bottom"/>
          </w:tcPr>
          <w:p>
            <w:pPr>
              <w:jc w:val="right"/>
              <w:ind w:right="710"/>
              <w:spacing w:after="0"/>
              <w:rPr>
                <w:sz w:val="20"/>
                <w:szCs w:val="20"/>
                <w:color w:val="auto"/>
              </w:rPr>
            </w:pPr>
            <w:r>
              <w:rPr>
                <w:rFonts w:ascii="Arial" w:cs="Arial" w:eastAsia="Arial" w:hAnsi="Arial"/>
                <w:sz w:val="18"/>
                <w:szCs w:val="18"/>
                <w:color w:val="auto"/>
              </w:rPr>
              <w:t>53-0182885</w:t>
            </w:r>
          </w:p>
        </w:tc>
      </w:tr>
      <w:tr>
        <w:trPr>
          <w:trHeight w:val="230"/>
        </w:trPr>
        <w:tc>
          <w:tcPr>
            <w:tcW w:w="3780" w:type="dxa"/>
            <w:vAlign w:val="bottom"/>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tcPr>
          <w:p>
            <w:pPr>
              <w:jc w:val="center"/>
              <w:ind w:right="50"/>
              <w:spacing w:after="0"/>
              <w:rPr>
                <w:sz w:val="20"/>
                <w:szCs w:val="20"/>
                <w:color w:val="auto"/>
              </w:rPr>
            </w:pPr>
            <w:r>
              <w:rPr>
                <w:rFonts w:ascii="Arial" w:cs="Arial" w:eastAsia="Arial" w:hAnsi="Arial"/>
                <w:sz w:val="18"/>
                <w:szCs w:val="18"/>
                <w:color w:val="auto"/>
                <w:w w:val="93"/>
              </w:rPr>
              <w:t>(Commission File Number)</w:t>
            </w:r>
          </w:p>
        </w:tc>
        <w:tc>
          <w:tcPr>
            <w:tcW w:w="3240" w:type="dxa"/>
            <w:vAlign w:val="bottom"/>
          </w:tcPr>
          <w:p>
            <w:pPr>
              <w:jc w:val="center"/>
              <w:ind w:left="670"/>
              <w:spacing w:after="0"/>
              <w:rPr>
                <w:sz w:val="20"/>
                <w:szCs w:val="20"/>
                <w:color w:val="auto"/>
              </w:rPr>
            </w:pPr>
            <w:r>
              <w:rPr>
                <w:rFonts w:ascii="Arial" w:cs="Arial" w:eastAsia="Arial" w:hAnsi="Arial"/>
                <w:sz w:val="18"/>
                <w:szCs w:val="18"/>
                <w:color w:val="auto"/>
                <w:w w:val="94"/>
              </w:rPr>
              <w:t>(IRS Employer Identification No.)</w:t>
            </w:r>
          </w:p>
        </w:tc>
      </w:tr>
      <w:tr>
        <w:trPr>
          <w:trHeight w:val="850"/>
        </w:trPr>
        <w:tc>
          <w:tcPr>
            <w:tcW w:w="3780" w:type="dxa"/>
            <w:vAlign w:val="bottom"/>
          </w:tcPr>
          <w:p>
            <w:pPr>
              <w:jc w:val="center"/>
              <w:ind w:right="510"/>
              <w:spacing w:after="0"/>
              <w:rPr>
                <w:sz w:val="20"/>
                <w:szCs w:val="20"/>
                <w:color w:val="auto"/>
              </w:rPr>
            </w:pPr>
            <w:r>
              <w:rPr>
                <w:rFonts w:ascii="Arial" w:cs="Arial" w:eastAsia="Arial" w:hAnsi="Arial"/>
                <w:sz w:val="18"/>
                <w:szCs w:val="18"/>
                <w:color w:val="auto"/>
                <w:w w:val="91"/>
              </w:rPr>
              <w:t>1300 North 17th Street</w:t>
            </w:r>
          </w:p>
        </w:tc>
        <w:tc>
          <w:tcPr>
            <w:tcW w:w="3380" w:type="dxa"/>
            <w:vAlign w:val="bottom"/>
          </w:tcPr>
          <w:p>
            <w:pPr>
              <w:spacing w:after="0"/>
              <w:rPr>
                <w:sz w:val="24"/>
                <w:szCs w:val="24"/>
                <w:color w:val="auto"/>
              </w:rPr>
            </w:pPr>
          </w:p>
        </w:tc>
        <w:tc>
          <w:tcPr>
            <w:tcW w:w="3240" w:type="dxa"/>
            <w:vAlign w:val="bottom"/>
          </w:tcPr>
          <w:p>
            <w:pPr>
              <w:jc w:val="right"/>
              <w:ind w:right="930"/>
              <w:spacing w:after="0"/>
              <w:rPr>
                <w:sz w:val="20"/>
                <w:szCs w:val="20"/>
                <w:color w:val="auto"/>
              </w:rPr>
            </w:pPr>
            <w:r>
              <w:rPr>
                <w:rFonts w:ascii="Arial" w:cs="Arial" w:eastAsia="Arial" w:hAnsi="Arial"/>
                <w:sz w:val="18"/>
                <w:szCs w:val="18"/>
                <w:color w:val="auto"/>
              </w:rPr>
              <w:t>22209</w:t>
            </w:r>
          </w:p>
        </w:tc>
      </w:tr>
      <w:tr>
        <w:trPr>
          <w:trHeight w:val="216"/>
        </w:trPr>
        <w:tc>
          <w:tcPr>
            <w:tcW w:w="3780" w:type="dxa"/>
            <w:vAlign w:val="bottom"/>
          </w:tcPr>
          <w:p>
            <w:pPr>
              <w:jc w:val="center"/>
              <w:ind w:right="510"/>
              <w:spacing w:after="0"/>
              <w:rPr>
                <w:sz w:val="20"/>
                <w:szCs w:val="20"/>
                <w:color w:val="auto"/>
              </w:rPr>
            </w:pPr>
            <w:r>
              <w:rPr>
                <w:rFonts w:ascii="Arial" w:cs="Arial" w:eastAsia="Arial" w:hAnsi="Arial"/>
                <w:sz w:val="18"/>
                <w:szCs w:val="18"/>
                <w:color w:val="auto"/>
                <w:w w:val="90"/>
              </w:rPr>
              <w:t>Suite 1700</w:t>
            </w:r>
          </w:p>
        </w:tc>
        <w:tc>
          <w:tcPr>
            <w:tcW w:w="3380" w:type="dxa"/>
            <w:vAlign w:val="bottom"/>
          </w:tcPr>
          <w:p>
            <w:pPr>
              <w:spacing w:after="0"/>
              <w:rPr>
                <w:sz w:val="18"/>
                <w:szCs w:val="18"/>
                <w:color w:val="auto"/>
              </w:rPr>
            </w:pPr>
          </w:p>
        </w:tc>
        <w:tc>
          <w:tcPr>
            <w:tcW w:w="3240" w:type="dxa"/>
            <w:vAlign w:val="bottom"/>
          </w:tcPr>
          <w:p>
            <w:pPr>
              <w:jc w:val="center"/>
              <w:ind w:left="670"/>
              <w:spacing w:after="0"/>
              <w:rPr>
                <w:sz w:val="20"/>
                <w:szCs w:val="20"/>
                <w:color w:val="auto"/>
              </w:rPr>
            </w:pPr>
            <w:r>
              <w:rPr>
                <w:rFonts w:ascii="Arial" w:cs="Arial" w:eastAsia="Arial" w:hAnsi="Arial"/>
                <w:sz w:val="18"/>
                <w:szCs w:val="18"/>
                <w:color w:val="auto"/>
                <w:w w:val="94"/>
              </w:rPr>
              <w:t>(Zip Code)</w:t>
            </w:r>
          </w:p>
        </w:tc>
      </w:tr>
      <w:tr>
        <w:trPr>
          <w:trHeight w:val="216"/>
        </w:trPr>
        <w:tc>
          <w:tcPr>
            <w:tcW w:w="3780" w:type="dxa"/>
            <w:vAlign w:val="bottom"/>
          </w:tcPr>
          <w:p>
            <w:pPr>
              <w:jc w:val="center"/>
              <w:ind w:right="510"/>
              <w:spacing w:after="0"/>
              <w:rPr>
                <w:sz w:val="20"/>
                <w:szCs w:val="20"/>
                <w:color w:val="auto"/>
              </w:rPr>
            </w:pPr>
            <w:r>
              <w:rPr>
                <w:rFonts w:ascii="Arial" w:cs="Arial" w:eastAsia="Arial" w:hAnsi="Arial"/>
                <w:sz w:val="18"/>
                <w:szCs w:val="18"/>
                <w:color w:val="auto"/>
                <w:w w:val="97"/>
              </w:rPr>
              <w:t>Arlington, VA</w:t>
            </w:r>
          </w:p>
        </w:tc>
        <w:tc>
          <w:tcPr>
            <w:tcW w:w="33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30"/>
        </w:trPr>
        <w:tc>
          <w:tcPr>
            <w:tcW w:w="3780" w:type="dxa"/>
            <w:vAlign w:val="bottom"/>
          </w:tcPr>
          <w:p>
            <w:pPr>
              <w:jc w:val="center"/>
              <w:ind w:right="510"/>
              <w:spacing w:after="0"/>
              <w:rPr>
                <w:sz w:val="20"/>
                <w:szCs w:val="20"/>
                <w:color w:val="auto"/>
              </w:rPr>
            </w:pPr>
            <w:r>
              <w:rPr>
                <w:rFonts w:ascii="Arial" w:cs="Arial" w:eastAsia="Arial" w:hAnsi="Arial"/>
                <w:sz w:val="18"/>
                <w:szCs w:val="18"/>
                <w:color w:val="auto"/>
                <w:w w:val="92"/>
              </w:rPr>
              <w:t>(Address of principal executive offices)</w:t>
            </w:r>
          </w:p>
        </w:tc>
        <w:tc>
          <w:tcPr>
            <w:tcW w:w="3380" w:type="dxa"/>
            <w:vAlign w:val="bottom"/>
          </w:tcPr>
          <w:p>
            <w:pPr>
              <w:spacing w:after="0"/>
              <w:rPr>
                <w:sz w:val="20"/>
                <w:szCs w:val="20"/>
                <w:color w:val="auto"/>
              </w:rPr>
            </w:pPr>
          </w:p>
        </w:tc>
        <w:tc>
          <w:tcPr>
            <w:tcW w:w="3240" w:type="dxa"/>
            <w:vAlign w:val="bottom"/>
          </w:tcPr>
          <w:p>
            <w:pPr>
              <w:spacing w:after="0"/>
              <w:rPr>
                <w:sz w:val="20"/>
                <w:szCs w:val="20"/>
                <w:color w:val="auto"/>
              </w:rPr>
            </w:pPr>
          </w:p>
        </w:tc>
      </w:tr>
    </w:tbl>
    <w:p>
      <w:pPr>
        <w:spacing w:after="0" w:line="200" w:lineRule="exact"/>
        <w:rPr>
          <w:sz w:val="24"/>
          <w:szCs w:val="24"/>
          <w:color w:val="auto"/>
        </w:rPr>
      </w:pPr>
    </w:p>
    <w:p>
      <w:pPr>
        <w:spacing w:after="0" w:line="3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(703) 345-6300</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Not Applicable</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300"/>
          </w:cols>
          <w:pgMar w:left="240" w:top="233" w:right="359" w:bottom="1440" w:gutter="0" w:footer="0" w:header="0"/>
        </w:sectPr>
      </w:pPr>
    </w:p>
    <w:bookmarkStart w:id="1" w:name="page2"/>
    <w:bookmarkEnd w:id="1"/>
    <w:p>
      <w:pPr>
        <w:ind w:right="2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382" w:lineRule="exact"/>
        <w:rPr>
          <w:sz w:val="20"/>
          <w:szCs w:val="20"/>
          <w:color w:val="auto"/>
        </w:rPr>
      </w:pPr>
    </w:p>
    <w:p>
      <w:pPr>
        <w:ind w:firstLine="8"/>
        <w:spacing w:after="0" w:line="273" w:lineRule="auto"/>
        <w:tabs>
          <w:tab w:leader="none" w:pos="290" w:val="left"/>
        </w:tabs>
        <w:numPr>
          <w:ilvl w:val="0"/>
          <w:numId w:val="2"/>
        </w:numPr>
        <w:rPr>
          <w:rFonts w:ascii="Arial" w:cs="Arial" w:eastAsia="Arial" w:hAnsi="Arial"/>
          <w:sz w:val="17"/>
          <w:szCs w:val="17"/>
          <w:color w:val="222222"/>
        </w:rPr>
      </w:pPr>
      <w:r>
        <w:rPr>
          <w:rFonts w:ascii="Arial" w:cs="Arial" w:eastAsia="Arial" w:hAnsi="Arial"/>
          <w:sz w:val="17"/>
          <w:szCs w:val="17"/>
          <w:color w:val="auto"/>
        </w:rPr>
        <w:t>In connection with the previously announced retirement of Hal S. Jones, Senior Vice President-Finance and Chief Financial Officer of Graham Holdings Company (the “Company”), the Compensation Committee approved the following: (i) pro-ration of Mr. Jones’ 2017 bonus, with the payment to be made in the first quarter of 2018, estimated at approximately $101,250;(ii) pro-ration of Mr. Jones’ 2015-2018 restricted stock awards through his separation date of March 31, 2017, consisting of an equity grant of 393 shares of Graham Holdings Company restricted stock and 393 shares of the Cable One, Inc. common stock (received in connection with the Cable One spin-off); and (iii) pro-ration of his 2015-2018 Performance Units in the amount of 4,500 Performance Units, which is the pro-rata portion through March 31, 2017.</w:t>
      </w:r>
    </w:p>
    <w:p>
      <w:pPr>
        <w:sectPr>
          <w:pgSz w:w="11900" w:h="16838" w:orient="portrait"/>
          <w:cols w:equalWidth="0" w:num="1">
            <w:col w:w="11300"/>
          </w:cols>
          <w:pgMar w:left="240" w:top="364" w:right="3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5400"/>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40"/>
        <w:spacing w:after="0"/>
        <w:tabs>
          <w:tab w:leader="none" w:pos="7680" w:val="left"/>
        </w:tabs>
        <w:rPr>
          <w:sz w:val="20"/>
          <w:szCs w:val="20"/>
          <w:color w:val="auto"/>
        </w:rPr>
      </w:pPr>
      <w:r>
        <w:rPr>
          <w:rFonts w:ascii="Arial" w:cs="Arial" w:eastAsia="Arial" w:hAnsi="Arial"/>
          <w:sz w:val="18"/>
          <w:szCs w:val="18"/>
          <w:color w:val="auto"/>
        </w:rPr>
        <w:t>Date: March 8, 2017</w:t>
      </w:r>
      <w:r>
        <w:rPr>
          <w:sz w:val="20"/>
          <w:szCs w:val="20"/>
          <w:color w:val="auto"/>
        </w:rPr>
        <w:tab/>
      </w:r>
      <w:r>
        <w:rPr>
          <w:rFonts w:ascii="Arial" w:cs="Arial" w:eastAsia="Arial" w:hAnsi="Arial"/>
          <w:sz w:val="16"/>
          <w:szCs w:val="16"/>
          <w:color w:val="auto"/>
        </w:rPr>
        <w:t>/s/ Nicole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Nicole Maddrey</w:t>
      </w:r>
    </w:p>
    <w:p>
      <w:pPr>
        <w:spacing w:after="0" w:line="9"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Senior Vice President, Secretary</w:t>
      </w:r>
    </w:p>
    <w:p>
      <w:pPr>
        <w:spacing w:after="0" w:line="9"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and General Counsel</w:t>
      </w:r>
    </w:p>
    <w:sectPr>
      <w:pgSz w:w="11900" w:h="16838" w:orient="portrait"/>
      <w:cols w:equalWidth="0" w:num="1">
        <w:col w:w="11280"/>
      </w:cols>
      <w:pgMar w:left="240" w:top="6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2019-12-05T08:05:01Z</dcterms:created>
  <dcterms:modified xsi:type="dcterms:W3CDTF">2019-12-05T08:05:01Z</dcterms:modified>
</cp:coreProperties>
</file>