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216535</wp:posOffset>
            </wp:positionH>
            <wp:positionV relativeFrom="page">
              <wp:posOffset>732155</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697230</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t>UNITED STATES</w:t>
      </w:r>
    </w:p>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SECURITIES AND EXCHANGE COMMISSION</w:t>
      </w:r>
    </w:p>
    <w:p>
      <w:pPr>
        <w:spacing w:after="0" w:line="2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588010</wp:posOffset>
            </wp:positionH>
            <wp:positionV relativeFrom="paragraph">
              <wp:posOffset>83820</wp:posOffset>
            </wp:positionV>
            <wp:extent cx="59664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16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19" w:lineRule="exact"/>
        <w:rPr>
          <w:sz w:val="24"/>
          <w:szCs w:val="24"/>
          <w:color w:val="auto"/>
        </w:rPr>
      </w:pPr>
    </w:p>
    <w:p>
      <w:pPr>
        <w:ind w:left="360" w:hanging="208"/>
        <w:spacing w:after="0"/>
        <w:tabs>
          <w:tab w:leader="none" w:pos="360" w:val="left"/>
        </w:tabs>
        <w:numPr>
          <w:ilvl w:val="0"/>
          <w:numId w:val="1"/>
        </w:numPr>
        <w:rPr>
          <w:rFonts w:ascii="MS PGothic" w:cs="MS PGothic" w:eastAsia="MS PGothic" w:hAnsi="MS PGothic"/>
          <w:sz w:val="20"/>
          <w:szCs w:val="20"/>
          <w:color w:val="auto"/>
        </w:rPr>
      </w:pPr>
      <w:r>
        <w:rPr>
          <w:rFonts w:ascii="Arial" w:cs="Arial" w:eastAsia="Arial" w:hAnsi="Arial"/>
          <w:sz w:val="20"/>
          <w:szCs w:val="20"/>
          <w:b w:val="1"/>
          <w:bCs w:val="1"/>
          <w:color w:val="auto"/>
        </w:rPr>
        <w:t>Quarterly Report Pursuant to Section 13 or 15(d) of the Securities Exchange Act of 1934</w:t>
      </w:r>
    </w:p>
    <w:p>
      <w:pPr>
        <w:spacing w:after="0" w:line="36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March 31, 2025</w:t>
      </w:r>
    </w:p>
    <w:p>
      <w:pPr>
        <w:spacing w:after="0" w:line="10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301" w:lineRule="exact"/>
        <w:rPr>
          <w:sz w:val="24"/>
          <w:szCs w:val="24"/>
          <w:color w:val="auto"/>
        </w:rPr>
      </w:pPr>
    </w:p>
    <w:p>
      <w:pPr>
        <w:ind w:left="360" w:hanging="208"/>
        <w:spacing w:after="0"/>
        <w:tabs>
          <w:tab w:leader="none" w:pos="360" w:val="left"/>
        </w:tabs>
        <w:numPr>
          <w:ilvl w:val="0"/>
          <w:numId w:val="2"/>
        </w:numPr>
        <w:rPr>
          <w:rFonts w:ascii="MS PGothic" w:cs="MS PGothic" w:eastAsia="MS PGothic" w:hAnsi="MS PGothic"/>
          <w:sz w:val="20"/>
          <w:szCs w:val="20"/>
          <w:color w:val="auto"/>
        </w:rPr>
      </w:pPr>
      <w:r>
        <w:rPr>
          <w:rFonts w:ascii="Arial" w:cs="Arial" w:eastAsia="Arial" w:hAnsi="Arial"/>
          <w:sz w:val="20"/>
          <w:szCs w:val="20"/>
          <w:b w:val="1"/>
          <w:bCs w:val="1"/>
          <w:color w:val="auto"/>
        </w:rPr>
        <w:t>Transition Report Pursuant to Section 13 or 15(d) of the Securities Exchange Act of 1934</w:t>
      </w:r>
    </w:p>
    <w:p>
      <w:pPr>
        <w:spacing w:after="0" w:line="36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Commission File Number 001-06714</w:t>
      </w:r>
    </w:p>
    <w:p>
      <w:pPr>
        <w:spacing w:after="0" w:line="116" w:lineRule="exact"/>
        <w:rPr>
          <w:sz w:val="24"/>
          <w:szCs w:val="24"/>
          <w:color w:val="auto"/>
        </w:rPr>
      </w:pPr>
    </w:p>
    <w:p>
      <w:pPr>
        <w:jc w:val="center"/>
        <w:ind w:right="-19"/>
        <w:spacing w:after="0"/>
        <w:rPr>
          <w:sz w:val="20"/>
          <w:szCs w:val="20"/>
          <w:color w:val="auto"/>
        </w:rPr>
      </w:pPr>
      <w:r>
        <w:rPr>
          <w:rFonts w:ascii="Arial" w:cs="Arial" w:eastAsia="Arial" w:hAnsi="Arial"/>
          <w:sz w:val="40"/>
          <w:szCs w:val="40"/>
          <w:b w:val="1"/>
          <w:bCs w:val="1"/>
          <w:color w:val="auto"/>
        </w:rPr>
        <w:t>GRAHAM HOLDINGS COMPANY</w:t>
      </w:r>
    </w:p>
    <w:p>
      <w:pPr>
        <w:spacing w:after="0" w:line="10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333" w:lineRule="exact"/>
        <w:rPr>
          <w:sz w:val="24"/>
          <w:szCs w:val="24"/>
          <w:color w:val="auto"/>
        </w:rPr>
      </w:pPr>
    </w:p>
    <w:tbl>
      <w:tblPr>
        <w:tblLayout w:type="fixed"/>
        <w:tblInd w:w="0" w:type="dxa"/>
        <w:tblCellMar>
          <w:top w:w="0" w:type="dxa"/>
          <w:left w:w="0" w:type="dxa"/>
          <w:bottom w:w="0" w:type="dxa"/>
          <w:right w:w="0" w:type="dxa"/>
        </w:tblCellMar>
      </w:tblPr>
      <w:tr>
        <w:trPr>
          <w:trHeight w:val="247"/>
        </w:trPr>
        <w:tc>
          <w:tcPr>
            <w:tcW w:w="4920" w:type="dxa"/>
            <w:vAlign w:val="bottom"/>
            <w:gridSpan w:val="2"/>
          </w:tcPr>
          <w:p>
            <w:pPr>
              <w:jc w:val="center"/>
              <w:ind w:left="100"/>
              <w:spacing w:after="0"/>
              <w:rPr>
                <w:sz w:val="20"/>
                <w:szCs w:val="20"/>
                <w:color w:val="auto"/>
              </w:rPr>
            </w:pPr>
            <w:r>
              <w:rPr>
                <w:rFonts w:ascii="Arial" w:cs="Arial" w:eastAsia="Arial" w:hAnsi="Arial"/>
                <w:sz w:val="18"/>
                <w:szCs w:val="18"/>
                <w:b w:val="1"/>
                <w:bCs w:val="1"/>
                <w:color w:val="auto"/>
                <w:w w:val="98"/>
              </w:rPr>
              <w:t>Delaware</w:t>
            </w:r>
          </w:p>
        </w:tc>
        <w:tc>
          <w:tcPr>
            <w:tcW w:w="19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760" w:type="dxa"/>
            <w:vAlign w:val="bottom"/>
          </w:tcPr>
          <w:p>
            <w:pPr>
              <w:jc w:val="right"/>
              <w:ind w:right="1660"/>
              <w:spacing w:after="0"/>
              <w:rPr>
                <w:sz w:val="20"/>
                <w:szCs w:val="20"/>
                <w:color w:val="auto"/>
              </w:rPr>
            </w:pPr>
            <w:r>
              <w:rPr>
                <w:rFonts w:ascii="Arial" w:cs="Arial" w:eastAsia="Arial" w:hAnsi="Arial"/>
                <w:sz w:val="18"/>
                <w:szCs w:val="18"/>
                <w:b w:val="1"/>
                <w:bCs w:val="1"/>
                <w:color w:val="auto"/>
              </w:rPr>
              <w:t>53-0182885</w:t>
            </w:r>
          </w:p>
        </w:tc>
      </w:tr>
      <w:tr>
        <w:trPr>
          <w:trHeight w:val="181"/>
        </w:trPr>
        <w:tc>
          <w:tcPr>
            <w:tcW w:w="4920" w:type="dxa"/>
            <w:vAlign w:val="bottom"/>
            <w:gridSpan w:val="2"/>
          </w:tcPr>
          <w:p>
            <w:pPr>
              <w:jc w:val="center"/>
              <w:ind w:left="120"/>
              <w:spacing w:after="0"/>
              <w:rPr>
                <w:sz w:val="20"/>
                <w:szCs w:val="20"/>
                <w:color w:val="auto"/>
              </w:rPr>
            </w:pPr>
            <w:r>
              <w:rPr>
                <w:rFonts w:ascii="Arial" w:cs="Arial" w:eastAsia="Arial" w:hAnsi="Arial"/>
                <w:sz w:val="14"/>
                <w:szCs w:val="14"/>
                <w:color w:val="auto"/>
              </w:rPr>
              <w:t>(State or other jurisdiction of</w:t>
            </w:r>
          </w:p>
        </w:tc>
        <w:tc>
          <w:tcPr>
            <w:tcW w:w="1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760" w:type="dxa"/>
            <w:vAlign w:val="bottom"/>
          </w:tcPr>
          <w:p>
            <w:pPr>
              <w:jc w:val="center"/>
              <w:ind w:right="580"/>
              <w:spacing w:after="0"/>
              <w:rPr>
                <w:sz w:val="20"/>
                <w:szCs w:val="20"/>
                <w:color w:val="auto"/>
              </w:rPr>
            </w:pPr>
            <w:r>
              <w:rPr>
                <w:rFonts w:ascii="Arial" w:cs="Arial" w:eastAsia="Arial" w:hAnsi="Arial"/>
                <w:sz w:val="14"/>
                <w:szCs w:val="14"/>
                <w:color w:val="auto"/>
              </w:rPr>
              <w:t>(I.R.S. Employer</w:t>
            </w:r>
          </w:p>
        </w:tc>
      </w:tr>
      <w:tr>
        <w:trPr>
          <w:trHeight w:val="190"/>
        </w:trPr>
        <w:tc>
          <w:tcPr>
            <w:tcW w:w="4920" w:type="dxa"/>
            <w:vAlign w:val="bottom"/>
            <w:gridSpan w:val="2"/>
          </w:tcPr>
          <w:p>
            <w:pPr>
              <w:jc w:val="center"/>
              <w:ind w:left="100"/>
              <w:spacing w:after="0"/>
              <w:rPr>
                <w:sz w:val="20"/>
                <w:szCs w:val="20"/>
                <w:color w:val="auto"/>
              </w:rPr>
            </w:pPr>
            <w:r>
              <w:rPr>
                <w:rFonts w:ascii="Arial" w:cs="Arial" w:eastAsia="Arial" w:hAnsi="Arial"/>
                <w:sz w:val="14"/>
                <w:szCs w:val="14"/>
                <w:color w:val="auto"/>
              </w:rPr>
              <w:t>incorporation or organization)</w:t>
            </w:r>
          </w:p>
        </w:tc>
        <w:tc>
          <w:tcPr>
            <w:tcW w:w="1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760" w:type="dxa"/>
            <w:vAlign w:val="bottom"/>
          </w:tcPr>
          <w:p>
            <w:pPr>
              <w:jc w:val="center"/>
              <w:ind w:right="600"/>
              <w:spacing w:after="0"/>
              <w:rPr>
                <w:sz w:val="20"/>
                <w:szCs w:val="20"/>
                <w:color w:val="auto"/>
              </w:rPr>
            </w:pPr>
            <w:r>
              <w:rPr>
                <w:rFonts w:ascii="Arial" w:cs="Arial" w:eastAsia="Arial" w:hAnsi="Arial"/>
                <w:sz w:val="14"/>
                <w:szCs w:val="14"/>
                <w:color w:val="auto"/>
              </w:rPr>
              <w:t>Identification No.)</w:t>
            </w:r>
          </w:p>
        </w:tc>
      </w:tr>
      <w:tr>
        <w:trPr>
          <w:trHeight w:val="304"/>
        </w:trPr>
        <w:tc>
          <w:tcPr>
            <w:tcW w:w="4920" w:type="dxa"/>
            <w:vAlign w:val="bottom"/>
            <w:gridSpan w:val="2"/>
          </w:tcPr>
          <w:p>
            <w:pPr>
              <w:jc w:val="center"/>
              <w:ind w:left="100"/>
              <w:spacing w:after="0"/>
              <w:rPr>
                <w:sz w:val="20"/>
                <w:szCs w:val="20"/>
                <w:color w:val="auto"/>
              </w:rPr>
            </w:pPr>
            <w:r>
              <w:rPr>
                <w:rFonts w:ascii="Arial" w:cs="Arial" w:eastAsia="Arial" w:hAnsi="Arial"/>
                <w:sz w:val="18"/>
                <w:szCs w:val="18"/>
                <w:b w:val="1"/>
                <w:bCs w:val="1"/>
                <w:color w:val="auto"/>
                <w:w w:val="99"/>
              </w:rPr>
              <w:t>1812 North Moore Street, Arlington, Virginia</w:t>
            </w:r>
          </w:p>
        </w:tc>
        <w:tc>
          <w:tcPr>
            <w:tcW w:w="1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760" w:type="dxa"/>
            <w:vAlign w:val="bottom"/>
          </w:tcPr>
          <w:p>
            <w:pPr>
              <w:jc w:val="right"/>
              <w:ind w:right="1880"/>
              <w:spacing w:after="0"/>
              <w:rPr>
                <w:sz w:val="20"/>
                <w:szCs w:val="20"/>
                <w:color w:val="auto"/>
              </w:rPr>
            </w:pPr>
            <w:r>
              <w:rPr>
                <w:rFonts w:ascii="Arial" w:cs="Arial" w:eastAsia="Arial" w:hAnsi="Arial"/>
                <w:sz w:val="18"/>
                <w:szCs w:val="18"/>
                <w:b w:val="1"/>
                <w:bCs w:val="1"/>
                <w:color w:val="auto"/>
              </w:rPr>
              <w:t>22209</w:t>
            </w:r>
          </w:p>
        </w:tc>
      </w:tr>
      <w:tr>
        <w:trPr>
          <w:trHeight w:val="209"/>
        </w:trPr>
        <w:tc>
          <w:tcPr>
            <w:tcW w:w="4920" w:type="dxa"/>
            <w:vAlign w:val="bottom"/>
            <w:gridSpan w:val="2"/>
          </w:tcPr>
          <w:p>
            <w:pPr>
              <w:jc w:val="center"/>
              <w:ind w:left="100"/>
              <w:spacing w:after="0"/>
              <w:rPr>
                <w:sz w:val="20"/>
                <w:szCs w:val="20"/>
                <w:color w:val="auto"/>
              </w:rPr>
            </w:pPr>
            <w:r>
              <w:rPr>
                <w:rFonts w:ascii="Arial" w:cs="Arial" w:eastAsia="Arial" w:hAnsi="Arial"/>
                <w:sz w:val="14"/>
                <w:szCs w:val="14"/>
                <w:color w:val="auto"/>
              </w:rPr>
              <w:t>(Address of principal executive offices)</w:t>
            </w:r>
          </w:p>
        </w:tc>
        <w:tc>
          <w:tcPr>
            <w:tcW w:w="1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760" w:type="dxa"/>
            <w:vAlign w:val="bottom"/>
          </w:tcPr>
          <w:p>
            <w:pPr>
              <w:jc w:val="center"/>
              <w:ind w:right="600"/>
              <w:spacing w:after="0"/>
              <w:rPr>
                <w:sz w:val="20"/>
                <w:szCs w:val="20"/>
                <w:color w:val="auto"/>
              </w:rPr>
            </w:pPr>
            <w:r>
              <w:rPr>
                <w:rFonts w:ascii="Arial" w:cs="Arial" w:eastAsia="Arial" w:hAnsi="Arial"/>
                <w:sz w:val="14"/>
                <w:szCs w:val="14"/>
                <w:color w:val="auto"/>
              </w:rPr>
              <w:t>(Zip Code)</w:t>
            </w:r>
          </w:p>
        </w:tc>
      </w:tr>
      <w:tr>
        <w:trPr>
          <w:trHeight w:val="465"/>
        </w:trPr>
        <w:tc>
          <w:tcPr>
            <w:tcW w:w="4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960" w:type="dxa"/>
            <w:vAlign w:val="bottom"/>
          </w:tcPr>
          <w:p>
            <w:pPr>
              <w:jc w:val="right"/>
              <w:ind w:right="556"/>
              <w:spacing w:after="0"/>
              <w:rPr>
                <w:sz w:val="20"/>
                <w:szCs w:val="20"/>
                <w:color w:val="auto"/>
              </w:rPr>
            </w:pPr>
            <w:r>
              <w:rPr>
                <w:rFonts w:ascii="Arial" w:cs="Arial" w:eastAsia="Arial" w:hAnsi="Arial"/>
                <w:sz w:val="18"/>
                <w:szCs w:val="18"/>
                <w:b w:val="1"/>
                <w:bCs w:val="1"/>
                <w:color w:val="auto"/>
              </w:rPr>
              <w:t>(703) 345-6300</w:t>
            </w: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760" w:type="dxa"/>
            <w:vAlign w:val="bottom"/>
          </w:tcPr>
          <w:p>
            <w:pPr>
              <w:spacing w:after="0"/>
              <w:rPr>
                <w:sz w:val="24"/>
                <w:szCs w:val="24"/>
                <w:color w:val="auto"/>
              </w:rPr>
            </w:pPr>
          </w:p>
        </w:tc>
      </w:tr>
      <w:tr>
        <w:trPr>
          <w:trHeight w:val="223"/>
        </w:trPr>
        <w:tc>
          <w:tcPr>
            <w:tcW w:w="7440" w:type="dxa"/>
            <w:vAlign w:val="bottom"/>
            <w:gridSpan w:val="5"/>
          </w:tcPr>
          <w:p>
            <w:pPr>
              <w:jc w:val="center"/>
              <w:ind w:left="3740"/>
              <w:spacing w:after="0"/>
              <w:rPr>
                <w:sz w:val="20"/>
                <w:szCs w:val="20"/>
                <w:color w:val="auto"/>
              </w:rPr>
            </w:pPr>
            <w:r>
              <w:rPr>
                <w:rFonts w:ascii="Arial" w:cs="Arial" w:eastAsia="Arial" w:hAnsi="Arial"/>
                <w:sz w:val="14"/>
                <w:szCs w:val="14"/>
                <w:color w:val="auto"/>
              </w:rPr>
              <w:t>(Registrant’s telephone number, including area code)</w:t>
            </w:r>
          </w:p>
        </w:tc>
        <w:tc>
          <w:tcPr>
            <w:tcW w:w="3760" w:type="dxa"/>
            <w:vAlign w:val="bottom"/>
          </w:tcPr>
          <w:p>
            <w:pPr>
              <w:spacing w:after="0"/>
              <w:rPr>
                <w:sz w:val="19"/>
                <w:szCs w:val="19"/>
                <w:color w:val="auto"/>
              </w:rPr>
            </w:pPr>
          </w:p>
        </w:tc>
      </w:tr>
      <w:tr>
        <w:trPr>
          <w:trHeight w:val="363"/>
        </w:trPr>
        <w:tc>
          <w:tcPr>
            <w:tcW w:w="4920" w:type="dxa"/>
            <w:vAlign w:val="bottom"/>
            <w:gridSpan w:val="2"/>
          </w:tcPr>
          <w:p>
            <w:pPr>
              <w:jc w:val="center"/>
              <w:ind w:right="260"/>
              <w:spacing w:after="0"/>
              <w:rPr>
                <w:sz w:val="20"/>
                <w:szCs w:val="20"/>
                <w:color w:val="auto"/>
              </w:rPr>
            </w:pPr>
            <w:r>
              <w:rPr>
                <w:rFonts w:ascii="Arial" w:cs="Arial" w:eastAsia="Arial" w:hAnsi="Arial"/>
                <w:sz w:val="18"/>
                <w:szCs w:val="18"/>
                <w:color w:val="auto"/>
                <w:w w:val="99"/>
              </w:rPr>
              <w:t>Securities Registered Pursuant to Section 12(b) of the Act:</w:t>
            </w:r>
          </w:p>
        </w:tc>
        <w:tc>
          <w:tcPr>
            <w:tcW w:w="1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760" w:type="dxa"/>
            <w:vAlign w:val="bottom"/>
          </w:tcPr>
          <w:p>
            <w:pPr>
              <w:spacing w:after="0"/>
              <w:rPr>
                <w:sz w:val="24"/>
                <w:szCs w:val="24"/>
                <w:color w:val="auto"/>
              </w:rPr>
            </w:pPr>
          </w:p>
        </w:tc>
      </w:tr>
      <w:tr>
        <w:trPr>
          <w:trHeight w:val="327"/>
        </w:trPr>
        <w:tc>
          <w:tcPr>
            <w:tcW w:w="4920" w:type="dxa"/>
            <w:vAlign w:val="bottom"/>
            <w:gridSpan w:val="2"/>
          </w:tcPr>
          <w:p>
            <w:pPr>
              <w:jc w:val="center"/>
              <w:ind w:right="240"/>
              <w:spacing w:after="0"/>
              <w:rPr>
                <w:sz w:val="20"/>
                <w:szCs w:val="20"/>
                <w:color w:val="auto"/>
              </w:rPr>
            </w:pPr>
            <w:r>
              <w:rPr>
                <w:rFonts w:ascii="Arial" w:cs="Arial" w:eastAsia="Arial" w:hAnsi="Arial"/>
                <w:sz w:val="16"/>
                <w:szCs w:val="16"/>
                <w:color w:val="auto"/>
                <w:w w:val="99"/>
              </w:rPr>
              <w:t>Title of each class</w:t>
            </w:r>
          </w:p>
        </w:tc>
        <w:tc>
          <w:tcPr>
            <w:tcW w:w="2520" w:type="dxa"/>
            <w:vAlign w:val="bottom"/>
            <w:gridSpan w:val="3"/>
          </w:tcPr>
          <w:p>
            <w:pPr>
              <w:jc w:val="center"/>
              <w:ind w:right="560"/>
              <w:spacing w:after="0"/>
              <w:rPr>
                <w:sz w:val="20"/>
                <w:szCs w:val="20"/>
                <w:color w:val="auto"/>
              </w:rPr>
            </w:pPr>
            <w:r>
              <w:rPr>
                <w:rFonts w:ascii="Arial" w:cs="Arial" w:eastAsia="Arial" w:hAnsi="Arial"/>
                <w:sz w:val="16"/>
                <w:szCs w:val="16"/>
                <w:color w:val="auto"/>
              </w:rPr>
              <w:t>Trading Symbol(s)</w:t>
            </w:r>
          </w:p>
        </w:tc>
        <w:tc>
          <w:tcPr>
            <w:tcW w:w="3760" w:type="dxa"/>
            <w:vAlign w:val="bottom"/>
          </w:tcPr>
          <w:p>
            <w:pPr>
              <w:jc w:val="center"/>
              <w:ind w:right="240"/>
              <w:spacing w:after="0"/>
              <w:rPr>
                <w:sz w:val="20"/>
                <w:szCs w:val="20"/>
                <w:color w:val="auto"/>
              </w:rPr>
            </w:pPr>
            <w:r>
              <w:rPr>
                <w:rFonts w:ascii="Arial" w:cs="Arial" w:eastAsia="Arial" w:hAnsi="Arial"/>
                <w:sz w:val="16"/>
                <w:szCs w:val="16"/>
                <w:color w:val="auto"/>
              </w:rPr>
              <w:t>Name of each exchange on which registered</w:t>
            </w:r>
          </w:p>
        </w:tc>
      </w:tr>
      <w:tr>
        <w:trPr>
          <w:trHeight w:val="215"/>
        </w:trPr>
        <w:tc>
          <w:tcPr>
            <w:tcW w:w="468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rPr>
              <w:t>Class B Common Stock, par value $1.00 per share</w:t>
            </w:r>
          </w:p>
        </w:tc>
        <w:tc>
          <w:tcPr>
            <w:tcW w:w="240" w:type="dxa"/>
            <w:vAlign w:val="bottom"/>
          </w:tcPr>
          <w:p>
            <w:pPr>
              <w:spacing w:after="0"/>
              <w:rPr>
                <w:sz w:val="18"/>
                <w:szCs w:val="18"/>
                <w:color w:val="auto"/>
              </w:rPr>
            </w:pPr>
          </w:p>
        </w:tc>
        <w:tc>
          <w:tcPr>
            <w:tcW w:w="196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rPr>
              <w:t>GHC</w:t>
            </w:r>
          </w:p>
        </w:tc>
        <w:tc>
          <w:tcPr>
            <w:tcW w:w="24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3760" w:type="dxa"/>
            <w:vAlign w:val="bottom"/>
            <w:tcBorders>
              <w:top w:val="single" w:sz="8" w:color="auto"/>
            </w:tcBorders>
          </w:tcPr>
          <w:p>
            <w:pPr>
              <w:jc w:val="center"/>
              <w:ind w:right="240"/>
              <w:spacing w:after="0"/>
              <w:rPr>
                <w:sz w:val="20"/>
                <w:szCs w:val="20"/>
                <w:color w:val="auto"/>
              </w:rPr>
            </w:pPr>
            <w:r>
              <w:rPr>
                <w:rFonts w:ascii="Arial" w:cs="Arial" w:eastAsia="Arial" w:hAnsi="Arial"/>
                <w:sz w:val="16"/>
                <w:szCs w:val="16"/>
                <w:color w:val="auto"/>
              </w:rPr>
              <w:t>New York Stock Exchange</w:t>
            </w:r>
          </w:p>
        </w:tc>
      </w:tr>
    </w:tbl>
    <w:p>
      <w:pPr>
        <w:spacing w:after="0" w:line="199"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w:t>
      </w:r>
    </w:p>
    <w:p>
      <w:pPr>
        <w:spacing w:after="0" w:line="14" w:lineRule="exact"/>
        <w:rPr>
          <w:sz w:val="24"/>
          <w:szCs w:val="24"/>
          <w:color w:val="auto"/>
        </w:rPr>
      </w:pPr>
    </w:p>
    <w:p>
      <w:pPr>
        <w:jc w:val="both"/>
        <w:ind w:right="40"/>
        <w:spacing w:after="0" w:line="217" w:lineRule="exact"/>
        <w:rPr>
          <w:sz w:val="20"/>
          <w:szCs w:val="20"/>
          <w:color w:val="auto"/>
        </w:rPr>
      </w:pPr>
      <w:r>
        <w:rPr>
          <w:rFonts w:ascii="Arial" w:cs="Arial" w:eastAsia="Arial" w:hAnsi="Arial"/>
          <w:sz w:val="18"/>
          <w:szCs w:val="18"/>
          <w:color w:val="auto"/>
        </w:rPr>
        <w:t xml:space="preserve">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has submitted electronically every Interactive Data File required to be submitted pursuant to</w:t>
      </w:r>
    </w:p>
    <w:p>
      <w:pPr>
        <w:spacing w:after="0" w:line="7" w:lineRule="exact"/>
        <w:rPr>
          <w:sz w:val="24"/>
          <w:szCs w:val="24"/>
          <w:color w:val="auto"/>
        </w:rPr>
      </w:pPr>
    </w:p>
    <w:p>
      <w:pPr>
        <w:ind w:right="420"/>
        <w:spacing w:after="0" w:line="217" w:lineRule="exact"/>
        <w:rPr>
          <w:sz w:val="20"/>
          <w:szCs w:val="20"/>
          <w:color w:val="auto"/>
        </w:rPr>
      </w:pPr>
      <w:r>
        <w:rPr>
          <w:rFonts w:ascii="Arial" w:cs="Arial" w:eastAsia="Arial" w:hAnsi="Arial"/>
          <w:sz w:val="18"/>
          <w:szCs w:val="18"/>
          <w:color w:val="auto"/>
        </w:rPr>
        <w:t xml:space="preserve">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1" w:lineRule="exact"/>
        <w:rPr>
          <w:sz w:val="24"/>
          <w:szCs w:val="24"/>
          <w:color w:val="auto"/>
        </w:rPr>
      </w:pPr>
    </w:p>
    <w:p>
      <w:pPr>
        <w:spacing w:after="0" w:line="247"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w:t>
      </w:r>
    </w:p>
    <w:p>
      <w:pPr>
        <w:spacing w:after="0" w:line="1" w:lineRule="exact"/>
        <w:rPr>
          <w:sz w:val="24"/>
          <w:szCs w:val="24"/>
          <w:color w:val="auto"/>
        </w:rPr>
      </w:pPr>
    </w:p>
    <w:p>
      <w:pPr>
        <w:spacing w:after="0"/>
        <w:rPr>
          <w:sz w:val="20"/>
          <w:szCs w:val="20"/>
          <w:color w:val="auto"/>
        </w:rPr>
      </w:pPr>
      <w:r>
        <w:rPr>
          <w:rFonts w:ascii="Arial" w:cs="Arial" w:eastAsia="Arial" w:hAnsi="Arial"/>
          <w:sz w:val="18"/>
          <w:szCs w:val="18"/>
          <w:color w:val="auto"/>
        </w:rPr>
        <w:t>“emerging growth company” in Rule 12b-2 of the Exchange Act.</w:t>
      </w:r>
    </w:p>
    <w:p>
      <w:pPr>
        <w:spacing w:after="0" w:line="171" w:lineRule="exact"/>
        <w:rPr>
          <w:sz w:val="24"/>
          <w:szCs w:val="24"/>
          <w:color w:val="auto"/>
        </w:rPr>
      </w:pPr>
    </w:p>
    <w:tbl>
      <w:tblPr>
        <w:tblLayout w:type="fixed"/>
        <w:tblInd w:w="80" w:type="dxa"/>
        <w:tblCellMar>
          <w:top w:w="0" w:type="dxa"/>
          <w:left w:w="0" w:type="dxa"/>
          <w:bottom w:w="0" w:type="dxa"/>
          <w:right w:w="0" w:type="dxa"/>
        </w:tblCellMar>
      </w:tblPr>
      <w:tr>
        <w:trPr>
          <w:trHeight w:val="189"/>
        </w:trPr>
        <w:tc>
          <w:tcPr>
            <w:tcW w:w="2320" w:type="dxa"/>
            <w:vAlign w:val="bottom"/>
            <w:vMerge w:val="restart"/>
          </w:tcPr>
          <w:p>
            <w:pPr>
              <w:spacing w:after="0" w:line="403"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35"/>
                <w:szCs w:val="35"/>
                <w:color w:val="auto"/>
                <w:vertAlign w:val="superscript"/>
              </w:rPr>
              <w:t>☒</w:t>
            </w:r>
          </w:p>
        </w:tc>
        <w:tc>
          <w:tcPr>
            <w:tcW w:w="1460" w:type="dxa"/>
            <w:vAlign w:val="bottom"/>
          </w:tcPr>
          <w:p>
            <w:pPr>
              <w:jc w:val="center"/>
              <w:spacing w:after="0"/>
              <w:rPr>
                <w:sz w:val="20"/>
                <w:szCs w:val="20"/>
                <w:color w:val="auto"/>
              </w:rPr>
            </w:pPr>
            <w:r>
              <w:rPr>
                <w:rFonts w:ascii="Arial" w:cs="Arial" w:eastAsia="Arial" w:hAnsi="Arial"/>
                <w:sz w:val="16"/>
                <w:szCs w:val="16"/>
                <w:color w:val="auto"/>
              </w:rPr>
              <w:t>Accelerated</w:t>
            </w:r>
          </w:p>
        </w:tc>
        <w:tc>
          <w:tcPr>
            <w:tcW w:w="700" w:type="dxa"/>
            <w:vAlign w:val="bottom"/>
            <w:vMerge w:val="restart"/>
          </w:tcPr>
          <w:p>
            <w:pPr>
              <w:ind w:left="300"/>
              <w:spacing w:after="0" w:line="181" w:lineRule="exact"/>
              <w:rPr>
                <w:sz w:val="20"/>
                <w:szCs w:val="20"/>
                <w:color w:val="auto"/>
              </w:rPr>
            </w:pPr>
            <w:r>
              <w:rPr>
                <w:rFonts w:ascii="MS PGothic" w:cs="MS PGothic" w:eastAsia="MS PGothic" w:hAnsi="MS PGothic"/>
                <w:sz w:val="18"/>
                <w:szCs w:val="18"/>
                <w:color w:val="auto"/>
              </w:rPr>
              <w:t>☐</w:t>
            </w:r>
          </w:p>
        </w:tc>
        <w:tc>
          <w:tcPr>
            <w:tcW w:w="1620" w:type="dxa"/>
            <w:vAlign w:val="bottom"/>
          </w:tcPr>
          <w:p>
            <w:pPr>
              <w:jc w:val="center"/>
              <w:spacing w:after="0"/>
              <w:rPr>
                <w:sz w:val="20"/>
                <w:szCs w:val="20"/>
                <w:color w:val="auto"/>
              </w:rPr>
            </w:pPr>
            <w:r>
              <w:rPr>
                <w:rFonts w:ascii="Arial" w:cs="Arial" w:eastAsia="Arial" w:hAnsi="Arial"/>
                <w:sz w:val="16"/>
                <w:szCs w:val="16"/>
                <w:color w:val="auto"/>
              </w:rPr>
              <w:t>Non-accelerated</w:t>
            </w:r>
          </w:p>
        </w:tc>
        <w:tc>
          <w:tcPr>
            <w:tcW w:w="600" w:type="dxa"/>
            <w:vAlign w:val="bottom"/>
            <w:vMerge w:val="restart"/>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1660" w:type="dxa"/>
            <w:vAlign w:val="bottom"/>
          </w:tcPr>
          <w:p>
            <w:pPr>
              <w:jc w:val="center"/>
              <w:spacing w:after="0"/>
              <w:rPr>
                <w:sz w:val="20"/>
                <w:szCs w:val="20"/>
                <w:color w:val="auto"/>
              </w:rPr>
            </w:pPr>
            <w:r>
              <w:rPr>
                <w:rFonts w:ascii="Arial" w:cs="Arial" w:eastAsia="Arial" w:hAnsi="Arial"/>
                <w:sz w:val="16"/>
                <w:szCs w:val="16"/>
                <w:color w:val="auto"/>
              </w:rPr>
              <w:t>Smaller reporting</w:t>
            </w:r>
          </w:p>
        </w:tc>
        <w:tc>
          <w:tcPr>
            <w:tcW w:w="580" w:type="dxa"/>
            <w:vAlign w:val="bottom"/>
            <w:vMerge w:val="restart"/>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1660" w:type="dxa"/>
            <w:vAlign w:val="bottom"/>
          </w:tcPr>
          <w:p>
            <w:pPr>
              <w:jc w:val="center"/>
              <w:spacing w:after="0"/>
              <w:rPr>
                <w:sz w:val="20"/>
                <w:szCs w:val="20"/>
                <w:color w:val="auto"/>
              </w:rPr>
            </w:pPr>
            <w:r>
              <w:rPr>
                <w:rFonts w:ascii="Arial" w:cs="Arial" w:eastAsia="Arial" w:hAnsi="Arial"/>
                <w:sz w:val="16"/>
                <w:szCs w:val="16"/>
                <w:color w:val="auto"/>
              </w:rPr>
              <w:t>Emerging growth</w:t>
            </w:r>
          </w:p>
        </w:tc>
        <w:tc>
          <w:tcPr>
            <w:tcW w:w="400" w:type="dxa"/>
            <w:vAlign w:val="bottom"/>
            <w:vMerge w:val="restart"/>
          </w:tcPr>
          <w:p>
            <w:pPr>
              <w:ind w:left="220"/>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414"/>
        </w:trPr>
        <w:tc>
          <w:tcPr>
            <w:tcW w:w="2320" w:type="dxa"/>
            <w:vAlign w:val="bottom"/>
            <w:vMerge w:val="continue"/>
          </w:tcPr>
          <w:p>
            <w:pPr>
              <w:spacing w:after="0"/>
              <w:rPr>
                <w:sz w:val="24"/>
                <w:szCs w:val="24"/>
                <w:color w:val="auto"/>
              </w:rPr>
            </w:pPr>
          </w:p>
        </w:tc>
        <w:tc>
          <w:tcPr>
            <w:tcW w:w="1460" w:type="dxa"/>
            <w:vAlign w:val="bottom"/>
          </w:tcPr>
          <w:p>
            <w:pPr>
              <w:jc w:val="center"/>
              <w:spacing w:after="0"/>
              <w:rPr>
                <w:sz w:val="20"/>
                <w:szCs w:val="20"/>
                <w:color w:val="auto"/>
              </w:rPr>
            </w:pPr>
            <w:r>
              <w:rPr>
                <w:rFonts w:ascii="Arial" w:cs="Arial" w:eastAsia="Arial" w:hAnsi="Arial"/>
                <w:sz w:val="16"/>
                <w:szCs w:val="16"/>
                <w:color w:val="auto"/>
              </w:rPr>
              <w:t>filer</w:t>
            </w:r>
          </w:p>
        </w:tc>
        <w:tc>
          <w:tcPr>
            <w:tcW w:w="700" w:type="dxa"/>
            <w:vAlign w:val="bottom"/>
            <w:vMerge w:val="continue"/>
          </w:tcPr>
          <w:p>
            <w:pPr>
              <w:spacing w:after="0"/>
              <w:rPr>
                <w:sz w:val="24"/>
                <w:szCs w:val="24"/>
                <w:color w:val="auto"/>
              </w:rPr>
            </w:pPr>
          </w:p>
        </w:tc>
        <w:tc>
          <w:tcPr>
            <w:tcW w:w="1620" w:type="dxa"/>
            <w:vAlign w:val="bottom"/>
          </w:tcPr>
          <w:p>
            <w:pPr>
              <w:jc w:val="center"/>
              <w:spacing w:after="0"/>
              <w:rPr>
                <w:sz w:val="20"/>
                <w:szCs w:val="20"/>
                <w:color w:val="auto"/>
              </w:rPr>
            </w:pPr>
            <w:r>
              <w:rPr>
                <w:rFonts w:ascii="Arial" w:cs="Arial" w:eastAsia="Arial" w:hAnsi="Arial"/>
                <w:sz w:val="16"/>
                <w:szCs w:val="16"/>
                <w:color w:val="auto"/>
              </w:rPr>
              <w:t>filer</w:t>
            </w:r>
          </w:p>
        </w:tc>
        <w:tc>
          <w:tcPr>
            <w:tcW w:w="600" w:type="dxa"/>
            <w:vAlign w:val="bottom"/>
            <w:vMerge w:val="continue"/>
          </w:tcPr>
          <w:p>
            <w:pPr>
              <w:spacing w:after="0"/>
              <w:rPr>
                <w:sz w:val="24"/>
                <w:szCs w:val="24"/>
                <w:color w:val="auto"/>
              </w:rPr>
            </w:pPr>
          </w:p>
        </w:tc>
        <w:tc>
          <w:tcPr>
            <w:tcW w:w="1660" w:type="dxa"/>
            <w:vAlign w:val="bottom"/>
          </w:tcPr>
          <w:p>
            <w:pPr>
              <w:jc w:val="center"/>
              <w:spacing w:after="0"/>
              <w:rPr>
                <w:sz w:val="20"/>
                <w:szCs w:val="20"/>
                <w:color w:val="auto"/>
              </w:rPr>
            </w:pPr>
            <w:r>
              <w:rPr>
                <w:rFonts w:ascii="Arial" w:cs="Arial" w:eastAsia="Arial" w:hAnsi="Arial"/>
                <w:sz w:val="16"/>
                <w:szCs w:val="16"/>
                <w:color w:val="auto"/>
              </w:rPr>
              <w:t>company</w:t>
            </w:r>
          </w:p>
        </w:tc>
        <w:tc>
          <w:tcPr>
            <w:tcW w:w="580" w:type="dxa"/>
            <w:vAlign w:val="bottom"/>
            <w:vMerge w:val="continue"/>
          </w:tcPr>
          <w:p>
            <w:pPr>
              <w:spacing w:after="0"/>
              <w:rPr>
                <w:sz w:val="24"/>
                <w:szCs w:val="24"/>
                <w:color w:val="auto"/>
              </w:rPr>
            </w:pPr>
          </w:p>
        </w:tc>
        <w:tc>
          <w:tcPr>
            <w:tcW w:w="1660" w:type="dxa"/>
            <w:vAlign w:val="bottom"/>
          </w:tcPr>
          <w:p>
            <w:pPr>
              <w:jc w:val="center"/>
              <w:spacing w:after="0"/>
              <w:rPr>
                <w:sz w:val="20"/>
                <w:szCs w:val="20"/>
                <w:color w:val="auto"/>
              </w:rPr>
            </w:pPr>
            <w:r>
              <w:rPr>
                <w:rFonts w:ascii="Arial" w:cs="Arial" w:eastAsia="Arial" w:hAnsi="Arial"/>
                <w:sz w:val="16"/>
                <w:szCs w:val="16"/>
                <w:color w:val="auto"/>
              </w:rPr>
              <w:t>company</w:t>
            </w:r>
          </w:p>
        </w:tc>
        <w:tc>
          <w:tcPr>
            <w:tcW w:w="4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ind w:right="180"/>
        <w:spacing w:after="0" w:line="230"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 w:lineRule="exact"/>
        <w:rPr>
          <w:sz w:val="24"/>
          <w:szCs w:val="24"/>
          <w:color w:val="auto"/>
        </w:rPr>
      </w:pPr>
    </w:p>
    <w:p>
      <w:pPr>
        <w:spacing w:after="0" w:line="207" w:lineRule="exact"/>
        <w:tabs>
          <w:tab w:leader="none" w:pos="9840" w:val="left"/>
        </w:tabs>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w:t>
        <w:tab/>
        <w:t xml:space="preserve">No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90" w:lineRule="exact"/>
        <w:rPr>
          <w:sz w:val="24"/>
          <w:szCs w:val="24"/>
          <w:color w:val="auto"/>
        </w:rPr>
      </w:pPr>
    </w:p>
    <w:p>
      <w:pPr>
        <w:spacing w:after="0"/>
        <w:rPr>
          <w:sz w:val="20"/>
          <w:szCs w:val="20"/>
          <w:color w:val="auto"/>
        </w:rPr>
      </w:pPr>
      <w:r>
        <w:rPr>
          <w:rFonts w:ascii="Arial" w:cs="Arial" w:eastAsia="Arial" w:hAnsi="Arial"/>
          <w:sz w:val="18"/>
          <w:szCs w:val="18"/>
          <w:color w:val="auto"/>
        </w:rPr>
        <w:t>Shares outstanding at April 25, 2025:</w:t>
      </w:r>
    </w:p>
    <w:p>
      <w:pPr>
        <w:spacing w:after="0" w:line="117" w:lineRule="exact"/>
        <w:rPr>
          <w:sz w:val="24"/>
          <w:szCs w:val="24"/>
          <w:color w:val="auto"/>
        </w:rPr>
      </w:pPr>
    </w:p>
    <w:p>
      <w:pPr>
        <w:ind w:left="2680"/>
        <w:spacing w:after="0"/>
        <w:rPr>
          <w:sz w:val="20"/>
          <w:szCs w:val="20"/>
          <w:color w:val="auto"/>
        </w:rPr>
      </w:pPr>
      <w:r>
        <w:rPr>
          <w:rFonts w:ascii="Arial" w:cs="Arial" w:eastAsia="Arial" w:hAnsi="Arial"/>
          <w:sz w:val="18"/>
          <w:szCs w:val="18"/>
          <w:color w:val="auto"/>
        </w:rPr>
        <w:t>Class A Common Stock – 964,001 Shares</w:t>
      </w:r>
    </w:p>
    <w:p>
      <w:pPr>
        <w:spacing w:after="0" w:line="27" w:lineRule="exact"/>
        <w:rPr>
          <w:sz w:val="24"/>
          <w:szCs w:val="24"/>
          <w:color w:val="auto"/>
        </w:rPr>
      </w:pPr>
    </w:p>
    <w:p>
      <w:pPr>
        <w:ind w:left="2680"/>
        <w:spacing w:after="0"/>
        <w:rPr>
          <w:sz w:val="20"/>
          <w:szCs w:val="20"/>
          <w:color w:val="auto"/>
        </w:rPr>
      </w:pPr>
      <w:r>
        <w:rPr>
          <w:rFonts w:ascii="Arial" w:cs="Arial" w:eastAsia="Arial" w:hAnsi="Arial"/>
          <w:sz w:val="18"/>
          <w:szCs w:val="18"/>
          <w:color w:val="auto"/>
        </w:rPr>
        <w:t>Class B Common Stock – 3,395,988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721995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109220</wp:posOffset>
            </wp:positionV>
            <wp:extent cx="71151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ectPr>
          <w:pgSz w:w="11900" w:h="16838" w:orient="portrait"/>
          <w:cols w:equalWidth="0" w:num="1">
            <w:col w:w="11220"/>
          </w:cols>
          <w:pgMar w:left="320" w:top="1199" w:right="359" w:bottom="1440" w:gutter="0" w:footer="0" w:header="0"/>
        </w:sectPr>
      </w:pPr>
    </w:p>
    <w:bookmarkStart w:id="1" w:name="page2"/>
    <w:bookmarkEnd w:id="1"/>
    <w:p>
      <w:pPr>
        <w:jc w:val="center"/>
        <w:ind w:left="920"/>
        <w:spacing w:after="0"/>
        <w:rPr>
          <w:sz w:val="20"/>
          <w:szCs w:val="20"/>
          <w:color w:val="auto"/>
        </w:rPr>
      </w:pPr>
      <w:r>
        <w:rPr>
          <w:rFonts w:ascii="Arial" w:cs="Arial" w:eastAsia="Arial" w:hAnsi="Arial"/>
          <w:sz w:val="18"/>
          <w:szCs w:val="18"/>
          <w:b w:val="1"/>
          <w:bCs w:val="1"/>
          <w:color w:val="auto"/>
        </w:rPr>
        <w:t>GRAHAM HOLDINGS COMPANY</w:t>
      </w:r>
    </w:p>
    <w:p>
      <w:pPr>
        <w:spacing w:after="0" w:line="104" w:lineRule="exact"/>
        <w:rPr>
          <w:sz w:val="20"/>
          <w:szCs w:val="20"/>
          <w:color w:val="auto"/>
        </w:rPr>
      </w:pPr>
    </w:p>
    <w:p>
      <w:pPr>
        <w:jc w:val="center"/>
        <w:ind w:left="920"/>
        <w:spacing w:after="0"/>
        <w:rPr>
          <w:sz w:val="20"/>
          <w:szCs w:val="20"/>
          <w:color w:val="auto"/>
        </w:rPr>
      </w:pPr>
      <w:r>
        <w:rPr>
          <w:rFonts w:ascii="Arial" w:cs="Arial" w:eastAsia="Arial" w:hAnsi="Arial"/>
          <w:sz w:val="18"/>
          <w:szCs w:val="18"/>
          <w:b w:val="1"/>
          <w:bCs w:val="1"/>
          <w:color w:val="auto"/>
        </w:rPr>
        <w:t>Index to Form 10-Q</w:t>
      </w:r>
    </w:p>
    <w:p>
      <w:pPr>
        <w:spacing w:after="0" w:line="338"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PART I. FINANCIAL INFORMATION</w:t>
      </w:r>
    </w:p>
    <w:p>
      <w:pPr>
        <w:spacing w:after="0" w:line="194" w:lineRule="exact"/>
        <w:rPr>
          <w:sz w:val="20"/>
          <w:szCs w:val="20"/>
          <w:color w:val="auto"/>
        </w:rPr>
      </w:pPr>
    </w:p>
    <w:p>
      <w:pPr>
        <w:spacing w:after="0"/>
        <w:tabs>
          <w:tab w:leader="none" w:pos="900" w:val="left"/>
        </w:tabs>
        <w:rPr>
          <w:sz w:val="20"/>
          <w:szCs w:val="20"/>
          <w:color w:val="auto"/>
        </w:rPr>
      </w:pPr>
      <w:r>
        <w:rPr>
          <w:rFonts w:ascii="Arial" w:cs="Arial" w:eastAsia="Arial" w:hAnsi="Arial"/>
          <w:sz w:val="16"/>
          <w:szCs w:val="16"/>
          <w:color w:val="auto"/>
        </w:rPr>
        <w:t>Item 1.</w:t>
      </w:r>
      <w:r>
        <w:rPr>
          <w:sz w:val="20"/>
          <w:szCs w:val="20"/>
          <w:color w:val="auto"/>
        </w:rPr>
        <w:tab/>
      </w:r>
      <w:r>
        <w:rPr>
          <w:rFonts w:ascii="Arial" w:cs="Arial" w:eastAsia="Arial" w:hAnsi="Arial"/>
          <w:sz w:val="16"/>
          <w:szCs w:val="16"/>
          <w:u w:val="single" w:color="auto"/>
          <w:color w:val="0000FF"/>
        </w:rPr>
        <w:t>Financial Statements</w:t>
      </w:r>
    </w:p>
    <w:p>
      <w:pPr>
        <w:spacing w:after="0" w:line="194" w:lineRule="exact"/>
        <w:rPr>
          <w:sz w:val="20"/>
          <w:szCs w:val="20"/>
          <w:color w:val="auto"/>
        </w:rPr>
      </w:pPr>
    </w:p>
    <w:p>
      <w:pPr>
        <w:ind w:left="1040"/>
        <w:spacing w:after="0"/>
        <w:rPr>
          <w:sz w:val="20"/>
          <w:szCs w:val="20"/>
          <w:color w:val="auto"/>
        </w:rPr>
      </w:pPr>
      <w:r>
        <w:rPr>
          <w:rFonts w:ascii="Arial" w:cs="Arial" w:eastAsia="Arial" w:hAnsi="Arial"/>
          <w:sz w:val="16"/>
          <w:szCs w:val="16"/>
          <w:u w:val="single" w:color="auto"/>
          <w:color w:val="0000FF"/>
        </w:rPr>
        <w:t>Condensed Consolidated Statements of Operations</w:t>
      </w:r>
    </w:p>
    <w:p>
      <w:pPr>
        <w:spacing w:after="0" w:line="275" w:lineRule="exact"/>
        <w:rPr>
          <w:sz w:val="20"/>
          <w:szCs w:val="20"/>
          <w:color w:val="auto"/>
        </w:rPr>
      </w:pPr>
    </w:p>
    <w:p>
      <w:pPr>
        <w:ind w:left="1040"/>
        <w:spacing w:after="0"/>
        <w:rPr>
          <w:sz w:val="20"/>
          <w:szCs w:val="20"/>
          <w:color w:val="auto"/>
        </w:rPr>
      </w:pPr>
      <w:r>
        <w:rPr>
          <w:rFonts w:ascii="Arial" w:cs="Arial" w:eastAsia="Arial" w:hAnsi="Arial"/>
          <w:sz w:val="16"/>
          <w:szCs w:val="16"/>
          <w:u w:val="single" w:color="auto"/>
          <w:color w:val="0000FF"/>
        </w:rPr>
        <w:t>Condensed Consolidated Statements of Comprehensive Income</w:t>
      </w:r>
    </w:p>
    <w:p>
      <w:pPr>
        <w:spacing w:after="0" w:line="275" w:lineRule="exact"/>
        <w:rPr>
          <w:sz w:val="20"/>
          <w:szCs w:val="20"/>
          <w:color w:val="auto"/>
        </w:rPr>
      </w:pPr>
    </w:p>
    <w:p>
      <w:pPr>
        <w:ind w:left="1040"/>
        <w:spacing w:after="0"/>
        <w:rPr>
          <w:sz w:val="20"/>
          <w:szCs w:val="20"/>
          <w:color w:val="auto"/>
        </w:rPr>
      </w:pPr>
      <w:r>
        <w:rPr>
          <w:rFonts w:ascii="Arial" w:cs="Arial" w:eastAsia="Arial" w:hAnsi="Arial"/>
          <w:sz w:val="16"/>
          <w:szCs w:val="16"/>
          <w:u w:val="single" w:color="auto"/>
          <w:color w:val="0000FF"/>
        </w:rPr>
        <w:t>Condensed Consolidated Balance Sheets</w:t>
      </w:r>
    </w:p>
    <w:p>
      <w:pPr>
        <w:spacing w:after="0" w:line="275" w:lineRule="exact"/>
        <w:rPr>
          <w:sz w:val="20"/>
          <w:szCs w:val="20"/>
          <w:color w:val="auto"/>
        </w:rPr>
      </w:pPr>
    </w:p>
    <w:p>
      <w:pPr>
        <w:ind w:left="1040"/>
        <w:spacing w:after="0"/>
        <w:rPr>
          <w:sz w:val="20"/>
          <w:szCs w:val="20"/>
          <w:color w:val="auto"/>
        </w:rPr>
      </w:pPr>
      <w:r>
        <w:rPr>
          <w:rFonts w:ascii="Arial" w:cs="Arial" w:eastAsia="Arial" w:hAnsi="Arial"/>
          <w:sz w:val="16"/>
          <w:szCs w:val="16"/>
          <w:u w:val="single" w:color="auto"/>
          <w:color w:val="0000FF"/>
        </w:rPr>
        <w:t>Condensed Consolidated Statements of Cash Flows</w:t>
      </w:r>
    </w:p>
    <w:p>
      <w:pPr>
        <w:spacing w:after="0" w:line="262" w:lineRule="exact"/>
        <w:rPr>
          <w:sz w:val="20"/>
          <w:szCs w:val="20"/>
          <w:color w:val="auto"/>
        </w:rPr>
      </w:pPr>
    </w:p>
    <w:p>
      <w:pPr>
        <w:ind w:left="1040"/>
        <w:spacing w:after="0"/>
        <w:rPr>
          <w:sz w:val="20"/>
          <w:szCs w:val="20"/>
          <w:color w:val="auto"/>
        </w:rPr>
      </w:pPr>
      <w:r>
        <w:rPr>
          <w:rFonts w:ascii="Arial" w:cs="Arial" w:eastAsia="Arial" w:hAnsi="Arial"/>
          <w:sz w:val="16"/>
          <w:szCs w:val="16"/>
          <w:u w:val="single" w:color="auto"/>
          <w:color w:val="0000FF"/>
        </w:rPr>
        <w:t>Condensed Consolidated Statements of Changes in Common Stockholders' Equity</w:t>
      </w:r>
    </w:p>
    <w:p>
      <w:pPr>
        <w:spacing w:after="0" w:line="275" w:lineRule="exact"/>
        <w:rPr>
          <w:sz w:val="20"/>
          <w:szCs w:val="20"/>
          <w:color w:val="auto"/>
        </w:rPr>
      </w:pPr>
    </w:p>
    <w:p>
      <w:pPr>
        <w:ind w:left="1040"/>
        <w:spacing w:after="0"/>
        <w:rPr>
          <w:sz w:val="20"/>
          <w:szCs w:val="20"/>
          <w:color w:val="auto"/>
        </w:rPr>
      </w:pPr>
      <w:r>
        <w:rPr>
          <w:rFonts w:ascii="Arial" w:cs="Arial" w:eastAsia="Arial" w:hAnsi="Arial"/>
          <w:sz w:val="16"/>
          <w:szCs w:val="16"/>
          <w:u w:val="single" w:color="auto"/>
          <w:color w:val="0000FF"/>
        </w:rPr>
        <w:t>Notes to Condensed Consolidated Financial Statements</w:t>
      </w:r>
    </w:p>
    <w:p>
      <w:pPr>
        <w:spacing w:after="0" w:line="208" w:lineRule="exact"/>
        <w:rPr>
          <w:sz w:val="20"/>
          <w:szCs w:val="20"/>
          <w:color w:val="auto"/>
        </w:rPr>
      </w:pPr>
    </w:p>
    <w:p>
      <w:pPr>
        <w:ind w:left="1120"/>
        <w:spacing w:after="0"/>
        <w:rPr>
          <w:sz w:val="20"/>
          <w:szCs w:val="20"/>
          <w:color w:val="auto"/>
        </w:rPr>
      </w:pPr>
      <w:r>
        <w:rPr>
          <w:rFonts w:ascii="Arial" w:cs="Arial" w:eastAsia="Arial" w:hAnsi="Arial"/>
          <w:sz w:val="16"/>
          <w:szCs w:val="16"/>
          <w:u w:val="single" w:color="auto"/>
          <w:color w:val="0000FF"/>
        </w:rPr>
        <w:t>Organization, Basis of Presentation and Recent Accounting Pronouncements</w:t>
      </w:r>
    </w:p>
    <w:p>
      <w:pPr>
        <w:spacing w:after="0" w:line="59" w:lineRule="exact"/>
        <w:rPr>
          <w:sz w:val="20"/>
          <w:szCs w:val="20"/>
          <w:color w:val="auto"/>
        </w:rPr>
      </w:pPr>
    </w:p>
    <w:p>
      <w:pPr>
        <w:ind w:left="1120"/>
        <w:spacing w:after="0"/>
        <w:rPr>
          <w:sz w:val="20"/>
          <w:szCs w:val="20"/>
          <w:color w:val="auto"/>
        </w:rPr>
      </w:pPr>
      <w:r>
        <w:rPr>
          <w:rFonts w:ascii="Arial" w:cs="Arial" w:eastAsia="Arial" w:hAnsi="Arial"/>
          <w:sz w:val="16"/>
          <w:szCs w:val="16"/>
          <w:u w:val="single" w:color="auto"/>
          <w:color w:val="0000FF"/>
        </w:rPr>
        <w:t>Acquisitions and Dispositions of Businesses</w:t>
      </w:r>
    </w:p>
    <w:p>
      <w:pPr>
        <w:spacing w:after="0" w:line="59" w:lineRule="exact"/>
        <w:rPr>
          <w:sz w:val="20"/>
          <w:szCs w:val="20"/>
          <w:color w:val="auto"/>
        </w:rPr>
      </w:pPr>
    </w:p>
    <w:p>
      <w:pPr>
        <w:ind w:left="1120"/>
        <w:spacing w:after="0"/>
        <w:rPr>
          <w:sz w:val="20"/>
          <w:szCs w:val="20"/>
          <w:color w:val="auto"/>
        </w:rPr>
      </w:pPr>
      <w:r>
        <w:rPr>
          <w:rFonts w:ascii="Arial" w:cs="Arial" w:eastAsia="Arial" w:hAnsi="Arial"/>
          <w:sz w:val="16"/>
          <w:szCs w:val="16"/>
          <w:u w:val="single" w:color="auto"/>
          <w:color w:val="0000FF"/>
        </w:rPr>
        <w:t>Investments</w:t>
      </w:r>
    </w:p>
    <w:p>
      <w:pPr>
        <w:spacing w:after="0" w:line="59" w:lineRule="exact"/>
        <w:rPr>
          <w:sz w:val="20"/>
          <w:szCs w:val="20"/>
          <w:color w:val="auto"/>
        </w:rPr>
      </w:pPr>
    </w:p>
    <w:p>
      <w:pPr>
        <w:ind w:left="1120"/>
        <w:spacing w:after="0"/>
        <w:rPr>
          <w:sz w:val="20"/>
          <w:szCs w:val="20"/>
          <w:color w:val="auto"/>
        </w:rPr>
      </w:pPr>
      <w:r>
        <w:rPr>
          <w:rFonts w:ascii="Arial" w:cs="Arial" w:eastAsia="Arial" w:hAnsi="Arial"/>
          <w:sz w:val="16"/>
          <w:szCs w:val="16"/>
          <w:u w:val="single" w:color="auto"/>
          <w:color w:val="0000FF"/>
        </w:rPr>
        <w:t>Accounts Receivable, Accounts Payable, Vehicle Floor Plan Payable and Accrued Liabilities</w:t>
      </w:r>
    </w:p>
    <w:p>
      <w:pPr>
        <w:spacing w:after="0" w:line="59" w:lineRule="exact"/>
        <w:rPr>
          <w:sz w:val="20"/>
          <w:szCs w:val="20"/>
          <w:color w:val="auto"/>
        </w:rPr>
      </w:pPr>
    </w:p>
    <w:p>
      <w:pPr>
        <w:ind w:left="1120"/>
        <w:spacing w:after="0"/>
        <w:rPr>
          <w:sz w:val="20"/>
          <w:szCs w:val="20"/>
          <w:color w:val="auto"/>
        </w:rPr>
      </w:pPr>
      <w:r>
        <w:rPr>
          <w:rFonts w:ascii="Arial" w:cs="Arial" w:eastAsia="Arial" w:hAnsi="Arial"/>
          <w:sz w:val="16"/>
          <w:szCs w:val="16"/>
          <w:u w:val="single" w:color="auto"/>
          <w:color w:val="0000FF"/>
        </w:rPr>
        <w:t>Inventories and Contracts in Progress</w:t>
      </w:r>
    </w:p>
    <w:p>
      <w:pPr>
        <w:spacing w:after="0" w:line="59" w:lineRule="exact"/>
        <w:rPr>
          <w:sz w:val="20"/>
          <w:szCs w:val="20"/>
          <w:color w:val="auto"/>
        </w:rPr>
      </w:pPr>
    </w:p>
    <w:p>
      <w:pPr>
        <w:ind w:left="1120"/>
        <w:spacing w:after="0"/>
        <w:rPr>
          <w:sz w:val="20"/>
          <w:szCs w:val="20"/>
          <w:color w:val="auto"/>
        </w:rPr>
      </w:pPr>
      <w:r>
        <w:rPr>
          <w:rFonts w:ascii="Arial" w:cs="Arial" w:eastAsia="Arial" w:hAnsi="Arial"/>
          <w:sz w:val="16"/>
          <w:szCs w:val="16"/>
          <w:u w:val="single" w:color="auto"/>
          <w:color w:val="0000FF"/>
        </w:rPr>
        <w:t>Goodwill and Other Intangible Assets</w:t>
      </w:r>
    </w:p>
    <w:p>
      <w:pPr>
        <w:spacing w:after="0" w:line="59" w:lineRule="exact"/>
        <w:rPr>
          <w:sz w:val="20"/>
          <w:szCs w:val="20"/>
          <w:color w:val="auto"/>
        </w:rPr>
      </w:pPr>
    </w:p>
    <w:p>
      <w:pPr>
        <w:ind w:left="1120"/>
        <w:spacing w:after="0"/>
        <w:rPr>
          <w:sz w:val="20"/>
          <w:szCs w:val="20"/>
          <w:color w:val="auto"/>
        </w:rPr>
      </w:pPr>
      <w:r>
        <w:rPr>
          <w:rFonts w:ascii="Arial" w:cs="Arial" w:eastAsia="Arial" w:hAnsi="Arial"/>
          <w:sz w:val="16"/>
          <w:szCs w:val="16"/>
          <w:u w:val="single" w:color="auto"/>
          <w:color w:val="0000FF"/>
        </w:rPr>
        <w:t>Debt</w:t>
      </w:r>
    </w:p>
    <w:p>
      <w:pPr>
        <w:spacing w:after="0" w:line="59" w:lineRule="exact"/>
        <w:rPr>
          <w:sz w:val="20"/>
          <w:szCs w:val="20"/>
          <w:color w:val="auto"/>
        </w:rPr>
      </w:pPr>
    </w:p>
    <w:p>
      <w:pPr>
        <w:ind w:left="1120"/>
        <w:spacing w:after="0"/>
        <w:rPr>
          <w:sz w:val="20"/>
          <w:szCs w:val="20"/>
          <w:color w:val="auto"/>
        </w:rPr>
      </w:pPr>
      <w:r>
        <w:rPr>
          <w:rFonts w:ascii="Arial" w:cs="Arial" w:eastAsia="Arial" w:hAnsi="Arial"/>
          <w:sz w:val="16"/>
          <w:szCs w:val="16"/>
          <w:u w:val="single" w:color="auto"/>
          <w:color w:val="0000FF"/>
        </w:rPr>
        <w:t>Fair Value Measurements</w:t>
      </w:r>
    </w:p>
    <w:p>
      <w:pPr>
        <w:spacing w:after="0" w:line="59" w:lineRule="exact"/>
        <w:rPr>
          <w:sz w:val="20"/>
          <w:szCs w:val="20"/>
          <w:color w:val="auto"/>
        </w:rPr>
      </w:pPr>
    </w:p>
    <w:p>
      <w:pPr>
        <w:ind w:left="1120"/>
        <w:spacing w:after="0"/>
        <w:rPr>
          <w:sz w:val="20"/>
          <w:szCs w:val="20"/>
          <w:color w:val="auto"/>
        </w:rPr>
      </w:pPr>
      <w:r>
        <w:rPr>
          <w:rFonts w:ascii="Arial" w:cs="Arial" w:eastAsia="Arial" w:hAnsi="Arial"/>
          <w:sz w:val="16"/>
          <w:szCs w:val="16"/>
          <w:u w:val="single" w:color="auto"/>
          <w:color w:val="0000FF"/>
        </w:rPr>
        <w:t>Revenue From Contracts With Customers</w:t>
      </w:r>
    </w:p>
    <w:p>
      <w:pPr>
        <w:spacing w:after="0" w:line="59" w:lineRule="exact"/>
        <w:rPr>
          <w:sz w:val="20"/>
          <w:szCs w:val="20"/>
          <w:color w:val="auto"/>
        </w:rPr>
      </w:pPr>
    </w:p>
    <w:p>
      <w:pPr>
        <w:ind w:left="1120"/>
        <w:spacing w:after="0"/>
        <w:rPr>
          <w:sz w:val="20"/>
          <w:szCs w:val="20"/>
          <w:color w:val="auto"/>
        </w:rPr>
      </w:pPr>
      <w:r>
        <w:rPr>
          <w:rFonts w:ascii="Arial" w:cs="Arial" w:eastAsia="Arial" w:hAnsi="Arial"/>
          <w:sz w:val="16"/>
          <w:szCs w:val="16"/>
          <w:u w:val="single" w:color="auto"/>
          <w:color w:val="0000FF"/>
        </w:rPr>
        <w:t>Earnings Per Share</w:t>
      </w:r>
    </w:p>
    <w:p>
      <w:pPr>
        <w:spacing w:after="0" w:line="59" w:lineRule="exact"/>
        <w:rPr>
          <w:sz w:val="20"/>
          <w:szCs w:val="20"/>
          <w:color w:val="auto"/>
        </w:rPr>
      </w:pPr>
    </w:p>
    <w:p>
      <w:pPr>
        <w:ind w:left="1120"/>
        <w:spacing w:after="0"/>
        <w:rPr>
          <w:sz w:val="20"/>
          <w:szCs w:val="20"/>
          <w:color w:val="auto"/>
        </w:rPr>
      </w:pPr>
      <w:r>
        <w:rPr>
          <w:rFonts w:ascii="Arial" w:cs="Arial" w:eastAsia="Arial" w:hAnsi="Arial"/>
          <w:sz w:val="16"/>
          <w:szCs w:val="16"/>
          <w:u w:val="single" w:color="auto"/>
          <w:color w:val="0000FF"/>
        </w:rPr>
        <w:t>Pension and Postretirement Plans</w:t>
      </w:r>
    </w:p>
    <w:p>
      <w:pPr>
        <w:spacing w:after="0" w:line="59" w:lineRule="exact"/>
        <w:rPr>
          <w:sz w:val="20"/>
          <w:szCs w:val="20"/>
          <w:color w:val="auto"/>
        </w:rPr>
      </w:pPr>
    </w:p>
    <w:p>
      <w:pPr>
        <w:ind w:left="1120"/>
        <w:spacing w:after="0"/>
        <w:rPr>
          <w:sz w:val="20"/>
          <w:szCs w:val="20"/>
          <w:color w:val="auto"/>
        </w:rPr>
      </w:pPr>
      <w:r>
        <w:rPr>
          <w:rFonts w:ascii="Arial" w:cs="Arial" w:eastAsia="Arial" w:hAnsi="Arial"/>
          <w:sz w:val="16"/>
          <w:szCs w:val="16"/>
          <w:u w:val="single" w:color="auto"/>
          <w:color w:val="0000FF"/>
        </w:rPr>
        <w:t>Other Non-Operating (Expense) Income</w:t>
      </w:r>
    </w:p>
    <w:p>
      <w:pPr>
        <w:spacing w:after="0" w:line="59" w:lineRule="exact"/>
        <w:rPr>
          <w:sz w:val="20"/>
          <w:szCs w:val="20"/>
          <w:color w:val="auto"/>
        </w:rPr>
      </w:pPr>
    </w:p>
    <w:p>
      <w:pPr>
        <w:ind w:left="1120"/>
        <w:spacing w:after="0"/>
        <w:rPr>
          <w:sz w:val="20"/>
          <w:szCs w:val="20"/>
          <w:color w:val="auto"/>
        </w:rPr>
      </w:pPr>
      <w:r>
        <w:rPr>
          <w:rFonts w:ascii="Arial" w:cs="Arial" w:eastAsia="Arial" w:hAnsi="Arial"/>
          <w:sz w:val="16"/>
          <w:szCs w:val="16"/>
          <w:u w:val="single" w:color="auto"/>
          <w:color w:val="0000FF"/>
        </w:rPr>
        <w:t>Accumulated Other Comprehensive Income (Loss)</w:t>
      </w:r>
    </w:p>
    <w:p>
      <w:pPr>
        <w:spacing w:after="0" w:line="59" w:lineRule="exact"/>
        <w:rPr>
          <w:sz w:val="20"/>
          <w:szCs w:val="20"/>
          <w:color w:val="auto"/>
        </w:rPr>
      </w:pPr>
    </w:p>
    <w:p>
      <w:pPr>
        <w:ind w:left="1120"/>
        <w:spacing w:after="0"/>
        <w:rPr>
          <w:sz w:val="20"/>
          <w:szCs w:val="20"/>
          <w:color w:val="auto"/>
        </w:rPr>
      </w:pPr>
      <w:r>
        <w:rPr>
          <w:rFonts w:ascii="Arial" w:cs="Arial" w:eastAsia="Arial" w:hAnsi="Arial"/>
          <w:sz w:val="16"/>
          <w:szCs w:val="16"/>
          <w:u w:val="single" w:color="auto"/>
          <w:color w:val="0000FF"/>
        </w:rPr>
        <w:t>Contingencies</w:t>
      </w:r>
    </w:p>
    <w:p>
      <w:pPr>
        <w:spacing w:after="0" w:line="86" w:lineRule="exact"/>
        <w:rPr>
          <w:sz w:val="20"/>
          <w:szCs w:val="20"/>
          <w:color w:val="auto"/>
        </w:rPr>
      </w:pPr>
    </w:p>
    <w:p>
      <w:pPr>
        <w:ind w:left="1120"/>
        <w:spacing w:after="0"/>
        <w:rPr>
          <w:sz w:val="20"/>
          <w:szCs w:val="20"/>
          <w:color w:val="auto"/>
        </w:rPr>
      </w:pPr>
      <w:r>
        <w:rPr>
          <w:rFonts w:ascii="Arial" w:cs="Arial" w:eastAsia="Arial" w:hAnsi="Arial"/>
          <w:sz w:val="16"/>
          <w:szCs w:val="16"/>
          <w:u w:val="single" w:color="auto"/>
          <w:color w:val="0000FF"/>
        </w:rPr>
        <w:t>Business Segments</w:t>
      </w:r>
    </w:p>
    <w:p>
      <w:pPr>
        <w:spacing w:after="0" w:line="262" w:lineRule="exact"/>
        <w:rPr>
          <w:sz w:val="20"/>
          <w:szCs w:val="20"/>
          <w:color w:val="auto"/>
        </w:rPr>
      </w:pPr>
    </w:p>
    <w:p>
      <w:pPr>
        <w:spacing w:after="0"/>
        <w:tabs>
          <w:tab w:leader="none" w:pos="900" w:val="left"/>
        </w:tabs>
        <w:rPr>
          <w:sz w:val="20"/>
          <w:szCs w:val="20"/>
          <w:color w:val="auto"/>
        </w:rPr>
      </w:pPr>
      <w:r>
        <w:rPr>
          <w:rFonts w:ascii="Arial" w:cs="Arial" w:eastAsia="Arial" w:hAnsi="Arial"/>
          <w:sz w:val="16"/>
          <w:szCs w:val="16"/>
          <w:color w:val="auto"/>
        </w:rPr>
        <w:t>Item 2.</w:t>
      </w:r>
      <w:r>
        <w:rPr>
          <w:sz w:val="20"/>
          <w:szCs w:val="20"/>
          <w:color w:val="auto"/>
        </w:rPr>
        <w:tab/>
      </w:r>
      <w:r>
        <w:rPr>
          <w:rFonts w:ascii="Arial" w:cs="Arial" w:eastAsia="Arial" w:hAnsi="Arial"/>
          <w:sz w:val="16"/>
          <w:szCs w:val="16"/>
          <w:u w:val="single" w:color="auto"/>
          <w:color w:val="0000FF"/>
        </w:rPr>
        <w:t>Management’s Discussion and Analysis of Results of Operations and Financial Condition</w:t>
      </w:r>
    </w:p>
    <w:p>
      <w:pPr>
        <w:spacing w:after="0" w:line="275" w:lineRule="exact"/>
        <w:rPr>
          <w:sz w:val="20"/>
          <w:szCs w:val="20"/>
          <w:color w:val="auto"/>
        </w:rPr>
      </w:pPr>
    </w:p>
    <w:p>
      <w:pPr>
        <w:spacing w:after="0"/>
        <w:tabs>
          <w:tab w:leader="none" w:pos="900" w:val="left"/>
        </w:tabs>
        <w:rPr>
          <w:sz w:val="20"/>
          <w:szCs w:val="20"/>
          <w:color w:val="auto"/>
        </w:rPr>
      </w:pPr>
      <w:r>
        <w:rPr>
          <w:rFonts w:ascii="Arial" w:cs="Arial" w:eastAsia="Arial" w:hAnsi="Arial"/>
          <w:sz w:val="16"/>
          <w:szCs w:val="16"/>
          <w:color w:val="auto"/>
        </w:rPr>
        <w:t>Item 3.</w:t>
      </w:r>
      <w:r>
        <w:rPr>
          <w:sz w:val="20"/>
          <w:szCs w:val="20"/>
          <w:color w:val="auto"/>
        </w:rPr>
        <w:tab/>
      </w:r>
      <w:r>
        <w:rPr>
          <w:rFonts w:ascii="Arial" w:cs="Arial" w:eastAsia="Arial" w:hAnsi="Arial"/>
          <w:sz w:val="16"/>
          <w:szCs w:val="16"/>
          <w:u w:val="single" w:color="auto"/>
          <w:color w:val="0000FF"/>
        </w:rPr>
        <w:t>Quantitative and Qualitative Disclosures about Market Risk</w:t>
      </w:r>
    </w:p>
    <w:p>
      <w:pPr>
        <w:spacing w:after="0" w:line="275" w:lineRule="exact"/>
        <w:rPr>
          <w:sz w:val="20"/>
          <w:szCs w:val="20"/>
          <w:color w:val="auto"/>
        </w:rPr>
      </w:pPr>
    </w:p>
    <w:p>
      <w:pPr>
        <w:spacing w:after="0"/>
        <w:tabs>
          <w:tab w:leader="none" w:pos="900" w:val="left"/>
        </w:tabs>
        <w:rPr>
          <w:sz w:val="20"/>
          <w:szCs w:val="20"/>
          <w:color w:val="auto"/>
        </w:rPr>
      </w:pPr>
      <w:r>
        <w:rPr>
          <w:rFonts w:ascii="Arial" w:cs="Arial" w:eastAsia="Arial" w:hAnsi="Arial"/>
          <w:sz w:val="16"/>
          <w:szCs w:val="16"/>
          <w:color w:val="auto"/>
        </w:rPr>
        <w:t>Item 4.</w:t>
      </w:r>
      <w:r>
        <w:rPr>
          <w:sz w:val="20"/>
          <w:szCs w:val="20"/>
          <w:color w:val="auto"/>
        </w:rPr>
        <w:tab/>
      </w:r>
      <w:r>
        <w:rPr>
          <w:rFonts w:ascii="Arial" w:cs="Arial" w:eastAsia="Arial" w:hAnsi="Arial"/>
          <w:sz w:val="16"/>
          <w:szCs w:val="16"/>
          <w:u w:val="single" w:color="auto"/>
          <w:color w:val="0000FF"/>
        </w:rPr>
        <w:t>Controls and Procedures</w:t>
      </w:r>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PART II. OTHER INFORMATION</w:t>
      </w:r>
    </w:p>
    <w:p>
      <w:pPr>
        <w:spacing w:after="0" w:line="194" w:lineRule="exact"/>
        <w:rPr>
          <w:sz w:val="20"/>
          <w:szCs w:val="20"/>
          <w:color w:val="auto"/>
        </w:rPr>
      </w:pPr>
    </w:p>
    <w:p>
      <w:pPr>
        <w:spacing w:after="0"/>
        <w:tabs>
          <w:tab w:leader="none" w:pos="900" w:val="left"/>
        </w:tabs>
        <w:rPr>
          <w:sz w:val="20"/>
          <w:szCs w:val="20"/>
          <w:color w:val="auto"/>
        </w:rPr>
      </w:pPr>
      <w:r>
        <w:rPr>
          <w:rFonts w:ascii="Arial" w:cs="Arial" w:eastAsia="Arial" w:hAnsi="Arial"/>
          <w:sz w:val="16"/>
          <w:szCs w:val="16"/>
          <w:color w:val="auto"/>
        </w:rPr>
        <w:t>Item 2.</w:t>
      </w:r>
      <w:r>
        <w:rPr>
          <w:sz w:val="20"/>
          <w:szCs w:val="20"/>
          <w:color w:val="auto"/>
        </w:rPr>
        <w:tab/>
      </w:r>
      <w:r>
        <w:rPr>
          <w:rFonts w:ascii="Arial" w:cs="Arial" w:eastAsia="Arial" w:hAnsi="Arial"/>
          <w:sz w:val="16"/>
          <w:szCs w:val="16"/>
          <w:u w:val="single" w:color="auto"/>
          <w:color w:val="0000FF"/>
        </w:rPr>
        <w:t>Unregistered Sales of Equity Securities and Use of Proceeds</w:t>
      </w:r>
    </w:p>
    <w:p>
      <w:pPr>
        <w:spacing w:after="0" w:line="262" w:lineRule="exact"/>
        <w:rPr>
          <w:sz w:val="20"/>
          <w:szCs w:val="20"/>
          <w:color w:val="auto"/>
        </w:rPr>
      </w:pPr>
    </w:p>
    <w:p>
      <w:pPr>
        <w:spacing w:after="0"/>
        <w:tabs>
          <w:tab w:leader="none" w:pos="900" w:val="left"/>
        </w:tabs>
        <w:rPr>
          <w:sz w:val="20"/>
          <w:szCs w:val="20"/>
          <w:color w:val="auto"/>
        </w:rPr>
      </w:pPr>
      <w:r>
        <w:rPr>
          <w:rFonts w:ascii="Arial" w:cs="Arial" w:eastAsia="Arial" w:hAnsi="Arial"/>
          <w:sz w:val="16"/>
          <w:szCs w:val="16"/>
          <w:color w:val="auto"/>
        </w:rPr>
        <w:t>Item 5.</w:t>
      </w:r>
      <w:r>
        <w:rPr>
          <w:sz w:val="20"/>
          <w:szCs w:val="20"/>
          <w:color w:val="auto"/>
        </w:rPr>
        <w:tab/>
      </w:r>
      <w:r>
        <w:rPr>
          <w:rFonts w:ascii="Arial" w:cs="Arial" w:eastAsia="Arial" w:hAnsi="Arial"/>
          <w:sz w:val="16"/>
          <w:szCs w:val="16"/>
          <w:u w:val="single" w:color="auto"/>
          <w:color w:val="0000FF"/>
        </w:rPr>
        <w:t>Other Information</w:t>
      </w:r>
    </w:p>
    <w:p>
      <w:pPr>
        <w:spacing w:after="0" w:line="262" w:lineRule="exact"/>
        <w:rPr>
          <w:sz w:val="20"/>
          <w:szCs w:val="20"/>
          <w:color w:val="auto"/>
        </w:rPr>
      </w:pPr>
    </w:p>
    <w:p>
      <w:pPr>
        <w:spacing w:after="0"/>
        <w:tabs>
          <w:tab w:leader="none" w:pos="900" w:val="left"/>
        </w:tabs>
        <w:rPr>
          <w:sz w:val="20"/>
          <w:szCs w:val="20"/>
          <w:color w:val="auto"/>
        </w:rPr>
      </w:pPr>
      <w:r>
        <w:rPr>
          <w:rFonts w:ascii="Arial" w:cs="Arial" w:eastAsia="Arial" w:hAnsi="Arial"/>
          <w:sz w:val="16"/>
          <w:szCs w:val="16"/>
          <w:color w:val="auto"/>
        </w:rPr>
        <w:t>Item 6.</w:t>
      </w:r>
      <w:r>
        <w:rPr>
          <w:sz w:val="20"/>
          <w:szCs w:val="20"/>
          <w:color w:val="auto"/>
        </w:rPr>
        <w:tab/>
      </w:r>
      <w:r>
        <w:rPr>
          <w:rFonts w:ascii="Arial" w:cs="Arial" w:eastAsia="Arial" w:hAnsi="Arial"/>
          <w:sz w:val="15"/>
          <w:szCs w:val="15"/>
          <w:u w:val="single" w:color="auto"/>
          <w:color w:val="0000FF"/>
        </w:rPr>
        <w:t>Exhibits</w:t>
      </w:r>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625475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right"/>
        <w:spacing w:after="0"/>
        <w:rPr>
          <w:sz w:val="20"/>
          <w:szCs w:val="20"/>
          <w:color w:val="auto"/>
        </w:rPr>
      </w:pPr>
      <w:r>
        <w:rPr>
          <w:rFonts w:ascii="Arial" w:cs="Arial" w:eastAsia="Arial" w:hAnsi="Arial"/>
          <w:sz w:val="16"/>
          <w:szCs w:val="16"/>
          <w:u w:val="single" w:color="auto"/>
          <w:color w:val="0000FF"/>
        </w:rPr>
        <w:t>1</w:t>
      </w:r>
    </w:p>
    <w:p>
      <w:pPr>
        <w:spacing w:after="0" w:line="275" w:lineRule="exact"/>
        <w:rPr>
          <w:sz w:val="20"/>
          <w:szCs w:val="20"/>
          <w:color w:val="auto"/>
        </w:rPr>
      </w:pPr>
    </w:p>
    <w:p>
      <w:pPr>
        <w:jc w:val="right"/>
        <w:spacing w:after="0"/>
        <w:rPr>
          <w:sz w:val="20"/>
          <w:szCs w:val="20"/>
          <w:color w:val="auto"/>
        </w:rPr>
      </w:pPr>
      <w:r>
        <w:rPr>
          <w:rFonts w:ascii="Arial" w:cs="Arial" w:eastAsia="Arial" w:hAnsi="Arial"/>
          <w:sz w:val="16"/>
          <w:szCs w:val="16"/>
          <w:u w:val="single" w:color="auto"/>
          <w:color w:val="0000FF"/>
        </w:rPr>
        <w:t>2</w:t>
      </w:r>
    </w:p>
    <w:p>
      <w:pPr>
        <w:spacing w:after="0" w:line="275" w:lineRule="exact"/>
        <w:rPr>
          <w:sz w:val="20"/>
          <w:szCs w:val="20"/>
          <w:color w:val="auto"/>
        </w:rPr>
      </w:pPr>
    </w:p>
    <w:p>
      <w:pPr>
        <w:jc w:val="right"/>
        <w:spacing w:after="0"/>
        <w:rPr>
          <w:sz w:val="20"/>
          <w:szCs w:val="20"/>
          <w:color w:val="auto"/>
        </w:rPr>
      </w:pPr>
      <w:r>
        <w:rPr>
          <w:rFonts w:ascii="Arial" w:cs="Arial" w:eastAsia="Arial" w:hAnsi="Arial"/>
          <w:sz w:val="16"/>
          <w:szCs w:val="16"/>
          <w:u w:val="single" w:color="auto"/>
          <w:color w:val="0000FF"/>
        </w:rPr>
        <w:t>3</w:t>
      </w:r>
    </w:p>
    <w:p>
      <w:pPr>
        <w:spacing w:after="0" w:line="275" w:lineRule="exact"/>
        <w:rPr>
          <w:sz w:val="20"/>
          <w:szCs w:val="20"/>
          <w:color w:val="auto"/>
        </w:rPr>
      </w:pPr>
    </w:p>
    <w:p>
      <w:pPr>
        <w:jc w:val="right"/>
        <w:spacing w:after="0"/>
        <w:rPr>
          <w:sz w:val="20"/>
          <w:szCs w:val="20"/>
          <w:color w:val="auto"/>
        </w:rPr>
      </w:pPr>
      <w:r>
        <w:rPr>
          <w:rFonts w:ascii="Arial" w:cs="Arial" w:eastAsia="Arial" w:hAnsi="Arial"/>
          <w:sz w:val="16"/>
          <w:szCs w:val="16"/>
          <w:u w:val="single" w:color="auto"/>
          <w:color w:val="0000FF"/>
        </w:rPr>
        <w:t>4</w:t>
      </w:r>
    </w:p>
    <w:p>
      <w:pPr>
        <w:spacing w:after="0" w:line="262" w:lineRule="exact"/>
        <w:rPr>
          <w:sz w:val="20"/>
          <w:szCs w:val="20"/>
          <w:color w:val="auto"/>
        </w:rPr>
      </w:pPr>
    </w:p>
    <w:p>
      <w:pPr>
        <w:jc w:val="right"/>
        <w:spacing w:after="0"/>
        <w:rPr>
          <w:sz w:val="20"/>
          <w:szCs w:val="20"/>
          <w:color w:val="auto"/>
        </w:rPr>
      </w:pPr>
      <w:r>
        <w:rPr>
          <w:rFonts w:ascii="Arial" w:cs="Arial" w:eastAsia="Arial" w:hAnsi="Arial"/>
          <w:sz w:val="16"/>
          <w:szCs w:val="16"/>
          <w:u w:val="single" w:color="auto"/>
          <w:color w:val="0000FF"/>
        </w:rPr>
        <w:t>5</w:t>
      </w:r>
    </w:p>
    <w:p>
      <w:pPr>
        <w:spacing w:after="0" w:line="275" w:lineRule="exact"/>
        <w:rPr>
          <w:sz w:val="20"/>
          <w:szCs w:val="20"/>
          <w:color w:val="auto"/>
        </w:rPr>
      </w:pPr>
    </w:p>
    <w:p>
      <w:pPr>
        <w:jc w:val="right"/>
        <w:spacing w:after="0"/>
        <w:rPr>
          <w:sz w:val="20"/>
          <w:szCs w:val="20"/>
          <w:color w:val="auto"/>
        </w:rPr>
      </w:pPr>
      <w:r>
        <w:rPr>
          <w:rFonts w:ascii="Arial" w:cs="Arial" w:eastAsia="Arial" w:hAnsi="Arial"/>
          <w:sz w:val="16"/>
          <w:szCs w:val="16"/>
          <w:u w:val="single" w:color="auto"/>
          <w:color w:val="0000FF"/>
        </w:rPr>
        <w:t>6</w:t>
      </w:r>
    </w:p>
    <w:p>
      <w:pPr>
        <w:spacing w:after="0" w:line="208" w:lineRule="exact"/>
        <w:rPr>
          <w:sz w:val="20"/>
          <w:szCs w:val="20"/>
          <w:color w:val="auto"/>
        </w:rPr>
      </w:pPr>
    </w:p>
    <w:p>
      <w:pPr>
        <w:jc w:val="right"/>
        <w:spacing w:after="0"/>
        <w:rPr>
          <w:sz w:val="20"/>
          <w:szCs w:val="20"/>
          <w:color w:val="auto"/>
        </w:rPr>
      </w:pPr>
      <w:r>
        <w:rPr>
          <w:rFonts w:ascii="Arial" w:cs="Arial" w:eastAsia="Arial" w:hAnsi="Arial"/>
          <w:sz w:val="16"/>
          <w:szCs w:val="16"/>
          <w:u w:val="single" w:color="auto"/>
          <w:color w:val="0000FF"/>
        </w:rPr>
        <w:t>6</w:t>
      </w:r>
    </w:p>
    <w:p>
      <w:pPr>
        <w:spacing w:after="0" w:line="59" w:lineRule="exact"/>
        <w:rPr>
          <w:sz w:val="20"/>
          <w:szCs w:val="20"/>
          <w:color w:val="auto"/>
        </w:rPr>
      </w:pPr>
    </w:p>
    <w:p>
      <w:pPr>
        <w:jc w:val="right"/>
        <w:spacing w:after="0"/>
        <w:rPr>
          <w:sz w:val="20"/>
          <w:szCs w:val="20"/>
          <w:color w:val="auto"/>
        </w:rPr>
      </w:pPr>
      <w:r>
        <w:rPr>
          <w:rFonts w:ascii="Arial" w:cs="Arial" w:eastAsia="Arial" w:hAnsi="Arial"/>
          <w:sz w:val="16"/>
          <w:szCs w:val="16"/>
          <w:u w:val="single" w:color="auto"/>
          <w:color w:val="0000FF"/>
        </w:rPr>
        <w:t>7</w:t>
      </w:r>
    </w:p>
    <w:p>
      <w:pPr>
        <w:spacing w:after="0" w:line="59" w:lineRule="exact"/>
        <w:rPr>
          <w:sz w:val="20"/>
          <w:szCs w:val="20"/>
          <w:color w:val="auto"/>
        </w:rPr>
      </w:pPr>
    </w:p>
    <w:p>
      <w:pPr>
        <w:jc w:val="right"/>
        <w:spacing w:after="0"/>
        <w:rPr>
          <w:sz w:val="20"/>
          <w:szCs w:val="20"/>
          <w:color w:val="auto"/>
        </w:rPr>
      </w:pPr>
      <w:r>
        <w:rPr>
          <w:rFonts w:ascii="Arial" w:cs="Arial" w:eastAsia="Arial" w:hAnsi="Arial"/>
          <w:sz w:val="16"/>
          <w:szCs w:val="16"/>
          <w:u w:val="single" w:color="auto"/>
          <w:color w:val="0000FF"/>
        </w:rPr>
        <w:t>8</w:t>
      </w:r>
    </w:p>
    <w:p>
      <w:pPr>
        <w:spacing w:after="0" w:line="59" w:lineRule="exact"/>
        <w:rPr>
          <w:sz w:val="20"/>
          <w:szCs w:val="20"/>
          <w:color w:val="auto"/>
        </w:rPr>
      </w:pPr>
    </w:p>
    <w:p>
      <w:pPr>
        <w:jc w:val="right"/>
        <w:spacing w:after="0"/>
        <w:rPr>
          <w:sz w:val="20"/>
          <w:szCs w:val="20"/>
          <w:color w:val="auto"/>
        </w:rPr>
      </w:pPr>
      <w:r>
        <w:rPr>
          <w:rFonts w:ascii="Arial" w:cs="Arial" w:eastAsia="Arial" w:hAnsi="Arial"/>
          <w:sz w:val="16"/>
          <w:szCs w:val="16"/>
          <w:u w:val="single" w:color="auto"/>
          <w:color w:val="0000FF"/>
        </w:rPr>
        <w:t>9</w:t>
      </w:r>
    </w:p>
    <w:p>
      <w:pPr>
        <w:spacing w:after="0" w:line="59" w:lineRule="exact"/>
        <w:rPr>
          <w:sz w:val="20"/>
          <w:szCs w:val="20"/>
          <w:color w:val="auto"/>
        </w:rPr>
      </w:pPr>
    </w:p>
    <w:p>
      <w:pPr>
        <w:jc w:val="right"/>
        <w:spacing w:after="0"/>
        <w:rPr>
          <w:sz w:val="20"/>
          <w:szCs w:val="20"/>
          <w:color w:val="auto"/>
        </w:rPr>
      </w:pPr>
      <w:r>
        <w:rPr>
          <w:rFonts w:ascii="Arial" w:cs="Arial" w:eastAsia="Arial" w:hAnsi="Arial"/>
          <w:sz w:val="16"/>
          <w:szCs w:val="16"/>
          <w:u w:val="single" w:color="auto"/>
          <w:color w:val="0000FF"/>
        </w:rPr>
        <w:t>9</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10</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11</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12</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13</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14</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16</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17</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17</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18</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18</w:t>
      </w:r>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23</w:t>
      </w:r>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31</w:t>
      </w:r>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31</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32</w:t>
      </w: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32</w:t>
      </w: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33</w:t>
      </w:r>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34</w:t>
      </w:r>
    </w:p>
    <w:p>
      <w:pPr>
        <w:sectPr>
          <w:pgSz w:w="11900" w:h="16838" w:orient="portrait"/>
          <w:cols w:equalWidth="0" w:num="2">
            <w:col w:w="10280" w:space="720"/>
            <w:col w:w="180"/>
          </w:cols>
          <w:pgMar w:left="340" w:top="944" w:right="37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PART I. FINANCIAL INFORMATION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GRAHAM HOLDINGS COMPANY</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OPERATIONS (UNAUDITED)</w:t>
      </w:r>
    </w:p>
    <w:p>
      <w:pPr>
        <w:spacing w:after="0" w:line="271" w:lineRule="exact"/>
        <w:rPr>
          <w:sz w:val="20"/>
          <w:szCs w:val="20"/>
          <w:color w:val="auto"/>
        </w:rPr>
      </w:pPr>
    </w:p>
    <w:p>
      <w:pPr>
        <w:ind w:left="9220"/>
        <w:spacing w:after="0"/>
        <w:rPr>
          <w:sz w:val="20"/>
          <w:szCs w:val="20"/>
          <w:color w:val="auto"/>
        </w:rPr>
      </w:pPr>
      <w:r>
        <w:rPr>
          <w:rFonts w:ascii="Arial" w:cs="Arial" w:eastAsia="Arial" w:hAnsi="Arial"/>
          <w:sz w:val="14"/>
          <w:szCs w:val="14"/>
          <w:b w:val="1"/>
          <w:bCs w:val="1"/>
          <w:color w:val="auto"/>
        </w:rPr>
        <w:t>Three Months Ended</w:t>
      </w:r>
    </w:p>
    <w:p>
      <w:pPr>
        <w:spacing w:after="0" w:line="15" w:lineRule="exact"/>
        <w:rPr>
          <w:sz w:val="20"/>
          <w:szCs w:val="20"/>
          <w:color w:val="auto"/>
        </w:rPr>
      </w:pPr>
    </w:p>
    <w:p>
      <w:pPr>
        <w:ind w:left="9660"/>
        <w:spacing w:after="0"/>
        <w:rPr>
          <w:sz w:val="20"/>
          <w:szCs w:val="20"/>
          <w:color w:val="auto"/>
        </w:rPr>
      </w:pPr>
      <w:r>
        <w:rPr>
          <w:rFonts w:ascii="Arial" w:cs="Arial" w:eastAsia="Arial" w:hAnsi="Arial"/>
          <w:sz w:val="14"/>
          <w:szCs w:val="14"/>
          <w:b w:val="1"/>
          <w:bCs w:val="1"/>
          <w:color w:val="auto"/>
        </w:rPr>
        <w:t>March 31</w:t>
      </w:r>
    </w:p>
    <w:p>
      <w:pPr>
        <w:spacing w:after="0" w:line="21" w:lineRule="exact"/>
        <w:rPr>
          <w:sz w:val="20"/>
          <w:szCs w:val="20"/>
          <w:color w:val="auto"/>
        </w:rPr>
      </w:pPr>
    </w:p>
    <w:tbl>
      <w:tblPr>
        <w:tblLayout w:type="fixed"/>
        <w:tblInd w:w="40" w:type="dxa"/>
        <w:tblCellMar>
          <w:top w:w="0" w:type="dxa"/>
          <w:left w:w="0" w:type="dxa"/>
          <w:bottom w:w="0" w:type="dxa"/>
          <w:right w:w="0" w:type="dxa"/>
        </w:tblCellMar>
      </w:tblPr>
      <w:tr>
        <w:trPr>
          <w:trHeight w:val="196"/>
        </w:trPr>
        <w:tc>
          <w:tcPr>
            <w:tcW w:w="8640" w:type="dxa"/>
            <w:vAlign w:val="bottom"/>
          </w:tcPr>
          <w:p>
            <w:pPr>
              <w:spacing w:after="0"/>
              <w:rPr>
                <w:sz w:val="20"/>
                <w:szCs w:val="20"/>
                <w:color w:val="auto"/>
              </w:rPr>
            </w:pPr>
            <w:r>
              <w:rPr>
                <w:rFonts w:ascii="Arial" w:cs="Arial" w:eastAsia="Arial" w:hAnsi="Arial"/>
                <w:sz w:val="14"/>
                <w:szCs w:val="14"/>
                <w:color w:val="auto"/>
              </w:rPr>
              <w:t>(in thousands, except per share amounts)</w:t>
            </w:r>
          </w:p>
        </w:tc>
        <w:tc>
          <w:tcPr>
            <w:tcW w:w="1280" w:type="dxa"/>
            <w:vAlign w:val="bottom"/>
            <w:tcBorders>
              <w:top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2025</w:t>
            </w:r>
          </w:p>
        </w:tc>
        <w:tc>
          <w:tcPr>
            <w:tcW w:w="1260" w:type="dxa"/>
            <w:vAlign w:val="bottom"/>
            <w:tcBorders>
              <w:top w:val="single" w:sz="8" w:color="auto"/>
            </w:tcBorders>
          </w:tcPr>
          <w:p>
            <w:pPr>
              <w:jc w:val="right"/>
              <w:ind w:right="368"/>
              <w:spacing w:after="0"/>
              <w:rPr>
                <w:sz w:val="20"/>
                <w:szCs w:val="20"/>
                <w:color w:val="auto"/>
              </w:rPr>
            </w:pPr>
            <w:r>
              <w:rPr>
                <w:rFonts w:ascii="Arial" w:cs="Arial" w:eastAsia="Arial" w:hAnsi="Arial"/>
                <w:sz w:val="14"/>
                <w:szCs w:val="14"/>
                <w:color w:val="auto"/>
              </w:rPr>
              <w:t>2024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9525</wp:posOffset>
            </wp:positionV>
            <wp:extent cx="71062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06285" cy="8255"/>
                    </a:xfrm>
                    <a:prstGeom prst="rect">
                      <a:avLst/>
                    </a:prstGeom>
                    <a:noFill/>
                  </pic:spPr>
                </pic:pic>
              </a:graphicData>
            </a:graphic>
          </wp:anchor>
        </w:drawing>
      </w:r>
    </w:p>
    <w:p>
      <w:pPr>
        <w:sectPr>
          <w:pgSz w:w="11900" w:h="16838" w:orient="portrait"/>
          <w:cols w:equalWidth="0" w:num="1">
            <w:col w:w="11220"/>
          </w:cols>
          <w:pgMar w:left="320" w:top="931" w:right="359" w:bottom="1440" w:gutter="0" w:footer="0" w:header="0"/>
        </w:sectPr>
      </w:pPr>
    </w:p>
    <w:p>
      <w:pPr>
        <w:spacing w:after="0" w:line="28"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Operating Revenues</w:t>
      </w:r>
    </w:p>
    <w:p>
      <w:pPr>
        <w:spacing w:after="0" w:line="46" w:lineRule="exact"/>
        <w:rPr>
          <w:sz w:val="20"/>
          <w:szCs w:val="20"/>
          <w:color w:val="auto"/>
        </w:rPr>
      </w:pPr>
    </w:p>
    <w:p>
      <w:pPr>
        <w:ind w:left="240"/>
        <w:spacing w:after="0"/>
        <w:rPr>
          <w:sz w:val="20"/>
          <w:szCs w:val="20"/>
          <w:color w:val="auto"/>
        </w:rPr>
      </w:pPr>
      <w:r>
        <w:rPr>
          <w:rFonts w:ascii="Arial" w:cs="Arial" w:eastAsia="Arial" w:hAnsi="Arial"/>
          <w:sz w:val="16"/>
          <w:szCs w:val="16"/>
          <w:color w:val="auto"/>
        </w:rPr>
        <w:t>Sales of services</w:t>
      </w:r>
    </w:p>
    <w:p>
      <w:pPr>
        <w:spacing w:after="0" w:line="46" w:lineRule="exact"/>
        <w:rPr>
          <w:sz w:val="20"/>
          <w:szCs w:val="20"/>
          <w:color w:val="auto"/>
        </w:rPr>
      </w:pPr>
    </w:p>
    <w:p>
      <w:pPr>
        <w:ind w:left="240"/>
        <w:spacing w:after="0"/>
        <w:rPr>
          <w:sz w:val="20"/>
          <w:szCs w:val="20"/>
          <w:color w:val="auto"/>
        </w:rPr>
      </w:pPr>
      <w:r>
        <w:rPr>
          <w:rFonts w:ascii="Arial" w:cs="Arial" w:eastAsia="Arial" w:hAnsi="Arial"/>
          <w:sz w:val="16"/>
          <w:szCs w:val="16"/>
          <w:color w:val="auto"/>
        </w:rPr>
        <w:t>Sales of goods</w:t>
      </w:r>
    </w:p>
    <w:p>
      <w:pPr>
        <w:spacing w:after="0" w:line="302"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Operating Costs and Expenses</w:t>
      </w:r>
    </w:p>
    <w:p>
      <w:pPr>
        <w:spacing w:after="0" w:line="46" w:lineRule="exact"/>
        <w:rPr>
          <w:sz w:val="20"/>
          <w:szCs w:val="20"/>
          <w:color w:val="auto"/>
        </w:rPr>
      </w:pPr>
    </w:p>
    <w:p>
      <w:pPr>
        <w:ind w:left="240"/>
        <w:spacing w:after="0"/>
        <w:rPr>
          <w:sz w:val="20"/>
          <w:szCs w:val="20"/>
          <w:color w:val="auto"/>
        </w:rPr>
      </w:pPr>
      <w:r>
        <w:rPr>
          <w:rFonts w:ascii="Arial" w:cs="Arial" w:eastAsia="Arial" w:hAnsi="Arial"/>
          <w:sz w:val="16"/>
          <w:szCs w:val="16"/>
          <w:color w:val="auto"/>
        </w:rPr>
        <w:t>Cost of services sold (exclusive of items shown below)</w:t>
      </w:r>
    </w:p>
    <w:p>
      <w:pPr>
        <w:spacing w:after="0" w:line="46" w:lineRule="exact"/>
        <w:rPr>
          <w:sz w:val="20"/>
          <w:szCs w:val="20"/>
          <w:color w:val="auto"/>
        </w:rPr>
      </w:pPr>
    </w:p>
    <w:p>
      <w:pPr>
        <w:ind w:left="240"/>
        <w:spacing w:after="0"/>
        <w:rPr>
          <w:sz w:val="20"/>
          <w:szCs w:val="20"/>
          <w:color w:val="auto"/>
        </w:rPr>
      </w:pPr>
      <w:r>
        <w:rPr>
          <w:rFonts w:ascii="Arial" w:cs="Arial" w:eastAsia="Arial" w:hAnsi="Arial"/>
          <w:sz w:val="16"/>
          <w:szCs w:val="16"/>
          <w:color w:val="auto"/>
        </w:rPr>
        <w:t>Cost of goods sold (exclusive of items shown below)</w:t>
      </w:r>
    </w:p>
    <w:p>
      <w:pPr>
        <w:spacing w:after="0" w:line="46" w:lineRule="exact"/>
        <w:rPr>
          <w:sz w:val="20"/>
          <w:szCs w:val="20"/>
          <w:color w:val="auto"/>
        </w:rPr>
      </w:pPr>
    </w:p>
    <w:p>
      <w:pPr>
        <w:ind w:left="240"/>
        <w:spacing w:after="0"/>
        <w:rPr>
          <w:sz w:val="20"/>
          <w:szCs w:val="20"/>
          <w:color w:val="auto"/>
        </w:rPr>
      </w:pPr>
      <w:r>
        <w:rPr>
          <w:rFonts w:ascii="Arial" w:cs="Arial" w:eastAsia="Arial" w:hAnsi="Arial"/>
          <w:sz w:val="16"/>
          <w:szCs w:val="16"/>
          <w:color w:val="auto"/>
        </w:rPr>
        <w:t>Selling, general and administrative</w:t>
      </w:r>
    </w:p>
    <w:p>
      <w:pPr>
        <w:spacing w:after="0" w:line="46" w:lineRule="exact"/>
        <w:rPr>
          <w:sz w:val="20"/>
          <w:szCs w:val="20"/>
          <w:color w:val="auto"/>
        </w:rPr>
      </w:pPr>
    </w:p>
    <w:p>
      <w:pPr>
        <w:ind w:left="240"/>
        <w:spacing w:after="0"/>
        <w:rPr>
          <w:sz w:val="20"/>
          <w:szCs w:val="20"/>
          <w:color w:val="auto"/>
        </w:rPr>
      </w:pPr>
      <w:r>
        <w:rPr>
          <w:rFonts w:ascii="Arial" w:cs="Arial" w:eastAsia="Arial" w:hAnsi="Arial"/>
          <w:sz w:val="16"/>
          <w:szCs w:val="16"/>
          <w:color w:val="auto"/>
        </w:rPr>
        <w:t>Depreciation of property, plant and equipment</w:t>
      </w:r>
    </w:p>
    <w:p>
      <w:pPr>
        <w:spacing w:after="0" w:line="46" w:lineRule="exact"/>
        <w:rPr>
          <w:sz w:val="20"/>
          <w:szCs w:val="20"/>
          <w:color w:val="auto"/>
        </w:rPr>
      </w:pPr>
    </w:p>
    <w:p>
      <w:pPr>
        <w:ind w:left="240"/>
        <w:spacing w:after="0"/>
        <w:rPr>
          <w:sz w:val="20"/>
          <w:szCs w:val="20"/>
          <w:color w:val="auto"/>
        </w:rPr>
      </w:pPr>
      <w:r>
        <w:rPr>
          <w:rFonts w:ascii="Arial" w:cs="Arial" w:eastAsia="Arial" w:hAnsi="Arial"/>
          <w:sz w:val="16"/>
          <w:szCs w:val="16"/>
          <w:color w:val="auto"/>
        </w:rPr>
        <w:t>Amortization of intangible assets</w:t>
      </w:r>
    </w:p>
    <w:p>
      <w:pPr>
        <w:spacing w:after="0" w:line="302"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Income from Operations</w:t>
      </w:r>
    </w:p>
    <w:p>
      <w:pPr>
        <w:spacing w:after="0" w:line="46" w:lineRule="exact"/>
        <w:rPr>
          <w:sz w:val="20"/>
          <w:szCs w:val="20"/>
          <w:color w:val="auto"/>
        </w:rPr>
      </w:pPr>
    </w:p>
    <w:p>
      <w:pPr>
        <w:ind w:left="240"/>
        <w:spacing w:after="0"/>
        <w:rPr>
          <w:sz w:val="20"/>
          <w:szCs w:val="20"/>
          <w:color w:val="auto"/>
        </w:rPr>
      </w:pPr>
      <w:r>
        <w:rPr>
          <w:rFonts w:ascii="Arial" w:cs="Arial" w:eastAsia="Arial" w:hAnsi="Arial"/>
          <w:sz w:val="16"/>
          <w:szCs w:val="16"/>
          <w:color w:val="auto"/>
        </w:rPr>
        <w:t>Equity in (losses) earnings of affiliates, net</w:t>
      </w:r>
    </w:p>
    <w:p>
      <w:pPr>
        <w:spacing w:after="0" w:line="46" w:lineRule="exact"/>
        <w:rPr>
          <w:sz w:val="20"/>
          <w:szCs w:val="20"/>
          <w:color w:val="auto"/>
        </w:rPr>
      </w:pPr>
    </w:p>
    <w:p>
      <w:pPr>
        <w:ind w:left="240"/>
        <w:spacing w:after="0"/>
        <w:rPr>
          <w:sz w:val="20"/>
          <w:szCs w:val="20"/>
          <w:color w:val="auto"/>
        </w:rPr>
      </w:pPr>
      <w:r>
        <w:rPr>
          <w:rFonts w:ascii="Arial" w:cs="Arial" w:eastAsia="Arial" w:hAnsi="Arial"/>
          <w:sz w:val="16"/>
          <w:szCs w:val="16"/>
          <w:color w:val="auto"/>
        </w:rPr>
        <w:t>Interest income</w:t>
      </w:r>
    </w:p>
    <w:p>
      <w:pPr>
        <w:spacing w:after="0" w:line="46" w:lineRule="exact"/>
        <w:rPr>
          <w:sz w:val="20"/>
          <w:szCs w:val="20"/>
          <w:color w:val="auto"/>
        </w:rPr>
      </w:pPr>
    </w:p>
    <w:p>
      <w:pPr>
        <w:ind w:left="240"/>
        <w:spacing w:after="0"/>
        <w:rPr>
          <w:sz w:val="20"/>
          <w:szCs w:val="20"/>
          <w:color w:val="auto"/>
        </w:rPr>
      </w:pPr>
      <w:r>
        <w:rPr>
          <w:rFonts w:ascii="Arial" w:cs="Arial" w:eastAsia="Arial" w:hAnsi="Arial"/>
          <w:sz w:val="16"/>
          <w:szCs w:val="16"/>
          <w:color w:val="auto"/>
        </w:rPr>
        <w:t>Interest expense</w:t>
      </w:r>
    </w:p>
    <w:p>
      <w:pPr>
        <w:spacing w:after="0" w:line="46" w:lineRule="exact"/>
        <w:rPr>
          <w:sz w:val="20"/>
          <w:szCs w:val="20"/>
          <w:color w:val="auto"/>
        </w:rPr>
      </w:pPr>
    </w:p>
    <w:p>
      <w:pPr>
        <w:ind w:left="240"/>
        <w:spacing w:after="0"/>
        <w:rPr>
          <w:sz w:val="20"/>
          <w:szCs w:val="20"/>
          <w:color w:val="auto"/>
        </w:rPr>
      </w:pPr>
      <w:r>
        <w:rPr>
          <w:rFonts w:ascii="Arial" w:cs="Arial" w:eastAsia="Arial" w:hAnsi="Arial"/>
          <w:sz w:val="16"/>
          <w:szCs w:val="16"/>
          <w:color w:val="auto"/>
        </w:rPr>
        <w:t>Non-operating pension and postretirement benefit income, net</w:t>
      </w:r>
    </w:p>
    <w:p>
      <w:pPr>
        <w:spacing w:after="0" w:line="46" w:lineRule="exact"/>
        <w:rPr>
          <w:sz w:val="20"/>
          <w:szCs w:val="20"/>
          <w:color w:val="auto"/>
        </w:rPr>
      </w:pPr>
    </w:p>
    <w:p>
      <w:pPr>
        <w:ind w:left="240"/>
        <w:spacing w:after="0"/>
        <w:rPr>
          <w:sz w:val="20"/>
          <w:szCs w:val="20"/>
          <w:color w:val="auto"/>
        </w:rPr>
      </w:pPr>
      <w:r>
        <w:rPr>
          <w:rFonts w:ascii="Arial" w:cs="Arial" w:eastAsia="Arial" w:hAnsi="Arial"/>
          <w:sz w:val="16"/>
          <w:szCs w:val="16"/>
          <w:color w:val="auto"/>
        </w:rPr>
        <w:t>Gain on marketable equity securities, net</w:t>
      </w:r>
    </w:p>
    <w:p>
      <w:pPr>
        <w:spacing w:after="0" w:line="46" w:lineRule="exact"/>
        <w:rPr>
          <w:sz w:val="20"/>
          <w:szCs w:val="20"/>
          <w:color w:val="auto"/>
        </w:rPr>
      </w:pPr>
    </w:p>
    <w:p>
      <w:pPr>
        <w:ind w:left="240"/>
        <w:spacing w:after="0"/>
        <w:rPr>
          <w:sz w:val="20"/>
          <w:szCs w:val="20"/>
          <w:color w:val="auto"/>
        </w:rPr>
      </w:pPr>
      <w:r>
        <w:rPr>
          <w:rFonts w:ascii="Arial" w:cs="Arial" w:eastAsia="Arial" w:hAnsi="Arial"/>
          <w:sz w:val="16"/>
          <w:szCs w:val="16"/>
          <w:color w:val="auto"/>
        </w:rPr>
        <w:t>Other (expense) income, net</w:t>
      </w:r>
    </w:p>
    <w:p>
      <w:pPr>
        <w:spacing w:after="0" w:line="59"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Income Before Income Taxes</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Provision for Income Taxes</w:t>
      </w:r>
    </w:p>
    <w:p>
      <w:pPr>
        <w:spacing w:after="0" w:line="59"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Net Income</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Net Income Attributable to Noncontrolling Interests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Net Income Attributable to Graham Holdings Company Common Stockholders</w:t>
      </w:r>
    </w:p>
    <w:p>
      <w:pPr>
        <w:spacing w:after="0" w:line="100"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Per Share Information Attributable to Graham Holdings Company Common Stockholders</w:t>
      </w:r>
    </w:p>
    <w:p>
      <w:pPr>
        <w:spacing w:after="0" w:line="46" w:lineRule="exact"/>
        <w:rPr>
          <w:sz w:val="20"/>
          <w:szCs w:val="20"/>
          <w:color w:val="auto"/>
        </w:rPr>
      </w:pPr>
    </w:p>
    <w:p>
      <w:pPr>
        <w:ind w:left="240"/>
        <w:spacing w:after="0"/>
        <w:rPr>
          <w:sz w:val="20"/>
          <w:szCs w:val="20"/>
          <w:color w:val="auto"/>
        </w:rPr>
      </w:pPr>
      <w:r>
        <w:rPr>
          <w:rFonts w:ascii="Arial" w:cs="Arial" w:eastAsia="Arial" w:hAnsi="Arial"/>
          <w:sz w:val="16"/>
          <w:szCs w:val="16"/>
          <w:color w:val="auto"/>
        </w:rPr>
        <w:t>Basic net income per common share</w:t>
      </w:r>
    </w:p>
    <w:p>
      <w:pPr>
        <w:spacing w:after="0" w:line="46" w:lineRule="exact"/>
        <w:rPr>
          <w:sz w:val="20"/>
          <w:szCs w:val="20"/>
          <w:color w:val="auto"/>
        </w:rPr>
      </w:pPr>
    </w:p>
    <w:p>
      <w:pPr>
        <w:ind w:left="240"/>
        <w:spacing w:after="0"/>
        <w:rPr>
          <w:sz w:val="20"/>
          <w:szCs w:val="20"/>
          <w:color w:val="auto"/>
        </w:rPr>
      </w:pPr>
      <w:r>
        <w:rPr>
          <w:rFonts w:ascii="Arial" w:cs="Arial" w:eastAsia="Arial" w:hAnsi="Arial"/>
          <w:sz w:val="16"/>
          <w:szCs w:val="16"/>
          <w:color w:val="auto"/>
        </w:rPr>
        <w:t>Basic average number of common shares outstanding</w:t>
      </w:r>
    </w:p>
    <w:p>
      <w:pPr>
        <w:spacing w:after="0" w:line="46" w:lineRule="exact"/>
        <w:rPr>
          <w:sz w:val="20"/>
          <w:szCs w:val="20"/>
          <w:color w:val="auto"/>
        </w:rPr>
      </w:pPr>
    </w:p>
    <w:p>
      <w:pPr>
        <w:ind w:left="240"/>
        <w:spacing w:after="0"/>
        <w:rPr>
          <w:sz w:val="20"/>
          <w:szCs w:val="20"/>
          <w:color w:val="auto"/>
        </w:rPr>
      </w:pPr>
      <w:r>
        <w:rPr>
          <w:rFonts w:ascii="Arial" w:cs="Arial" w:eastAsia="Arial" w:hAnsi="Arial"/>
          <w:sz w:val="16"/>
          <w:szCs w:val="16"/>
          <w:color w:val="auto"/>
        </w:rPr>
        <w:t>Diluted net income per common share</w:t>
      </w:r>
    </w:p>
    <w:p>
      <w:pPr>
        <w:spacing w:after="0" w:line="46" w:lineRule="exact"/>
        <w:rPr>
          <w:sz w:val="20"/>
          <w:szCs w:val="20"/>
          <w:color w:val="auto"/>
        </w:rPr>
      </w:pPr>
    </w:p>
    <w:p>
      <w:pPr>
        <w:ind w:left="240"/>
        <w:spacing w:after="0"/>
        <w:rPr>
          <w:sz w:val="20"/>
          <w:szCs w:val="20"/>
          <w:color w:val="auto"/>
        </w:rPr>
      </w:pPr>
      <w:r>
        <w:rPr>
          <w:rFonts w:ascii="Arial" w:cs="Arial" w:eastAsia="Arial" w:hAnsi="Arial"/>
          <w:sz w:val="16"/>
          <w:szCs w:val="16"/>
          <w:color w:val="auto"/>
        </w:rPr>
        <w:t>Diluted average number of common shares outstanding</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3"/>
        </w:trPr>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1000" w:type="dxa"/>
            <w:vAlign w:val="bottom"/>
          </w:tcPr>
          <w:p>
            <w:pPr>
              <w:jc w:val="right"/>
              <w:ind w:right="39"/>
              <w:spacing w:after="0"/>
              <w:rPr>
                <w:sz w:val="20"/>
                <w:szCs w:val="20"/>
                <w:color w:val="auto"/>
              </w:rPr>
            </w:pPr>
            <w:r>
              <w:rPr>
                <w:rFonts w:ascii="Arial" w:cs="Arial" w:eastAsia="Arial" w:hAnsi="Arial"/>
                <w:sz w:val="16"/>
                <w:szCs w:val="16"/>
                <w:b w:val="1"/>
                <w:bCs w:val="1"/>
                <w:color w:val="auto"/>
              </w:rPr>
              <w:t>647,507</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646,410</w:t>
            </w:r>
          </w:p>
        </w:tc>
      </w:tr>
      <w:tr>
        <w:trPr>
          <w:trHeight w:val="233"/>
        </w:trPr>
        <w:tc>
          <w:tcPr>
            <w:tcW w:w="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518,408</w:t>
            </w:r>
          </w:p>
        </w:tc>
        <w:tc>
          <w:tcPr>
            <w:tcW w:w="3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506,252</w:t>
            </w:r>
          </w:p>
        </w:tc>
      </w:tr>
      <w:tr>
        <w:trPr>
          <w:trHeight w:val="223"/>
        </w:trPr>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1,165,915</w:t>
            </w: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1,152,662</w:t>
            </w:r>
          </w:p>
        </w:tc>
      </w:tr>
      <w:tr>
        <w:trPr>
          <w:trHeight w:val="448"/>
        </w:trPr>
        <w:tc>
          <w:tcPr>
            <w:tcW w:w="260" w:type="dxa"/>
            <w:vAlign w:val="bottom"/>
          </w:tcPr>
          <w:p>
            <w:pPr>
              <w:spacing w:after="0"/>
              <w:rPr>
                <w:sz w:val="24"/>
                <w:szCs w:val="24"/>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b w:val="1"/>
                <w:bCs w:val="1"/>
                <w:color w:val="auto"/>
              </w:rPr>
              <w:t>386,136</w:t>
            </w:r>
          </w:p>
        </w:tc>
        <w:tc>
          <w:tcPr>
            <w:tcW w:w="3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387,743</w:t>
            </w:r>
          </w:p>
        </w:tc>
      </w:tr>
      <w:tr>
        <w:trPr>
          <w:trHeight w:val="229"/>
        </w:trPr>
        <w:tc>
          <w:tcPr>
            <w:tcW w:w="260" w:type="dxa"/>
            <w:vAlign w:val="bottom"/>
          </w:tcPr>
          <w:p>
            <w:pPr>
              <w:spacing w:after="0"/>
              <w:rPr>
                <w:sz w:val="19"/>
                <w:szCs w:val="19"/>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b w:val="1"/>
                <w:bCs w:val="1"/>
                <w:color w:val="auto"/>
              </w:rPr>
              <w:t>433,222</w:t>
            </w:r>
          </w:p>
        </w:tc>
        <w:tc>
          <w:tcPr>
            <w:tcW w:w="3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432,220</w:t>
            </w:r>
          </w:p>
        </w:tc>
      </w:tr>
      <w:tr>
        <w:trPr>
          <w:trHeight w:val="229"/>
        </w:trPr>
        <w:tc>
          <w:tcPr>
            <w:tcW w:w="260" w:type="dxa"/>
            <w:vAlign w:val="bottom"/>
          </w:tcPr>
          <w:p>
            <w:pPr>
              <w:spacing w:after="0"/>
              <w:rPr>
                <w:sz w:val="19"/>
                <w:szCs w:val="19"/>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b w:val="1"/>
                <w:bCs w:val="1"/>
                <w:color w:val="auto"/>
              </w:rPr>
              <w:t>270,706</w:t>
            </w:r>
          </w:p>
        </w:tc>
        <w:tc>
          <w:tcPr>
            <w:tcW w:w="3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263,979</w:t>
            </w:r>
          </w:p>
        </w:tc>
      </w:tr>
      <w:tr>
        <w:trPr>
          <w:trHeight w:val="230"/>
        </w:trPr>
        <w:tc>
          <w:tcPr>
            <w:tcW w:w="260" w:type="dxa"/>
            <w:vAlign w:val="bottom"/>
          </w:tcPr>
          <w:p>
            <w:pPr>
              <w:spacing w:after="0"/>
              <w:rPr>
                <w:sz w:val="19"/>
                <w:szCs w:val="19"/>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b w:val="1"/>
                <w:bCs w:val="1"/>
                <w:color w:val="auto"/>
              </w:rPr>
              <w:t>20,554</w:t>
            </w:r>
          </w:p>
        </w:tc>
        <w:tc>
          <w:tcPr>
            <w:tcW w:w="3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22,527</w:t>
            </w:r>
          </w:p>
        </w:tc>
      </w:tr>
      <w:tr>
        <w:trPr>
          <w:trHeight w:val="233"/>
        </w:trPr>
        <w:tc>
          <w:tcPr>
            <w:tcW w:w="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7,824</w:t>
            </w:r>
          </w:p>
        </w:tc>
        <w:tc>
          <w:tcPr>
            <w:tcW w:w="3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10,751</w:t>
            </w:r>
          </w:p>
        </w:tc>
      </w:tr>
      <w:tr>
        <w:trPr>
          <w:trHeight w:val="223"/>
        </w:trPr>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1,118,442</w:t>
            </w: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1,117,220</w:t>
            </w:r>
          </w:p>
        </w:tc>
      </w:tr>
      <w:tr>
        <w:trPr>
          <w:trHeight w:val="220"/>
        </w:trPr>
        <w:tc>
          <w:tcPr>
            <w:tcW w:w="260" w:type="dxa"/>
            <w:vAlign w:val="bottom"/>
          </w:tcPr>
          <w:p>
            <w:pPr>
              <w:spacing w:after="0"/>
              <w:rPr>
                <w:sz w:val="19"/>
                <w:szCs w:val="19"/>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b w:val="1"/>
                <w:bCs w:val="1"/>
                <w:color w:val="auto"/>
              </w:rPr>
              <w:t>47,473</w:t>
            </w:r>
          </w:p>
        </w:tc>
        <w:tc>
          <w:tcPr>
            <w:tcW w:w="3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35,442</w:t>
            </w:r>
          </w:p>
        </w:tc>
      </w:tr>
      <w:tr>
        <w:trPr>
          <w:trHeight w:val="229"/>
        </w:trPr>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(8,428)</w:t>
            </w:r>
          </w:p>
        </w:tc>
        <w:tc>
          <w:tcPr>
            <w:tcW w:w="3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2,331</w:t>
            </w:r>
          </w:p>
        </w:tc>
      </w:tr>
      <w:tr>
        <w:trPr>
          <w:trHeight w:val="229"/>
        </w:trPr>
        <w:tc>
          <w:tcPr>
            <w:tcW w:w="260" w:type="dxa"/>
            <w:vAlign w:val="bottom"/>
          </w:tcPr>
          <w:p>
            <w:pPr>
              <w:spacing w:after="0"/>
              <w:rPr>
                <w:sz w:val="19"/>
                <w:szCs w:val="19"/>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b w:val="1"/>
                <w:bCs w:val="1"/>
                <w:color w:val="auto"/>
              </w:rPr>
              <w:t>2,500</w:t>
            </w:r>
          </w:p>
        </w:tc>
        <w:tc>
          <w:tcPr>
            <w:tcW w:w="3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2,178</w:t>
            </w:r>
          </w:p>
        </w:tc>
      </w:tr>
      <w:tr>
        <w:trPr>
          <w:trHeight w:val="229"/>
        </w:trPr>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(82,277)</w:t>
            </w:r>
          </w:p>
        </w:tc>
        <w:tc>
          <w:tcPr>
            <w:tcW w:w="3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(19,328)</w:t>
            </w:r>
          </w:p>
        </w:tc>
      </w:tr>
      <w:tr>
        <w:trPr>
          <w:trHeight w:val="230"/>
        </w:trPr>
        <w:tc>
          <w:tcPr>
            <w:tcW w:w="260" w:type="dxa"/>
            <w:vAlign w:val="bottom"/>
          </w:tcPr>
          <w:p>
            <w:pPr>
              <w:spacing w:after="0"/>
              <w:rPr>
                <w:sz w:val="19"/>
                <w:szCs w:val="19"/>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b w:val="1"/>
                <w:bCs w:val="1"/>
                <w:color w:val="auto"/>
              </w:rPr>
              <w:t>34,617</w:t>
            </w:r>
          </w:p>
        </w:tc>
        <w:tc>
          <w:tcPr>
            <w:tcW w:w="3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42,417</w:t>
            </w:r>
          </w:p>
        </w:tc>
      </w:tr>
      <w:tr>
        <w:trPr>
          <w:trHeight w:val="229"/>
        </w:trPr>
        <w:tc>
          <w:tcPr>
            <w:tcW w:w="260" w:type="dxa"/>
            <w:vAlign w:val="bottom"/>
          </w:tcPr>
          <w:p>
            <w:pPr>
              <w:spacing w:after="0"/>
              <w:rPr>
                <w:sz w:val="19"/>
                <w:szCs w:val="19"/>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b w:val="1"/>
                <w:bCs w:val="1"/>
                <w:color w:val="auto"/>
              </w:rPr>
              <w:t>43,801</w:t>
            </w:r>
          </w:p>
        </w:tc>
        <w:tc>
          <w:tcPr>
            <w:tcW w:w="3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104,152</w:t>
            </w:r>
          </w:p>
        </w:tc>
      </w:tr>
      <w:tr>
        <w:trPr>
          <w:trHeight w:val="233"/>
        </w:trPr>
        <w:tc>
          <w:tcPr>
            <w:tcW w:w="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(4,065)</w:t>
            </w:r>
          </w:p>
        </w:tc>
        <w:tc>
          <w:tcPr>
            <w:tcW w:w="3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1,647</w:t>
            </w:r>
          </w:p>
        </w:tc>
      </w:tr>
      <w:tr>
        <w:trPr>
          <w:trHeight w:val="220"/>
        </w:trPr>
        <w:tc>
          <w:tcPr>
            <w:tcW w:w="260" w:type="dxa"/>
            <w:vAlign w:val="bottom"/>
          </w:tcPr>
          <w:p>
            <w:pPr>
              <w:spacing w:after="0"/>
              <w:rPr>
                <w:sz w:val="19"/>
                <w:szCs w:val="19"/>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b w:val="1"/>
                <w:bCs w:val="1"/>
                <w:color w:val="auto"/>
              </w:rPr>
              <w:t>33,621</w:t>
            </w:r>
          </w:p>
        </w:tc>
        <w:tc>
          <w:tcPr>
            <w:tcW w:w="3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168,839</w:t>
            </w:r>
          </w:p>
        </w:tc>
      </w:tr>
      <w:tr>
        <w:trPr>
          <w:trHeight w:val="233"/>
        </w:trPr>
        <w:tc>
          <w:tcPr>
            <w:tcW w:w="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7,900</w:t>
            </w:r>
          </w:p>
        </w:tc>
        <w:tc>
          <w:tcPr>
            <w:tcW w:w="3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43,500</w:t>
            </w:r>
          </w:p>
        </w:tc>
      </w:tr>
      <w:tr>
        <w:trPr>
          <w:trHeight w:val="220"/>
        </w:trPr>
        <w:tc>
          <w:tcPr>
            <w:tcW w:w="260" w:type="dxa"/>
            <w:vAlign w:val="bottom"/>
          </w:tcPr>
          <w:p>
            <w:pPr>
              <w:spacing w:after="0"/>
              <w:rPr>
                <w:sz w:val="19"/>
                <w:szCs w:val="19"/>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b w:val="1"/>
                <w:bCs w:val="1"/>
                <w:color w:val="auto"/>
              </w:rPr>
              <w:t>25,721</w:t>
            </w:r>
          </w:p>
        </w:tc>
        <w:tc>
          <w:tcPr>
            <w:tcW w:w="3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125,339</w:t>
            </w:r>
          </w:p>
        </w:tc>
      </w:tr>
      <w:tr>
        <w:trPr>
          <w:trHeight w:val="233"/>
        </w:trPr>
        <w:tc>
          <w:tcPr>
            <w:tcW w:w="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(1,827)</w:t>
            </w:r>
          </w:p>
        </w:tc>
        <w:tc>
          <w:tcPr>
            <w:tcW w:w="3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(959)</w:t>
            </w:r>
          </w:p>
        </w:tc>
      </w:tr>
      <w:tr>
        <w:trPr>
          <w:trHeight w:val="223"/>
        </w:trPr>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10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23,894</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124,380</w:t>
            </w:r>
          </w:p>
        </w:tc>
      </w:tr>
      <w:tr>
        <w:trPr>
          <w:trHeight w:val="24"/>
        </w:trPr>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472"/>
        </w:trPr>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1000" w:type="dxa"/>
            <w:vAlign w:val="bottom"/>
          </w:tcPr>
          <w:p>
            <w:pPr>
              <w:jc w:val="right"/>
              <w:ind w:right="39"/>
              <w:spacing w:after="0"/>
              <w:rPr>
                <w:sz w:val="20"/>
                <w:szCs w:val="20"/>
                <w:color w:val="auto"/>
              </w:rPr>
            </w:pPr>
            <w:r>
              <w:rPr>
                <w:rFonts w:ascii="Arial" w:cs="Arial" w:eastAsia="Arial" w:hAnsi="Arial"/>
                <w:sz w:val="16"/>
                <w:szCs w:val="16"/>
                <w:b w:val="1"/>
                <w:bCs w:val="1"/>
                <w:color w:val="auto"/>
              </w:rPr>
              <w:t>5.50</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27.87</w:t>
            </w:r>
          </w:p>
        </w:tc>
      </w:tr>
      <w:tr>
        <w:trPr>
          <w:trHeight w:val="230"/>
        </w:trPr>
        <w:tc>
          <w:tcPr>
            <w:tcW w:w="260" w:type="dxa"/>
            <w:vAlign w:val="bottom"/>
          </w:tcPr>
          <w:p>
            <w:pPr>
              <w:spacing w:after="0"/>
              <w:rPr>
                <w:sz w:val="19"/>
                <w:szCs w:val="19"/>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b w:val="1"/>
                <w:bCs w:val="1"/>
                <w:color w:val="auto"/>
              </w:rPr>
              <w:t>4,320</w:t>
            </w:r>
          </w:p>
        </w:tc>
        <w:tc>
          <w:tcPr>
            <w:tcW w:w="3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4,432</w:t>
            </w:r>
          </w:p>
        </w:tc>
      </w:tr>
      <w:tr>
        <w:trPr>
          <w:trHeight w:val="230"/>
        </w:trPr>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1000" w:type="dxa"/>
            <w:vAlign w:val="bottom"/>
          </w:tcPr>
          <w:p>
            <w:pPr>
              <w:jc w:val="right"/>
              <w:ind w:right="39"/>
              <w:spacing w:after="0"/>
              <w:rPr>
                <w:sz w:val="20"/>
                <w:szCs w:val="20"/>
                <w:color w:val="auto"/>
              </w:rPr>
            </w:pPr>
            <w:r>
              <w:rPr>
                <w:rFonts w:ascii="Arial" w:cs="Arial" w:eastAsia="Arial" w:hAnsi="Arial"/>
                <w:sz w:val="16"/>
                <w:szCs w:val="16"/>
                <w:b w:val="1"/>
                <w:bCs w:val="1"/>
                <w:color w:val="auto"/>
              </w:rPr>
              <w:t>5.45</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27.72</w:t>
            </w:r>
          </w:p>
        </w:tc>
      </w:tr>
      <w:tr>
        <w:trPr>
          <w:trHeight w:val="229"/>
        </w:trPr>
        <w:tc>
          <w:tcPr>
            <w:tcW w:w="260" w:type="dxa"/>
            <w:vAlign w:val="bottom"/>
          </w:tcPr>
          <w:p>
            <w:pPr>
              <w:spacing w:after="0"/>
              <w:rPr>
                <w:sz w:val="19"/>
                <w:szCs w:val="19"/>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b w:val="1"/>
                <w:bCs w:val="1"/>
                <w:color w:val="auto"/>
              </w:rPr>
              <w:t>4,358</w:t>
            </w:r>
          </w:p>
        </w:tc>
        <w:tc>
          <w:tcPr>
            <w:tcW w:w="3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4,457</w:t>
            </w:r>
          </w:p>
        </w:tc>
      </w:tr>
    </w:tbl>
    <w:p>
      <w:pPr>
        <w:spacing w:after="0" w:line="200" w:lineRule="exact"/>
        <w:rPr>
          <w:sz w:val="20"/>
          <w:szCs w:val="20"/>
          <w:color w:val="auto"/>
        </w:rPr>
      </w:pPr>
    </w:p>
    <w:p>
      <w:pPr>
        <w:sectPr>
          <w:pgSz w:w="11900" w:h="16838" w:orient="portrait"/>
          <w:cols w:equalWidth="0" w:num="2">
            <w:col w:w="7960" w:space="720"/>
            <w:col w:w="2540"/>
          </w:cols>
          <w:pgMar w:left="320" w:top="931" w:right="359" w:bottom="1440" w:gutter="0" w:footer="0" w:header="0"/>
          <w:type w:val="continuous"/>
        </w:sectPr>
      </w:pP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Condensed Consolidated Financial Statements.</w:t>
      </w:r>
    </w:p>
    <w:p>
      <w:pPr>
        <w:spacing w:after="0" w:line="200" w:lineRule="exact"/>
        <w:rPr>
          <w:sz w:val="20"/>
          <w:szCs w:val="20"/>
          <w:color w:val="auto"/>
        </w:rPr>
      </w:pPr>
    </w:p>
    <w:p>
      <w:pPr>
        <w:spacing w:after="0" w:line="35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183515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31" w:right="359" w:bottom="1440" w:gutter="0" w:footer="0" w:header="0"/>
          <w:type w:val="continuous"/>
        </w:sectPr>
      </w:pPr>
    </w:p>
    <w:bookmarkStart w:id="3" w:name="page4"/>
    <w:bookmarkEnd w:id="3"/>
    <w:p>
      <w:pPr>
        <w:jc w:val="center"/>
        <w:ind w:right="-19"/>
        <w:spacing w:after="0"/>
        <w:rPr>
          <w:sz w:val="20"/>
          <w:szCs w:val="20"/>
          <w:color w:val="auto"/>
        </w:rPr>
      </w:pPr>
      <w:r>
        <w:rPr>
          <w:rFonts w:ascii="Arial" w:cs="Arial" w:eastAsia="Arial" w:hAnsi="Arial"/>
          <w:sz w:val="18"/>
          <w:szCs w:val="18"/>
          <w:b w:val="1"/>
          <w:bCs w:val="1"/>
          <w:color w:val="auto"/>
        </w:rPr>
        <w:t>GRAHAM HOLDINGS COMPANY</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COMPREHENSIVE INCOME (UNAUDITED)</w:t>
      </w:r>
    </w:p>
    <w:p>
      <w:pPr>
        <w:spacing w:after="0" w:line="136" w:lineRule="exact"/>
        <w:rPr>
          <w:sz w:val="20"/>
          <w:szCs w:val="20"/>
          <w:color w:val="auto"/>
        </w:rPr>
      </w:pPr>
    </w:p>
    <w:p>
      <w:pPr>
        <w:ind w:left="9380"/>
        <w:spacing w:after="0"/>
        <w:rPr>
          <w:sz w:val="20"/>
          <w:szCs w:val="20"/>
          <w:color w:val="auto"/>
        </w:rPr>
      </w:pPr>
      <w:r>
        <w:rPr>
          <w:rFonts w:ascii="Arial" w:cs="Arial" w:eastAsia="Arial" w:hAnsi="Arial"/>
          <w:sz w:val="14"/>
          <w:szCs w:val="14"/>
          <w:b w:val="1"/>
          <w:bCs w:val="1"/>
          <w:color w:val="auto"/>
        </w:rPr>
        <w:t>Three Months Ended</w:t>
      </w:r>
    </w:p>
    <w:p>
      <w:pPr>
        <w:spacing w:after="0" w:line="2" w:lineRule="exact"/>
        <w:rPr>
          <w:sz w:val="20"/>
          <w:szCs w:val="20"/>
          <w:color w:val="auto"/>
        </w:rPr>
      </w:pPr>
    </w:p>
    <w:tbl>
      <w:tblPr>
        <w:tblLayout w:type="fixed"/>
        <w:tblInd w:w="40" w:type="dxa"/>
        <w:tblCellMar>
          <w:top w:w="0" w:type="dxa"/>
          <w:left w:w="0" w:type="dxa"/>
          <w:bottom w:w="0" w:type="dxa"/>
          <w:right w:w="0" w:type="dxa"/>
        </w:tblCellMar>
      </w:tblPr>
      <w:tr>
        <w:trPr>
          <w:trHeight w:val="196"/>
        </w:trPr>
        <w:tc>
          <w:tcPr>
            <w:tcW w:w="8980" w:type="dxa"/>
            <w:vAlign w:val="bottom"/>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688"/>
              <w:spacing w:after="0"/>
              <w:rPr>
                <w:sz w:val="20"/>
                <w:szCs w:val="20"/>
                <w:color w:val="auto"/>
              </w:rPr>
            </w:pPr>
            <w:r>
              <w:rPr>
                <w:rFonts w:ascii="Arial" w:cs="Arial" w:eastAsia="Arial" w:hAnsi="Arial"/>
                <w:sz w:val="14"/>
                <w:szCs w:val="14"/>
                <w:b w:val="1"/>
                <w:bCs w:val="1"/>
                <w:color w:val="auto"/>
              </w:rPr>
              <w:t>March 31</w:t>
            </w:r>
          </w:p>
        </w:tc>
      </w:tr>
      <w:tr>
        <w:trPr>
          <w:trHeight w:val="195"/>
        </w:trPr>
        <w:tc>
          <w:tcPr>
            <w:tcW w:w="8980" w:type="dxa"/>
            <w:vAlign w:val="bottom"/>
          </w:tcPr>
          <w:p>
            <w:pPr>
              <w:spacing w:after="0"/>
              <w:rPr>
                <w:sz w:val="20"/>
                <w:szCs w:val="20"/>
                <w:color w:val="auto"/>
              </w:rPr>
            </w:pPr>
            <w:r>
              <w:rPr>
                <w:rFonts w:ascii="Arial" w:cs="Arial" w:eastAsia="Arial" w:hAnsi="Arial"/>
                <w:sz w:val="14"/>
                <w:szCs w:val="14"/>
                <w:color w:val="auto"/>
              </w:rPr>
              <w:t>(in thousands)</w:t>
            </w: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2025</w:t>
            </w:r>
          </w:p>
        </w:tc>
        <w:tc>
          <w:tcPr>
            <w:tcW w:w="1460" w:type="dxa"/>
            <w:vAlign w:val="bottom"/>
          </w:tcPr>
          <w:p>
            <w:pPr>
              <w:jc w:val="right"/>
              <w:ind w:right="288"/>
              <w:spacing w:after="0"/>
              <w:rPr>
                <w:sz w:val="20"/>
                <w:szCs w:val="20"/>
                <w:color w:val="auto"/>
              </w:rPr>
            </w:pPr>
            <w:r>
              <w:rPr>
                <w:rFonts w:ascii="Arial" w:cs="Arial" w:eastAsia="Arial" w:hAnsi="Arial"/>
                <w:sz w:val="14"/>
                <w:szCs w:val="14"/>
                <w:color w:val="auto"/>
              </w:rPr>
              <w:t>2024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10160</wp:posOffset>
            </wp:positionV>
            <wp:extent cx="711517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ectPr>
          <w:pgSz w:w="11900" w:h="16838" w:orient="portrait"/>
          <w:cols w:equalWidth="0" w:num="1">
            <w:col w:w="11220"/>
          </w:cols>
          <w:pgMar w:left="320" w:top="944" w:right="359" w:bottom="1440" w:gutter="0" w:footer="0" w:header="0"/>
        </w:sectPr>
      </w:pPr>
    </w:p>
    <w:p>
      <w:pPr>
        <w:spacing w:after="0" w:line="28"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Net Income</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Other Comprehensive Income (Loss), Before Tax</w:t>
      </w:r>
    </w:p>
    <w:p>
      <w:pPr>
        <w:spacing w:after="0" w:line="46" w:lineRule="exact"/>
        <w:rPr>
          <w:sz w:val="20"/>
          <w:szCs w:val="20"/>
          <w:color w:val="auto"/>
        </w:rPr>
      </w:pPr>
    </w:p>
    <w:p>
      <w:pPr>
        <w:ind w:left="160"/>
        <w:spacing w:after="0"/>
        <w:rPr>
          <w:sz w:val="20"/>
          <w:szCs w:val="20"/>
          <w:color w:val="auto"/>
        </w:rPr>
      </w:pPr>
      <w:r>
        <w:rPr>
          <w:rFonts w:ascii="Arial" w:cs="Arial" w:eastAsia="Arial" w:hAnsi="Arial"/>
          <w:sz w:val="16"/>
          <w:szCs w:val="16"/>
          <w:color w:val="auto"/>
        </w:rPr>
        <w:t>Foreign currency translation adjustments:</w:t>
      </w:r>
    </w:p>
    <w:p>
      <w:pPr>
        <w:spacing w:after="0" w:line="46" w:lineRule="exact"/>
        <w:rPr>
          <w:sz w:val="20"/>
          <w:szCs w:val="20"/>
          <w:color w:val="auto"/>
        </w:rPr>
      </w:pPr>
    </w:p>
    <w:p>
      <w:pPr>
        <w:ind w:left="240"/>
        <w:spacing w:after="0"/>
        <w:rPr>
          <w:sz w:val="20"/>
          <w:szCs w:val="20"/>
          <w:color w:val="auto"/>
        </w:rPr>
      </w:pPr>
      <w:r>
        <w:rPr>
          <w:rFonts w:ascii="Arial" w:cs="Arial" w:eastAsia="Arial" w:hAnsi="Arial"/>
          <w:sz w:val="16"/>
          <w:szCs w:val="16"/>
          <w:color w:val="auto"/>
        </w:rPr>
        <w:t>Translation adjustments arising during the period</w:t>
      </w:r>
    </w:p>
    <w:p>
      <w:pPr>
        <w:spacing w:after="0" w:line="46" w:lineRule="exact"/>
        <w:rPr>
          <w:sz w:val="20"/>
          <w:szCs w:val="20"/>
          <w:color w:val="auto"/>
        </w:rPr>
      </w:pPr>
    </w:p>
    <w:p>
      <w:pPr>
        <w:ind w:left="160"/>
        <w:spacing w:after="0"/>
        <w:rPr>
          <w:sz w:val="20"/>
          <w:szCs w:val="20"/>
          <w:color w:val="auto"/>
        </w:rPr>
      </w:pPr>
      <w:r>
        <w:rPr>
          <w:rFonts w:ascii="Arial" w:cs="Arial" w:eastAsia="Arial" w:hAnsi="Arial"/>
          <w:sz w:val="16"/>
          <w:szCs w:val="16"/>
          <w:color w:val="auto"/>
        </w:rPr>
        <w:t>Pension and other postretirement plans:</w:t>
      </w:r>
    </w:p>
    <w:p>
      <w:pPr>
        <w:spacing w:after="0" w:line="46" w:lineRule="exact"/>
        <w:rPr>
          <w:sz w:val="20"/>
          <w:szCs w:val="20"/>
          <w:color w:val="auto"/>
        </w:rPr>
      </w:pPr>
    </w:p>
    <w:p>
      <w:pPr>
        <w:ind w:left="240"/>
        <w:spacing w:after="0"/>
        <w:rPr>
          <w:sz w:val="20"/>
          <w:szCs w:val="20"/>
          <w:color w:val="auto"/>
        </w:rPr>
      </w:pPr>
      <w:r>
        <w:rPr>
          <w:rFonts w:ascii="Arial" w:cs="Arial" w:eastAsia="Arial" w:hAnsi="Arial"/>
          <w:sz w:val="16"/>
          <w:szCs w:val="16"/>
          <w:color w:val="auto"/>
        </w:rPr>
        <w:t>Amortization of net prior service credit included in net income</w:t>
      </w:r>
    </w:p>
    <w:p>
      <w:pPr>
        <w:spacing w:after="0" w:line="46" w:lineRule="exact"/>
        <w:rPr>
          <w:sz w:val="20"/>
          <w:szCs w:val="20"/>
          <w:color w:val="auto"/>
        </w:rPr>
      </w:pPr>
    </w:p>
    <w:p>
      <w:pPr>
        <w:ind w:left="240"/>
        <w:spacing w:after="0"/>
        <w:rPr>
          <w:sz w:val="20"/>
          <w:szCs w:val="20"/>
          <w:color w:val="auto"/>
        </w:rPr>
      </w:pPr>
      <w:r>
        <w:rPr>
          <w:rFonts w:ascii="Arial" w:cs="Arial" w:eastAsia="Arial" w:hAnsi="Arial"/>
          <w:sz w:val="16"/>
          <w:szCs w:val="16"/>
          <w:color w:val="auto"/>
        </w:rPr>
        <w:t>Amortization of net actuarial gain included in net income</w:t>
      </w:r>
    </w:p>
    <w:p>
      <w:pPr>
        <w:spacing w:after="0" w:line="289" w:lineRule="exact"/>
        <w:rPr>
          <w:sz w:val="20"/>
          <w:szCs w:val="20"/>
          <w:color w:val="auto"/>
        </w:rPr>
      </w:pPr>
    </w:p>
    <w:p>
      <w:pPr>
        <w:ind w:left="160"/>
        <w:spacing w:after="0"/>
        <w:rPr>
          <w:sz w:val="20"/>
          <w:szCs w:val="20"/>
          <w:color w:val="auto"/>
        </w:rPr>
      </w:pPr>
      <w:r>
        <w:rPr>
          <w:rFonts w:ascii="Arial" w:cs="Arial" w:eastAsia="Arial" w:hAnsi="Arial"/>
          <w:sz w:val="16"/>
          <w:szCs w:val="16"/>
          <w:color w:val="auto"/>
        </w:rPr>
        <w:t>Cash flow hedges (loss) gain</w:t>
      </w:r>
    </w:p>
    <w:p>
      <w:pPr>
        <w:spacing w:after="0" w:line="59"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Other Comprehensive Income (Loss), Before Tax</w:t>
      </w:r>
    </w:p>
    <w:p>
      <w:pPr>
        <w:spacing w:after="0" w:line="46" w:lineRule="exact"/>
        <w:rPr>
          <w:sz w:val="20"/>
          <w:szCs w:val="20"/>
          <w:color w:val="auto"/>
        </w:rPr>
      </w:pPr>
    </w:p>
    <w:p>
      <w:pPr>
        <w:ind w:left="160"/>
        <w:spacing w:after="0"/>
        <w:rPr>
          <w:sz w:val="20"/>
          <w:szCs w:val="20"/>
          <w:color w:val="auto"/>
        </w:rPr>
      </w:pPr>
      <w:r>
        <w:rPr>
          <w:rFonts w:ascii="Arial" w:cs="Arial" w:eastAsia="Arial" w:hAnsi="Arial"/>
          <w:sz w:val="16"/>
          <w:szCs w:val="16"/>
          <w:color w:val="auto"/>
        </w:rPr>
        <w:t>Income tax benefit related to items of other comprehensive income (loss)</w:t>
      </w:r>
    </w:p>
    <w:p>
      <w:pPr>
        <w:spacing w:after="0" w:line="59"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Other Comprehensive Income (Loss), Net of Tax</w:t>
      </w:r>
    </w:p>
    <w:p>
      <w:pPr>
        <w:spacing w:after="0" w:line="59"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Comprehensive Income</w:t>
      </w:r>
    </w:p>
    <w:p>
      <w:pPr>
        <w:spacing w:after="0" w:line="46" w:lineRule="exact"/>
        <w:rPr>
          <w:sz w:val="20"/>
          <w:szCs w:val="20"/>
          <w:color w:val="auto"/>
        </w:rPr>
      </w:pPr>
    </w:p>
    <w:p>
      <w:pPr>
        <w:ind w:left="160"/>
        <w:spacing w:after="0"/>
        <w:rPr>
          <w:sz w:val="20"/>
          <w:szCs w:val="20"/>
          <w:color w:val="auto"/>
        </w:rPr>
      </w:pPr>
      <w:r>
        <w:rPr>
          <w:rFonts w:ascii="Arial" w:cs="Arial" w:eastAsia="Arial" w:hAnsi="Arial"/>
          <w:sz w:val="16"/>
          <w:szCs w:val="16"/>
          <w:color w:val="auto"/>
        </w:rPr>
        <w:t>Comprehensive income attributable to noncontrolling interests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Total Comprehensive Income Attributable to Graham Holdings Company</w:t>
      </w:r>
    </w:p>
    <w:p>
      <w:pPr>
        <w:spacing w:after="0" w:line="20" w:lineRule="exact"/>
        <w:rPr>
          <w:sz w:val="20"/>
          <w:szCs w:val="20"/>
          <w:color w:val="auto"/>
        </w:rPr>
      </w:pPr>
      <w:r>
        <w:rPr>
          <w:sz w:val="20"/>
          <w:szCs w:val="20"/>
          <w:color w:val="auto"/>
        </w:rPr>
        <w:br w:type="column"/>
      </w:r>
    </w:p>
    <w:p>
      <w:pPr>
        <w:spacing w:after="0" w:line="8" w:lineRule="exact"/>
        <w:rPr>
          <w:sz w:val="20"/>
          <w:szCs w:val="20"/>
          <w:color w:val="auto"/>
        </w:rPr>
      </w:pPr>
    </w:p>
    <w:p>
      <w:pPr>
        <w:ind w:left="470" w:hanging="470"/>
        <w:spacing w:after="0"/>
        <w:tabs>
          <w:tab w:leader="none" w:pos="470" w:val="left"/>
        </w:tabs>
        <w:numPr>
          <w:ilvl w:val="0"/>
          <w:numId w:val="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25,721  </w:t>
      </w:r>
      <w:r>
        <w:rPr>
          <w:rFonts w:ascii="Arial" w:cs="Arial" w:eastAsia="Arial" w:hAnsi="Arial"/>
          <w:sz w:val="16"/>
          <w:szCs w:val="16"/>
          <w:color w:val="auto"/>
        </w:rPr>
        <w:t>$    125,339</w:t>
      </w:r>
    </w:p>
    <w:p>
      <w:pPr>
        <w:spacing w:after="0" w:line="200" w:lineRule="exact"/>
        <w:rPr>
          <w:rFonts w:ascii="Arial" w:cs="Arial" w:eastAsia="Arial" w:hAnsi="Arial"/>
          <w:sz w:val="16"/>
          <w:szCs w:val="16"/>
          <w:b w:val="1"/>
          <w:bCs w:val="1"/>
          <w:color w:val="auto"/>
        </w:rPr>
      </w:pPr>
    </w:p>
    <w:p>
      <w:pPr>
        <w:spacing w:after="0" w:line="304" w:lineRule="exact"/>
        <w:rPr>
          <w:rFonts w:ascii="Arial" w:cs="Arial" w:eastAsia="Arial" w:hAnsi="Arial"/>
          <w:sz w:val="16"/>
          <w:szCs w:val="16"/>
          <w:b w:val="1"/>
          <w:bCs w:val="1"/>
          <w:color w:val="auto"/>
        </w:rPr>
      </w:pPr>
    </w:p>
    <w:p>
      <w:pPr>
        <w:ind w:left="470"/>
        <w:spacing w:after="0"/>
        <w:rPr>
          <w:rFonts w:ascii="Arial" w:cs="Arial" w:eastAsia="Arial" w:hAnsi="Arial"/>
          <w:sz w:val="16"/>
          <w:szCs w:val="16"/>
          <w:b w:val="1"/>
          <w:bCs w:val="1"/>
          <w:color w:val="auto"/>
        </w:rPr>
      </w:pPr>
      <w:r>
        <w:rPr>
          <w:rFonts w:ascii="Arial" w:cs="Arial" w:eastAsia="Arial" w:hAnsi="Arial"/>
          <w:sz w:val="16"/>
          <w:szCs w:val="16"/>
          <w:b w:val="1"/>
          <w:bCs w:val="1"/>
          <w:color w:val="auto"/>
        </w:rPr>
        <w:t>14,267</w:t>
      </w:r>
      <w:r>
        <w:rPr>
          <w:rFonts w:ascii="Arial" w:cs="Arial" w:eastAsia="Arial" w:hAnsi="Arial"/>
          <w:sz w:val="16"/>
          <w:szCs w:val="16"/>
          <w:color w:val="auto"/>
        </w:rPr>
        <w:t>(13,284)</w:t>
      </w:r>
    </w:p>
    <w:p>
      <w:pPr>
        <w:spacing w:after="0" w:line="275" w:lineRule="exact"/>
        <w:rPr>
          <w:sz w:val="20"/>
          <w:szCs w:val="20"/>
          <w:color w:val="auto"/>
        </w:rPr>
      </w:pPr>
    </w:p>
    <w:p>
      <w:pPr>
        <w:ind w:left="1790" w:hanging="1160"/>
        <w:spacing w:after="0"/>
        <w:tabs>
          <w:tab w:leader="none" w:pos="1790" w:val="left"/>
        </w:tabs>
        <w:numPr>
          <w:ilvl w:val="0"/>
          <w:numId w:val="4"/>
        </w:numPr>
        <w:rPr>
          <w:rFonts w:ascii="Arial" w:cs="Arial" w:eastAsia="Arial" w:hAnsi="Arial"/>
          <w:sz w:val="16"/>
          <w:szCs w:val="16"/>
          <w:b w:val="1"/>
          <w:bCs w:val="1"/>
          <w:color w:val="auto"/>
        </w:rPr>
      </w:pPr>
      <w:r>
        <w:rPr>
          <w:rFonts w:ascii="Arial" w:cs="Arial" w:eastAsia="Arial" w:hAnsi="Arial"/>
          <w:sz w:val="16"/>
          <w:szCs w:val="16"/>
          <w:color w:val="auto"/>
        </w:rPr>
        <w:t>(494)</w:t>
      </w:r>
    </w:p>
    <w:p>
      <w:pPr>
        <w:spacing w:after="0" w:line="46" w:lineRule="exact"/>
        <w:rPr>
          <w:sz w:val="20"/>
          <w:szCs w:val="20"/>
          <w:color w:val="auto"/>
        </w:rPr>
      </w:pPr>
    </w:p>
    <w:p>
      <w:pPr>
        <w:ind w:left="1570" w:hanging="940"/>
        <w:spacing w:after="0"/>
        <w:tabs>
          <w:tab w:leader="none" w:pos="1570" w:val="left"/>
        </w:tabs>
        <w:numPr>
          <w:ilvl w:val="0"/>
          <w:numId w:val="5"/>
        </w:numPr>
        <w:rPr>
          <w:rFonts w:ascii="Arial" w:cs="Arial" w:eastAsia="Arial" w:hAnsi="Arial"/>
          <w:sz w:val="16"/>
          <w:szCs w:val="16"/>
          <w:b w:val="1"/>
          <w:bCs w:val="1"/>
          <w:color w:val="auto"/>
        </w:rPr>
      </w:pPr>
      <w:r>
        <w:rPr>
          <w:rFonts w:ascii="Arial" w:cs="Arial" w:eastAsia="Arial" w:hAnsi="Arial"/>
          <w:sz w:val="16"/>
          <w:szCs w:val="16"/>
          <w:color w:val="auto"/>
        </w:rPr>
        <w:t>(12,987)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29210</wp:posOffset>
            </wp:positionV>
            <wp:extent cx="140589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405890" cy="8255"/>
                    </a:xfrm>
                    <a:prstGeom prst="rect">
                      <a:avLst/>
                    </a:prstGeom>
                    <a:noFill/>
                  </pic:spPr>
                </pic:pic>
              </a:graphicData>
            </a:graphic>
          </wp:anchor>
        </w:drawing>
      </w:r>
    </w:p>
    <w:p>
      <w:pPr>
        <w:spacing w:after="0" w:line="39" w:lineRule="exact"/>
        <w:rPr>
          <w:sz w:val="20"/>
          <w:szCs w:val="20"/>
          <w:color w:val="auto"/>
        </w:rPr>
      </w:pPr>
    </w:p>
    <w:p>
      <w:pPr>
        <w:ind w:left="1570" w:hanging="940"/>
        <w:spacing w:after="0"/>
        <w:tabs>
          <w:tab w:leader="none" w:pos="1570" w:val="left"/>
        </w:tabs>
        <w:numPr>
          <w:ilvl w:val="0"/>
          <w:numId w:val="6"/>
        </w:numPr>
        <w:rPr>
          <w:rFonts w:ascii="Arial" w:cs="Arial" w:eastAsia="Arial" w:hAnsi="Arial"/>
          <w:sz w:val="16"/>
          <w:szCs w:val="16"/>
          <w:b w:val="1"/>
          <w:bCs w:val="1"/>
          <w:color w:val="auto"/>
        </w:rPr>
      </w:pPr>
      <w:r>
        <w:rPr>
          <w:rFonts w:ascii="Arial" w:cs="Arial" w:eastAsia="Arial" w:hAnsi="Arial"/>
          <w:sz w:val="16"/>
          <w:szCs w:val="16"/>
          <w:color w:val="auto"/>
        </w:rPr>
        <w:t>(13,481)</w:t>
      </w:r>
    </w:p>
    <w:p>
      <w:pPr>
        <w:spacing w:after="0" w:line="46" w:lineRule="exact"/>
        <w:rPr>
          <w:sz w:val="20"/>
          <w:szCs w:val="20"/>
          <w:color w:val="auto"/>
        </w:rPr>
      </w:pPr>
    </w:p>
    <w:p>
      <w:pPr>
        <w:ind w:left="1750" w:hanging="1120"/>
        <w:spacing w:after="0"/>
        <w:tabs>
          <w:tab w:leader="none" w:pos="1750" w:val="left"/>
        </w:tabs>
        <w:numPr>
          <w:ilvl w:val="0"/>
          <w:numId w:val="7"/>
        </w:numPr>
        <w:rPr>
          <w:rFonts w:ascii="Arial" w:cs="Arial" w:eastAsia="Arial" w:hAnsi="Arial"/>
          <w:sz w:val="16"/>
          <w:szCs w:val="16"/>
          <w:b w:val="1"/>
          <w:bCs w:val="1"/>
          <w:color w:val="auto"/>
        </w:rPr>
      </w:pPr>
      <w:r>
        <w:rPr>
          <w:rFonts w:ascii="Arial" w:cs="Arial" w:eastAsia="Arial" w:hAnsi="Arial"/>
          <w:sz w:val="16"/>
          <w:szCs w:val="16"/>
          <w:color w:val="auto"/>
        </w:rPr>
        <w:t>1,111</w:t>
      </w:r>
    </w:p>
    <w:p>
      <w:pPr>
        <w:spacing w:after="0" w:line="59" w:lineRule="exact"/>
        <w:rPr>
          <w:rFonts w:ascii="Arial" w:cs="Arial" w:eastAsia="Arial" w:hAnsi="Arial"/>
          <w:sz w:val="16"/>
          <w:szCs w:val="16"/>
          <w:b w:val="1"/>
          <w:bCs w:val="1"/>
          <w:color w:val="auto"/>
        </w:rPr>
      </w:pPr>
    </w:p>
    <w:p>
      <w:pPr>
        <w:ind w:left="470"/>
        <w:spacing w:after="0"/>
        <w:rPr>
          <w:rFonts w:ascii="Arial" w:cs="Arial" w:eastAsia="Arial" w:hAnsi="Arial"/>
          <w:sz w:val="16"/>
          <w:szCs w:val="16"/>
          <w:b w:val="1"/>
          <w:bCs w:val="1"/>
          <w:color w:val="auto"/>
        </w:rPr>
      </w:pPr>
      <w:r>
        <w:rPr>
          <w:rFonts w:ascii="Arial" w:cs="Arial" w:eastAsia="Arial" w:hAnsi="Arial"/>
          <w:sz w:val="16"/>
          <w:szCs w:val="16"/>
          <w:b w:val="1"/>
          <w:bCs w:val="1"/>
          <w:color w:val="auto"/>
        </w:rPr>
        <w:t>12,690</w:t>
      </w:r>
      <w:r>
        <w:rPr>
          <w:rFonts w:ascii="Arial" w:cs="Arial" w:eastAsia="Arial" w:hAnsi="Arial"/>
          <w:sz w:val="16"/>
          <w:szCs w:val="16"/>
          <w:color w:val="auto"/>
        </w:rPr>
        <w:t>(25,654)</w:t>
      </w:r>
    </w:p>
    <w:p>
      <w:pPr>
        <w:spacing w:after="0" w:line="45" w:lineRule="exact"/>
        <w:rPr>
          <w:rFonts w:ascii="Arial" w:cs="Arial" w:eastAsia="Arial" w:hAnsi="Arial"/>
          <w:sz w:val="16"/>
          <w:szCs w:val="16"/>
          <w:b w:val="1"/>
          <w:bCs w:val="1"/>
          <w:color w:val="auto"/>
        </w:rPr>
      </w:pPr>
    </w:p>
    <w:p>
      <w:pPr>
        <w:ind w:left="690"/>
        <w:spacing w:after="0"/>
        <w:rPr>
          <w:rFonts w:ascii="Arial" w:cs="Arial" w:eastAsia="Arial" w:hAnsi="Arial"/>
          <w:sz w:val="16"/>
          <w:szCs w:val="16"/>
          <w:b w:val="1"/>
          <w:bCs w:val="1"/>
          <w:color w:val="auto"/>
        </w:rPr>
      </w:pPr>
      <w:r>
        <w:rPr>
          <w:rFonts w:ascii="Arial" w:cs="Arial" w:eastAsia="Arial" w:hAnsi="Arial"/>
          <w:sz w:val="16"/>
          <w:szCs w:val="16"/>
          <w:b w:val="1"/>
          <w:bCs w:val="1"/>
          <w:color w:val="auto"/>
        </w:rPr>
        <w:t>406</w:t>
      </w:r>
      <w:r>
        <w:rPr>
          <w:rFonts w:ascii="Arial" w:cs="Arial" w:eastAsia="Arial" w:hAnsi="Arial"/>
          <w:sz w:val="16"/>
          <w:szCs w:val="16"/>
          <w:color w:val="auto"/>
        </w:rPr>
        <w:t>3,162</w:t>
      </w:r>
    </w:p>
    <w:p>
      <w:pPr>
        <w:spacing w:after="0" w:line="59" w:lineRule="exact"/>
        <w:rPr>
          <w:rFonts w:ascii="Arial" w:cs="Arial" w:eastAsia="Arial" w:hAnsi="Arial"/>
          <w:sz w:val="16"/>
          <w:szCs w:val="16"/>
          <w:b w:val="1"/>
          <w:bCs w:val="1"/>
          <w:color w:val="auto"/>
        </w:rPr>
      </w:pPr>
    </w:p>
    <w:p>
      <w:pPr>
        <w:ind w:left="470"/>
        <w:spacing w:after="0"/>
        <w:rPr>
          <w:rFonts w:ascii="Arial" w:cs="Arial" w:eastAsia="Arial" w:hAnsi="Arial"/>
          <w:sz w:val="16"/>
          <w:szCs w:val="16"/>
          <w:b w:val="1"/>
          <w:bCs w:val="1"/>
          <w:color w:val="auto"/>
        </w:rPr>
      </w:pPr>
      <w:r>
        <w:rPr>
          <w:rFonts w:ascii="Arial" w:cs="Arial" w:eastAsia="Arial" w:hAnsi="Arial"/>
          <w:sz w:val="16"/>
          <w:szCs w:val="16"/>
          <w:b w:val="1"/>
          <w:bCs w:val="1"/>
          <w:color w:val="auto"/>
        </w:rPr>
        <w:t>13,096</w:t>
      </w:r>
      <w:r>
        <w:rPr>
          <w:rFonts w:ascii="Arial" w:cs="Arial" w:eastAsia="Arial" w:hAnsi="Arial"/>
          <w:sz w:val="16"/>
          <w:szCs w:val="16"/>
          <w:color w:val="auto"/>
        </w:rPr>
        <w:t>(22,492)</w:t>
      </w:r>
    </w:p>
    <w:p>
      <w:pPr>
        <w:spacing w:after="0" w:line="59" w:lineRule="exact"/>
        <w:rPr>
          <w:rFonts w:ascii="Arial" w:cs="Arial" w:eastAsia="Arial" w:hAnsi="Arial"/>
          <w:sz w:val="16"/>
          <w:szCs w:val="16"/>
          <w:b w:val="1"/>
          <w:bCs w:val="1"/>
          <w:color w:val="auto"/>
        </w:rPr>
      </w:pPr>
    </w:p>
    <w:p>
      <w:pPr>
        <w:ind w:left="470"/>
        <w:spacing w:after="0"/>
        <w:rPr>
          <w:rFonts w:ascii="Arial" w:cs="Arial" w:eastAsia="Arial" w:hAnsi="Arial"/>
          <w:sz w:val="16"/>
          <w:szCs w:val="16"/>
          <w:b w:val="1"/>
          <w:bCs w:val="1"/>
          <w:color w:val="auto"/>
        </w:rPr>
      </w:pPr>
      <w:r>
        <w:rPr>
          <w:rFonts w:ascii="Arial" w:cs="Arial" w:eastAsia="Arial" w:hAnsi="Arial"/>
          <w:sz w:val="16"/>
          <w:szCs w:val="16"/>
          <w:b w:val="1"/>
          <w:bCs w:val="1"/>
          <w:color w:val="auto"/>
        </w:rPr>
        <w:t>38,817</w:t>
      </w:r>
      <w:r>
        <w:rPr>
          <w:rFonts w:ascii="Arial" w:cs="Arial" w:eastAsia="Arial" w:hAnsi="Arial"/>
          <w:sz w:val="16"/>
          <w:szCs w:val="16"/>
          <w:color w:val="auto"/>
        </w:rPr>
        <w:t>102,847</w:t>
      </w:r>
    </w:p>
    <w:p>
      <w:pPr>
        <w:spacing w:after="0" w:line="45" w:lineRule="exact"/>
        <w:rPr>
          <w:rFonts w:ascii="Arial" w:cs="Arial" w:eastAsia="Arial" w:hAnsi="Arial"/>
          <w:sz w:val="16"/>
          <w:szCs w:val="16"/>
          <w:b w:val="1"/>
          <w:bCs w:val="1"/>
          <w:color w:val="auto"/>
        </w:rPr>
      </w:pPr>
    </w:p>
    <w:p>
      <w:pPr>
        <w:ind w:left="490"/>
        <w:spacing w:after="0"/>
        <w:rPr>
          <w:rFonts w:ascii="Arial" w:cs="Arial" w:eastAsia="Arial" w:hAnsi="Arial"/>
          <w:sz w:val="16"/>
          <w:szCs w:val="16"/>
          <w:b w:val="1"/>
          <w:bCs w:val="1"/>
          <w:color w:val="auto"/>
        </w:rPr>
      </w:pPr>
      <w:r>
        <w:rPr>
          <w:rFonts w:ascii="Arial" w:cs="Arial" w:eastAsia="Arial" w:hAnsi="Arial"/>
          <w:sz w:val="16"/>
          <w:szCs w:val="16"/>
          <w:b w:val="1"/>
          <w:bCs w:val="1"/>
          <w:color w:val="auto"/>
        </w:rPr>
        <w:t>(1,827)</w:t>
      </w:r>
      <w:r>
        <w:rPr>
          <w:rFonts w:ascii="Arial" w:cs="Arial" w:eastAsia="Arial" w:hAnsi="Arial"/>
          <w:sz w:val="16"/>
          <w:szCs w:val="16"/>
          <w:color w:val="auto"/>
        </w:rPr>
        <w:t>(959)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29210</wp:posOffset>
            </wp:positionV>
            <wp:extent cx="140589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405890" cy="825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-269875</wp:posOffset>
            </wp:positionV>
            <wp:extent cx="14058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405890" cy="825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-424180</wp:posOffset>
            </wp:positionV>
            <wp:extent cx="140589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405890" cy="825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-724535</wp:posOffset>
            </wp:positionV>
            <wp:extent cx="140589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405890" cy="8255"/>
                    </a:xfrm>
                    <a:prstGeom prst="rect">
                      <a:avLst/>
                    </a:prstGeom>
                    <a:noFill/>
                  </pic:spPr>
                </pic:pic>
              </a:graphicData>
            </a:graphic>
          </wp:anchor>
        </w:drawing>
      </w:r>
    </w:p>
    <w:p>
      <w:pPr>
        <w:spacing w:after="0" w:line="39" w:lineRule="exact"/>
        <w:rPr>
          <w:sz w:val="20"/>
          <w:szCs w:val="20"/>
          <w:color w:val="auto"/>
        </w:rPr>
      </w:pPr>
    </w:p>
    <w:p>
      <w:pPr>
        <w:ind w:left="10"/>
        <w:spacing w:after="0"/>
        <w:tabs>
          <w:tab w:leader="none" w:pos="449" w:val="left"/>
          <w:tab w:leader="none" w:pos="1149" w:val="left"/>
          <w:tab w:leader="none" w:pos="1509" w:val="left"/>
        </w:tabs>
        <w:rPr>
          <w:sz w:val="20"/>
          <w:szCs w:val="20"/>
          <w:color w:val="auto"/>
        </w:rPr>
      </w:pPr>
      <w:r>
        <w:rPr>
          <w:rFonts w:ascii="Arial" w:cs="Arial" w:eastAsia="Arial" w:hAnsi="Arial"/>
          <w:sz w:val="16"/>
          <w:szCs w:val="16"/>
          <w:b w:val="1"/>
          <w:bCs w:val="1"/>
          <w:color w:val="auto"/>
        </w:rPr>
        <w:t>$</w:t>
      </w:r>
      <w:r>
        <w:rPr>
          <w:sz w:val="20"/>
          <w:szCs w:val="20"/>
          <w:color w:val="auto"/>
        </w:rPr>
        <w:tab/>
      </w:r>
      <w:r>
        <w:rPr>
          <w:rFonts w:ascii="Arial" w:cs="Arial" w:eastAsia="Arial" w:hAnsi="Arial"/>
          <w:sz w:val="16"/>
          <w:szCs w:val="16"/>
          <w:b w:val="1"/>
          <w:bCs w:val="1"/>
          <w:color w:val="auto"/>
        </w:rPr>
        <w:t>36,990</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101,888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29210</wp:posOffset>
            </wp:positionV>
            <wp:extent cx="140589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405890" cy="825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55245</wp:posOffset>
            </wp:positionV>
            <wp:extent cx="140589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405890" cy="8255"/>
                    </a:xfrm>
                    <a:prstGeom prst="rect">
                      <a:avLst/>
                    </a:prstGeom>
                    <a:noFill/>
                  </pic:spPr>
                </pic:pic>
              </a:graphicData>
            </a:graphic>
          </wp:anchor>
        </w:drawing>
      </w:r>
    </w:p>
    <w:p>
      <w:pPr>
        <w:spacing w:after="0" w:line="227" w:lineRule="exact"/>
        <w:rPr>
          <w:sz w:val="20"/>
          <w:szCs w:val="20"/>
          <w:color w:val="auto"/>
        </w:rPr>
      </w:pPr>
    </w:p>
    <w:p>
      <w:pPr>
        <w:sectPr>
          <w:pgSz w:w="11900" w:h="16838" w:orient="portrait"/>
          <w:cols w:equalWidth="0" w:num="2">
            <w:col w:w="8310" w:space="720"/>
            <w:col w:w="2190"/>
          </w:cols>
          <w:pgMar w:left="320" w:top="944" w:right="359" w:bottom="1440" w:gutter="0" w:footer="0" w:header="0"/>
          <w:type w:val="continuous"/>
        </w:sectPr>
      </w:pPr>
    </w:p>
    <w:p>
      <w:pPr>
        <w:spacing w:after="0" w:line="188"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Condensed Consolidated Financial Statements.</w:t>
      </w:r>
    </w:p>
    <w:p>
      <w:pPr>
        <w:spacing w:after="0" w:line="39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183515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44" w:right="359" w:bottom="1440" w:gutter="0" w:footer="0" w:header="0"/>
          <w:type w:val="continuous"/>
        </w:sectPr>
      </w:pPr>
    </w:p>
    <w:bookmarkStart w:id="4" w:name="page5"/>
    <w:bookmarkEnd w:id="4"/>
    <w:p>
      <w:pPr>
        <w:jc w:val="center"/>
        <w:ind w:right="-19"/>
        <w:spacing w:after="0"/>
        <w:rPr>
          <w:sz w:val="20"/>
          <w:szCs w:val="20"/>
          <w:color w:val="auto"/>
        </w:rPr>
      </w:pPr>
      <w:r>
        <w:rPr>
          <w:rFonts w:ascii="Arial" w:cs="Arial" w:eastAsia="Arial" w:hAnsi="Arial"/>
          <w:sz w:val="18"/>
          <w:szCs w:val="18"/>
          <w:b w:val="1"/>
          <w:bCs w:val="1"/>
          <w:color w:val="auto"/>
        </w:rPr>
        <w:t>GRAHAM HOLDINGS COMPANY</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136" w:lineRule="exact"/>
        <w:rPr>
          <w:sz w:val="20"/>
          <w:szCs w:val="20"/>
          <w:color w:val="auto"/>
        </w:rPr>
      </w:pPr>
    </w:p>
    <w:tbl>
      <w:tblPr>
        <w:tblLayout w:type="fixed"/>
        <w:tblInd w:w="20" w:type="dxa"/>
        <w:tblCellMar>
          <w:top w:w="0" w:type="dxa"/>
          <w:left w:w="0" w:type="dxa"/>
          <w:bottom w:w="0" w:type="dxa"/>
          <w:right w:w="0" w:type="dxa"/>
        </w:tblCellMar>
      </w:tblPr>
      <w:tr>
        <w:trPr>
          <w:trHeight w:val="205"/>
        </w:trPr>
        <w:tc>
          <w:tcPr>
            <w:tcW w:w="82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As of</w:t>
            </w:r>
          </w:p>
        </w:tc>
        <w:tc>
          <w:tcPr>
            <w:tcW w:w="12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8200" w:type="dxa"/>
            <w:vAlign w:val="bottom"/>
            <w:vMerge w:val="restart"/>
          </w:tcPr>
          <w:p>
            <w:pPr>
              <w:ind w:left="20"/>
              <w:spacing w:after="0"/>
              <w:rPr>
                <w:sz w:val="20"/>
                <w:szCs w:val="20"/>
                <w:color w:val="auto"/>
              </w:rPr>
            </w:pPr>
            <w:r>
              <w:rPr>
                <w:rFonts w:ascii="Arial" w:cs="Arial" w:eastAsia="Arial" w:hAnsi="Arial"/>
                <w:sz w:val="14"/>
                <w:szCs w:val="14"/>
                <w:color w:val="auto"/>
              </w:rPr>
              <w:t>(in thousands)</w:t>
            </w:r>
          </w:p>
        </w:tc>
        <w:tc>
          <w:tcPr>
            <w:tcW w:w="220" w:type="dxa"/>
            <w:vAlign w:val="bottom"/>
          </w:tcPr>
          <w:p>
            <w:pPr>
              <w:spacing w:after="0"/>
              <w:rPr>
                <w:sz w:val="14"/>
                <w:szCs w:val="14"/>
                <w:color w:val="auto"/>
              </w:rPr>
            </w:pPr>
          </w:p>
        </w:tc>
        <w:tc>
          <w:tcPr>
            <w:tcW w:w="1280" w:type="dxa"/>
            <w:vAlign w:val="bottom"/>
          </w:tcPr>
          <w:p>
            <w:pPr>
              <w:jc w:val="center"/>
              <w:ind w:right="180"/>
              <w:spacing w:after="0"/>
              <w:rPr>
                <w:sz w:val="20"/>
                <w:szCs w:val="20"/>
                <w:color w:val="auto"/>
              </w:rPr>
            </w:pPr>
            <w:r>
              <w:rPr>
                <w:rFonts w:ascii="Arial" w:cs="Arial" w:eastAsia="Arial" w:hAnsi="Arial"/>
                <w:sz w:val="14"/>
                <w:szCs w:val="14"/>
                <w:b w:val="1"/>
                <w:bCs w:val="1"/>
                <w:color w:val="auto"/>
              </w:rPr>
              <w:t>March 31,</w:t>
            </w:r>
          </w:p>
        </w:tc>
        <w:tc>
          <w:tcPr>
            <w:tcW w:w="260" w:type="dxa"/>
            <w:vAlign w:val="bottom"/>
          </w:tcPr>
          <w:p>
            <w:pPr>
              <w:spacing w:after="0"/>
              <w:rPr>
                <w:sz w:val="14"/>
                <w:szCs w:val="14"/>
                <w:color w:val="auto"/>
              </w:rPr>
            </w:pPr>
          </w:p>
        </w:tc>
        <w:tc>
          <w:tcPr>
            <w:tcW w:w="1240" w:type="dxa"/>
            <w:vAlign w:val="bottom"/>
          </w:tcPr>
          <w:p>
            <w:pPr>
              <w:jc w:val="right"/>
              <w:ind w:right="179"/>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97"/>
        </w:trPr>
        <w:tc>
          <w:tcPr>
            <w:tcW w:w="8200" w:type="dxa"/>
            <w:vAlign w:val="bottom"/>
            <w:tcBorders>
              <w:bottom w:val="single" w:sz="8" w:color="auto"/>
            </w:tcBorders>
            <w:vMerge w:val="continue"/>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center"/>
              <w:ind w:right="160"/>
              <w:spacing w:after="0"/>
              <w:rPr>
                <w:sz w:val="20"/>
                <w:szCs w:val="20"/>
                <w:color w:val="auto"/>
              </w:rPr>
            </w:pPr>
            <w:r>
              <w:rPr>
                <w:rFonts w:ascii="Arial" w:cs="Arial" w:eastAsia="Arial" w:hAnsi="Arial"/>
                <w:sz w:val="14"/>
                <w:szCs w:val="14"/>
                <w:b w:val="1"/>
                <w:bCs w:val="1"/>
                <w:color w:val="auto"/>
              </w:rPr>
              <w:t>2025</w:t>
            </w:r>
          </w:p>
        </w:tc>
        <w:tc>
          <w:tcPr>
            <w:tcW w:w="2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color w:val="auto"/>
              </w:rPr>
              <w:t>2024</w:t>
            </w:r>
          </w:p>
        </w:tc>
        <w:tc>
          <w:tcPr>
            <w:tcW w:w="0" w:type="dxa"/>
            <w:vAlign w:val="bottom"/>
          </w:tcPr>
          <w:p>
            <w:pPr>
              <w:spacing w:after="0"/>
              <w:rPr>
                <w:sz w:val="1"/>
                <w:szCs w:val="1"/>
                <w:color w:val="auto"/>
              </w:rPr>
            </w:pPr>
          </w:p>
        </w:tc>
      </w:tr>
      <w:tr>
        <w:trPr>
          <w:trHeight w:val="195"/>
        </w:trPr>
        <w:tc>
          <w:tcPr>
            <w:tcW w:w="8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tcPr>
          <w:p>
            <w:pPr>
              <w:jc w:val="center"/>
              <w:ind w:right="160"/>
              <w:spacing w:after="0"/>
              <w:rPr>
                <w:sz w:val="20"/>
                <w:szCs w:val="20"/>
                <w:color w:val="auto"/>
              </w:rPr>
            </w:pPr>
            <w:r>
              <w:rPr>
                <w:rFonts w:ascii="Arial" w:cs="Arial" w:eastAsia="Arial" w:hAnsi="Arial"/>
                <w:sz w:val="14"/>
                <w:szCs w:val="14"/>
                <w:b w:val="1"/>
                <w:bCs w:val="1"/>
                <w:color w:val="auto"/>
              </w:rPr>
              <w:t>(Unaudited)</w:t>
            </w:r>
          </w:p>
        </w:tc>
        <w:tc>
          <w:tcPr>
            <w:tcW w:w="2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8200" w:type="dxa"/>
            <w:vAlign w:val="bottom"/>
          </w:tcPr>
          <w:p>
            <w:pPr>
              <w:ind w:left="20"/>
              <w:spacing w:after="0"/>
              <w:rPr>
                <w:sz w:val="20"/>
                <w:szCs w:val="20"/>
                <w:color w:val="auto"/>
              </w:rPr>
            </w:pPr>
            <w:r>
              <w:rPr>
                <w:rFonts w:ascii="Arial" w:cs="Arial" w:eastAsia="Arial" w:hAnsi="Arial"/>
                <w:sz w:val="16"/>
                <w:szCs w:val="16"/>
                <w:b w:val="1"/>
                <w:bCs w:val="1"/>
                <w:color w:val="auto"/>
              </w:rPr>
              <w:t>Assets</w:t>
            </w: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200" w:type="dxa"/>
            <w:vAlign w:val="bottom"/>
          </w:tcPr>
          <w:p>
            <w:pPr>
              <w:ind w:left="20"/>
              <w:spacing w:after="0"/>
              <w:rPr>
                <w:sz w:val="20"/>
                <w:szCs w:val="20"/>
                <w:color w:val="auto"/>
              </w:rPr>
            </w:pPr>
            <w:r>
              <w:rPr>
                <w:rFonts w:ascii="Arial" w:cs="Arial" w:eastAsia="Arial" w:hAnsi="Arial"/>
                <w:sz w:val="16"/>
                <w:szCs w:val="16"/>
                <w:b w:val="1"/>
                <w:bCs w:val="1"/>
                <w:color w:val="auto"/>
              </w:rPr>
              <w:t>Current Assets</w:t>
            </w: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00" w:type="dxa"/>
            <w:vAlign w:val="bottom"/>
          </w:tcPr>
          <w:p>
            <w:pPr>
              <w:ind w:left="220"/>
              <w:spacing w:after="0"/>
              <w:rPr>
                <w:sz w:val="20"/>
                <w:szCs w:val="20"/>
                <w:color w:val="auto"/>
              </w:rPr>
            </w:pPr>
            <w:r>
              <w:rPr>
                <w:rFonts w:ascii="Arial" w:cs="Arial" w:eastAsia="Arial" w:hAnsi="Arial"/>
                <w:sz w:val="16"/>
                <w:szCs w:val="16"/>
                <w:color w:val="auto"/>
              </w:rPr>
              <w:t>Cash and cash equivalents</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1280" w:type="dxa"/>
            <w:vAlign w:val="bottom"/>
          </w:tcPr>
          <w:p>
            <w:pPr>
              <w:jc w:val="right"/>
              <w:ind w:right="40"/>
              <w:spacing w:after="0"/>
              <w:rPr>
                <w:sz w:val="20"/>
                <w:szCs w:val="20"/>
                <w:color w:val="auto"/>
              </w:rPr>
            </w:pPr>
            <w:r>
              <w:rPr>
                <w:rFonts w:ascii="Arial" w:cs="Arial" w:eastAsia="Arial" w:hAnsi="Arial"/>
                <w:sz w:val="16"/>
                <w:szCs w:val="16"/>
                <w:b w:val="1"/>
                <w:bCs w:val="1"/>
                <w:color w:val="auto"/>
              </w:rPr>
              <w:t>156,700</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260,852</w:t>
            </w:r>
          </w:p>
        </w:tc>
        <w:tc>
          <w:tcPr>
            <w:tcW w:w="0" w:type="dxa"/>
            <w:vAlign w:val="bottom"/>
          </w:tcPr>
          <w:p>
            <w:pPr>
              <w:spacing w:after="0"/>
              <w:rPr>
                <w:sz w:val="1"/>
                <w:szCs w:val="1"/>
                <w:color w:val="auto"/>
              </w:rPr>
            </w:pPr>
          </w:p>
        </w:tc>
      </w:tr>
      <w:tr>
        <w:trPr>
          <w:trHeight w:val="230"/>
        </w:trPr>
        <w:tc>
          <w:tcPr>
            <w:tcW w:w="8200" w:type="dxa"/>
            <w:vAlign w:val="bottom"/>
          </w:tcPr>
          <w:p>
            <w:pPr>
              <w:ind w:left="220"/>
              <w:spacing w:after="0"/>
              <w:rPr>
                <w:sz w:val="20"/>
                <w:szCs w:val="20"/>
                <w:color w:val="auto"/>
              </w:rPr>
            </w:pPr>
            <w:r>
              <w:rPr>
                <w:rFonts w:ascii="Arial" w:cs="Arial" w:eastAsia="Arial" w:hAnsi="Arial"/>
                <w:sz w:val="16"/>
                <w:szCs w:val="16"/>
                <w:color w:val="auto"/>
              </w:rPr>
              <w:t>Restricted cash</w:t>
            </w:r>
          </w:p>
        </w:tc>
        <w:tc>
          <w:tcPr>
            <w:tcW w:w="220" w:type="dxa"/>
            <w:vAlign w:val="bottom"/>
          </w:tcPr>
          <w:p>
            <w:pPr>
              <w:spacing w:after="0"/>
              <w:rPr>
                <w:sz w:val="19"/>
                <w:szCs w:val="19"/>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b w:val="1"/>
                <w:bCs w:val="1"/>
                <w:color w:val="auto"/>
              </w:rPr>
              <w:t>48,915</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37,001</w:t>
            </w:r>
          </w:p>
        </w:tc>
        <w:tc>
          <w:tcPr>
            <w:tcW w:w="0" w:type="dxa"/>
            <w:vAlign w:val="bottom"/>
          </w:tcPr>
          <w:p>
            <w:pPr>
              <w:spacing w:after="0"/>
              <w:rPr>
                <w:sz w:val="1"/>
                <w:szCs w:val="1"/>
                <w:color w:val="auto"/>
              </w:rPr>
            </w:pPr>
          </w:p>
        </w:tc>
      </w:tr>
      <w:tr>
        <w:trPr>
          <w:trHeight w:val="229"/>
        </w:trPr>
        <w:tc>
          <w:tcPr>
            <w:tcW w:w="8200" w:type="dxa"/>
            <w:vAlign w:val="bottom"/>
          </w:tcPr>
          <w:p>
            <w:pPr>
              <w:ind w:left="220"/>
              <w:spacing w:after="0"/>
              <w:rPr>
                <w:sz w:val="20"/>
                <w:szCs w:val="20"/>
                <w:color w:val="auto"/>
              </w:rPr>
            </w:pPr>
            <w:r>
              <w:rPr>
                <w:rFonts w:ascii="Arial" w:cs="Arial" w:eastAsia="Arial" w:hAnsi="Arial"/>
                <w:sz w:val="16"/>
                <w:szCs w:val="16"/>
                <w:color w:val="auto"/>
              </w:rPr>
              <w:t>Investments in marketable equity securities and other investments</w:t>
            </w:r>
          </w:p>
        </w:tc>
        <w:tc>
          <w:tcPr>
            <w:tcW w:w="220" w:type="dxa"/>
            <w:vAlign w:val="bottom"/>
          </w:tcPr>
          <w:p>
            <w:pPr>
              <w:spacing w:after="0"/>
              <w:rPr>
                <w:sz w:val="19"/>
                <w:szCs w:val="19"/>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b w:val="1"/>
                <w:bCs w:val="1"/>
                <w:color w:val="auto"/>
              </w:rPr>
              <w:t>909,039</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858,743</w:t>
            </w:r>
          </w:p>
        </w:tc>
        <w:tc>
          <w:tcPr>
            <w:tcW w:w="0" w:type="dxa"/>
            <w:vAlign w:val="bottom"/>
          </w:tcPr>
          <w:p>
            <w:pPr>
              <w:spacing w:after="0"/>
              <w:rPr>
                <w:sz w:val="1"/>
                <w:szCs w:val="1"/>
                <w:color w:val="auto"/>
              </w:rPr>
            </w:pPr>
          </w:p>
        </w:tc>
      </w:tr>
      <w:tr>
        <w:trPr>
          <w:trHeight w:val="229"/>
        </w:trPr>
        <w:tc>
          <w:tcPr>
            <w:tcW w:w="8200" w:type="dxa"/>
            <w:vAlign w:val="bottom"/>
          </w:tcPr>
          <w:p>
            <w:pPr>
              <w:ind w:left="220"/>
              <w:spacing w:after="0"/>
              <w:rPr>
                <w:sz w:val="20"/>
                <w:szCs w:val="20"/>
                <w:color w:val="auto"/>
              </w:rPr>
            </w:pPr>
            <w:r>
              <w:rPr>
                <w:rFonts w:ascii="Arial" w:cs="Arial" w:eastAsia="Arial" w:hAnsi="Arial"/>
                <w:sz w:val="16"/>
                <w:szCs w:val="16"/>
                <w:color w:val="auto"/>
              </w:rPr>
              <w:t>Accounts receivable, net</w:t>
            </w:r>
          </w:p>
        </w:tc>
        <w:tc>
          <w:tcPr>
            <w:tcW w:w="220" w:type="dxa"/>
            <w:vAlign w:val="bottom"/>
          </w:tcPr>
          <w:p>
            <w:pPr>
              <w:spacing w:after="0"/>
              <w:rPr>
                <w:sz w:val="19"/>
                <w:szCs w:val="19"/>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b w:val="1"/>
                <w:bCs w:val="1"/>
                <w:color w:val="auto"/>
              </w:rPr>
              <w:t>499,668</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514,426</w:t>
            </w:r>
          </w:p>
        </w:tc>
        <w:tc>
          <w:tcPr>
            <w:tcW w:w="0" w:type="dxa"/>
            <w:vAlign w:val="bottom"/>
          </w:tcPr>
          <w:p>
            <w:pPr>
              <w:spacing w:after="0"/>
              <w:rPr>
                <w:sz w:val="1"/>
                <w:szCs w:val="1"/>
                <w:color w:val="auto"/>
              </w:rPr>
            </w:pPr>
          </w:p>
        </w:tc>
      </w:tr>
      <w:tr>
        <w:trPr>
          <w:trHeight w:val="230"/>
        </w:trPr>
        <w:tc>
          <w:tcPr>
            <w:tcW w:w="8200" w:type="dxa"/>
            <w:vAlign w:val="bottom"/>
          </w:tcPr>
          <w:p>
            <w:pPr>
              <w:ind w:left="220"/>
              <w:spacing w:after="0"/>
              <w:rPr>
                <w:sz w:val="20"/>
                <w:szCs w:val="20"/>
                <w:color w:val="auto"/>
              </w:rPr>
            </w:pPr>
            <w:r>
              <w:rPr>
                <w:rFonts w:ascii="Arial" w:cs="Arial" w:eastAsia="Arial" w:hAnsi="Arial"/>
                <w:sz w:val="16"/>
                <w:szCs w:val="16"/>
                <w:color w:val="auto"/>
              </w:rPr>
              <w:t>Inventories and contracts in progress</w:t>
            </w:r>
          </w:p>
        </w:tc>
        <w:tc>
          <w:tcPr>
            <w:tcW w:w="220" w:type="dxa"/>
            <w:vAlign w:val="bottom"/>
          </w:tcPr>
          <w:p>
            <w:pPr>
              <w:spacing w:after="0"/>
              <w:rPr>
                <w:sz w:val="19"/>
                <w:szCs w:val="19"/>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b w:val="1"/>
                <w:bCs w:val="1"/>
                <w:color w:val="auto"/>
              </w:rPr>
              <w:t>262,489</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295,808</w:t>
            </w:r>
          </w:p>
        </w:tc>
        <w:tc>
          <w:tcPr>
            <w:tcW w:w="0" w:type="dxa"/>
            <w:vAlign w:val="bottom"/>
          </w:tcPr>
          <w:p>
            <w:pPr>
              <w:spacing w:after="0"/>
              <w:rPr>
                <w:sz w:val="1"/>
                <w:szCs w:val="1"/>
                <w:color w:val="auto"/>
              </w:rPr>
            </w:pPr>
          </w:p>
        </w:tc>
      </w:tr>
      <w:tr>
        <w:trPr>
          <w:trHeight w:val="229"/>
        </w:trPr>
        <w:tc>
          <w:tcPr>
            <w:tcW w:w="8200" w:type="dxa"/>
            <w:vAlign w:val="bottom"/>
          </w:tcPr>
          <w:p>
            <w:pPr>
              <w:ind w:left="220"/>
              <w:spacing w:after="0"/>
              <w:rPr>
                <w:sz w:val="20"/>
                <w:szCs w:val="20"/>
                <w:color w:val="auto"/>
              </w:rPr>
            </w:pPr>
            <w:r>
              <w:rPr>
                <w:rFonts w:ascii="Arial" w:cs="Arial" w:eastAsia="Arial" w:hAnsi="Arial"/>
                <w:sz w:val="16"/>
                <w:szCs w:val="16"/>
                <w:color w:val="auto"/>
              </w:rPr>
              <w:t>Prepaid expenses</w:t>
            </w:r>
          </w:p>
        </w:tc>
        <w:tc>
          <w:tcPr>
            <w:tcW w:w="220" w:type="dxa"/>
            <w:vAlign w:val="bottom"/>
          </w:tcPr>
          <w:p>
            <w:pPr>
              <w:spacing w:after="0"/>
              <w:rPr>
                <w:sz w:val="19"/>
                <w:szCs w:val="19"/>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b w:val="1"/>
                <w:bCs w:val="1"/>
                <w:color w:val="auto"/>
              </w:rPr>
              <w:t>135,178</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116,472</w:t>
            </w:r>
          </w:p>
        </w:tc>
        <w:tc>
          <w:tcPr>
            <w:tcW w:w="0" w:type="dxa"/>
            <w:vAlign w:val="bottom"/>
          </w:tcPr>
          <w:p>
            <w:pPr>
              <w:spacing w:after="0"/>
              <w:rPr>
                <w:sz w:val="1"/>
                <w:szCs w:val="1"/>
                <w:color w:val="auto"/>
              </w:rPr>
            </w:pPr>
          </w:p>
        </w:tc>
      </w:tr>
      <w:tr>
        <w:trPr>
          <w:trHeight w:val="229"/>
        </w:trPr>
        <w:tc>
          <w:tcPr>
            <w:tcW w:w="8200" w:type="dxa"/>
            <w:vAlign w:val="bottom"/>
          </w:tcPr>
          <w:p>
            <w:pPr>
              <w:ind w:left="220"/>
              <w:spacing w:after="0"/>
              <w:rPr>
                <w:sz w:val="20"/>
                <w:szCs w:val="20"/>
                <w:color w:val="auto"/>
              </w:rPr>
            </w:pPr>
            <w:r>
              <w:rPr>
                <w:rFonts w:ascii="Arial" w:cs="Arial" w:eastAsia="Arial" w:hAnsi="Arial"/>
                <w:sz w:val="16"/>
                <w:szCs w:val="16"/>
                <w:color w:val="auto"/>
              </w:rPr>
              <w:t>Income taxes receivable</w:t>
            </w:r>
          </w:p>
        </w:tc>
        <w:tc>
          <w:tcPr>
            <w:tcW w:w="220" w:type="dxa"/>
            <w:vAlign w:val="bottom"/>
          </w:tcPr>
          <w:p>
            <w:pPr>
              <w:spacing w:after="0"/>
              <w:rPr>
                <w:sz w:val="19"/>
                <w:szCs w:val="19"/>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b w:val="1"/>
                <w:bCs w:val="1"/>
                <w:color w:val="auto"/>
              </w:rPr>
              <w:t>5,168</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7,714</w:t>
            </w:r>
          </w:p>
        </w:tc>
        <w:tc>
          <w:tcPr>
            <w:tcW w:w="0" w:type="dxa"/>
            <w:vAlign w:val="bottom"/>
          </w:tcPr>
          <w:p>
            <w:pPr>
              <w:spacing w:after="0"/>
              <w:rPr>
                <w:sz w:val="1"/>
                <w:szCs w:val="1"/>
                <w:color w:val="auto"/>
              </w:rPr>
            </w:pPr>
          </w:p>
        </w:tc>
      </w:tr>
      <w:tr>
        <w:trPr>
          <w:trHeight w:val="231"/>
        </w:trPr>
        <w:tc>
          <w:tcPr>
            <w:tcW w:w="8200" w:type="dxa"/>
            <w:vAlign w:val="bottom"/>
          </w:tcPr>
          <w:p>
            <w:pPr>
              <w:ind w:left="220"/>
              <w:spacing w:after="0"/>
              <w:rPr>
                <w:sz w:val="20"/>
                <w:szCs w:val="20"/>
                <w:color w:val="auto"/>
              </w:rPr>
            </w:pPr>
            <w:r>
              <w:rPr>
                <w:rFonts w:ascii="Arial" w:cs="Arial" w:eastAsia="Arial" w:hAnsi="Arial"/>
                <w:sz w:val="16"/>
                <w:szCs w:val="16"/>
                <w:color w:val="auto"/>
              </w:rPr>
              <w:t>Other current assets (includes $1,323 and $0 of cash held for sale, respectively)</w:t>
            </w:r>
          </w:p>
        </w:tc>
        <w:tc>
          <w:tcPr>
            <w:tcW w:w="2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9,553</w:t>
            </w:r>
          </w:p>
        </w:tc>
        <w:tc>
          <w:tcPr>
            <w:tcW w:w="2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7,608</w:t>
            </w:r>
          </w:p>
        </w:tc>
        <w:tc>
          <w:tcPr>
            <w:tcW w:w="0" w:type="dxa"/>
            <w:vAlign w:val="bottom"/>
          </w:tcPr>
          <w:p>
            <w:pPr>
              <w:spacing w:after="0"/>
              <w:rPr>
                <w:sz w:val="1"/>
                <w:szCs w:val="1"/>
                <w:color w:val="auto"/>
              </w:rPr>
            </w:pPr>
          </w:p>
        </w:tc>
      </w:tr>
      <w:tr>
        <w:trPr>
          <w:trHeight w:val="223"/>
        </w:trPr>
        <w:tc>
          <w:tcPr>
            <w:tcW w:w="8200" w:type="dxa"/>
            <w:vAlign w:val="bottom"/>
          </w:tcPr>
          <w:p>
            <w:pPr>
              <w:ind w:left="460"/>
              <w:spacing w:after="0"/>
              <w:rPr>
                <w:sz w:val="20"/>
                <w:szCs w:val="20"/>
                <w:color w:val="auto"/>
              </w:rPr>
            </w:pPr>
            <w:r>
              <w:rPr>
                <w:rFonts w:ascii="Arial" w:cs="Arial" w:eastAsia="Arial" w:hAnsi="Arial"/>
                <w:sz w:val="16"/>
                <w:szCs w:val="16"/>
                <w:b w:val="1"/>
                <w:bCs w:val="1"/>
                <w:color w:val="auto"/>
              </w:rPr>
              <w:t>Total Current Assets</w:t>
            </w:r>
          </w:p>
        </w:tc>
        <w:tc>
          <w:tcPr>
            <w:tcW w:w="220" w:type="dxa"/>
            <w:vAlign w:val="bottom"/>
          </w:tcPr>
          <w:p>
            <w:pPr>
              <w:spacing w:after="0"/>
              <w:rPr>
                <w:sz w:val="19"/>
                <w:szCs w:val="19"/>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b w:val="1"/>
                <w:bCs w:val="1"/>
                <w:color w:val="auto"/>
              </w:rPr>
              <w:t>2,026,710</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2,098,624</w:t>
            </w:r>
          </w:p>
        </w:tc>
        <w:tc>
          <w:tcPr>
            <w:tcW w:w="0" w:type="dxa"/>
            <w:vAlign w:val="bottom"/>
          </w:tcPr>
          <w:p>
            <w:pPr>
              <w:spacing w:after="0"/>
              <w:rPr>
                <w:sz w:val="1"/>
                <w:szCs w:val="1"/>
                <w:color w:val="auto"/>
              </w:rPr>
            </w:pPr>
          </w:p>
        </w:tc>
      </w:tr>
      <w:tr>
        <w:trPr>
          <w:trHeight w:val="229"/>
        </w:trPr>
        <w:tc>
          <w:tcPr>
            <w:tcW w:w="8200" w:type="dxa"/>
            <w:vAlign w:val="bottom"/>
          </w:tcPr>
          <w:p>
            <w:pPr>
              <w:ind w:left="20"/>
              <w:spacing w:after="0"/>
              <w:rPr>
                <w:sz w:val="20"/>
                <w:szCs w:val="20"/>
                <w:color w:val="auto"/>
              </w:rPr>
            </w:pPr>
            <w:r>
              <w:rPr>
                <w:rFonts w:ascii="Arial" w:cs="Arial" w:eastAsia="Arial" w:hAnsi="Arial"/>
                <w:sz w:val="16"/>
                <w:szCs w:val="16"/>
                <w:b w:val="1"/>
                <w:bCs w:val="1"/>
                <w:color w:val="auto"/>
              </w:rPr>
              <w:t>Property, Plant and Equipment, Net</w:t>
            </w:r>
          </w:p>
        </w:tc>
        <w:tc>
          <w:tcPr>
            <w:tcW w:w="220" w:type="dxa"/>
            <w:vAlign w:val="bottom"/>
          </w:tcPr>
          <w:p>
            <w:pPr>
              <w:spacing w:after="0"/>
              <w:rPr>
                <w:sz w:val="19"/>
                <w:szCs w:val="19"/>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b w:val="1"/>
                <w:bCs w:val="1"/>
                <w:color w:val="auto"/>
              </w:rPr>
              <w:t>543,706</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549,364</w:t>
            </w:r>
          </w:p>
        </w:tc>
        <w:tc>
          <w:tcPr>
            <w:tcW w:w="0" w:type="dxa"/>
            <w:vAlign w:val="bottom"/>
          </w:tcPr>
          <w:p>
            <w:pPr>
              <w:spacing w:after="0"/>
              <w:rPr>
                <w:sz w:val="1"/>
                <w:szCs w:val="1"/>
                <w:color w:val="auto"/>
              </w:rPr>
            </w:pPr>
          </w:p>
        </w:tc>
      </w:tr>
      <w:tr>
        <w:trPr>
          <w:trHeight w:val="229"/>
        </w:trPr>
        <w:tc>
          <w:tcPr>
            <w:tcW w:w="8200" w:type="dxa"/>
            <w:vAlign w:val="bottom"/>
          </w:tcPr>
          <w:p>
            <w:pPr>
              <w:ind w:left="20"/>
              <w:spacing w:after="0"/>
              <w:rPr>
                <w:sz w:val="20"/>
                <w:szCs w:val="20"/>
                <w:color w:val="auto"/>
              </w:rPr>
            </w:pPr>
            <w:r>
              <w:rPr>
                <w:rFonts w:ascii="Arial" w:cs="Arial" w:eastAsia="Arial" w:hAnsi="Arial"/>
                <w:sz w:val="16"/>
                <w:szCs w:val="16"/>
                <w:b w:val="1"/>
                <w:bCs w:val="1"/>
                <w:color w:val="auto"/>
              </w:rPr>
              <w:t>Lease Right-of-Use Assets</w:t>
            </w:r>
          </w:p>
        </w:tc>
        <w:tc>
          <w:tcPr>
            <w:tcW w:w="220" w:type="dxa"/>
            <w:vAlign w:val="bottom"/>
          </w:tcPr>
          <w:p>
            <w:pPr>
              <w:spacing w:after="0"/>
              <w:rPr>
                <w:sz w:val="19"/>
                <w:szCs w:val="19"/>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b w:val="1"/>
                <w:bCs w:val="1"/>
                <w:color w:val="auto"/>
              </w:rPr>
              <w:t>392,668</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388,419</w:t>
            </w:r>
          </w:p>
        </w:tc>
        <w:tc>
          <w:tcPr>
            <w:tcW w:w="0" w:type="dxa"/>
            <w:vAlign w:val="bottom"/>
          </w:tcPr>
          <w:p>
            <w:pPr>
              <w:spacing w:after="0"/>
              <w:rPr>
                <w:sz w:val="1"/>
                <w:szCs w:val="1"/>
                <w:color w:val="auto"/>
              </w:rPr>
            </w:pPr>
          </w:p>
        </w:tc>
      </w:tr>
      <w:tr>
        <w:trPr>
          <w:trHeight w:val="230"/>
        </w:trPr>
        <w:tc>
          <w:tcPr>
            <w:tcW w:w="8200" w:type="dxa"/>
            <w:vAlign w:val="bottom"/>
          </w:tcPr>
          <w:p>
            <w:pPr>
              <w:ind w:left="20"/>
              <w:spacing w:after="0"/>
              <w:rPr>
                <w:sz w:val="20"/>
                <w:szCs w:val="20"/>
                <w:color w:val="auto"/>
              </w:rPr>
            </w:pPr>
            <w:r>
              <w:rPr>
                <w:rFonts w:ascii="Arial" w:cs="Arial" w:eastAsia="Arial" w:hAnsi="Arial"/>
                <w:sz w:val="16"/>
                <w:szCs w:val="16"/>
                <w:b w:val="1"/>
                <w:bCs w:val="1"/>
                <w:color w:val="auto"/>
              </w:rPr>
              <w:t>Investments in Affiliates</w:t>
            </w:r>
          </w:p>
        </w:tc>
        <w:tc>
          <w:tcPr>
            <w:tcW w:w="220" w:type="dxa"/>
            <w:vAlign w:val="bottom"/>
          </w:tcPr>
          <w:p>
            <w:pPr>
              <w:spacing w:after="0"/>
              <w:rPr>
                <w:sz w:val="19"/>
                <w:szCs w:val="19"/>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b w:val="1"/>
                <w:bCs w:val="1"/>
                <w:color w:val="auto"/>
              </w:rPr>
              <w:t>156,935</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169,125</w:t>
            </w:r>
          </w:p>
        </w:tc>
        <w:tc>
          <w:tcPr>
            <w:tcW w:w="0" w:type="dxa"/>
            <w:vAlign w:val="bottom"/>
          </w:tcPr>
          <w:p>
            <w:pPr>
              <w:spacing w:after="0"/>
              <w:rPr>
                <w:sz w:val="1"/>
                <w:szCs w:val="1"/>
                <w:color w:val="auto"/>
              </w:rPr>
            </w:pPr>
          </w:p>
        </w:tc>
      </w:tr>
      <w:tr>
        <w:trPr>
          <w:trHeight w:val="229"/>
        </w:trPr>
        <w:tc>
          <w:tcPr>
            <w:tcW w:w="8200" w:type="dxa"/>
            <w:vAlign w:val="bottom"/>
          </w:tcPr>
          <w:p>
            <w:pPr>
              <w:ind w:left="20"/>
              <w:spacing w:after="0"/>
              <w:rPr>
                <w:sz w:val="20"/>
                <w:szCs w:val="20"/>
                <w:color w:val="auto"/>
              </w:rPr>
            </w:pPr>
            <w:r>
              <w:rPr>
                <w:rFonts w:ascii="Arial" w:cs="Arial" w:eastAsia="Arial" w:hAnsi="Arial"/>
                <w:sz w:val="16"/>
                <w:szCs w:val="16"/>
                <w:b w:val="1"/>
                <w:bCs w:val="1"/>
                <w:color w:val="auto"/>
              </w:rPr>
              <w:t>Goodwill, Net</w:t>
            </w:r>
          </w:p>
        </w:tc>
        <w:tc>
          <w:tcPr>
            <w:tcW w:w="220" w:type="dxa"/>
            <w:vAlign w:val="bottom"/>
          </w:tcPr>
          <w:p>
            <w:pPr>
              <w:spacing w:after="0"/>
              <w:rPr>
                <w:sz w:val="19"/>
                <w:szCs w:val="19"/>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b w:val="1"/>
                <w:bCs w:val="1"/>
                <w:color w:val="auto"/>
              </w:rPr>
              <w:t>1,509,399</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1,500,036</w:t>
            </w:r>
          </w:p>
        </w:tc>
        <w:tc>
          <w:tcPr>
            <w:tcW w:w="0" w:type="dxa"/>
            <w:vAlign w:val="bottom"/>
          </w:tcPr>
          <w:p>
            <w:pPr>
              <w:spacing w:after="0"/>
              <w:rPr>
                <w:sz w:val="1"/>
                <w:szCs w:val="1"/>
                <w:color w:val="auto"/>
              </w:rPr>
            </w:pPr>
          </w:p>
        </w:tc>
      </w:tr>
      <w:tr>
        <w:trPr>
          <w:trHeight w:val="229"/>
        </w:trPr>
        <w:tc>
          <w:tcPr>
            <w:tcW w:w="8200" w:type="dxa"/>
            <w:vAlign w:val="bottom"/>
          </w:tcPr>
          <w:p>
            <w:pPr>
              <w:ind w:left="20"/>
              <w:spacing w:after="0"/>
              <w:rPr>
                <w:sz w:val="20"/>
                <w:szCs w:val="20"/>
                <w:color w:val="auto"/>
              </w:rPr>
            </w:pPr>
            <w:r>
              <w:rPr>
                <w:rFonts w:ascii="Arial" w:cs="Arial" w:eastAsia="Arial" w:hAnsi="Arial"/>
                <w:sz w:val="16"/>
                <w:szCs w:val="16"/>
                <w:b w:val="1"/>
                <w:bCs w:val="1"/>
                <w:color w:val="auto"/>
              </w:rPr>
              <w:t>Indefinite-Lived Intangible Assets</w:t>
            </w:r>
          </w:p>
        </w:tc>
        <w:tc>
          <w:tcPr>
            <w:tcW w:w="220" w:type="dxa"/>
            <w:vAlign w:val="bottom"/>
          </w:tcPr>
          <w:p>
            <w:pPr>
              <w:spacing w:after="0"/>
              <w:rPr>
                <w:sz w:val="19"/>
                <w:szCs w:val="19"/>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b w:val="1"/>
                <w:bCs w:val="1"/>
                <w:color w:val="auto"/>
              </w:rPr>
              <w:t>164,998</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164,323</w:t>
            </w:r>
          </w:p>
        </w:tc>
        <w:tc>
          <w:tcPr>
            <w:tcW w:w="0" w:type="dxa"/>
            <w:vAlign w:val="bottom"/>
          </w:tcPr>
          <w:p>
            <w:pPr>
              <w:spacing w:after="0"/>
              <w:rPr>
                <w:sz w:val="1"/>
                <w:szCs w:val="1"/>
                <w:color w:val="auto"/>
              </w:rPr>
            </w:pPr>
          </w:p>
        </w:tc>
      </w:tr>
      <w:tr>
        <w:trPr>
          <w:trHeight w:val="230"/>
        </w:trPr>
        <w:tc>
          <w:tcPr>
            <w:tcW w:w="8200" w:type="dxa"/>
            <w:vAlign w:val="bottom"/>
          </w:tcPr>
          <w:p>
            <w:pPr>
              <w:ind w:left="20"/>
              <w:spacing w:after="0"/>
              <w:rPr>
                <w:sz w:val="20"/>
                <w:szCs w:val="20"/>
                <w:color w:val="auto"/>
              </w:rPr>
            </w:pPr>
            <w:r>
              <w:rPr>
                <w:rFonts w:ascii="Arial" w:cs="Arial" w:eastAsia="Arial" w:hAnsi="Arial"/>
                <w:sz w:val="16"/>
                <w:szCs w:val="16"/>
                <w:b w:val="1"/>
                <w:bCs w:val="1"/>
                <w:color w:val="auto"/>
              </w:rPr>
              <w:t>Amortized Intangible Assets, Net</w:t>
            </w:r>
          </w:p>
        </w:tc>
        <w:tc>
          <w:tcPr>
            <w:tcW w:w="220" w:type="dxa"/>
            <w:vAlign w:val="bottom"/>
          </w:tcPr>
          <w:p>
            <w:pPr>
              <w:spacing w:after="0"/>
              <w:rPr>
                <w:sz w:val="19"/>
                <w:szCs w:val="19"/>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b w:val="1"/>
                <w:bCs w:val="1"/>
                <w:color w:val="auto"/>
              </w:rPr>
              <w:t>47,634</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56,696</w:t>
            </w:r>
          </w:p>
        </w:tc>
        <w:tc>
          <w:tcPr>
            <w:tcW w:w="0" w:type="dxa"/>
            <w:vAlign w:val="bottom"/>
          </w:tcPr>
          <w:p>
            <w:pPr>
              <w:spacing w:after="0"/>
              <w:rPr>
                <w:sz w:val="1"/>
                <w:szCs w:val="1"/>
                <w:color w:val="auto"/>
              </w:rPr>
            </w:pPr>
          </w:p>
        </w:tc>
      </w:tr>
      <w:tr>
        <w:trPr>
          <w:trHeight w:val="229"/>
        </w:trPr>
        <w:tc>
          <w:tcPr>
            <w:tcW w:w="8200" w:type="dxa"/>
            <w:vAlign w:val="bottom"/>
          </w:tcPr>
          <w:p>
            <w:pPr>
              <w:ind w:left="20"/>
              <w:spacing w:after="0"/>
              <w:rPr>
                <w:sz w:val="20"/>
                <w:szCs w:val="20"/>
                <w:color w:val="auto"/>
              </w:rPr>
            </w:pPr>
            <w:r>
              <w:rPr>
                <w:rFonts w:ascii="Arial" w:cs="Arial" w:eastAsia="Arial" w:hAnsi="Arial"/>
                <w:sz w:val="16"/>
                <w:szCs w:val="16"/>
                <w:b w:val="1"/>
                <w:bCs w:val="1"/>
                <w:color w:val="auto"/>
              </w:rPr>
              <w:t>Prepaid Pension Cost</w:t>
            </w:r>
          </w:p>
        </w:tc>
        <w:tc>
          <w:tcPr>
            <w:tcW w:w="220" w:type="dxa"/>
            <w:vAlign w:val="bottom"/>
          </w:tcPr>
          <w:p>
            <w:pPr>
              <w:spacing w:after="0"/>
              <w:rPr>
                <w:sz w:val="19"/>
                <w:szCs w:val="19"/>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b w:val="1"/>
                <w:bCs w:val="1"/>
                <w:color w:val="auto"/>
              </w:rPr>
              <w:t>2,533,255</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2,510,520</w:t>
            </w:r>
          </w:p>
        </w:tc>
        <w:tc>
          <w:tcPr>
            <w:tcW w:w="0" w:type="dxa"/>
            <w:vAlign w:val="bottom"/>
          </w:tcPr>
          <w:p>
            <w:pPr>
              <w:spacing w:after="0"/>
              <w:rPr>
                <w:sz w:val="1"/>
                <w:szCs w:val="1"/>
                <w:color w:val="auto"/>
              </w:rPr>
            </w:pPr>
          </w:p>
        </w:tc>
      </w:tr>
      <w:tr>
        <w:trPr>
          <w:trHeight w:val="230"/>
        </w:trPr>
        <w:tc>
          <w:tcPr>
            <w:tcW w:w="8200" w:type="dxa"/>
            <w:vAlign w:val="bottom"/>
          </w:tcPr>
          <w:p>
            <w:pPr>
              <w:ind w:left="20"/>
              <w:spacing w:after="0"/>
              <w:rPr>
                <w:sz w:val="20"/>
                <w:szCs w:val="20"/>
                <w:color w:val="auto"/>
              </w:rPr>
            </w:pPr>
            <w:r>
              <w:rPr>
                <w:rFonts w:ascii="Arial" w:cs="Arial" w:eastAsia="Arial" w:hAnsi="Arial"/>
                <w:sz w:val="16"/>
                <w:szCs w:val="16"/>
                <w:b w:val="1"/>
                <w:bCs w:val="1"/>
                <w:color w:val="auto"/>
              </w:rPr>
              <w:t>Deferred Income Taxes</w:t>
            </w:r>
          </w:p>
        </w:tc>
        <w:tc>
          <w:tcPr>
            <w:tcW w:w="220" w:type="dxa"/>
            <w:vAlign w:val="bottom"/>
          </w:tcPr>
          <w:p>
            <w:pPr>
              <w:spacing w:after="0"/>
              <w:rPr>
                <w:sz w:val="19"/>
                <w:szCs w:val="19"/>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b w:val="1"/>
                <w:bCs w:val="1"/>
                <w:color w:val="auto"/>
              </w:rPr>
              <w:t>8,972</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8,908</w:t>
            </w:r>
          </w:p>
        </w:tc>
        <w:tc>
          <w:tcPr>
            <w:tcW w:w="0" w:type="dxa"/>
            <w:vAlign w:val="bottom"/>
          </w:tcPr>
          <w:p>
            <w:pPr>
              <w:spacing w:after="0"/>
              <w:rPr>
                <w:sz w:val="1"/>
                <w:szCs w:val="1"/>
                <w:color w:val="auto"/>
              </w:rPr>
            </w:pPr>
          </w:p>
        </w:tc>
      </w:tr>
      <w:tr>
        <w:trPr>
          <w:trHeight w:val="233"/>
        </w:trPr>
        <w:tc>
          <w:tcPr>
            <w:tcW w:w="8200" w:type="dxa"/>
            <w:vAlign w:val="bottom"/>
          </w:tcPr>
          <w:p>
            <w:pPr>
              <w:ind w:left="20"/>
              <w:spacing w:after="0"/>
              <w:rPr>
                <w:sz w:val="20"/>
                <w:szCs w:val="20"/>
                <w:color w:val="auto"/>
              </w:rPr>
            </w:pPr>
            <w:r>
              <w:rPr>
                <w:rFonts w:ascii="Arial" w:cs="Arial" w:eastAsia="Arial" w:hAnsi="Arial"/>
                <w:sz w:val="16"/>
                <w:szCs w:val="16"/>
                <w:b w:val="1"/>
                <w:bCs w:val="1"/>
                <w:color w:val="auto"/>
              </w:rPr>
              <w:t>Deferred Charges and Other Assets</w:t>
            </w:r>
          </w:p>
        </w:tc>
        <w:tc>
          <w:tcPr>
            <w:tcW w:w="2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231,623</w:t>
            </w:r>
          </w:p>
        </w:tc>
        <w:tc>
          <w:tcPr>
            <w:tcW w:w="2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231,190</w:t>
            </w:r>
          </w:p>
        </w:tc>
        <w:tc>
          <w:tcPr>
            <w:tcW w:w="0" w:type="dxa"/>
            <w:vAlign w:val="bottom"/>
          </w:tcPr>
          <w:p>
            <w:pPr>
              <w:spacing w:after="0"/>
              <w:rPr>
                <w:sz w:val="1"/>
                <w:szCs w:val="1"/>
                <w:color w:val="auto"/>
              </w:rPr>
            </w:pPr>
          </w:p>
        </w:tc>
      </w:tr>
      <w:tr>
        <w:trPr>
          <w:trHeight w:val="227"/>
        </w:trPr>
        <w:tc>
          <w:tcPr>
            <w:tcW w:w="8200" w:type="dxa"/>
            <w:vAlign w:val="bottom"/>
          </w:tcPr>
          <w:p>
            <w:pPr>
              <w:ind w:left="460"/>
              <w:spacing w:after="0"/>
              <w:rPr>
                <w:sz w:val="20"/>
                <w:szCs w:val="20"/>
                <w:color w:val="auto"/>
              </w:rPr>
            </w:pPr>
            <w:r>
              <w:rPr>
                <w:rFonts w:ascii="Arial" w:cs="Arial" w:eastAsia="Arial" w:hAnsi="Arial"/>
                <w:sz w:val="16"/>
                <w:szCs w:val="16"/>
                <w:b w:val="1"/>
                <w:bCs w:val="1"/>
                <w:color w:val="auto"/>
              </w:rPr>
              <w:t>Total Assets</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12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7,615,900</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7,677,205</w:t>
            </w:r>
          </w:p>
        </w:tc>
        <w:tc>
          <w:tcPr>
            <w:tcW w:w="0" w:type="dxa"/>
            <w:vAlign w:val="bottom"/>
          </w:tcPr>
          <w:p>
            <w:pPr>
              <w:spacing w:after="0"/>
              <w:rPr>
                <w:sz w:val="1"/>
                <w:szCs w:val="1"/>
                <w:color w:val="auto"/>
              </w:rPr>
            </w:pPr>
          </w:p>
        </w:tc>
      </w:tr>
      <w:tr>
        <w:trPr>
          <w:trHeight w:val="20"/>
        </w:trPr>
        <w:tc>
          <w:tcPr>
            <w:tcW w:w="820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Liabilities and Equity</w:t>
            </w: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96"/>
        </w:trPr>
        <w:tc>
          <w:tcPr>
            <w:tcW w:w="820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200" w:type="dxa"/>
            <w:vAlign w:val="bottom"/>
          </w:tcPr>
          <w:p>
            <w:pPr>
              <w:ind w:left="20"/>
              <w:spacing w:after="0"/>
              <w:rPr>
                <w:sz w:val="20"/>
                <w:szCs w:val="20"/>
                <w:color w:val="auto"/>
              </w:rPr>
            </w:pPr>
            <w:r>
              <w:rPr>
                <w:rFonts w:ascii="Arial" w:cs="Arial" w:eastAsia="Arial" w:hAnsi="Arial"/>
                <w:sz w:val="16"/>
                <w:szCs w:val="16"/>
                <w:b w:val="1"/>
                <w:bCs w:val="1"/>
                <w:color w:val="auto"/>
              </w:rPr>
              <w:t>Current Liabilities</w:t>
            </w: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00" w:type="dxa"/>
            <w:vAlign w:val="bottom"/>
          </w:tcPr>
          <w:p>
            <w:pPr>
              <w:ind w:left="220"/>
              <w:spacing w:after="0"/>
              <w:rPr>
                <w:sz w:val="20"/>
                <w:szCs w:val="20"/>
                <w:color w:val="auto"/>
              </w:rPr>
            </w:pPr>
            <w:r>
              <w:rPr>
                <w:rFonts w:ascii="Arial" w:cs="Arial" w:eastAsia="Arial" w:hAnsi="Arial"/>
                <w:sz w:val="16"/>
                <w:szCs w:val="16"/>
                <w:color w:val="auto"/>
              </w:rPr>
              <w:t>Accounts payable, vehicle floor plan payable and accrued liabilities</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1280" w:type="dxa"/>
            <w:vAlign w:val="bottom"/>
          </w:tcPr>
          <w:p>
            <w:pPr>
              <w:jc w:val="right"/>
              <w:ind w:right="40"/>
              <w:spacing w:after="0"/>
              <w:rPr>
                <w:sz w:val="20"/>
                <w:szCs w:val="20"/>
                <w:color w:val="auto"/>
              </w:rPr>
            </w:pPr>
            <w:r>
              <w:rPr>
                <w:rFonts w:ascii="Arial" w:cs="Arial" w:eastAsia="Arial" w:hAnsi="Arial"/>
                <w:sz w:val="16"/>
                <w:szCs w:val="16"/>
                <w:b w:val="1"/>
                <w:bCs w:val="1"/>
                <w:color w:val="auto"/>
              </w:rPr>
              <w:t>611,913</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712,505</w:t>
            </w:r>
          </w:p>
        </w:tc>
        <w:tc>
          <w:tcPr>
            <w:tcW w:w="0" w:type="dxa"/>
            <w:vAlign w:val="bottom"/>
          </w:tcPr>
          <w:p>
            <w:pPr>
              <w:spacing w:after="0"/>
              <w:rPr>
                <w:sz w:val="1"/>
                <w:szCs w:val="1"/>
                <w:color w:val="auto"/>
              </w:rPr>
            </w:pPr>
          </w:p>
        </w:tc>
      </w:tr>
      <w:tr>
        <w:trPr>
          <w:trHeight w:val="230"/>
        </w:trPr>
        <w:tc>
          <w:tcPr>
            <w:tcW w:w="8200" w:type="dxa"/>
            <w:vAlign w:val="bottom"/>
          </w:tcPr>
          <w:p>
            <w:pPr>
              <w:ind w:left="220"/>
              <w:spacing w:after="0"/>
              <w:rPr>
                <w:sz w:val="20"/>
                <w:szCs w:val="20"/>
                <w:color w:val="auto"/>
              </w:rPr>
            </w:pPr>
            <w:r>
              <w:rPr>
                <w:rFonts w:ascii="Arial" w:cs="Arial" w:eastAsia="Arial" w:hAnsi="Arial"/>
                <w:sz w:val="16"/>
                <w:szCs w:val="16"/>
                <w:color w:val="auto"/>
              </w:rPr>
              <w:t>Deferred revenue</w:t>
            </w:r>
          </w:p>
        </w:tc>
        <w:tc>
          <w:tcPr>
            <w:tcW w:w="220" w:type="dxa"/>
            <w:vAlign w:val="bottom"/>
          </w:tcPr>
          <w:p>
            <w:pPr>
              <w:spacing w:after="0"/>
              <w:rPr>
                <w:sz w:val="19"/>
                <w:szCs w:val="19"/>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b w:val="1"/>
                <w:bCs w:val="1"/>
                <w:color w:val="auto"/>
              </w:rPr>
              <w:t>402,047</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390,976</w:t>
            </w:r>
          </w:p>
        </w:tc>
        <w:tc>
          <w:tcPr>
            <w:tcW w:w="0" w:type="dxa"/>
            <w:vAlign w:val="bottom"/>
          </w:tcPr>
          <w:p>
            <w:pPr>
              <w:spacing w:after="0"/>
              <w:rPr>
                <w:sz w:val="1"/>
                <w:szCs w:val="1"/>
                <w:color w:val="auto"/>
              </w:rPr>
            </w:pPr>
          </w:p>
        </w:tc>
      </w:tr>
      <w:tr>
        <w:trPr>
          <w:trHeight w:val="230"/>
        </w:trPr>
        <w:tc>
          <w:tcPr>
            <w:tcW w:w="8200" w:type="dxa"/>
            <w:vAlign w:val="bottom"/>
          </w:tcPr>
          <w:p>
            <w:pPr>
              <w:ind w:left="220"/>
              <w:spacing w:after="0"/>
              <w:rPr>
                <w:sz w:val="20"/>
                <w:szCs w:val="20"/>
                <w:color w:val="auto"/>
              </w:rPr>
            </w:pPr>
            <w:r>
              <w:rPr>
                <w:rFonts w:ascii="Arial" w:cs="Arial" w:eastAsia="Arial" w:hAnsi="Arial"/>
                <w:sz w:val="16"/>
                <w:szCs w:val="16"/>
                <w:color w:val="auto"/>
              </w:rPr>
              <w:t>Income taxes payable</w:t>
            </w:r>
          </w:p>
        </w:tc>
        <w:tc>
          <w:tcPr>
            <w:tcW w:w="220" w:type="dxa"/>
            <w:vAlign w:val="bottom"/>
          </w:tcPr>
          <w:p>
            <w:pPr>
              <w:spacing w:after="0"/>
              <w:rPr>
                <w:sz w:val="19"/>
                <w:szCs w:val="19"/>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b w:val="1"/>
                <w:bCs w:val="1"/>
                <w:color w:val="auto"/>
              </w:rPr>
              <w:t>9,164</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11,502</w:t>
            </w:r>
          </w:p>
        </w:tc>
        <w:tc>
          <w:tcPr>
            <w:tcW w:w="0" w:type="dxa"/>
            <w:vAlign w:val="bottom"/>
          </w:tcPr>
          <w:p>
            <w:pPr>
              <w:spacing w:after="0"/>
              <w:rPr>
                <w:sz w:val="1"/>
                <w:szCs w:val="1"/>
                <w:color w:val="auto"/>
              </w:rPr>
            </w:pPr>
          </w:p>
        </w:tc>
      </w:tr>
      <w:tr>
        <w:trPr>
          <w:trHeight w:val="229"/>
        </w:trPr>
        <w:tc>
          <w:tcPr>
            <w:tcW w:w="8200" w:type="dxa"/>
            <w:vAlign w:val="bottom"/>
          </w:tcPr>
          <w:p>
            <w:pPr>
              <w:ind w:left="220"/>
              <w:spacing w:after="0"/>
              <w:rPr>
                <w:sz w:val="20"/>
                <w:szCs w:val="20"/>
                <w:color w:val="auto"/>
              </w:rPr>
            </w:pPr>
            <w:r>
              <w:rPr>
                <w:rFonts w:ascii="Arial" w:cs="Arial" w:eastAsia="Arial" w:hAnsi="Arial"/>
                <w:sz w:val="16"/>
                <w:szCs w:val="16"/>
                <w:color w:val="auto"/>
              </w:rPr>
              <w:t>Mandatorily redeemable noncontrolling interest</w:t>
            </w:r>
          </w:p>
        </w:tc>
        <w:tc>
          <w:tcPr>
            <w:tcW w:w="220" w:type="dxa"/>
            <w:vAlign w:val="bottom"/>
          </w:tcPr>
          <w:p>
            <w:pPr>
              <w:spacing w:after="0"/>
              <w:rPr>
                <w:sz w:val="19"/>
                <w:szCs w:val="19"/>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b w:val="1"/>
                <w:bCs w:val="1"/>
                <w:color w:val="auto"/>
              </w:rPr>
              <w:t>8,371</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0"/>
        </w:trPr>
        <w:tc>
          <w:tcPr>
            <w:tcW w:w="8200" w:type="dxa"/>
            <w:vAlign w:val="bottom"/>
          </w:tcPr>
          <w:p>
            <w:pPr>
              <w:ind w:left="220"/>
              <w:spacing w:after="0"/>
              <w:rPr>
                <w:sz w:val="20"/>
                <w:szCs w:val="20"/>
                <w:color w:val="auto"/>
              </w:rPr>
            </w:pPr>
            <w:r>
              <w:rPr>
                <w:rFonts w:ascii="Arial" w:cs="Arial" w:eastAsia="Arial" w:hAnsi="Arial"/>
                <w:sz w:val="16"/>
                <w:szCs w:val="16"/>
                <w:color w:val="auto"/>
              </w:rPr>
              <w:t>Current portion of lease liabilities</w:t>
            </w:r>
          </w:p>
        </w:tc>
        <w:tc>
          <w:tcPr>
            <w:tcW w:w="220" w:type="dxa"/>
            <w:vAlign w:val="bottom"/>
          </w:tcPr>
          <w:p>
            <w:pPr>
              <w:spacing w:after="0"/>
              <w:rPr>
                <w:sz w:val="19"/>
                <w:szCs w:val="19"/>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b w:val="1"/>
                <w:bCs w:val="1"/>
                <w:color w:val="auto"/>
              </w:rPr>
              <w:t>61,156</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58,239</w:t>
            </w:r>
          </w:p>
        </w:tc>
        <w:tc>
          <w:tcPr>
            <w:tcW w:w="0" w:type="dxa"/>
            <w:vAlign w:val="bottom"/>
          </w:tcPr>
          <w:p>
            <w:pPr>
              <w:spacing w:after="0"/>
              <w:rPr>
                <w:sz w:val="1"/>
                <w:szCs w:val="1"/>
                <w:color w:val="auto"/>
              </w:rPr>
            </w:pPr>
          </w:p>
        </w:tc>
      </w:tr>
      <w:tr>
        <w:trPr>
          <w:trHeight w:val="230"/>
        </w:trPr>
        <w:tc>
          <w:tcPr>
            <w:tcW w:w="8200" w:type="dxa"/>
            <w:vAlign w:val="bottom"/>
          </w:tcPr>
          <w:p>
            <w:pPr>
              <w:ind w:left="220"/>
              <w:spacing w:after="0"/>
              <w:rPr>
                <w:sz w:val="20"/>
                <w:szCs w:val="20"/>
                <w:color w:val="auto"/>
              </w:rPr>
            </w:pPr>
            <w:r>
              <w:rPr>
                <w:rFonts w:ascii="Arial" w:cs="Arial" w:eastAsia="Arial" w:hAnsi="Arial"/>
                <w:sz w:val="16"/>
                <w:szCs w:val="16"/>
                <w:color w:val="auto"/>
              </w:rPr>
              <w:t>Current portion of long-term debt</w:t>
            </w:r>
          </w:p>
        </w:tc>
        <w:tc>
          <w:tcPr>
            <w:tcW w:w="220" w:type="dxa"/>
            <w:vAlign w:val="bottom"/>
          </w:tcPr>
          <w:p>
            <w:pPr>
              <w:spacing w:after="0"/>
              <w:rPr>
                <w:sz w:val="19"/>
                <w:szCs w:val="19"/>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b w:val="1"/>
                <w:bCs w:val="1"/>
                <w:color w:val="auto"/>
              </w:rPr>
              <w:t>149,178</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26,577</w:t>
            </w:r>
          </w:p>
        </w:tc>
        <w:tc>
          <w:tcPr>
            <w:tcW w:w="0" w:type="dxa"/>
            <w:vAlign w:val="bottom"/>
          </w:tcPr>
          <w:p>
            <w:pPr>
              <w:spacing w:after="0"/>
              <w:rPr>
                <w:sz w:val="1"/>
                <w:szCs w:val="1"/>
                <w:color w:val="auto"/>
              </w:rPr>
            </w:pPr>
          </w:p>
        </w:tc>
      </w:tr>
      <w:tr>
        <w:trPr>
          <w:trHeight w:val="230"/>
        </w:trPr>
        <w:tc>
          <w:tcPr>
            <w:tcW w:w="8200" w:type="dxa"/>
            <w:vAlign w:val="bottom"/>
          </w:tcPr>
          <w:p>
            <w:pPr>
              <w:ind w:left="220"/>
              <w:spacing w:after="0"/>
              <w:rPr>
                <w:sz w:val="20"/>
                <w:szCs w:val="20"/>
                <w:color w:val="auto"/>
              </w:rPr>
            </w:pPr>
            <w:r>
              <w:rPr>
                <w:rFonts w:ascii="Arial" w:cs="Arial" w:eastAsia="Arial" w:hAnsi="Arial"/>
                <w:sz w:val="16"/>
                <w:szCs w:val="16"/>
                <w:color w:val="auto"/>
              </w:rPr>
              <w:t>Dividends declared</w:t>
            </w:r>
          </w:p>
        </w:tc>
        <w:tc>
          <w:tcPr>
            <w:tcW w:w="2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7,849</w:t>
            </w:r>
          </w:p>
        </w:tc>
        <w:tc>
          <w:tcPr>
            <w:tcW w:w="2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3"/>
        </w:trPr>
        <w:tc>
          <w:tcPr>
            <w:tcW w:w="8200" w:type="dxa"/>
            <w:vAlign w:val="bottom"/>
          </w:tcPr>
          <w:p>
            <w:pPr>
              <w:ind w:left="460"/>
              <w:spacing w:after="0"/>
              <w:rPr>
                <w:sz w:val="20"/>
                <w:szCs w:val="20"/>
                <w:color w:val="auto"/>
              </w:rPr>
            </w:pPr>
            <w:r>
              <w:rPr>
                <w:rFonts w:ascii="Arial" w:cs="Arial" w:eastAsia="Arial" w:hAnsi="Arial"/>
                <w:sz w:val="16"/>
                <w:szCs w:val="16"/>
                <w:b w:val="1"/>
                <w:bCs w:val="1"/>
                <w:color w:val="auto"/>
              </w:rPr>
              <w:t>Total Current Liabilities</w:t>
            </w:r>
          </w:p>
        </w:tc>
        <w:tc>
          <w:tcPr>
            <w:tcW w:w="220" w:type="dxa"/>
            <w:vAlign w:val="bottom"/>
          </w:tcPr>
          <w:p>
            <w:pPr>
              <w:spacing w:after="0"/>
              <w:rPr>
                <w:sz w:val="19"/>
                <w:szCs w:val="19"/>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b w:val="1"/>
                <w:bCs w:val="1"/>
                <w:color w:val="auto"/>
              </w:rPr>
              <w:t>1,249,678</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1,199,799</w:t>
            </w:r>
          </w:p>
        </w:tc>
        <w:tc>
          <w:tcPr>
            <w:tcW w:w="0" w:type="dxa"/>
            <w:vAlign w:val="bottom"/>
          </w:tcPr>
          <w:p>
            <w:pPr>
              <w:spacing w:after="0"/>
              <w:rPr>
                <w:sz w:val="1"/>
                <w:szCs w:val="1"/>
                <w:color w:val="auto"/>
              </w:rPr>
            </w:pPr>
          </w:p>
        </w:tc>
      </w:tr>
      <w:tr>
        <w:trPr>
          <w:trHeight w:val="229"/>
        </w:trPr>
        <w:tc>
          <w:tcPr>
            <w:tcW w:w="8200" w:type="dxa"/>
            <w:vAlign w:val="bottom"/>
          </w:tcPr>
          <w:p>
            <w:pPr>
              <w:ind w:left="20"/>
              <w:spacing w:after="0"/>
              <w:rPr>
                <w:sz w:val="20"/>
                <w:szCs w:val="20"/>
                <w:color w:val="auto"/>
              </w:rPr>
            </w:pPr>
            <w:r>
              <w:rPr>
                <w:rFonts w:ascii="Arial" w:cs="Arial" w:eastAsia="Arial" w:hAnsi="Arial"/>
                <w:sz w:val="16"/>
                <w:szCs w:val="16"/>
                <w:b w:val="1"/>
                <w:bCs w:val="1"/>
                <w:color w:val="auto"/>
              </w:rPr>
              <w:t>Accrued Compensation and Related Benefits</w:t>
            </w:r>
          </w:p>
        </w:tc>
        <w:tc>
          <w:tcPr>
            <w:tcW w:w="220" w:type="dxa"/>
            <w:vAlign w:val="bottom"/>
          </w:tcPr>
          <w:p>
            <w:pPr>
              <w:spacing w:after="0"/>
              <w:rPr>
                <w:sz w:val="19"/>
                <w:szCs w:val="19"/>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b w:val="1"/>
                <w:bCs w:val="1"/>
                <w:color w:val="auto"/>
              </w:rPr>
              <w:t>130,534</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136,101</w:t>
            </w:r>
          </w:p>
        </w:tc>
        <w:tc>
          <w:tcPr>
            <w:tcW w:w="0" w:type="dxa"/>
            <w:vAlign w:val="bottom"/>
          </w:tcPr>
          <w:p>
            <w:pPr>
              <w:spacing w:after="0"/>
              <w:rPr>
                <w:sz w:val="1"/>
                <w:szCs w:val="1"/>
                <w:color w:val="auto"/>
              </w:rPr>
            </w:pPr>
          </w:p>
        </w:tc>
      </w:tr>
      <w:tr>
        <w:trPr>
          <w:trHeight w:val="230"/>
        </w:trPr>
        <w:tc>
          <w:tcPr>
            <w:tcW w:w="8200" w:type="dxa"/>
            <w:vAlign w:val="bottom"/>
          </w:tcPr>
          <w:p>
            <w:pPr>
              <w:ind w:left="20"/>
              <w:spacing w:after="0"/>
              <w:rPr>
                <w:sz w:val="20"/>
                <w:szCs w:val="20"/>
                <w:color w:val="auto"/>
              </w:rPr>
            </w:pPr>
            <w:r>
              <w:rPr>
                <w:rFonts w:ascii="Arial" w:cs="Arial" w:eastAsia="Arial" w:hAnsi="Arial"/>
                <w:sz w:val="16"/>
                <w:szCs w:val="16"/>
                <w:b w:val="1"/>
                <w:bCs w:val="1"/>
                <w:color w:val="auto"/>
              </w:rPr>
              <w:t>Other Liabilities</w:t>
            </w:r>
          </w:p>
        </w:tc>
        <w:tc>
          <w:tcPr>
            <w:tcW w:w="220" w:type="dxa"/>
            <w:vAlign w:val="bottom"/>
          </w:tcPr>
          <w:p>
            <w:pPr>
              <w:spacing w:after="0"/>
              <w:rPr>
                <w:sz w:val="19"/>
                <w:szCs w:val="19"/>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b w:val="1"/>
                <w:bCs w:val="1"/>
                <w:color w:val="auto"/>
              </w:rPr>
              <w:t>27,329</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27,361</w:t>
            </w:r>
          </w:p>
        </w:tc>
        <w:tc>
          <w:tcPr>
            <w:tcW w:w="0" w:type="dxa"/>
            <w:vAlign w:val="bottom"/>
          </w:tcPr>
          <w:p>
            <w:pPr>
              <w:spacing w:after="0"/>
              <w:rPr>
                <w:sz w:val="1"/>
                <w:szCs w:val="1"/>
                <w:color w:val="auto"/>
              </w:rPr>
            </w:pPr>
          </w:p>
        </w:tc>
      </w:tr>
      <w:tr>
        <w:trPr>
          <w:trHeight w:val="230"/>
        </w:trPr>
        <w:tc>
          <w:tcPr>
            <w:tcW w:w="8200" w:type="dxa"/>
            <w:vAlign w:val="bottom"/>
          </w:tcPr>
          <w:p>
            <w:pPr>
              <w:ind w:left="20"/>
              <w:spacing w:after="0"/>
              <w:rPr>
                <w:sz w:val="20"/>
                <w:szCs w:val="20"/>
                <w:color w:val="auto"/>
              </w:rPr>
            </w:pPr>
            <w:r>
              <w:rPr>
                <w:rFonts w:ascii="Arial" w:cs="Arial" w:eastAsia="Arial" w:hAnsi="Arial"/>
                <w:sz w:val="16"/>
                <w:szCs w:val="16"/>
                <w:b w:val="1"/>
                <w:bCs w:val="1"/>
                <w:color w:val="auto"/>
              </w:rPr>
              <w:t>Deferred Income Taxes</w:t>
            </w:r>
          </w:p>
        </w:tc>
        <w:tc>
          <w:tcPr>
            <w:tcW w:w="220" w:type="dxa"/>
            <w:vAlign w:val="bottom"/>
          </w:tcPr>
          <w:p>
            <w:pPr>
              <w:spacing w:after="0"/>
              <w:rPr>
                <w:sz w:val="19"/>
                <w:szCs w:val="19"/>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b w:val="1"/>
                <w:bCs w:val="1"/>
                <w:color w:val="auto"/>
              </w:rPr>
              <w:t>739,871</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739,260</w:t>
            </w:r>
          </w:p>
        </w:tc>
        <w:tc>
          <w:tcPr>
            <w:tcW w:w="0" w:type="dxa"/>
            <w:vAlign w:val="bottom"/>
          </w:tcPr>
          <w:p>
            <w:pPr>
              <w:spacing w:after="0"/>
              <w:rPr>
                <w:sz w:val="1"/>
                <w:szCs w:val="1"/>
                <w:color w:val="auto"/>
              </w:rPr>
            </w:pPr>
          </w:p>
        </w:tc>
      </w:tr>
      <w:tr>
        <w:trPr>
          <w:trHeight w:val="230"/>
        </w:trPr>
        <w:tc>
          <w:tcPr>
            <w:tcW w:w="8200" w:type="dxa"/>
            <w:vAlign w:val="bottom"/>
          </w:tcPr>
          <w:p>
            <w:pPr>
              <w:ind w:left="20"/>
              <w:spacing w:after="0"/>
              <w:rPr>
                <w:sz w:val="20"/>
                <w:szCs w:val="20"/>
                <w:color w:val="auto"/>
              </w:rPr>
            </w:pPr>
            <w:r>
              <w:rPr>
                <w:rFonts w:ascii="Arial" w:cs="Arial" w:eastAsia="Arial" w:hAnsi="Arial"/>
                <w:sz w:val="16"/>
                <w:szCs w:val="16"/>
                <w:b w:val="1"/>
                <w:bCs w:val="1"/>
                <w:color w:val="auto"/>
              </w:rPr>
              <w:t>Mandatorily Redeemable Noncontrolling Interest</w:t>
            </w:r>
          </w:p>
        </w:tc>
        <w:tc>
          <w:tcPr>
            <w:tcW w:w="220" w:type="dxa"/>
            <w:vAlign w:val="bottom"/>
          </w:tcPr>
          <w:p>
            <w:pPr>
              <w:spacing w:after="0"/>
              <w:rPr>
                <w:sz w:val="19"/>
                <w:szCs w:val="19"/>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b w:val="1"/>
                <w:bCs w:val="1"/>
                <w:color w:val="auto"/>
              </w:rPr>
              <w:t>12,349</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159,548</w:t>
            </w:r>
          </w:p>
        </w:tc>
        <w:tc>
          <w:tcPr>
            <w:tcW w:w="0" w:type="dxa"/>
            <w:vAlign w:val="bottom"/>
          </w:tcPr>
          <w:p>
            <w:pPr>
              <w:spacing w:after="0"/>
              <w:rPr>
                <w:sz w:val="1"/>
                <w:szCs w:val="1"/>
                <w:color w:val="auto"/>
              </w:rPr>
            </w:pPr>
          </w:p>
        </w:tc>
      </w:tr>
      <w:tr>
        <w:trPr>
          <w:trHeight w:val="229"/>
        </w:trPr>
        <w:tc>
          <w:tcPr>
            <w:tcW w:w="8200" w:type="dxa"/>
            <w:vAlign w:val="bottom"/>
          </w:tcPr>
          <w:p>
            <w:pPr>
              <w:ind w:left="20"/>
              <w:spacing w:after="0"/>
              <w:rPr>
                <w:sz w:val="20"/>
                <w:szCs w:val="20"/>
                <w:color w:val="auto"/>
              </w:rPr>
            </w:pPr>
            <w:r>
              <w:rPr>
                <w:rFonts w:ascii="Arial" w:cs="Arial" w:eastAsia="Arial" w:hAnsi="Arial"/>
                <w:sz w:val="16"/>
                <w:szCs w:val="16"/>
                <w:b w:val="1"/>
                <w:bCs w:val="1"/>
                <w:color w:val="auto"/>
              </w:rPr>
              <w:t>Lease Liabilities</w:t>
            </w:r>
          </w:p>
        </w:tc>
        <w:tc>
          <w:tcPr>
            <w:tcW w:w="220" w:type="dxa"/>
            <w:vAlign w:val="bottom"/>
          </w:tcPr>
          <w:p>
            <w:pPr>
              <w:spacing w:after="0"/>
              <w:rPr>
                <w:sz w:val="19"/>
                <w:szCs w:val="19"/>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b w:val="1"/>
                <w:bCs w:val="1"/>
                <w:color w:val="auto"/>
              </w:rPr>
              <w:t>371,331</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362,885</w:t>
            </w:r>
          </w:p>
        </w:tc>
        <w:tc>
          <w:tcPr>
            <w:tcW w:w="0" w:type="dxa"/>
            <w:vAlign w:val="bottom"/>
          </w:tcPr>
          <w:p>
            <w:pPr>
              <w:spacing w:after="0"/>
              <w:rPr>
                <w:sz w:val="1"/>
                <w:szCs w:val="1"/>
                <w:color w:val="auto"/>
              </w:rPr>
            </w:pPr>
          </w:p>
        </w:tc>
      </w:tr>
      <w:tr>
        <w:trPr>
          <w:trHeight w:val="231"/>
        </w:trPr>
        <w:tc>
          <w:tcPr>
            <w:tcW w:w="8200" w:type="dxa"/>
            <w:vAlign w:val="bottom"/>
          </w:tcPr>
          <w:p>
            <w:pPr>
              <w:ind w:left="20"/>
              <w:spacing w:after="0"/>
              <w:rPr>
                <w:sz w:val="20"/>
                <w:szCs w:val="20"/>
                <w:color w:val="auto"/>
              </w:rPr>
            </w:pPr>
            <w:r>
              <w:rPr>
                <w:rFonts w:ascii="Arial" w:cs="Arial" w:eastAsia="Arial" w:hAnsi="Arial"/>
                <w:sz w:val="16"/>
                <w:szCs w:val="16"/>
                <w:b w:val="1"/>
                <w:bCs w:val="1"/>
                <w:color w:val="auto"/>
              </w:rPr>
              <w:t>Long-Term Debt</w:t>
            </w:r>
          </w:p>
        </w:tc>
        <w:tc>
          <w:tcPr>
            <w:tcW w:w="2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715,457</w:t>
            </w:r>
          </w:p>
        </w:tc>
        <w:tc>
          <w:tcPr>
            <w:tcW w:w="2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721,615</w:t>
            </w:r>
          </w:p>
        </w:tc>
        <w:tc>
          <w:tcPr>
            <w:tcW w:w="0" w:type="dxa"/>
            <w:vAlign w:val="bottom"/>
          </w:tcPr>
          <w:p>
            <w:pPr>
              <w:spacing w:after="0"/>
              <w:rPr>
                <w:sz w:val="1"/>
                <w:szCs w:val="1"/>
                <w:color w:val="auto"/>
              </w:rPr>
            </w:pPr>
          </w:p>
        </w:tc>
      </w:tr>
      <w:tr>
        <w:trPr>
          <w:trHeight w:val="223"/>
        </w:trPr>
        <w:tc>
          <w:tcPr>
            <w:tcW w:w="8200" w:type="dxa"/>
            <w:vAlign w:val="bottom"/>
          </w:tcPr>
          <w:p>
            <w:pPr>
              <w:ind w:left="460"/>
              <w:spacing w:after="0"/>
              <w:rPr>
                <w:sz w:val="20"/>
                <w:szCs w:val="20"/>
                <w:color w:val="auto"/>
              </w:rPr>
            </w:pPr>
            <w:r>
              <w:rPr>
                <w:rFonts w:ascii="Arial" w:cs="Arial" w:eastAsia="Arial" w:hAnsi="Arial"/>
                <w:sz w:val="16"/>
                <w:szCs w:val="16"/>
                <w:b w:val="1"/>
                <w:bCs w:val="1"/>
                <w:color w:val="auto"/>
              </w:rPr>
              <w:t>Total Liabilities</w:t>
            </w: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3,246,549</w:t>
            </w: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3,346,569</w:t>
            </w:r>
          </w:p>
        </w:tc>
        <w:tc>
          <w:tcPr>
            <w:tcW w:w="0" w:type="dxa"/>
            <w:vAlign w:val="bottom"/>
          </w:tcPr>
          <w:p>
            <w:pPr>
              <w:spacing w:after="0"/>
              <w:rPr>
                <w:sz w:val="1"/>
                <w:szCs w:val="1"/>
                <w:color w:val="auto"/>
              </w:rPr>
            </w:pPr>
          </w:p>
        </w:tc>
      </w:tr>
      <w:tr>
        <w:trPr>
          <w:trHeight w:val="208"/>
        </w:trPr>
        <w:tc>
          <w:tcPr>
            <w:tcW w:w="8200" w:type="dxa"/>
            <w:vAlign w:val="bottom"/>
          </w:tcPr>
          <w:p>
            <w:pPr>
              <w:ind w:left="20"/>
              <w:spacing w:after="0"/>
              <w:rPr>
                <w:sz w:val="20"/>
                <w:szCs w:val="20"/>
                <w:color w:val="auto"/>
              </w:rPr>
            </w:pPr>
            <w:r>
              <w:rPr>
                <w:rFonts w:ascii="Arial" w:cs="Arial" w:eastAsia="Arial" w:hAnsi="Arial"/>
                <w:sz w:val="16"/>
                <w:szCs w:val="16"/>
                <w:b w:val="1"/>
                <w:bCs w:val="1"/>
                <w:color w:val="auto"/>
              </w:rPr>
              <w:t xml:space="preserve">Commitments and Contingencies </w:t>
            </w:r>
            <w:r>
              <w:rPr>
                <w:rFonts w:ascii="Arial" w:cs="Arial" w:eastAsia="Arial" w:hAnsi="Arial"/>
                <w:sz w:val="16"/>
                <w:szCs w:val="16"/>
                <w:color w:val="auto"/>
              </w:rPr>
              <w:t>(Note 14)</w:t>
            </w: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8200" w:type="dxa"/>
            <w:vAlign w:val="bottom"/>
          </w:tcPr>
          <w:p>
            <w:pPr>
              <w:ind w:left="20"/>
              <w:spacing w:after="0"/>
              <w:rPr>
                <w:sz w:val="20"/>
                <w:szCs w:val="20"/>
                <w:color w:val="auto"/>
              </w:rPr>
            </w:pPr>
            <w:r>
              <w:rPr>
                <w:rFonts w:ascii="Arial" w:cs="Arial" w:eastAsia="Arial" w:hAnsi="Arial"/>
                <w:sz w:val="16"/>
                <w:szCs w:val="16"/>
                <w:b w:val="1"/>
                <w:bCs w:val="1"/>
                <w:color w:val="auto"/>
              </w:rPr>
              <w:t>Redeemable Noncontrolling Interests</w:t>
            </w:r>
          </w:p>
        </w:tc>
        <w:tc>
          <w:tcPr>
            <w:tcW w:w="2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43,586</w:t>
            </w:r>
          </w:p>
        </w:tc>
        <w:tc>
          <w:tcPr>
            <w:tcW w:w="2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43,821</w:t>
            </w:r>
          </w:p>
        </w:tc>
        <w:tc>
          <w:tcPr>
            <w:tcW w:w="0" w:type="dxa"/>
            <w:vAlign w:val="bottom"/>
          </w:tcPr>
          <w:p>
            <w:pPr>
              <w:spacing w:after="0"/>
              <w:rPr>
                <w:sz w:val="1"/>
                <w:szCs w:val="1"/>
                <w:color w:val="auto"/>
              </w:rPr>
            </w:pPr>
          </w:p>
        </w:tc>
      </w:tr>
      <w:tr>
        <w:trPr>
          <w:trHeight w:val="223"/>
        </w:trPr>
        <w:tc>
          <w:tcPr>
            <w:tcW w:w="8200" w:type="dxa"/>
            <w:vAlign w:val="bottom"/>
          </w:tcPr>
          <w:p>
            <w:pPr>
              <w:ind w:left="20"/>
              <w:spacing w:after="0"/>
              <w:rPr>
                <w:sz w:val="20"/>
                <w:szCs w:val="20"/>
                <w:color w:val="auto"/>
              </w:rPr>
            </w:pPr>
            <w:r>
              <w:rPr>
                <w:rFonts w:ascii="Arial" w:cs="Arial" w:eastAsia="Arial" w:hAnsi="Arial"/>
                <w:sz w:val="16"/>
                <w:szCs w:val="16"/>
                <w:b w:val="1"/>
                <w:bCs w:val="1"/>
                <w:color w:val="auto"/>
              </w:rPr>
              <w:t>Preferred Stock</w:t>
            </w: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w:t>
            </w: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2"/>
        </w:trPr>
        <w:tc>
          <w:tcPr>
            <w:tcW w:w="8200" w:type="dxa"/>
            <w:vAlign w:val="bottom"/>
          </w:tcPr>
          <w:p>
            <w:pPr>
              <w:ind w:left="20"/>
              <w:spacing w:after="0"/>
              <w:rPr>
                <w:sz w:val="20"/>
                <w:szCs w:val="20"/>
                <w:color w:val="auto"/>
              </w:rPr>
            </w:pPr>
            <w:r>
              <w:rPr>
                <w:rFonts w:ascii="Arial" w:cs="Arial" w:eastAsia="Arial" w:hAnsi="Arial"/>
                <w:sz w:val="16"/>
                <w:szCs w:val="16"/>
                <w:b w:val="1"/>
                <w:bCs w:val="1"/>
                <w:color w:val="auto"/>
              </w:rPr>
              <w:t>Common Stockholders’ Equity</w:t>
            </w: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00" w:type="dxa"/>
            <w:vAlign w:val="bottom"/>
          </w:tcPr>
          <w:p>
            <w:pPr>
              <w:ind w:left="220"/>
              <w:spacing w:after="0"/>
              <w:rPr>
                <w:sz w:val="20"/>
                <w:szCs w:val="20"/>
                <w:color w:val="auto"/>
              </w:rPr>
            </w:pPr>
            <w:r>
              <w:rPr>
                <w:rFonts w:ascii="Arial" w:cs="Arial" w:eastAsia="Arial" w:hAnsi="Arial"/>
                <w:sz w:val="16"/>
                <w:szCs w:val="16"/>
                <w:color w:val="auto"/>
              </w:rPr>
              <w:t>Common stock</w:t>
            </w:r>
          </w:p>
        </w:tc>
        <w:tc>
          <w:tcPr>
            <w:tcW w:w="220" w:type="dxa"/>
            <w:vAlign w:val="bottom"/>
          </w:tcPr>
          <w:p>
            <w:pPr>
              <w:spacing w:after="0"/>
              <w:rPr>
                <w:sz w:val="19"/>
                <w:szCs w:val="19"/>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b w:val="1"/>
                <w:bCs w:val="1"/>
                <w:color w:val="auto"/>
              </w:rPr>
              <w:t>20,000</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20,000</w:t>
            </w:r>
          </w:p>
        </w:tc>
        <w:tc>
          <w:tcPr>
            <w:tcW w:w="0" w:type="dxa"/>
            <w:vAlign w:val="bottom"/>
          </w:tcPr>
          <w:p>
            <w:pPr>
              <w:spacing w:after="0"/>
              <w:rPr>
                <w:sz w:val="1"/>
                <w:szCs w:val="1"/>
                <w:color w:val="auto"/>
              </w:rPr>
            </w:pPr>
          </w:p>
        </w:tc>
      </w:tr>
      <w:tr>
        <w:trPr>
          <w:trHeight w:val="229"/>
        </w:trPr>
        <w:tc>
          <w:tcPr>
            <w:tcW w:w="8200" w:type="dxa"/>
            <w:vAlign w:val="bottom"/>
          </w:tcPr>
          <w:p>
            <w:pPr>
              <w:ind w:left="220"/>
              <w:spacing w:after="0"/>
              <w:rPr>
                <w:sz w:val="20"/>
                <w:szCs w:val="20"/>
                <w:color w:val="auto"/>
              </w:rPr>
            </w:pPr>
            <w:r>
              <w:rPr>
                <w:rFonts w:ascii="Arial" w:cs="Arial" w:eastAsia="Arial" w:hAnsi="Arial"/>
                <w:sz w:val="16"/>
                <w:szCs w:val="16"/>
                <w:color w:val="auto"/>
              </w:rPr>
              <w:t>Capital in excess of par value</w:t>
            </w:r>
          </w:p>
        </w:tc>
        <w:tc>
          <w:tcPr>
            <w:tcW w:w="220" w:type="dxa"/>
            <w:vAlign w:val="bottom"/>
          </w:tcPr>
          <w:p>
            <w:pPr>
              <w:spacing w:after="0"/>
              <w:rPr>
                <w:sz w:val="19"/>
                <w:szCs w:val="19"/>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b w:val="1"/>
                <w:bCs w:val="1"/>
                <w:color w:val="auto"/>
              </w:rPr>
              <w:t>368,074</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356,919</w:t>
            </w:r>
          </w:p>
        </w:tc>
        <w:tc>
          <w:tcPr>
            <w:tcW w:w="0" w:type="dxa"/>
            <w:vAlign w:val="bottom"/>
          </w:tcPr>
          <w:p>
            <w:pPr>
              <w:spacing w:after="0"/>
              <w:rPr>
                <w:sz w:val="1"/>
                <w:szCs w:val="1"/>
                <w:color w:val="auto"/>
              </w:rPr>
            </w:pPr>
          </w:p>
        </w:tc>
      </w:tr>
      <w:tr>
        <w:trPr>
          <w:trHeight w:val="230"/>
        </w:trPr>
        <w:tc>
          <w:tcPr>
            <w:tcW w:w="8200" w:type="dxa"/>
            <w:vAlign w:val="bottom"/>
          </w:tcPr>
          <w:p>
            <w:pPr>
              <w:ind w:left="220"/>
              <w:spacing w:after="0"/>
              <w:rPr>
                <w:sz w:val="20"/>
                <w:szCs w:val="20"/>
                <w:color w:val="auto"/>
              </w:rPr>
            </w:pPr>
            <w:r>
              <w:rPr>
                <w:rFonts w:ascii="Arial" w:cs="Arial" w:eastAsia="Arial" w:hAnsi="Arial"/>
                <w:sz w:val="16"/>
                <w:szCs w:val="16"/>
                <w:color w:val="auto"/>
              </w:rPr>
              <w:t>Retained earnings</w:t>
            </w:r>
          </w:p>
        </w:tc>
        <w:tc>
          <w:tcPr>
            <w:tcW w:w="220" w:type="dxa"/>
            <w:vAlign w:val="bottom"/>
          </w:tcPr>
          <w:p>
            <w:pPr>
              <w:spacing w:after="0"/>
              <w:rPr>
                <w:sz w:val="19"/>
                <w:szCs w:val="19"/>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b w:val="1"/>
                <w:bCs w:val="1"/>
                <w:color w:val="auto"/>
              </w:rPr>
              <w:t>8,039,982</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8,031,750</w:t>
            </w:r>
          </w:p>
        </w:tc>
        <w:tc>
          <w:tcPr>
            <w:tcW w:w="0" w:type="dxa"/>
            <w:vAlign w:val="bottom"/>
          </w:tcPr>
          <w:p>
            <w:pPr>
              <w:spacing w:after="0"/>
              <w:rPr>
                <w:sz w:val="1"/>
                <w:szCs w:val="1"/>
                <w:color w:val="auto"/>
              </w:rPr>
            </w:pPr>
          </w:p>
        </w:tc>
      </w:tr>
      <w:tr>
        <w:trPr>
          <w:trHeight w:val="222"/>
        </w:trPr>
        <w:tc>
          <w:tcPr>
            <w:tcW w:w="8200" w:type="dxa"/>
            <w:vAlign w:val="bottom"/>
          </w:tcPr>
          <w:p>
            <w:pPr>
              <w:ind w:left="220"/>
              <w:spacing w:after="0"/>
              <w:rPr>
                <w:sz w:val="20"/>
                <w:szCs w:val="20"/>
                <w:color w:val="auto"/>
              </w:rPr>
            </w:pPr>
            <w:r>
              <w:rPr>
                <w:rFonts w:ascii="Arial" w:cs="Arial" w:eastAsia="Arial" w:hAnsi="Arial"/>
                <w:sz w:val="16"/>
                <w:szCs w:val="16"/>
                <w:color w:val="auto"/>
              </w:rPr>
              <w:t>Accumulated other comprehensive income, net of taxes</w:t>
            </w: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200" w:type="dxa"/>
            <w:vAlign w:val="bottom"/>
          </w:tcPr>
          <w:p>
            <w:pPr>
              <w:ind w:left="460"/>
              <w:spacing w:after="0"/>
              <w:rPr>
                <w:sz w:val="20"/>
                <w:szCs w:val="20"/>
                <w:color w:val="auto"/>
              </w:rPr>
            </w:pPr>
            <w:r>
              <w:rPr>
                <w:rFonts w:ascii="Arial" w:cs="Arial" w:eastAsia="Arial" w:hAnsi="Arial"/>
                <w:sz w:val="16"/>
                <w:szCs w:val="16"/>
                <w:color w:val="auto"/>
              </w:rPr>
              <w:t>Cumulative foreign currency translation adjustment</w:t>
            </w: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b w:val="1"/>
                <w:bCs w:val="1"/>
                <w:color w:val="auto"/>
              </w:rPr>
              <w:t>(43,777)</w:t>
            </w:r>
          </w:p>
        </w:tc>
        <w:tc>
          <w:tcPr>
            <w:tcW w:w="2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(58,044)</w:t>
            </w:r>
          </w:p>
        </w:tc>
        <w:tc>
          <w:tcPr>
            <w:tcW w:w="0" w:type="dxa"/>
            <w:vAlign w:val="bottom"/>
          </w:tcPr>
          <w:p>
            <w:pPr>
              <w:spacing w:after="0"/>
              <w:rPr>
                <w:sz w:val="1"/>
                <w:szCs w:val="1"/>
                <w:color w:val="auto"/>
              </w:rPr>
            </w:pPr>
          </w:p>
        </w:tc>
      </w:tr>
      <w:tr>
        <w:trPr>
          <w:trHeight w:val="230"/>
        </w:trPr>
        <w:tc>
          <w:tcPr>
            <w:tcW w:w="8200" w:type="dxa"/>
            <w:vAlign w:val="bottom"/>
          </w:tcPr>
          <w:p>
            <w:pPr>
              <w:ind w:left="460"/>
              <w:spacing w:after="0"/>
              <w:rPr>
                <w:sz w:val="20"/>
                <w:szCs w:val="20"/>
                <w:color w:val="auto"/>
              </w:rPr>
            </w:pPr>
            <w:r>
              <w:rPr>
                <w:rFonts w:ascii="Arial" w:cs="Arial" w:eastAsia="Arial" w:hAnsi="Arial"/>
                <w:sz w:val="16"/>
                <w:szCs w:val="16"/>
                <w:color w:val="auto"/>
              </w:rPr>
              <w:t>Unrealized gain on pensions and other postretirement plans</w:t>
            </w:r>
          </w:p>
        </w:tc>
        <w:tc>
          <w:tcPr>
            <w:tcW w:w="220" w:type="dxa"/>
            <w:vAlign w:val="bottom"/>
          </w:tcPr>
          <w:p>
            <w:pPr>
              <w:spacing w:after="0"/>
              <w:rPr>
                <w:sz w:val="19"/>
                <w:szCs w:val="19"/>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b w:val="1"/>
                <w:bCs w:val="1"/>
                <w:color w:val="auto"/>
              </w:rPr>
              <w:t>393,281</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393,949</w:t>
            </w:r>
          </w:p>
        </w:tc>
        <w:tc>
          <w:tcPr>
            <w:tcW w:w="0" w:type="dxa"/>
            <w:vAlign w:val="bottom"/>
          </w:tcPr>
          <w:p>
            <w:pPr>
              <w:spacing w:after="0"/>
              <w:rPr>
                <w:sz w:val="1"/>
                <w:szCs w:val="1"/>
                <w:color w:val="auto"/>
              </w:rPr>
            </w:pPr>
          </w:p>
        </w:tc>
      </w:tr>
      <w:tr>
        <w:trPr>
          <w:trHeight w:val="229"/>
        </w:trPr>
        <w:tc>
          <w:tcPr>
            <w:tcW w:w="8200" w:type="dxa"/>
            <w:vAlign w:val="bottom"/>
          </w:tcPr>
          <w:p>
            <w:pPr>
              <w:ind w:left="460"/>
              <w:spacing w:after="0"/>
              <w:rPr>
                <w:sz w:val="20"/>
                <w:szCs w:val="20"/>
                <w:color w:val="auto"/>
              </w:rPr>
            </w:pPr>
            <w:r>
              <w:rPr>
                <w:rFonts w:ascii="Arial" w:cs="Arial" w:eastAsia="Arial" w:hAnsi="Arial"/>
                <w:sz w:val="16"/>
                <w:szCs w:val="16"/>
                <w:color w:val="auto"/>
              </w:rPr>
              <w:t>Cash flow hedges</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6"/>
                <w:szCs w:val="16"/>
                <w:b w:val="1"/>
                <w:bCs w:val="1"/>
                <w:color w:val="auto"/>
              </w:rPr>
              <w:t>(1,611)</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(1,108)</w:t>
            </w:r>
          </w:p>
        </w:tc>
        <w:tc>
          <w:tcPr>
            <w:tcW w:w="0" w:type="dxa"/>
            <w:vAlign w:val="bottom"/>
          </w:tcPr>
          <w:p>
            <w:pPr>
              <w:spacing w:after="0"/>
              <w:rPr>
                <w:sz w:val="1"/>
                <w:szCs w:val="1"/>
                <w:color w:val="auto"/>
              </w:rPr>
            </w:pPr>
          </w:p>
        </w:tc>
      </w:tr>
      <w:tr>
        <w:trPr>
          <w:trHeight w:val="230"/>
        </w:trPr>
        <w:tc>
          <w:tcPr>
            <w:tcW w:w="8200" w:type="dxa"/>
            <w:vAlign w:val="bottom"/>
          </w:tcPr>
          <w:p>
            <w:pPr>
              <w:ind w:left="220"/>
              <w:spacing w:after="0"/>
              <w:rPr>
                <w:sz w:val="20"/>
                <w:szCs w:val="20"/>
                <w:color w:val="auto"/>
              </w:rPr>
            </w:pPr>
            <w:r>
              <w:rPr>
                <w:rFonts w:ascii="Arial" w:cs="Arial" w:eastAsia="Arial" w:hAnsi="Arial"/>
                <w:sz w:val="16"/>
                <w:szCs w:val="16"/>
                <w:color w:val="auto"/>
              </w:rPr>
              <w:t>Cost of Class B common stock held in treasury</w:t>
            </w:r>
          </w:p>
        </w:tc>
        <w:tc>
          <w:tcPr>
            <w:tcW w:w="2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(4,481,534)</w:t>
            </w:r>
          </w:p>
        </w:tc>
        <w:tc>
          <w:tcPr>
            <w:tcW w:w="2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(4,486,805)</w:t>
            </w:r>
          </w:p>
        </w:tc>
        <w:tc>
          <w:tcPr>
            <w:tcW w:w="0" w:type="dxa"/>
            <w:vAlign w:val="bottom"/>
          </w:tcPr>
          <w:p>
            <w:pPr>
              <w:spacing w:after="0"/>
              <w:rPr>
                <w:sz w:val="1"/>
                <w:szCs w:val="1"/>
                <w:color w:val="auto"/>
              </w:rPr>
            </w:pPr>
          </w:p>
        </w:tc>
      </w:tr>
      <w:tr>
        <w:trPr>
          <w:trHeight w:val="223"/>
        </w:trPr>
        <w:tc>
          <w:tcPr>
            <w:tcW w:w="8200" w:type="dxa"/>
            <w:vAlign w:val="bottom"/>
          </w:tcPr>
          <w:p>
            <w:pPr>
              <w:ind w:left="460"/>
              <w:spacing w:after="0"/>
              <w:rPr>
                <w:sz w:val="20"/>
                <w:szCs w:val="20"/>
                <w:color w:val="auto"/>
              </w:rPr>
            </w:pPr>
            <w:r>
              <w:rPr>
                <w:rFonts w:ascii="Arial" w:cs="Arial" w:eastAsia="Arial" w:hAnsi="Arial"/>
                <w:sz w:val="16"/>
                <w:szCs w:val="16"/>
                <w:b w:val="1"/>
                <w:bCs w:val="1"/>
                <w:color w:val="auto"/>
              </w:rPr>
              <w:t>Total Common Stockholders’ Equity</w:t>
            </w: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4,294,415</w:t>
            </w: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4,256,661</w:t>
            </w:r>
          </w:p>
        </w:tc>
        <w:tc>
          <w:tcPr>
            <w:tcW w:w="0" w:type="dxa"/>
            <w:vAlign w:val="bottom"/>
          </w:tcPr>
          <w:p>
            <w:pPr>
              <w:spacing w:after="0"/>
              <w:rPr>
                <w:sz w:val="1"/>
                <w:szCs w:val="1"/>
                <w:color w:val="auto"/>
              </w:rPr>
            </w:pPr>
          </w:p>
        </w:tc>
      </w:tr>
      <w:tr>
        <w:trPr>
          <w:trHeight w:val="223"/>
        </w:trPr>
        <w:tc>
          <w:tcPr>
            <w:tcW w:w="8200" w:type="dxa"/>
            <w:vAlign w:val="bottom"/>
          </w:tcPr>
          <w:p>
            <w:pPr>
              <w:ind w:left="20"/>
              <w:spacing w:after="0"/>
              <w:rPr>
                <w:sz w:val="20"/>
                <w:szCs w:val="20"/>
                <w:color w:val="auto"/>
              </w:rPr>
            </w:pPr>
            <w:r>
              <w:rPr>
                <w:rFonts w:ascii="Arial" w:cs="Arial" w:eastAsia="Arial" w:hAnsi="Arial"/>
                <w:sz w:val="16"/>
                <w:szCs w:val="16"/>
                <w:b w:val="1"/>
                <w:bCs w:val="1"/>
                <w:color w:val="auto"/>
              </w:rPr>
              <w:t>Noncontrolling Interests</w:t>
            </w: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31,350</w:t>
            </w: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30,154</w:t>
            </w:r>
          </w:p>
        </w:tc>
        <w:tc>
          <w:tcPr>
            <w:tcW w:w="0" w:type="dxa"/>
            <w:vAlign w:val="bottom"/>
          </w:tcPr>
          <w:p>
            <w:pPr>
              <w:spacing w:after="0"/>
              <w:rPr>
                <w:sz w:val="1"/>
                <w:szCs w:val="1"/>
                <w:color w:val="auto"/>
              </w:rPr>
            </w:pPr>
          </w:p>
        </w:tc>
      </w:tr>
      <w:tr>
        <w:trPr>
          <w:trHeight w:val="226"/>
        </w:trPr>
        <w:tc>
          <w:tcPr>
            <w:tcW w:w="8200" w:type="dxa"/>
            <w:vAlign w:val="bottom"/>
          </w:tcPr>
          <w:p>
            <w:pPr>
              <w:ind w:left="460"/>
              <w:spacing w:after="0"/>
              <w:rPr>
                <w:sz w:val="20"/>
                <w:szCs w:val="20"/>
                <w:color w:val="auto"/>
              </w:rPr>
            </w:pPr>
            <w:r>
              <w:rPr>
                <w:rFonts w:ascii="Arial" w:cs="Arial" w:eastAsia="Arial" w:hAnsi="Arial"/>
                <w:sz w:val="16"/>
                <w:szCs w:val="16"/>
                <w:b w:val="1"/>
                <w:bCs w:val="1"/>
                <w:color w:val="auto"/>
              </w:rPr>
              <w:t>Total Equity</w:t>
            </w: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4,325,765</w:t>
            </w: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4,286,815</w:t>
            </w:r>
          </w:p>
        </w:tc>
        <w:tc>
          <w:tcPr>
            <w:tcW w:w="0" w:type="dxa"/>
            <w:vAlign w:val="bottom"/>
          </w:tcPr>
          <w:p>
            <w:pPr>
              <w:spacing w:after="0"/>
              <w:rPr>
                <w:sz w:val="1"/>
                <w:szCs w:val="1"/>
                <w:color w:val="auto"/>
              </w:rPr>
            </w:pPr>
          </w:p>
        </w:tc>
      </w:tr>
      <w:tr>
        <w:trPr>
          <w:trHeight w:val="226"/>
        </w:trPr>
        <w:tc>
          <w:tcPr>
            <w:tcW w:w="8200" w:type="dxa"/>
            <w:vAlign w:val="bottom"/>
          </w:tcPr>
          <w:p>
            <w:pPr>
              <w:ind w:left="660"/>
              <w:spacing w:after="0"/>
              <w:rPr>
                <w:sz w:val="20"/>
                <w:szCs w:val="20"/>
                <w:color w:val="auto"/>
              </w:rPr>
            </w:pPr>
            <w:r>
              <w:rPr>
                <w:rFonts w:ascii="Arial" w:cs="Arial" w:eastAsia="Arial" w:hAnsi="Arial"/>
                <w:sz w:val="16"/>
                <w:szCs w:val="16"/>
                <w:b w:val="1"/>
                <w:bCs w:val="1"/>
                <w:color w:val="auto"/>
              </w:rPr>
              <w:t>Total Liabilities and Equity</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12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7,615,900</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7,677,205</w:t>
            </w:r>
          </w:p>
        </w:tc>
        <w:tc>
          <w:tcPr>
            <w:tcW w:w="0" w:type="dxa"/>
            <w:vAlign w:val="bottom"/>
          </w:tcPr>
          <w:p>
            <w:pPr>
              <w:spacing w:after="0"/>
              <w:rPr>
                <w:sz w:val="1"/>
                <w:szCs w:val="1"/>
                <w:color w:val="auto"/>
              </w:rPr>
            </w:pPr>
          </w:p>
        </w:tc>
      </w:tr>
      <w:tr>
        <w:trPr>
          <w:trHeight w:val="20"/>
        </w:trPr>
        <w:tc>
          <w:tcPr>
            <w:tcW w:w="8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Condensed Consolidated Financial Statements.</w:t>
      </w:r>
    </w:p>
    <w:p>
      <w:pPr>
        <w:sectPr>
          <w:pgSz w:w="11900" w:h="16838" w:orient="portrait"/>
          <w:cols w:equalWidth="0" w:num="1">
            <w:col w:w="11220"/>
          </w:cols>
          <w:pgMar w:left="320" w:top="971" w:right="359" w:bottom="230" w:gutter="0" w:footer="0" w:header="0"/>
        </w:sectPr>
      </w:pPr>
    </w:p>
    <w:p>
      <w:pPr>
        <w:spacing w:after="0" w:line="200" w:lineRule="exact"/>
        <w:rPr>
          <w:sz w:val="20"/>
          <w:szCs w:val="20"/>
          <w:color w:val="auto"/>
        </w:rPr>
      </w:pPr>
    </w:p>
    <w:p>
      <w:pPr>
        <w:spacing w:after="0" w:line="23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183515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71" w:right="359" w:bottom="230" w:gutter="0" w:footer="0" w:header="0"/>
          <w:type w:val="continuous"/>
        </w:sectPr>
      </w:pPr>
    </w:p>
    <w:bookmarkStart w:id="5" w:name="page6"/>
    <w:bookmarkEnd w:id="5"/>
    <w:p>
      <w:pPr>
        <w:jc w:val="center"/>
        <w:ind w:right="-19"/>
        <w:spacing w:after="0"/>
        <w:rPr>
          <w:sz w:val="20"/>
          <w:szCs w:val="20"/>
          <w:color w:val="auto"/>
        </w:rPr>
      </w:pPr>
      <w:r>
        <w:rPr>
          <w:rFonts w:ascii="Arial" w:cs="Arial" w:eastAsia="Arial" w:hAnsi="Arial"/>
          <w:sz w:val="18"/>
          <w:szCs w:val="18"/>
          <w:b w:val="1"/>
          <w:bCs w:val="1"/>
          <w:color w:val="auto"/>
        </w:rPr>
        <w:t>GRAHAM HOLDINGS COMPANY</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136" w:lineRule="exact"/>
        <w:rPr>
          <w:sz w:val="20"/>
          <w:szCs w:val="20"/>
          <w:color w:val="auto"/>
        </w:rPr>
      </w:pPr>
    </w:p>
    <w:p>
      <w:pPr>
        <w:ind w:left="9320"/>
        <w:spacing w:after="0"/>
        <w:rPr>
          <w:sz w:val="20"/>
          <w:szCs w:val="20"/>
          <w:color w:val="auto"/>
        </w:rPr>
      </w:pPr>
      <w:r>
        <w:rPr>
          <w:rFonts w:ascii="Arial" w:cs="Arial" w:eastAsia="Arial" w:hAnsi="Arial"/>
          <w:sz w:val="14"/>
          <w:szCs w:val="14"/>
          <w:b w:val="1"/>
          <w:bCs w:val="1"/>
          <w:color w:val="auto"/>
        </w:rPr>
        <w:t>Three Months Ended</w:t>
      </w:r>
    </w:p>
    <w:p>
      <w:pPr>
        <w:spacing w:after="0" w:line="2" w:lineRule="exact"/>
        <w:rPr>
          <w:sz w:val="20"/>
          <w:szCs w:val="20"/>
          <w:color w:val="auto"/>
        </w:rPr>
      </w:pPr>
    </w:p>
    <w:tbl>
      <w:tblPr>
        <w:tblLayout w:type="fixed"/>
        <w:tblInd w:w="20" w:type="dxa"/>
        <w:tblCellMar>
          <w:top w:w="0" w:type="dxa"/>
          <w:left w:w="0" w:type="dxa"/>
          <w:bottom w:w="0" w:type="dxa"/>
          <w:right w:w="0" w:type="dxa"/>
        </w:tblCellMar>
      </w:tblPr>
      <w:tr>
        <w:trPr>
          <w:trHeight w:val="196"/>
        </w:trPr>
        <w:tc>
          <w:tcPr>
            <w:tcW w:w="88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March 31</w:t>
            </w:r>
          </w:p>
        </w:tc>
        <w:tc>
          <w:tcPr>
            <w:tcW w:w="780" w:type="dxa"/>
            <w:vAlign w:val="bottom"/>
            <w:tcBorders>
              <w:bottom w:val="single" w:sz="8" w:color="auto"/>
            </w:tcBorders>
          </w:tcPr>
          <w:p>
            <w:pPr>
              <w:spacing w:after="0"/>
              <w:rPr>
                <w:sz w:val="17"/>
                <w:szCs w:val="17"/>
                <w:color w:val="auto"/>
              </w:rPr>
            </w:pPr>
          </w:p>
        </w:tc>
      </w:tr>
      <w:tr>
        <w:trPr>
          <w:trHeight w:val="205"/>
        </w:trPr>
        <w:tc>
          <w:tcPr>
            <w:tcW w:w="88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2025</w:t>
            </w:r>
          </w:p>
        </w:tc>
        <w:tc>
          <w:tcPr>
            <w:tcW w:w="4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color w:val="auto"/>
              </w:rPr>
              <w:t>2024</w:t>
            </w:r>
          </w:p>
        </w:tc>
      </w:tr>
      <w:tr>
        <w:trPr>
          <w:trHeight w:val="223"/>
        </w:trPr>
        <w:tc>
          <w:tcPr>
            <w:tcW w:w="8860" w:type="dxa"/>
            <w:vAlign w:val="bottom"/>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29"/>
        </w:trPr>
        <w:tc>
          <w:tcPr>
            <w:tcW w:w="8860" w:type="dxa"/>
            <w:vAlign w:val="bottom"/>
          </w:tcPr>
          <w:p>
            <w:pPr>
              <w:ind w:left="20"/>
              <w:spacing w:after="0"/>
              <w:rPr>
                <w:sz w:val="20"/>
                <w:szCs w:val="20"/>
                <w:color w:val="auto"/>
              </w:rPr>
            </w:pPr>
            <w:r>
              <w:rPr>
                <w:rFonts w:ascii="Arial" w:cs="Arial" w:eastAsia="Arial" w:hAnsi="Arial"/>
                <w:sz w:val="16"/>
                <w:szCs w:val="16"/>
                <w:b w:val="1"/>
                <w:bCs w:val="1"/>
                <w:color w:val="auto"/>
              </w:rPr>
              <w:t>Net Income</w:t>
            </w: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Pr>
          <w:p>
            <w:pPr>
              <w:jc w:val="right"/>
              <w:ind w:right="39"/>
              <w:spacing w:after="0"/>
              <w:rPr>
                <w:sz w:val="20"/>
                <w:szCs w:val="20"/>
                <w:color w:val="auto"/>
              </w:rPr>
            </w:pPr>
            <w:r>
              <w:rPr>
                <w:rFonts w:ascii="Arial" w:cs="Arial" w:eastAsia="Arial" w:hAnsi="Arial"/>
                <w:sz w:val="16"/>
                <w:szCs w:val="16"/>
                <w:b w:val="1"/>
                <w:bCs w:val="1"/>
                <w:color w:val="auto"/>
              </w:rPr>
              <w:t>25,721</w:t>
            </w:r>
          </w:p>
        </w:tc>
        <w:tc>
          <w:tcPr>
            <w:tcW w:w="4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125,339</w:t>
            </w:r>
          </w:p>
        </w:tc>
      </w:tr>
      <w:tr>
        <w:trPr>
          <w:trHeight w:val="222"/>
        </w:trPr>
        <w:tc>
          <w:tcPr>
            <w:tcW w:w="8860" w:type="dxa"/>
            <w:vAlign w:val="bottom"/>
          </w:tcPr>
          <w:p>
            <w:pPr>
              <w:ind w:left="2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38"/>
        </w:trPr>
        <w:tc>
          <w:tcPr>
            <w:tcW w:w="8860" w:type="dxa"/>
            <w:vAlign w:val="bottom"/>
          </w:tcPr>
          <w:p>
            <w:pPr>
              <w:ind w:left="220"/>
              <w:spacing w:after="0"/>
              <w:rPr>
                <w:sz w:val="20"/>
                <w:szCs w:val="20"/>
                <w:color w:val="auto"/>
              </w:rPr>
            </w:pPr>
            <w:r>
              <w:rPr>
                <w:rFonts w:ascii="Arial" w:cs="Arial" w:eastAsia="Arial" w:hAnsi="Arial"/>
                <w:sz w:val="16"/>
                <w:szCs w:val="16"/>
                <w:color w:val="auto"/>
              </w:rPr>
              <w:t>Depreciation and amortization of intangible assets</w:t>
            </w:r>
          </w:p>
        </w:tc>
        <w:tc>
          <w:tcPr>
            <w:tcW w:w="2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b w:val="1"/>
                <w:bCs w:val="1"/>
                <w:color w:val="auto"/>
              </w:rPr>
              <w:t>28,378</w:t>
            </w:r>
          </w:p>
        </w:tc>
        <w:tc>
          <w:tcPr>
            <w:tcW w:w="4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33,278</w:t>
            </w:r>
          </w:p>
        </w:tc>
      </w:tr>
      <w:tr>
        <w:trPr>
          <w:trHeight w:val="230"/>
        </w:trPr>
        <w:tc>
          <w:tcPr>
            <w:tcW w:w="8860" w:type="dxa"/>
            <w:vAlign w:val="bottom"/>
          </w:tcPr>
          <w:p>
            <w:pPr>
              <w:ind w:left="220"/>
              <w:spacing w:after="0"/>
              <w:rPr>
                <w:sz w:val="20"/>
                <w:szCs w:val="20"/>
                <w:color w:val="auto"/>
              </w:rPr>
            </w:pPr>
            <w:r>
              <w:rPr>
                <w:rFonts w:ascii="Arial" w:cs="Arial" w:eastAsia="Arial" w:hAnsi="Arial"/>
                <w:sz w:val="16"/>
                <w:szCs w:val="16"/>
                <w:color w:val="auto"/>
              </w:rPr>
              <w:t>Amortization of lease right-of-use asset</w:t>
            </w:r>
          </w:p>
        </w:tc>
        <w:tc>
          <w:tcPr>
            <w:tcW w:w="260" w:type="dxa"/>
            <w:vAlign w:val="bottom"/>
          </w:tcPr>
          <w:p>
            <w:pPr>
              <w:spacing w:after="0"/>
              <w:rPr>
                <w:sz w:val="19"/>
                <w:szCs w:val="19"/>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b w:val="1"/>
                <w:bCs w:val="1"/>
                <w:color w:val="auto"/>
              </w:rPr>
              <w:t>14,103</w:t>
            </w: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16,866</w:t>
            </w:r>
          </w:p>
        </w:tc>
      </w:tr>
      <w:tr>
        <w:trPr>
          <w:trHeight w:val="229"/>
        </w:trPr>
        <w:tc>
          <w:tcPr>
            <w:tcW w:w="8860" w:type="dxa"/>
            <w:vAlign w:val="bottom"/>
          </w:tcPr>
          <w:p>
            <w:pPr>
              <w:ind w:left="220"/>
              <w:spacing w:after="0"/>
              <w:rPr>
                <w:sz w:val="20"/>
                <w:szCs w:val="20"/>
                <w:color w:val="auto"/>
              </w:rPr>
            </w:pPr>
            <w:r>
              <w:rPr>
                <w:rFonts w:ascii="Arial" w:cs="Arial" w:eastAsia="Arial" w:hAnsi="Arial"/>
                <w:sz w:val="16"/>
                <w:szCs w:val="16"/>
                <w:color w:val="auto"/>
              </w:rPr>
              <w:t>Net pension benefit and special separation benefit expense</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(23,253)</w:t>
            </w: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(29,056)</w:t>
            </w:r>
          </w:p>
        </w:tc>
      </w:tr>
      <w:tr>
        <w:trPr>
          <w:trHeight w:val="229"/>
        </w:trPr>
        <w:tc>
          <w:tcPr>
            <w:tcW w:w="8860" w:type="dxa"/>
            <w:vAlign w:val="bottom"/>
          </w:tcPr>
          <w:p>
            <w:pPr>
              <w:ind w:left="220"/>
              <w:spacing w:after="0"/>
              <w:rPr>
                <w:sz w:val="20"/>
                <w:szCs w:val="20"/>
                <w:color w:val="auto"/>
              </w:rPr>
            </w:pPr>
            <w:r>
              <w:rPr>
                <w:rFonts w:ascii="Arial" w:cs="Arial" w:eastAsia="Arial" w:hAnsi="Arial"/>
                <w:sz w:val="16"/>
                <w:szCs w:val="16"/>
                <w:color w:val="auto"/>
              </w:rPr>
              <w:t>Gain on marketable equity securities and cost method investments, net</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(43,801)</w:t>
            </w: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(103,746)</w:t>
            </w:r>
          </w:p>
        </w:tc>
      </w:tr>
      <w:tr>
        <w:trPr>
          <w:trHeight w:val="230"/>
        </w:trPr>
        <w:tc>
          <w:tcPr>
            <w:tcW w:w="8860" w:type="dxa"/>
            <w:vAlign w:val="bottom"/>
          </w:tcPr>
          <w:p>
            <w:pPr>
              <w:ind w:left="220"/>
              <w:spacing w:after="0"/>
              <w:rPr>
                <w:sz w:val="20"/>
                <w:szCs w:val="20"/>
                <w:color w:val="auto"/>
              </w:rPr>
            </w:pPr>
            <w:r>
              <w:rPr>
                <w:rFonts w:ascii="Arial" w:cs="Arial" w:eastAsia="Arial" w:hAnsi="Arial"/>
                <w:sz w:val="16"/>
                <w:szCs w:val="16"/>
                <w:color w:val="auto"/>
              </w:rPr>
              <w:t>Loss (gain) on disposition of property, plant and equipment and investments, net</w:t>
            </w:r>
          </w:p>
        </w:tc>
        <w:tc>
          <w:tcPr>
            <w:tcW w:w="260" w:type="dxa"/>
            <w:vAlign w:val="bottom"/>
          </w:tcPr>
          <w:p>
            <w:pPr>
              <w:spacing w:after="0"/>
              <w:rPr>
                <w:sz w:val="19"/>
                <w:szCs w:val="19"/>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b w:val="1"/>
                <w:bCs w:val="1"/>
                <w:color w:val="auto"/>
              </w:rPr>
              <w:t>276</w:t>
            </w: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(487)</w:t>
            </w:r>
          </w:p>
        </w:tc>
      </w:tr>
      <w:tr>
        <w:trPr>
          <w:trHeight w:val="229"/>
        </w:trPr>
        <w:tc>
          <w:tcPr>
            <w:tcW w:w="8860" w:type="dxa"/>
            <w:vAlign w:val="bottom"/>
          </w:tcPr>
          <w:p>
            <w:pPr>
              <w:ind w:left="220"/>
              <w:spacing w:after="0"/>
              <w:rPr>
                <w:sz w:val="20"/>
                <w:szCs w:val="20"/>
                <w:color w:val="auto"/>
              </w:rPr>
            </w:pPr>
            <w:r>
              <w:rPr>
                <w:rFonts w:ascii="Arial" w:cs="Arial" w:eastAsia="Arial" w:hAnsi="Arial"/>
                <w:sz w:val="16"/>
                <w:szCs w:val="16"/>
                <w:color w:val="auto"/>
              </w:rPr>
              <w:t>Credit loss expense</w:t>
            </w:r>
          </w:p>
        </w:tc>
        <w:tc>
          <w:tcPr>
            <w:tcW w:w="260" w:type="dxa"/>
            <w:vAlign w:val="bottom"/>
          </w:tcPr>
          <w:p>
            <w:pPr>
              <w:spacing w:after="0"/>
              <w:rPr>
                <w:sz w:val="19"/>
                <w:szCs w:val="19"/>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b w:val="1"/>
                <w:bCs w:val="1"/>
                <w:color w:val="auto"/>
              </w:rPr>
              <w:t>1,140</w:t>
            </w: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1,696</w:t>
            </w:r>
          </w:p>
        </w:tc>
      </w:tr>
      <w:tr>
        <w:trPr>
          <w:trHeight w:val="229"/>
        </w:trPr>
        <w:tc>
          <w:tcPr>
            <w:tcW w:w="8860" w:type="dxa"/>
            <w:vAlign w:val="bottom"/>
          </w:tcPr>
          <w:p>
            <w:pPr>
              <w:ind w:left="220"/>
              <w:spacing w:after="0"/>
              <w:rPr>
                <w:sz w:val="20"/>
                <w:szCs w:val="20"/>
                <w:color w:val="auto"/>
              </w:rPr>
            </w:pPr>
            <w:r>
              <w:rPr>
                <w:rFonts w:ascii="Arial" w:cs="Arial" w:eastAsia="Arial" w:hAnsi="Arial"/>
                <w:sz w:val="16"/>
                <w:szCs w:val="16"/>
                <w:color w:val="auto"/>
              </w:rPr>
              <w:t>Stock-based compensation expense, net of forfeitures</w:t>
            </w:r>
          </w:p>
        </w:tc>
        <w:tc>
          <w:tcPr>
            <w:tcW w:w="260" w:type="dxa"/>
            <w:vAlign w:val="bottom"/>
          </w:tcPr>
          <w:p>
            <w:pPr>
              <w:spacing w:after="0"/>
              <w:rPr>
                <w:sz w:val="19"/>
                <w:szCs w:val="19"/>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b w:val="1"/>
                <w:bCs w:val="1"/>
                <w:color w:val="auto"/>
              </w:rPr>
              <w:t>1,546</w:t>
            </w: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1,444</w:t>
            </w:r>
          </w:p>
        </w:tc>
      </w:tr>
      <w:tr>
        <w:trPr>
          <w:trHeight w:val="230"/>
        </w:trPr>
        <w:tc>
          <w:tcPr>
            <w:tcW w:w="8860" w:type="dxa"/>
            <w:vAlign w:val="bottom"/>
          </w:tcPr>
          <w:p>
            <w:pPr>
              <w:ind w:left="220"/>
              <w:spacing w:after="0"/>
              <w:rPr>
                <w:sz w:val="20"/>
                <w:szCs w:val="20"/>
                <w:color w:val="auto"/>
              </w:rPr>
            </w:pPr>
            <w:r>
              <w:rPr>
                <w:rFonts w:ascii="Arial" w:cs="Arial" w:eastAsia="Arial" w:hAnsi="Arial"/>
                <w:sz w:val="16"/>
                <w:szCs w:val="16"/>
                <w:color w:val="auto"/>
              </w:rPr>
              <w:t>Foreign exchange loss (gain)</w:t>
            </w:r>
          </w:p>
        </w:tc>
        <w:tc>
          <w:tcPr>
            <w:tcW w:w="260" w:type="dxa"/>
            <w:vAlign w:val="bottom"/>
          </w:tcPr>
          <w:p>
            <w:pPr>
              <w:spacing w:after="0"/>
              <w:rPr>
                <w:sz w:val="19"/>
                <w:szCs w:val="19"/>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b w:val="1"/>
                <w:bCs w:val="1"/>
                <w:color w:val="auto"/>
              </w:rPr>
              <w:t>4,379</w:t>
            </w: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(617)</w:t>
            </w:r>
          </w:p>
        </w:tc>
      </w:tr>
      <w:tr>
        <w:trPr>
          <w:trHeight w:val="229"/>
        </w:trPr>
        <w:tc>
          <w:tcPr>
            <w:tcW w:w="8860" w:type="dxa"/>
            <w:vAlign w:val="bottom"/>
          </w:tcPr>
          <w:p>
            <w:pPr>
              <w:ind w:left="220"/>
              <w:spacing w:after="0"/>
              <w:rPr>
                <w:sz w:val="20"/>
                <w:szCs w:val="20"/>
                <w:color w:val="auto"/>
              </w:rPr>
            </w:pPr>
            <w:r>
              <w:rPr>
                <w:rFonts w:ascii="Arial" w:cs="Arial" w:eastAsia="Arial" w:hAnsi="Arial"/>
                <w:sz w:val="16"/>
                <w:szCs w:val="16"/>
                <w:color w:val="auto"/>
              </w:rPr>
              <w:t>Equity in losses (earnings) of affiliates, net of distributions</w:t>
            </w:r>
          </w:p>
        </w:tc>
        <w:tc>
          <w:tcPr>
            <w:tcW w:w="260" w:type="dxa"/>
            <w:vAlign w:val="bottom"/>
          </w:tcPr>
          <w:p>
            <w:pPr>
              <w:spacing w:after="0"/>
              <w:rPr>
                <w:sz w:val="19"/>
                <w:szCs w:val="19"/>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b w:val="1"/>
                <w:bCs w:val="1"/>
                <w:color w:val="auto"/>
              </w:rPr>
              <w:t>12,241</w:t>
            </w: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(131)</w:t>
            </w:r>
          </w:p>
        </w:tc>
      </w:tr>
      <w:tr>
        <w:trPr>
          <w:trHeight w:val="230"/>
        </w:trPr>
        <w:tc>
          <w:tcPr>
            <w:tcW w:w="8860" w:type="dxa"/>
            <w:vAlign w:val="bottom"/>
          </w:tcPr>
          <w:p>
            <w:pPr>
              <w:ind w:left="220"/>
              <w:spacing w:after="0"/>
              <w:rPr>
                <w:sz w:val="20"/>
                <w:szCs w:val="20"/>
                <w:color w:val="auto"/>
              </w:rPr>
            </w:pPr>
            <w:r>
              <w:rPr>
                <w:rFonts w:ascii="Arial" w:cs="Arial" w:eastAsia="Arial" w:hAnsi="Arial"/>
                <w:sz w:val="16"/>
                <w:szCs w:val="16"/>
                <w:color w:val="auto"/>
              </w:rPr>
              <w:t>Provision for deferred income taxes</w:t>
            </w:r>
          </w:p>
        </w:tc>
        <w:tc>
          <w:tcPr>
            <w:tcW w:w="260" w:type="dxa"/>
            <w:vAlign w:val="bottom"/>
          </w:tcPr>
          <w:p>
            <w:pPr>
              <w:spacing w:after="0"/>
              <w:rPr>
                <w:sz w:val="19"/>
                <w:szCs w:val="19"/>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b w:val="1"/>
                <w:bCs w:val="1"/>
                <w:color w:val="auto"/>
              </w:rPr>
              <w:t>941</w:t>
            </w: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12,255</w:t>
            </w:r>
          </w:p>
        </w:tc>
      </w:tr>
      <w:tr>
        <w:trPr>
          <w:trHeight w:val="221"/>
        </w:trPr>
        <w:tc>
          <w:tcPr>
            <w:tcW w:w="8860" w:type="dxa"/>
            <w:vAlign w:val="bottom"/>
          </w:tcPr>
          <w:p>
            <w:pPr>
              <w:ind w:left="220"/>
              <w:spacing w:after="0"/>
              <w:rPr>
                <w:sz w:val="20"/>
                <w:szCs w:val="20"/>
                <w:color w:val="auto"/>
              </w:rPr>
            </w:pPr>
            <w:r>
              <w:rPr>
                <w:rFonts w:ascii="Arial" w:cs="Arial" w:eastAsia="Arial" w:hAnsi="Arial"/>
                <w:sz w:val="16"/>
                <w:szCs w:val="16"/>
                <w:color w:val="auto"/>
              </w:rPr>
              <w:t>Change in operating assets and liabilities:</w:t>
            </w: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38"/>
        </w:trPr>
        <w:tc>
          <w:tcPr>
            <w:tcW w:w="8860" w:type="dxa"/>
            <w:vAlign w:val="bottom"/>
          </w:tcPr>
          <w:p>
            <w:pPr>
              <w:ind w:left="460"/>
              <w:spacing w:after="0"/>
              <w:rPr>
                <w:sz w:val="20"/>
                <w:szCs w:val="20"/>
                <w:color w:val="auto"/>
              </w:rPr>
            </w:pPr>
            <w:r>
              <w:rPr>
                <w:rFonts w:ascii="Arial" w:cs="Arial" w:eastAsia="Arial" w:hAnsi="Arial"/>
                <w:sz w:val="16"/>
                <w:szCs w:val="16"/>
                <w:color w:val="auto"/>
              </w:rPr>
              <w:t>Accounts receivable</w:t>
            </w:r>
          </w:p>
        </w:tc>
        <w:tc>
          <w:tcPr>
            <w:tcW w:w="2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b w:val="1"/>
                <w:bCs w:val="1"/>
                <w:color w:val="auto"/>
              </w:rPr>
              <w:t>16,550</w:t>
            </w:r>
          </w:p>
        </w:tc>
        <w:tc>
          <w:tcPr>
            <w:tcW w:w="4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21,523</w:t>
            </w:r>
          </w:p>
        </w:tc>
      </w:tr>
      <w:tr>
        <w:trPr>
          <w:trHeight w:val="230"/>
        </w:trPr>
        <w:tc>
          <w:tcPr>
            <w:tcW w:w="8860" w:type="dxa"/>
            <w:vAlign w:val="bottom"/>
          </w:tcPr>
          <w:p>
            <w:pPr>
              <w:ind w:left="460"/>
              <w:spacing w:after="0"/>
              <w:rPr>
                <w:sz w:val="20"/>
                <w:szCs w:val="20"/>
                <w:color w:val="auto"/>
              </w:rPr>
            </w:pPr>
            <w:r>
              <w:rPr>
                <w:rFonts w:ascii="Arial" w:cs="Arial" w:eastAsia="Arial" w:hAnsi="Arial"/>
                <w:sz w:val="16"/>
                <w:szCs w:val="16"/>
                <w:color w:val="auto"/>
              </w:rPr>
              <w:t>Inventories</w:t>
            </w:r>
          </w:p>
        </w:tc>
        <w:tc>
          <w:tcPr>
            <w:tcW w:w="260" w:type="dxa"/>
            <w:vAlign w:val="bottom"/>
          </w:tcPr>
          <w:p>
            <w:pPr>
              <w:spacing w:after="0"/>
              <w:rPr>
                <w:sz w:val="19"/>
                <w:szCs w:val="19"/>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b w:val="1"/>
                <w:bCs w:val="1"/>
                <w:color w:val="auto"/>
              </w:rPr>
              <w:t>35,808</w:t>
            </w: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(28,754)</w:t>
            </w:r>
          </w:p>
        </w:tc>
      </w:tr>
      <w:tr>
        <w:trPr>
          <w:trHeight w:val="229"/>
        </w:trPr>
        <w:tc>
          <w:tcPr>
            <w:tcW w:w="8860" w:type="dxa"/>
            <w:vAlign w:val="bottom"/>
          </w:tcPr>
          <w:p>
            <w:pPr>
              <w:ind w:left="460"/>
              <w:spacing w:after="0"/>
              <w:rPr>
                <w:sz w:val="20"/>
                <w:szCs w:val="20"/>
                <w:color w:val="auto"/>
              </w:rPr>
            </w:pPr>
            <w:r>
              <w:rPr>
                <w:rFonts w:ascii="Arial" w:cs="Arial" w:eastAsia="Arial" w:hAnsi="Arial"/>
                <w:sz w:val="16"/>
                <w:szCs w:val="16"/>
                <w:color w:val="auto"/>
              </w:rPr>
              <w:t>Accounts payable and accrued liabilities</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(72,779)</w:t>
            </w: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(43,762)</w:t>
            </w:r>
          </w:p>
        </w:tc>
      </w:tr>
      <w:tr>
        <w:trPr>
          <w:trHeight w:val="229"/>
        </w:trPr>
        <w:tc>
          <w:tcPr>
            <w:tcW w:w="8860" w:type="dxa"/>
            <w:vAlign w:val="bottom"/>
          </w:tcPr>
          <w:p>
            <w:pPr>
              <w:ind w:left="460"/>
              <w:spacing w:after="0"/>
              <w:rPr>
                <w:sz w:val="20"/>
                <w:szCs w:val="20"/>
                <w:color w:val="auto"/>
              </w:rPr>
            </w:pPr>
            <w:r>
              <w:rPr>
                <w:rFonts w:ascii="Arial" w:cs="Arial" w:eastAsia="Arial" w:hAnsi="Arial"/>
                <w:sz w:val="16"/>
                <w:szCs w:val="16"/>
                <w:color w:val="auto"/>
              </w:rPr>
              <w:t>Deferred revenue</w:t>
            </w:r>
          </w:p>
        </w:tc>
        <w:tc>
          <w:tcPr>
            <w:tcW w:w="260" w:type="dxa"/>
            <w:vAlign w:val="bottom"/>
          </w:tcPr>
          <w:p>
            <w:pPr>
              <w:spacing w:after="0"/>
              <w:rPr>
                <w:sz w:val="19"/>
                <w:szCs w:val="19"/>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b w:val="1"/>
                <w:bCs w:val="1"/>
                <w:color w:val="auto"/>
              </w:rPr>
              <w:t>3,443</w:t>
            </w: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(1,130)</w:t>
            </w:r>
          </w:p>
        </w:tc>
      </w:tr>
      <w:tr>
        <w:trPr>
          <w:trHeight w:val="230"/>
        </w:trPr>
        <w:tc>
          <w:tcPr>
            <w:tcW w:w="8860" w:type="dxa"/>
            <w:vAlign w:val="bottom"/>
          </w:tcPr>
          <w:p>
            <w:pPr>
              <w:ind w:left="460"/>
              <w:spacing w:after="0"/>
              <w:rPr>
                <w:sz w:val="20"/>
                <w:szCs w:val="20"/>
                <w:color w:val="auto"/>
              </w:rPr>
            </w:pPr>
            <w:r>
              <w:rPr>
                <w:rFonts w:ascii="Arial" w:cs="Arial" w:eastAsia="Arial" w:hAnsi="Arial"/>
                <w:sz w:val="16"/>
                <w:szCs w:val="16"/>
                <w:color w:val="auto"/>
              </w:rPr>
              <w:t>Income taxes receivable/payable</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(164)</w:t>
            </w: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27,161</w:t>
            </w:r>
          </w:p>
        </w:tc>
      </w:tr>
      <w:tr>
        <w:trPr>
          <w:trHeight w:val="230"/>
        </w:trPr>
        <w:tc>
          <w:tcPr>
            <w:tcW w:w="8860" w:type="dxa"/>
            <w:vAlign w:val="bottom"/>
          </w:tcPr>
          <w:p>
            <w:pPr>
              <w:ind w:left="460"/>
              <w:spacing w:after="0"/>
              <w:rPr>
                <w:sz w:val="20"/>
                <w:szCs w:val="20"/>
                <w:color w:val="auto"/>
              </w:rPr>
            </w:pPr>
            <w:r>
              <w:rPr>
                <w:rFonts w:ascii="Arial" w:cs="Arial" w:eastAsia="Arial" w:hAnsi="Arial"/>
                <w:sz w:val="16"/>
                <w:szCs w:val="16"/>
                <w:color w:val="auto"/>
              </w:rPr>
              <w:t>Lease liabilities</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(7,337)</w:t>
            </w: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(16,424)</w:t>
            </w:r>
          </w:p>
        </w:tc>
      </w:tr>
      <w:tr>
        <w:trPr>
          <w:trHeight w:val="229"/>
        </w:trPr>
        <w:tc>
          <w:tcPr>
            <w:tcW w:w="8860" w:type="dxa"/>
            <w:vAlign w:val="bottom"/>
          </w:tcPr>
          <w:p>
            <w:pPr>
              <w:ind w:left="460"/>
              <w:spacing w:after="0"/>
              <w:rPr>
                <w:sz w:val="20"/>
                <w:szCs w:val="20"/>
                <w:color w:val="auto"/>
              </w:rPr>
            </w:pPr>
            <w:r>
              <w:rPr>
                <w:rFonts w:ascii="Arial" w:cs="Arial" w:eastAsia="Arial" w:hAnsi="Arial"/>
                <w:sz w:val="16"/>
                <w:szCs w:val="16"/>
                <w:color w:val="auto"/>
              </w:rPr>
              <w:t>Other assets and other liabilities, net</w:t>
            </w:r>
          </w:p>
        </w:tc>
        <w:tc>
          <w:tcPr>
            <w:tcW w:w="260" w:type="dxa"/>
            <w:vAlign w:val="bottom"/>
          </w:tcPr>
          <w:p>
            <w:pPr>
              <w:spacing w:after="0"/>
              <w:rPr>
                <w:sz w:val="19"/>
                <w:szCs w:val="19"/>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b w:val="1"/>
                <w:bCs w:val="1"/>
                <w:color w:val="auto"/>
              </w:rPr>
              <w:t>48,946</w:t>
            </w: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(14,958)</w:t>
            </w:r>
          </w:p>
        </w:tc>
      </w:tr>
      <w:tr>
        <w:trPr>
          <w:trHeight w:val="230"/>
        </w:trPr>
        <w:tc>
          <w:tcPr>
            <w:tcW w:w="8860" w:type="dxa"/>
            <w:vAlign w:val="bottom"/>
          </w:tcPr>
          <w:p>
            <w:pPr>
              <w:ind w:left="220"/>
              <w:spacing w:after="0"/>
              <w:rPr>
                <w:sz w:val="20"/>
                <w:szCs w:val="20"/>
                <w:color w:val="auto"/>
              </w:rPr>
            </w:pPr>
            <w:r>
              <w:rPr>
                <w:rFonts w:ascii="Arial" w:cs="Arial" w:eastAsia="Arial" w:hAnsi="Arial"/>
                <w:sz w:val="16"/>
                <w:szCs w:val="16"/>
                <w:color w:val="auto"/>
              </w:rPr>
              <w:t>Other</w:t>
            </w: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(124)</w:t>
            </w:r>
          </w:p>
        </w:tc>
        <w:tc>
          <w:tcPr>
            <w:tcW w:w="4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570</w:t>
            </w:r>
          </w:p>
        </w:tc>
      </w:tr>
      <w:tr>
        <w:trPr>
          <w:trHeight w:val="223"/>
        </w:trPr>
        <w:tc>
          <w:tcPr>
            <w:tcW w:w="8860" w:type="dxa"/>
            <w:vAlign w:val="bottom"/>
          </w:tcPr>
          <w:p>
            <w:pPr>
              <w:ind w:left="460"/>
              <w:spacing w:after="0"/>
              <w:rPr>
                <w:sz w:val="20"/>
                <w:szCs w:val="20"/>
                <w:color w:val="auto"/>
              </w:rPr>
            </w:pPr>
            <w:r>
              <w:rPr>
                <w:rFonts w:ascii="Arial" w:cs="Arial" w:eastAsia="Arial" w:hAnsi="Arial"/>
                <w:sz w:val="16"/>
                <w:szCs w:val="16"/>
                <w:color w:val="auto"/>
              </w:rPr>
              <w:t>Net Cash Provided by Operating Activities</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46,014</w:t>
            </w:r>
          </w:p>
        </w:tc>
        <w:tc>
          <w:tcPr>
            <w:tcW w:w="4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1,067</w:t>
            </w:r>
          </w:p>
        </w:tc>
      </w:tr>
      <w:tr>
        <w:trPr>
          <w:trHeight w:val="222"/>
        </w:trPr>
        <w:tc>
          <w:tcPr>
            <w:tcW w:w="8860" w:type="dxa"/>
            <w:vAlign w:val="bottom"/>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30"/>
        </w:trPr>
        <w:tc>
          <w:tcPr>
            <w:tcW w:w="8860" w:type="dxa"/>
            <w:vAlign w:val="bottom"/>
          </w:tcPr>
          <w:p>
            <w:pPr>
              <w:ind w:left="220"/>
              <w:spacing w:after="0"/>
              <w:rPr>
                <w:sz w:val="20"/>
                <w:szCs w:val="20"/>
                <w:color w:val="auto"/>
              </w:rPr>
            </w:pPr>
            <w:r>
              <w:rPr>
                <w:rFonts w:ascii="Arial" w:cs="Arial" w:eastAsia="Arial" w:hAnsi="Arial"/>
                <w:sz w:val="16"/>
                <w:szCs w:val="16"/>
                <w:color w:val="auto"/>
              </w:rPr>
              <w:t>Purchases of property, plant and equipment</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(15,482)</w:t>
            </w: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(21,258)</w:t>
            </w:r>
          </w:p>
        </w:tc>
      </w:tr>
      <w:tr>
        <w:trPr>
          <w:trHeight w:val="230"/>
        </w:trPr>
        <w:tc>
          <w:tcPr>
            <w:tcW w:w="8860" w:type="dxa"/>
            <w:vAlign w:val="bottom"/>
          </w:tcPr>
          <w:p>
            <w:pPr>
              <w:ind w:left="220"/>
              <w:spacing w:after="0"/>
              <w:rPr>
                <w:sz w:val="20"/>
                <w:szCs w:val="20"/>
                <w:color w:val="auto"/>
              </w:rPr>
            </w:pPr>
            <w:r>
              <w:rPr>
                <w:rFonts w:ascii="Arial" w:cs="Arial" w:eastAsia="Arial" w:hAnsi="Arial"/>
                <w:sz w:val="16"/>
                <w:szCs w:val="16"/>
                <w:color w:val="auto"/>
              </w:rPr>
              <w:t>Purchases of marketable equity securities</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(4,823)</w:t>
            </w: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30"/>
        </w:trPr>
        <w:tc>
          <w:tcPr>
            <w:tcW w:w="8860" w:type="dxa"/>
            <w:vAlign w:val="bottom"/>
          </w:tcPr>
          <w:p>
            <w:pPr>
              <w:ind w:left="220"/>
              <w:spacing w:after="0"/>
              <w:rPr>
                <w:sz w:val="20"/>
                <w:szCs w:val="20"/>
                <w:color w:val="auto"/>
              </w:rPr>
            </w:pPr>
            <w:r>
              <w:rPr>
                <w:rFonts w:ascii="Arial" w:cs="Arial" w:eastAsia="Arial" w:hAnsi="Arial"/>
                <w:sz w:val="16"/>
                <w:szCs w:val="16"/>
                <w:color w:val="auto"/>
              </w:rPr>
              <w:t>Net proceeds from disposition of a business, property, plant and equipment and investments</w:t>
            </w:r>
          </w:p>
        </w:tc>
        <w:tc>
          <w:tcPr>
            <w:tcW w:w="260" w:type="dxa"/>
            <w:vAlign w:val="bottom"/>
          </w:tcPr>
          <w:p>
            <w:pPr>
              <w:spacing w:after="0"/>
              <w:rPr>
                <w:sz w:val="19"/>
                <w:szCs w:val="19"/>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b w:val="1"/>
                <w:bCs w:val="1"/>
                <w:color w:val="auto"/>
              </w:rPr>
              <w:t>940</w:t>
            </w: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495</w:t>
            </w:r>
          </w:p>
        </w:tc>
      </w:tr>
      <w:tr>
        <w:trPr>
          <w:trHeight w:val="229"/>
        </w:trPr>
        <w:tc>
          <w:tcPr>
            <w:tcW w:w="8860" w:type="dxa"/>
            <w:vAlign w:val="bottom"/>
          </w:tcPr>
          <w:p>
            <w:pPr>
              <w:ind w:left="220"/>
              <w:spacing w:after="0"/>
              <w:rPr>
                <w:sz w:val="20"/>
                <w:szCs w:val="20"/>
                <w:color w:val="auto"/>
              </w:rPr>
            </w:pPr>
            <w:r>
              <w:rPr>
                <w:rFonts w:ascii="Arial" w:cs="Arial" w:eastAsia="Arial" w:hAnsi="Arial"/>
                <w:sz w:val="16"/>
                <w:szCs w:val="16"/>
                <w:color w:val="auto"/>
              </w:rPr>
              <w:t>Investments in equity affiliates and cost method investments</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(225)</w:t>
            </w: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(526)</w:t>
            </w:r>
          </w:p>
        </w:tc>
      </w:tr>
      <w:tr>
        <w:trPr>
          <w:trHeight w:val="231"/>
        </w:trPr>
        <w:tc>
          <w:tcPr>
            <w:tcW w:w="8860" w:type="dxa"/>
            <w:vAlign w:val="bottom"/>
          </w:tcPr>
          <w:p>
            <w:pPr>
              <w:ind w:left="220"/>
              <w:spacing w:after="0"/>
              <w:rPr>
                <w:sz w:val="20"/>
                <w:szCs w:val="20"/>
                <w:color w:val="auto"/>
              </w:rPr>
            </w:pPr>
            <w:r>
              <w:rPr>
                <w:rFonts w:ascii="Arial" w:cs="Arial" w:eastAsia="Arial" w:hAnsi="Arial"/>
                <w:sz w:val="16"/>
                <w:szCs w:val="16"/>
                <w:color w:val="auto"/>
              </w:rPr>
              <w:t>Other</w:t>
            </w: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1,000</w:t>
            </w:r>
          </w:p>
        </w:tc>
        <w:tc>
          <w:tcPr>
            <w:tcW w:w="4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327</w:t>
            </w:r>
          </w:p>
        </w:tc>
      </w:tr>
      <w:tr>
        <w:trPr>
          <w:trHeight w:val="223"/>
        </w:trPr>
        <w:tc>
          <w:tcPr>
            <w:tcW w:w="8860" w:type="dxa"/>
            <w:vAlign w:val="bottom"/>
          </w:tcPr>
          <w:p>
            <w:pPr>
              <w:ind w:left="460"/>
              <w:spacing w:after="0"/>
              <w:rPr>
                <w:sz w:val="20"/>
                <w:szCs w:val="20"/>
                <w:color w:val="auto"/>
              </w:rPr>
            </w:pPr>
            <w:r>
              <w:rPr>
                <w:rFonts w:ascii="Arial" w:cs="Arial" w:eastAsia="Arial" w:hAnsi="Arial"/>
                <w:sz w:val="16"/>
                <w:szCs w:val="16"/>
                <w:color w:val="auto"/>
              </w:rPr>
              <w:t>Net Cash Used in Investing Activities</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(18,590)</w:t>
            </w:r>
          </w:p>
        </w:tc>
        <w:tc>
          <w:tcPr>
            <w:tcW w:w="4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(20,962)</w:t>
            </w:r>
          </w:p>
        </w:tc>
      </w:tr>
      <w:tr>
        <w:trPr>
          <w:trHeight w:val="222"/>
        </w:trPr>
        <w:tc>
          <w:tcPr>
            <w:tcW w:w="8860" w:type="dxa"/>
            <w:vAlign w:val="bottom"/>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30"/>
        </w:trPr>
        <w:tc>
          <w:tcPr>
            <w:tcW w:w="8860" w:type="dxa"/>
            <w:vAlign w:val="bottom"/>
          </w:tcPr>
          <w:p>
            <w:pPr>
              <w:ind w:left="220"/>
              <w:spacing w:after="0"/>
              <w:rPr>
                <w:sz w:val="20"/>
                <w:szCs w:val="20"/>
                <w:color w:val="auto"/>
              </w:rPr>
            </w:pPr>
            <w:r>
              <w:rPr>
                <w:rFonts w:ascii="Arial" w:cs="Arial" w:eastAsia="Arial" w:hAnsi="Arial"/>
                <w:sz w:val="16"/>
                <w:szCs w:val="16"/>
                <w:color w:val="auto"/>
              </w:rPr>
              <w:t>Distributions paid to noncontrolling interests</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(188,253)</w:t>
            </w: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(797)</w:t>
            </w:r>
          </w:p>
        </w:tc>
      </w:tr>
      <w:tr>
        <w:trPr>
          <w:trHeight w:val="230"/>
        </w:trPr>
        <w:tc>
          <w:tcPr>
            <w:tcW w:w="8860" w:type="dxa"/>
            <w:vAlign w:val="bottom"/>
          </w:tcPr>
          <w:p>
            <w:pPr>
              <w:ind w:left="220"/>
              <w:spacing w:after="0"/>
              <w:rPr>
                <w:sz w:val="20"/>
                <w:szCs w:val="20"/>
                <w:color w:val="auto"/>
              </w:rPr>
            </w:pPr>
            <w:r>
              <w:rPr>
                <w:rFonts w:ascii="Arial" w:cs="Arial" w:eastAsia="Arial" w:hAnsi="Arial"/>
                <w:sz w:val="16"/>
                <w:szCs w:val="16"/>
                <w:color w:val="auto"/>
              </w:rPr>
              <w:t>Net borrowings under revolving credit facilities</w:t>
            </w:r>
          </w:p>
        </w:tc>
        <w:tc>
          <w:tcPr>
            <w:tcW w:w="260" w:type="dxa"/>
            <w:vAlign w:val="bottom"/>
          </w:tcPr>
          <w:p>
            <w:pPr>
              <w:spacing w:after="0"/>
              <w:rPr>
                <w:sz w:val="19"/>
                <w:szCs w:val="19"/>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b w:val="1"/>
                <w:bCs w:val="1"/>
                <w:color w:val="auto"/>
              </w:rPr>
              <w:t>121,400</w:t>
            </w: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9,245</w:t>
            </w:r>
          </w:p>
        </w:tc>
      </w:tr>
      <w:tr>
        <w:trPr>
          <w:trHeight w:val="230"/>
        </w:trPr>
        <w:tc>
          <w:tcPr>
            <w:tcW w:w="8860" w:type="dxa"/>
            <w:vAlign w:val="bottom"/>
          </w:tcPr>
          <w:p>
            <w:pPr>
              <w:ind w:left="220"/>
              <w:spacing w:after="0"/>
              <w:rPr>
                <w:sz w:val="20"/>
                <w:szCs w:val="20"/>
                <w:color w:val="auto"/>
              </w:rPr>
            </w:pPr>
            <w:r>
              <w:rPr>
                <w:rFonts w:ascii="Arial" w:cs="Arial" w:eastAsia="Arial" w:hAnsi="Arial"/>
                <w:sz w:val="16"/>
                <w:szCs w:val="16"/>
                <w:color w:val="auto"/>
              </w:rPr>
              <w:t>Net (repayments of) proceeds from vehicle floor plan payable</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(32,301)</w:t>
            </w: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26,803</w:t>
            </w:r>
          </w:p>
        </w:tc>
      </w:tr>
      <w:tr>
        <w:trPr>
          <w:trHeight w:val="229"/>
        </w:trPr>
        <w:tc>
          <w:tcPr>
            <w:tcW w:w="8860" w:type="dxa"/>
            <w:vAlign w:val="bottom"/>
          </w:tcPr>
          <w:p>
            <w:pPr>
              <w:ind w:left="220"/>
              <w:spacing w:after="0"/>
              <w:rPr>
                <w:sz w:val="20"/>
                <w:szCs w:val="20"/>
                <w:color w:val="auto"/>
              </w:rPr>
            </w:pPr>
            <w:r>
              <w:rPr>
                <w:rFonts w:ascii="Arial" w:cs="Arial" w:eastAsia="Arial" w:hAnsi="Arial"/>
                <w:sz w:val="16"/>
                <w:szCs w:val="16"/>
                <w:color w:val="auto"/>
              </w:rPr>
              <w:t>Dividends paid</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(7,813)</w:t>
            </w: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(7,678)</w:t>
            </w:r>
          </w:p>
        </w:tc>
      </w:tr>
      <w:tr>
        <w:trPr>
          <w:trHeight w:val="230"/>
        </w:trPr>
        <w:tc>
          <w:tcPr>
            <w:tcW w:w="8860" w:type="dxa"/>
            <w:vAlign w:val="bottom"/>
          </w:tcPr>
          <w:p>
            <w:pPr>
              <w:ind w:left="220"/>
              <w:spacing w:after="0"/>
              <w:rPr>
                <w:sz w:val="20"/>
                <w:szCs w:val="20"/>
                <w:color w:val="auto"/>
              </w:rPr>
            </w:pPr>
            <w:r>
              <w:rPr>
                <w:rFonts w:ascii="Arial" w:cs="Arial" w:eastAsia="Arial" w:hAnsi="Arial"/>
                <w:sz w:val="16"/>
                <w:szCs w:val="16"/>
                <w:color w:val="auto"/>
              </w:rPr>
              <w:t>Repayments of borrowings</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(7,139)</w:t>
            </w: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(4,902)</w:t>
            </w:r>
          </w:p>
        </w:tc>
      </w:tr>
      <w:tr>
        <w:trPr>
          <w:trHeight w:val="230"/>
        </w:trPr>
        <w:tc>
          <w:tcPr>
            <w:tcW w:w="8860" w:type="dxa"/>
            <w:vAlign w:val="bottom"/>
          </w:tcPr>
          <w:p>
            <w:pPr>
              <w:ind w:left="220"/>
              <w:spacing w:after="0"/>
              <w:rPr>
                <w:sz w:val="20"/>
                <w:szCs w:val="20"/>
                <w:color w:val="auto"/>
              </w:rPr>
            </w:pPr>
            <w:r>
              <w:rPr>
                <w:rFonts w:ascii="Arial" w:cs="Arial" w:eastAsia="Arial" w:hAnsi="Arial"/>
                <w:sz w:val="16"/>
                <w:szCs w:val="16"/>
                <w:color w:val="auto"/>
              </w:rPr>
              <w:t>Principal payments of finance leases</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(4,441)</w:t>
            </w: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(1,852)</w:t>
            </w:r>
          </w:p>
        </w:tc>
      </w:tr>
      <w:tr>
        <w:trPr>
          <w:trHeight w:val="230"/>
        </w:trPr>
        <w:tc>
          <w:tcPr>
            <w:tcW w:w="8860" w:type="dxa"/>
            <w:vAlign w:val="bottom"/>
          </w:tcPr>
          <w:p>
            <w:pPr>
              <w:ind w:left="220"/>
              <w:spacing w:after="0"/>
              <w:rPr>
                <w:sz w:val="20"/>
                <w:szCs w:val="20"/>
                <w:color w:val="auto"/>
              </w:rPr>
            </w:pPr>
            <w:r>
              <w:rPr>
                <w:rFonts w:ascii="Arial" w:cs="Arial" w:eastAsia="Arial" w:hAnsi="Arial"/>
                <w:sz w:val="16"/>
                <w:szCs w:val="16"/>
                <w:color w:val="auto"/>
              </w:rPr>
              <w:t>Common shares repurchased</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(3,468)</w:t>
            </w: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(20,028)</w:t>
            </w:r>
          </w:p>
        </w:tc>
      </w:tr>
      <w:tr>
        <w:trPr>
          <w:trHeight w:val="230"/>
        </w:trPr>
        <w:tc>
          <w:tcPr>
            <w:tcW w:w="8860" w:type="dxa"/>
            <w:vAlign w:val="bottom"/>
          </w:tcPr>
          <w:p>
            <w:pPr>
              <w:ind w:left="220"/>
              <w:spacing w:after="0"/>
              <w:rPr>
                <w:sz w:val="20"/>
                <w:szCs w:val="20"/>
                <w:color w:val="auto"/>
              </w:rPr>
            </w:pPr>
            <w:r>
              <w:rPr>
                <w:rFonts w:ascii="Arial" w:cs="Arial" w:eastAsia="Arial" w:hAnsi="Arial"/>
                <w:sz w:val="16"/>
                <w:szCs w:val="16"/>
                <w:color w:val="auto"/>
              </w:rPr>
              <w:t>Other</w:t>
            </w: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288</w:t>
            </w:r>
          </w:p>
        </w:tc>
        <w:tc>
          <w:tcPr>
            <w:tcW w:w="4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735</w:t>
            </w:r>
          </w:p>
        </w:tc>
      </w:tr>
      <w:tr>
        <w:trPr>
          <w:trHeight w:val="223"/>
        </w:trPr>
        <w:tc>
          <w:tcPr>
            <w:tcW w:w="8860" w:type="dxa"/>
            <w:vAlign w:val="bottom"/>
          </w:tcPr>
          <w:p>
            <w:pPr>
              <w:ind w:left="460"/>
              <w:spacing w:after="0"/>
              <w:rPr>
                <w:sz w:val="20"/>
                <w:szCs w:val="20"/>
                <w:color w:val="auto"/>
              </w:rPr>
            </w:pPr>
            <w:r>
              <w:rPr>
                <w:rFonts w:ascii="Arial" w:cs="Arial" w:eastAsia="Arial" w:hAnsi="Arial"/>
                <w:sz w:val="16"/>
                <w:szCs w:val="16"/>
                <w:color w:val="auto"/>
              </w:rPr>
              <w:t>Net Cash (Used in) Provided by Financing Activities</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(121,727)</w:t>
            </w:r>
          </w:p>
        </w:tc>
        <w:tc>
          <w:tcPr>
            <w:tcW w:w="4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1,526</w:t>
            </w:r>
          </w:p>
        </w:tc>
      </w:tr>
      <w:tr>
        <w:trPr>
          <w:trHeight w:val="223"/>
        </w:trPr>
        <w:tc>
          <w:tcPr>
            <w:tcW w:w="8860" w:type="dxa"/>
            <w:vAlign w:val="bottom"/>
          </w:tcPr>
          <w:p>
            <w:pPr>
              <w:ind w:left="20"/>
              <w:spacing w:after="0"/>
              <w:rPr>
                <w:sz w:val="20"/>
                <w:szCs w:val="20"/>
                <w:color w:val="auto"/>
              </w:rPr>
            </w:pPr>
            <w:r>
              <w:rPr>
                <w:rFonts w:ascii="Arial" w:cs="Arial" w:eastAsia="Arial" w:hAnsi="Arial"/>
                <w:sz w:val="16"/>
                <w:szCs w:val="16"/>
                <w:b w:val="1"/>
                <w:bCs w:val="1"/>
                <w:color w:val="auto"/>
              </w:rPr>
              <w:t>Effect of Currency Exchange Rate Change</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3,388</w:t>
            </w:r>
          </w:p>
        </w:tc>
        <w:tc>
          <w:tcPr>
            <w:tcW w:w="4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(4,539)</w:t>
            </w:r>
          </w:p>
        </w:tc>
      </w:tr>
      <w:tr>
        <w:trPr>
          <w:trHeight w:val="223"/>
        </w:trPr>
        <w:tc>
          <w:tcPr>
            <w:tcW w:w="8860" w:type="dxa"/>
            <w:vAlign w:val="bottom"/>
          </w:tcPr>
          <w:p>
            <w:pPr>
              <w:ind w:left="20"/>
              <w:spacing w:after="0"/>
              <w:rPr>
                <w:sz w:val="20"/>
                <w:szCs w:val="20"/>
                <w:color w:val="auto"/>
              </w:rPr>
            </w:pPr>
            <w:r>
              <w:rPr>
                <w:rFonts w:ascii="Arial" w:cs="Arial" w:eastAsia="Arial" w:hAnsi="Arial"/>
                <w:sz w:val="16"/>
                <w:szCs w:val="16"/>
                <w:b w:val="1"/>
                <w:bCs w:val="1"/>
                <w:color w:val="auto"/>
              </w:rPr>
              <w:t>Net Decrease in Cash and Cash Equivalents and Restricted Cash</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(90,915)</w:t>
            </w: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(22,908)</w:t>
            </w:r>
          </w:p>
        </w:tc>
      </w:tr>
      <w:tr>
        <w:trPr>
          <w:trHeight w:val="233"/>
        </w:trPr>
        <w:tc>
          <w:tcPr>
            <w:tcW w:w="8860" w:type="dxa"/>
            <w:vAlign w:val="bottom"/>
          </w:tcPr>
          <w:p>
            <w:pPr>
              <w:ind w:left="20"/>
              <w:spacing w:after="0"/>
              <w:rPr>
                <w:sz w:val="20"/>
                <w:szCs w:val="20"/>
                <w:color w:val="auto"/>
              </w:rPr>
            </w:pPr>
            <w:r>
              <w:rPr>
                <w:rFonts w:ascii="Arial" w:cs="Arial" w:eastAsia="Arial" w:hAnsi="Arial"/>
                <w:sz w:val="16"/>
                <w:szCs w:val="16"/>
                <w:b w:val="1"/>
                <w:bCs w:val="1"/>
                <w:color w:val="auto"/>
              </w:rPr>
              <w:t>Beginning Cash and Cash Equivalents and Restricted Cash</w:t>
            </w: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297,853</w:t>
            </w:r>
          </w:p>
        </w:tc>
        <w:tc>
          <w:tcPr>
            <w:tcW w:w="4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201,891</w:t>
            </w:r>
          </w:p>
        </w:tc>
      </w:tr>
      <w:tr>
        <w:trPr>
          <w:trHeight w:val="227"/>
        </w:trPr>
        <w:tc>
          <w:tcPr>
            <w:tcW w:w="8860" w:type="dxa"/>
            <w:vAlign w:val="bottom"/>
          </w:tcPr>
          <w:p>
            <w:pPr>
              <w:ind w:left="20"/>
              <w:spacing w:after="0"/>
              <w:rPr>
                <w:sz w:val="20"/>
                <w:szCs w:val="20"/>
                <w:color w:val="auto"/>
              </w:rPr>
            </w:pPr>
            <w:r>
              <w:rPr>
                <w:rFonts w:ascii="Arial" w:cs="Arial" w:eastAsia="Arial" w:hAnsi="Arial"/>
                <w:sz w:val="16"/>
                <w:szCs w:val="16"/>
                <w:b w:val="1"/>
                <w:bCs w:val="1"/>
                <w:color w:val="auto"/>
              </w:rPr>
              <w:t>Ending Cash and Cash Equivalents and Restricted Cash</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206,938</w:t>
            </w:r>
          </w:p>
        </w:tc>
        <w:tc>
          <w:tcPr>
            <w:tcW w:w="4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178,983</w:t>
            </w:r>
          </w:p>
        </w:tc>
      </w:tr>
      <w:tr>
        <w:trPr>
          <w:trHeight w:val="20"/>
        </w:trPr>
        <w:tc>
          <w:tcPr>
            <w:tcW w:w="88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Condensed Consolidated Financial Statements.</w:t>
      </w:r>
    </w:p>
    <w:p>
      <w:pPr>
        <w:sectPr>
          <w:pgSz w:w="11900" w:h="16838" w:orient="portrait"/>
          <w:cols w:equalWidth="0" w:num="1">
            <w:col w:w="11220"/>
          </w:cols>
          <w:pgMar w:left="320" w:top="944" w:right="359" w:bottom="1440" w:gutter="0" w:footer="0" w:header="0"/>
        </w:sectPr>
      </w:pPr>
    </w:p>
    <w:p>
      <w:pPr>
        <w:spacing w:after="0" w:line="38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183515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44" w:right="359" w:bottom="1440" w:gutter="0" w:footer="0" w:header="0"/>
          <w:type w:val="continuous"/>
        </w:sectPr>
      </w:pPr>
    </w:p>
    <w:bookmarkStart w:id="6" w:name="page7"/>
    <w:bookmarkEnd w:id="6"/>
    <w:p>
      <w:pPr>
        <w:ind w:left="4560"/>
        <w:spacing w:after="0"/>
        <w:rPr>
          <w:sz w:val="20"/>
          <w:szCs w:val="20"/>
          <w:color w:val="auto"/>
        </w:rPr>
      </w:pPr>
      <w:r>
        <w:rPr>
          <w:rFonts w:ascii="Arial" w:cs="Arial" w:eastAsia="Arial" w:hAnsi="Arial"/>
          <w:sz w:val="18"/>
          <w:szCs w:val="18"/>
          <w:b w:val="1"/>
          <w:bCs w:val="1"/>
          <w:color w:val="auto"/>
        </w:rPr>
        <w:t>GRAHAM HOLDINGS COMPANY</w:t>
      </w:r>
    </w:p>
    <w:p>
      <w:pPr>
        <w:spacing w:after="0" w:line="27" w:lineRule="exact"/>
        <w:rPr>
          <w:sz w:val="20"/>
          <w:szCs w:val="20"/>
          <w:color w:val="auto"/>
        </w:rPr>
      </w:pPr>
    </w:p>
    <w:p>
      <w:pPr>
        <w:ind w:left="720"/>
        <w:spacing w:after="0"/>
        <w:rPr>
          <w:sz w:val="20"/>
          <w:szCs w:val="20"/>
          <w:color w:val="auto"/>
        </w:rPr>
      </w:pPr>
      <w:r>
        <w:rPr>
          <w:rFonts w:ascii="Arial" w:cs="Arial" w:eastAsia="Arial" w:hAnsi="Arial"/>
          <w:sz w:val="18"/>
          <w:szCs w:val="18"/>
          <w:b w:val="1"/>
          <w:bCs w:val="1"/>
          <w:color w:val="auto"/>
        </w:rPr>
        <w:t>CONDENSED CONSOLIDATED STATEMENTS OF CHANGES IN COMMON STOCKHOLDERS’ EQUITY (UNAUDITED)</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40" w:type="dxa"/>
            <w:vAlign w:val="bottom"/>
          </w:tcPr>
          <w:p>
            <w:pPr>
              <w:spacing w:after="0"/>
              <w:rPr>
                <w:sz w:val="10"/>
                <w:szCs w:val="10"/>
                <w:color w:val="auto"/>
              </w:rPr>
            </w:pPr>
          </w:p>
        </w:tc>
        <w:tc>
          <w:tcPr>
            <w:tcW w:w="3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gridSpan w:val="2"/>
            <w:vMerge w:val="restart"/>
          </w:tcPr>
          <w:p>
            <w:pPr>
              <w:ind w:left="60"/>
              <w:spacing w:after="0"/>
              <w:rPr>
                <w:sz w:val="20"/>
                <w:szCs w:val="20"/>
                <w:color w:val="auto"/>
              </w:rPr>
            </w:pPr>
            <w:r>
              <w:rPr>
                <w:rFonts w:ascii="Arial" w:cs="Arial" w:eastAsia="Arial" w:hAnsi="Arial"/>
                <w:sz w:val="11"/>
                <w:szCs w:val="11"/>
                <w:color w:val="auto"/>
              </w:rPr>
              <w:t>Common</w:t>
            </w:r>
          </w:p>
        </w:tc>
        <w:tc>
          <w:tcPr>
            <w:tcW w:w="160" w:type="dxa"/>
            <w:vAlign w:val="bottom"/>
          </w:tcPr>
          <w:p>
            <w:pPr>
              <w:spacing w:after="0"/>
              <w:rPr>
                <w:sz w:val="10"/>
                <w:szCs w:val="10"/>
                <w:color w:val="auto"/>
              </w:rPr>
            </w:pPr>
          </w:p>
        </w:tc>
        <w:tc>
          <w:tcPr>
            <w:tcW w:w="700" w:type="dxa"/>
            <w:vAlign w:val="bottom"/>
          </w:tcPr>
          <w:p>
            <w:pPr>
              <w:ind w:left="20"/>
              <w:spacing w:after="0"/>
              <w:rPr>
                <w:sz w:val="20"/>
                <w:szCs w:val="20"/>
                <w:color w:val="auto"/>
              </w:rPr>
            </w:pPr>
            <w:r>
              <w:rPr>
                <w:rFonts w:ascii="Arial" w:cs="Arial" w:eastAsia="Arial" w:hAnsi="Arial"/>
                <w:sz w:val="11"/>
                <w:szCs w:val="11"/>
                <w:color w:val="auto"/>
              </w:rPr>
              <w:t>Capital in</w:t>
            </w:r>
          </w:p>
        </w:tc>
        <w:tc>
          <w:tcPr>
            <w:tcW w:w="180" w:type="dxa"/>
            <w:vAlign w:val="bottom"/>
          </w:tcPr>
          <w:p>
            <w:pPr>
              <w:spacing w:after="0"/>
              <w:rPr>
                <w:sz w:val="10"/>
                <w:szCs w:val="10"/>
                <w:color w:val="auto"/>
              </w:rPr>
            </w:pPr>
          </w:p>
        </w:tc>
        <w:tc>
          <w:tcPr>
            <w:tcW w:w="780" w:type="dxa"/>
            <w:vAlign w:val="bottom"/>
            <w:vMerge w:val="restart"/>
          </w:tcPr>
          <w:p>
            <w:pPr>
              <w:jc w:val="right"/>
              <w:ind w:right="216"/>
              <w:spacing w:after="0"/>
              <w:rPr>
                <w:sz w:val="20"/>
                <w:szCs w:val="20"/>
                <w:color w:val="auto"/>
              </w:rPr>
            </w:pPr>
            <w:r>
              <w:rPr>
                <w:rFonts w:ascii="Arial" w:cs="Arial" w:eastAsia="Arial" w:hAnsi="Arial"/>
                <w:sz w:val="11"/>
                <w:szCs w:val="11"/>
                <w:color w:val="auto"/>
              </w:rPr>
              <w:t>Retained</w:t>
            </w:r>
          </w:p>
        </w:tc>
        <w:tc>
          <w:tcPr>
            <w:tcW w:w="1040" w:type="dxa"/>
            <w:vAlign w:val="bottom"/>
            <w:gridSpan w:val="2"/>
          </w:tcPr>
          <w:p>
            <w:pPr>
              <w:ind w:left="40"/>
              <w:spacing w:after="0"/>
              <w:rPr>
                <w:sz w:val="20"/>
                <w:szCs w:val="20"/>
                <w:color w:val="auto"/>
              </w:rPr>
            </w:pPr>
            <w:r>
              <w:rPr>
                <w:rFonts w:ascii="Arial" w:cs="Arial" w:eastAsia="Arial" w:hAnsi="Arial"/>
                <w:sz w:val="11"/>
                <w:szCs w:val="11"/>
                <w:color w:val="auto"/>
              </w:rPr>
              <w:t>Accumulated Other</w:t>
            </w:r>
          </w:p>
        </w:tc>
        <w:tc>
          <w:tcPr>
            <w:tcW w:w="220" w:type="dxa"/>
            <w:vAlign w:val="bottom"/>
          </w:tcPr>
          <w:p>
            <w:pPr>
              <w:spacing w:after="0"/>
              <w:rPr>
                <w:sz w:val="10"/>
                <w:szCs w:val="10"/>
                <w:color w:val="auto"/>
              </w:rPr>
            </w:pPr>
          </w:p>
        </w:tc>
        <w:tc>
          <w:tcPr>
            <w:tcW w:w="820" w:type="dxa"/>
            <w:vAlign w:val="bottom"/>
            <w:vMerge w:val="restart"/>
          </w:tcPr>
          <w:p>
            <w:pPr>
              <w:jc w:val="right"/>
              <w:ind w:right="257"/>
              <w:spacing w:after="0"/>
              <w:rPr>
                <w:sz w:val="20"/>
                <w:szCs w:val="20"/>
                <w:color w:val="auto"/>
              </w:rPr>
            </w:pPr>
            <w:r>
              <w:rPr>
                <w:rFonts w:ascii="Arial" w:cs="Arial" w:eastAsia="Arial" w:hAnsi="Arial"/>
                <w:sz w:val="11"/>
                <w:szCs w:val="11"/>
                <w:color w:val="auto"/>
              </w:rPr>
              <w:t>Treasury</w:t>
            </w:r>
          </w:p>
        </w:tc>
        <w:tc>
          <w:tcPr>
            <w:tcW w:w="120" w:type="dxa"/>
            <w:vAlign w:val="bottom"/>
          </w:tcPr>
          <w:p>
            <w:pPr>
              <w:spacing w:after="0"/>
              <w:rPr>
                <w:sz w:val="10"/>
                <w:szCs w:val="10"/>
                <w:color w:val="auto"/>
              </w:rPr>
            </w:pPr>
          </w:p>
        </w:tc>
        <w:tc>
          <w:tcPr>
            <w:tcW w:w="860" w:type="dxa"/>
            <w:vAlign w:val="bottom"/>
            <w:vMerge w:val="restart"/>
          </w:tcPr>
          <w:p>
            <w:pPr>
              <w:jc w:val="right"/>
              <w:ind w:right="96"/>
              <w:spacing w:after="0"/>
              <w:rPr>
                <w:sz w:val="20"/>
                <w:szCs w:val="20"/>
                <w:color w:val="auto"/>
              </w:rPr>
            </w:pPr>
            <w:r>
              <w:rPr>
                <w:rFonts w:ascii="Arial" w:cs="Arial" w:eastAsia="Arial" w:hAnsi="Arial"/>
                <w:sz w:val="11"/>
                <w:szCs w:val="11"/>
                <w:color w:val="auto"/>
                <w:w w:val="96"/>
              </w:rPr>
              <w:t>Noncontrolling</w:t>
            </w:r>
          </w:p>
        </w:tc>
        <w:tc>
          <w:tcPr>
            <w:tcW w:w="1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00" w:type="dxa"/>
            <w:vAlign w:val="bottom"/>
          </w:tcPr>
          <w:p>
            <w:pPr>
              <w:jc w:val="center"/>
              <w:ind w:right="78"/>
              <w:spacing w:after="0"/>
              <w:rPr>
                <w:sz w:val="20"/>
                <w:szCs w:val="20"/>
                <w:color w:val="auto"/>
              </w:rPr>
            </w:pPr>
            <w:r>
              <w:rPr>
                <w:rFonts w:ascii="Arial" w:cs="Arial" w:eastAsia="Arial" w:hAnsi="Arial"/>
                <w:sz w:val="11"/>
                <w:szCs w:val="11"/>
                <w:color w:val="auto"/>
                <w:w w:val="96"/>
              </w:rPr>
              <w:t>Redeemable</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346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700" w:type="dxa"/>
            <w:vAlign w:val="bottom"/>
          </w:tcPr>
          <w:p>
            <w:pPr>
              <w:ind w:left="20"/>
              <w:spacing w:after="0" w:line="108" w:lineRule="exact"/>
              <w:rPr>
                <w:sz w:val="20"/>
                <w:szCs w:val="20"/>
                <w:color w:val="auto"/>
              </w:rPr>
            </w:pPr>
            <w:r>
              <w:rPr>
                <w:rFonts w:ascii="Arial" w:cs="Arial" w:eastAsia="Arial" w:hAnsi="Arial"/>
                <w:sz w:val="11"/>
                <w:szCs w:val="11"/>
                <w:color w:val="auto"/>
              </w:rPr>
              <w:t>Excess of</w:t>
            </w:r>
          </w:p>
        </w:tc>
        <w:tc>
          <w:tcPr>
            <w:tcW w:w="18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tcPr>
          <w:p>
            <w:pPr>
              <w:jc w:val="right"/>
              <w:ind w:right="98"/>
              <w:spacing w:after="0" w:line="108" w:lineRule="exact"/>
              <w:rPr>
                <w:sz w:val="20"/>
                <w:szCs w:val="20"/>
                <w:color w:val="auto"/>
              </w:rPr>
            </w:pPr>
            <w:r>
              <w:rPr>
                <w:rFonts w:ascii="Arial" w:cs="Arial" w:eastAsia="Arial" w:hAnsi="Arial"/>
                <w:sz w:val="11"/>
                <w:szCs w:val="11"/>
                <w:color w:val="auto"/>
                <w:w w:val="96"/>
              </w:rPr>
              <w:t>Comprehensive</w:t>
            </w:r>
          </w:p>
        </w:tc>
        <w:tc>
          <w:tcPr>
            <w:tcW w:w="22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880" w:type="dxa"/>
            <w:vAlign w:val="bottom"/>
          </w:tcPr>
          <w:p>
            <w:pPr>
              <w:spacing w:after="0"/>
              <w:rPr>
                <w:sz w:val="9"/>
                <w:szCs w:val="9"/>
                <w:color w:val="auto"/>
              </w:rPr>
            </w:pPr>
          </w:p>
        </w:tc>
        <w:tc>
          <w:tcPr>
            <w:tcW w:w="180" w:type="dxa"/>
            <w:vAlign w:val="bottom"/>
          </w:tcPr>
          <w:p>
            <w:pPr>
              <w:spacing w:after="0"/>
              <w:rPr>
                <w:sz w:val="9"/>
                <w:szCs w:val="9"/>
                <w:color w:val="auto"/>
              </w:rPr>
            </w:pPr>
          </w:p>
        </w:tc>
        <w:tc>
          <w:tcPr>
            <w:tcW w:w="900" w:type="dxa"/>
            <w:vAlign w:val="bottom"/>
          </w:tcPr>
          <w:p>
            <w:pPr>
              <w:jc w:val="center"/>
              <w:ind w:right="78"/>
              <w:spacing w:after="0" w:line="108" w:lineRule="exact"/>
              <w:rPr>
                <w:sz w:val="20"/>
                <w:szCs w:val="20"/>
                <w:color w:val="auto"/>
              </w:rPr>
            </w:pPr>
            <w:r>
              <w:rPr>
                <w:rFonts w:ascii="Arial" w:cs="Arial" w:eastAsia="Arial" w:hAnsi="Arial"/>
                <w:sz w:val="11"/>
                <w:szCs w:val="11"/>
                <w:color w:val="auto"/>
                <w:w w:val="96"/>
              </w:rPr>
              <w:t>Noncontrolling</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3460" w:type="dxa"/>
            <w:vAlign w:val="bottom"/>
          </w:tcPr>
          <w:p>
            <w:pPr>
              <w:spacing w:after="0"/>
              <w:rPr>
                <w:sz w:val="20"/>
                <w:szCs w:val="20"/>
                <w:color w:val="auto"/>
              </w:rPr>
            </w:pPr>
            <w:r>
              <w:rPr>
                <w:rFonts w:ascii="Arial" w:cs="Arial" w:eastAsia="Arial" w:hAnsi="Arial"/>
                <w:sz w:val="11"/>
                <w:szCs w:val="11"/>
                <w:color w:val="auto"/>
              </w:rPr>
              <w:t>(in thousands)</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ind w:left="60"/>
              <w:spacing w:after="0"/>
              <w:rPr>
                <w:sz w:val="20"/>
                <w:szCs w:val="20"/>
                <w:color w:val="auto"/>
              </w:rPr>
            </w:pPr>
            <w:r>
              <w:rPr>
                <w:rFonts w:ascii="Arial" w:cs="Arial" w:eastAsia="Arial" w:hAnsi="Arial"/>
                <w:sz w:val="11"/>
                <w:szCs w:val="11"/>
                <w:color w:val="auto"/>
              </w:rPr>
              <w:t>Stock</w:t>
            </w:r>
          </w:p>
        </w:tc>
        <w:tc>
          <w:tcPr>
            <w:tcW w:w="160" w:type="dxa"/>
            <w:vAlign w:val="bottom"/>
          </w:tcPr>
          <w:p>
            <w:pPr>
              <w:spacing w:after="0"/>
              <w:rPr>
                <w:sz w:val="13"/>
                <w:szCs w:val="13"/>
                <w:color w:val="auto"/>
              </w:rPr>
            </w:pPr>
          </w:p>
        </w:tc>
        <w:tc>
          <w:tcPr>
            <w:tcW w:w="700" w:type="dxa"/>
            <w:vAlign w:val="bottom"/>
          </w:tcPr>
          <w:p>
            <w:pPr>
              <w:ind w:left="40"/>
              <w:spacing w:after="0"/>
              <w:rPr>
                <w:sz w:val="20"/>
                <w:szCs w:val="20"/>
                <w:color w:val="auto"/>
              </w:rPr>
            </w:pPr>
            <w:r>
              <w:rPr>
                <w:rFonts w:ascii="Arial" w:cs="Arial" w:eastAsia="Arial" w:hAnsi="Arial"/>
                <w:sz w:val="11"/>
                <w:szCs w:val="11"/>
                <w:color w:val="auto"/>
              </w:rPr>
              <w:t>Par Value</w:t>
            </w:r>
          </w:p>
        </w:tc>
        <w:tc>
          <w:tcPr>
            <w:tcW w:w="180" w:type="dxa"/>
            <w:vAlign w:val="bottom"/>
          </w:tcPr>
          <w:p>
            <w:pPr>
              <w:spacing w:after="0"/>
              <w:rPr>
                <w:sz w:val="13"/>
                <w:szCs w:val="13"/>
                <w:color w:val="auto"/>
              </w:rPr>
            </w:pPr>
          </w:p>
        </w:tc>
        <w:tc>
          <w:tcPr>
            <w:tcW w:w="780" w:type="dxa"/>
            <w:vAlign w:val="bottom"/>
          </w:tcPr>
          <w:p>
            <w:pPr>
              <w:jc w:val="right"/>
              <w:ind w:right="216"/>
              <w:spacing w:after="0"/>
              <w:rPr>
                <w:sz w:val="20"/>
                <w:szCs w:val="20"/>
                <w:color w:val="auto"/>
              </w:rPr>
            </w:pPr>
            <w:r>
              <w:rPr>
                <w:rFonts w:ascii="Arial" w:cs="Arial" w:eastAsia="Arial" w:hAnsi="Arial"/>
                <w:sz w:val="11"/>
                <w:szCs w:val="11"/>
                <w:color w:val="auto"/>
              </w:rPr>
              <w:t>Earnings</w:t>
            </w:r>
          </w:p>
        </w:tc>
        <w:tc>
          <w:tcPr>
            <w:tcW w:w="120" w:type="dxa"/>
            <w:vAlign w:val="bottom"/>
          </w:tcPr>
          <w:p>
            <w:pPr>
              <w:spacing w:after="0"/>
              <w:rPr>
                <w:sz w:val="13"/>
                <w:szCs w:val="13"/>
                <w:color w:val="auto"/>
              </w:rPr>
            </w:pPr>
          </w:p>
        </w:tc>
        <w:tc>
          <w:tcPr>
            <w:tcW w:w="920" w:type="dxa"/>
            <w:vAlign w:val="bottom"/>
          </w:tcPr>
          <w:p>
            <w:pPr>
              <w:jc w:val="right"/>
              <w:ind w:right="298"/>
              <w:spacing w:after="0"/>
              <w:rPr>
                <w:sz w:val="20"/>
                <w:szCs w:val="20"/>
                <w:color w:val="auto"/>
              </w:rPr>
            </w:pPr>
            <w:r>
              <w:rPr>
                <w:rFonts w:ascii="Arial" w:cs="Arial" w:eastAsia="Arial" w:hAnsi="Arial"/>
                <w:sz w:val="11"/>
                <w:szCs w:val="11"/>
                <w:color w:val="auto"/>
              </w:rPr>
              <w:t>Income</w:t>
            </w:r>
          </w:p>
        </w:tc>
        <w:tc>
          <w:tcPr>
            <w:tcW w:w="220" w:type="dxa"/>
            <w:vAlign w:val="bottom"/>
          </w:tcPr>
          <w:p>
            <w:pPr>
              <w:spacing w:after="0"/>
              <w:rPr>
                <w:sz w:val="13"/>
                <w:szCs w:val="13"/>
                <w:color w:val="auto"/>
              </w:rPr>
            </w:pPr>
          </w:p>
        </w:tc>
        <w:tc>
          <w:tcPr>
            <w:tcW w:w="820" w:type="dxa"/>
            <w:vAlign w:val="bottom"/>
          </w:tcPr>
          <w:p>
            <w:pPr>
              <w:jc w:val="right"/>
              <w:ind w:right="317"/>
              <w:spacing w:after="0"/>
              <w:rPr>
                <w:sz w:val="20"/>
                <w:szCs w:val="20"/>
                <w:color w:val="auto"/>
              </w:rPr>
            </w:pPr>
            <w:r>
              <w:rPr>
                <w:rFonts w:ascii="Arial" w:cs="Arial" w:eastAsia="Arial" w:hAnsi="Arial"/>
                <w:sz w:val="11"/>
                <w:szCs w:val="11"/>
                <w:color w:val="auto"/>
              </w:rPr>
              <w:t>Stock</w:t>
            </w:r>
          </w:p>
        </w:tc>
        <w:tc>
          <w:tcPr>
            <w:tcW w:w="120" w:type="dxa"/>
            <w:vAlign w:val="bottom"/>
          </w:tcPr>
          <w:p>
            <w:pPr>
              <w:spacing w:after="0"/>
              <w:rPr>
                <w:sz w:val="13"/>
                <w:szCs w:val="13"/>
                <w:color w:val="auto"/>
              </w:rPr>
            </w:pPr>
          </w:p>
        </w:tc>
        <w:tc>
          <w:tcPr>
            <w:tcW w:w="860" w:type="dxa"/>
            <w:vAlign w:val="bottom"/>
          </w:tcPr>
          <w:p>
            <w:pPr>
              <w:jc w:val="right"/>
              <w:ind w:right="256"/>
              <w:spacing w:after="0"/>
              <w:rPr>
                <w:sz w:val="20"/>
                <w:szCs w:val="20"/>
                <w:color w:val="auto"/>
              </w:rPr>
            </w:pPr>
            <w:r>
              <w:rPr>
                <w:rFonts w:ascii="Arial" w:cs="Arial" w:eastAsia="Arial" w:hAnsi="Arial"/>
                <w:sz w:val="11"/>
                <w:szCs w:val="11"/>
                <w:color w:val="auto"/>
              </w:rPr>
              <w:t>Interest</w:t>
            </w:r>
          </w:p>
        </w:tc>
        <w:tc>
          <w:tcPr>
            <w:tcW w:w="160" w:type="dxa"/>
            <w:vAlign w:val="bottom"/>
          </w:tcPr>
          <w:p>
            <w:pPr>
              <w:spacing w:after="0"/>
              <w:rPr>
                <w:sz w:val="13"/>
                <w:szCs w:val="13"/>
                <w:color w:val="auto"/>
              </w:rPr>
            </w:pPr>
          </w:p>
        </w:tc>
        <w:tc>
          <w:tcPr>
            <w:tcW w:w="880" w:type="dxa"/>
            <w:vAlign w:val="bottom"/>
          </w:tcPr>
          <w:p>
            <w:pPr>
              <w:jc w:val="right"/>
              <w:ind w:right="213"/>
              <w:spacing w:after="0"/>
              <w:rPr>
                <w:sz w:val="20"/>
                <w:szCs w:val="20"/>
                <w:color w:val="auto"/>
              </w:rPr>
            </w:pPr>
            <w:r>
              <w:rPr>
                <w:rFonts w:ascii="Arial" w:cs="Arial" w:eastAsia="Arial" w:hAnsi="Arial"/>
                <w:sz w:val="11"/>
                <w:szCs w:val="11"/>
                <w:color w:val="auto"/>
                <w:w w:val="99"/>
              </w:rPr>
              <w:t>Total Equity</w:t>
            </w:r>
          </w:p>
        </w:tc>
        <w:tc>
          <w:tcPr>
            <w:tcW w:w="180" w:type="dxa"/>
            <w:vAlign w:val="bottom"/>
          </w:tcPr>
          <w:p>
            <w:pPr>
              <w:spacing w:after="0"/>
              <w:rPr>
                <w:sz w:val="13"/>
                <w:szCs w:val="13"/>
                <w:color w:val="auto"/>
              </w:rPr>
            </w:pPr>
          </w:p>
        </w:tc>
        <w:tc>
          <w:tcPr>
            <w:tcW w:w="900" w:type="dxa"/>
            <w:vAlign w:val="bottom"/>
          </w:tcPr>
          <w:p>
            <w:pPr>
              <w:jc w:val="center"/>
              <w:ind w:right="78"/>
              <w:spacing w:after="0"/>
              <w:rPr>
                <w:sz w:val="20"/>
                <w:szCs w:val="20"/>
                <w:color w:val="auto"/>
              </w:rPr>
            </w:pPr>
            <w:r>
              <w:rPr>
                <w:rFonts w:ascii="Arial" w:cs="Arial" w:eastAsia="Arial" w:hAnsi="Arial"/>
                <w:sz w:val="11"/>
                <w:szCs w:val="11"/>
                <w:color w:val="auto"/>
                <w:w w:val="97"/>
              </w:rPr>
              <w:t>Interest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34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40" w:type="dxa"/>
            <w:vAlign w:val="bottom"/>
          </w:tcPr>
          <w:p>
            <w:pPr>
              <w:spacing w:after="0"/>
              <w:rPr>
                <w:sz w:val="16"/>
                <w:szCs w:val="16"/>
                <w:color w:val="auto"/>
              </w:rPr>
            </w:pPr>
          </w:p>
        </w:tc>
        <w:tc>
          <w:tcPr>
            <w:tcW w:w="3460" w:type="dxa"/>
            <w:vAlign w:val="bottom"/>
          </w:tcPr>
          <w:p>
            <w:pPr>
              <w:spacing w:after="0"/>
              <w:rPr>
                <w:sz w:val="20"/>
                <w:szCs w:val="20"/>
                <w:color w:val="auto"/>
              </w:rPr>
            </w:pPr>
            <w:r>
              <w:rPr>
                <w:rFonts w:ascii="Arial" w:cs="Arial" w:eastAsia="Arial" w:hAnsi="Arial"/>
                <w:sz w:val="13"/>
                <w:szCs w:val="13"/>
                <w:color w:val="auto"/>
              </w:rPr>
              <w:t>As of December 31, 2024</w:t>
            </w:r>
          </w:p>
        </w:tc>
        <w:tc>
          <w:tcPr>
            <w:tcW w:w="160" w:type="dxa"/>
            <w:vAlign w:val="bottom"/>
            <w:gridSpan w:val="2"/>
          </w:tcPr>
          <w:p>
            <w:pPr>
              <w:jc w:val="right"/>
              <w:ind w:right="6"/>
              <w:spacing w:after="0"/>
              <w:rPr>
                <w:sz w:val="20"/>
                <w:szCs w:val="20"/>
                <w:color w:val="auto"/>
              </w:rPr>
            </w:pPr>
            <w:r>
              <w:rPr>
                <w:rFonts w:ascii="Arial" w:cs="Arial" w:eastAsia="Arial" w:hAnsi="Arial"/>
                <w:sz w:val="13"/>
                <w:szCs w:val="13"/>
                <w:color w:val="auto"/>
              </w:rPr>
              <w:t>$</w:t>
            </w:r>
          </w:p>
        </w:tc>
        <w:tc>
          <w:tcPr>
            <w:tcW w:w="560" w:type="dxa"/>
            <w:vAlign w:val="bottom"/>
          </w:tcPr>
          <w:p>
            <w:pPr>
              <w:ind w:left="80"/>
              <w:spacing w:after="0"/>
              <w:rPr>
                <w:sz w:val="20"/>
                <w:szCs w:val="20"/>
                <w:color w:val="auto"/>
              </w:rPr>
            </w:pPr>
            <w:r>
              <w:rPr>
                <w:rFonts w:ascii="Arial" w:cs="Arial" w:eastAsia="Arial" w:hAnsi="Arial"/>
                <w:sz w:val="13"/>
                <w:szCs w:val="13"/>
                <w:color w:val="auto"/>
              </w:rPr>
              <w:t>20,000</w:t>
            </w:r>
          </w:p>
        </w:tc>
        <w:tc>
          <w:tcPr>
            <w:tcW w:w="160" w:type="dxa"/>
            <w:vAlign w:val="bottom"/>
          </w:tcPr>
          <w:p>
            <w:pPr>
              <w:jc w:val="right"/>
              <w:ind w:right="13"/>
              <w:spacing w:after="0"/>
              <w:rPr>
                <w:sz w:val="20"/>
                <w:szCs w:val="20"/>
                <w:color w:val="auto"/>
              </w:rPr>
            </w:pPr>
            <w:r>
              <w:rPr>
                <w:rFonts w:ascii="Arial" w:cs="Arial" w:eastAsia="Arial" w:hAnsi="Arial"/>
                <w:sz w:val="13"/>
                <w:szCs w:val="13"/>
                <w:color w:val="auto"/>
                <w:w w:val="82"/>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356,919</w:t>
            </w:r>
          </w:p>
        </w:tc>
        <w:tc>
          <w:tcPr>
            <w:tcW w:w="18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16"/>
              <w:spacing w:after="0"/>
              <w:rPr>
                <w:sz w:val="20"/>
                <w:szCs w:val="20"/>
                <w:color w:val="auto"/>
              </w:rPr>
            </w:pPr>
            <w:r>
              <w:rPr>
                <w:rFonts w:ascii="Arial" w:cs="Arial" w:eastAsia="Arial" w:hAnsi="Arial"/>
                <w:sz w:val="13"/>
                <w:szCs w:val="13"/>
                <w:color w:val="auto"/>
              </w:rPr>
              <w:t>8,031,750</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334,797</w:t>
            </w:r>
          </w:p>
        </w:tc>
        <w:tc>
          <w:tcPr>
            <w:tcW w:w="220" w:type="dxa"/>
            <w:vAlign w:val="bottom"/>
          </w:tcPr>
          <w:p>
            <w:pPr>
              <w:jc w:val="right"/>
              <w:ind w:right="73"/>
              <w:spacing w:after="0"/>
              <w:rPr>
                <w:sz w:val="20"/>
                <w:szCs w:val="20"/>
                <w:color w:val="auto"/>
              </w:rPr>
            </w:pPr>
            <w:r>
              <w:rPr>
                <w:rFonts w:ascii="Arial" w:cs="Arial" w:eastAsia="Arial" w:hAnsi="Arial"/>
                <w:sz w:val="13"/>
                <w:szCs w:val="13"/>
                <w:color w:val="auto"/>
                <w:w w:val="82"/>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(4,486,805)</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30,154</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73"/>
              <w:spacing w:after="0"/>
              <w:rPr>
                <w:sz w:val="20"/>
                <w:szCs w:val="20"/>
                <w:color w:val="auto"/>
              </w:rPr>
            </w:pPr>
            <w:r>
              <w:rPr>
                <w:rFonts w:ascii="Arial" w:cs="Arial" w:eastAsia="Arial" w:hAnsi="Arial"/>
                <w:sz w:val="13"/>
                <w:szCs w:val="13"/>
                <w:color w:val="auto"/>
              </w:rPr>
              <w:t>4,286,815</w:t>
            </w: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43,821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4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3"/>
                <w:szCs w:val="13"/>
                <w:b w:val="1"/>
                <w:bCs w:val="1"/>
                <w:color w:val="auto"/>
              </w:rPr>
              <w:t>Net income for the period</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ind w:right="16"/>
              <w:spacing w:after="0"/>
              <w:rPr>
                <w:sz w:val="20"/>
                <w:szCs w:val="20"/>
                <w:color w:val="auto"/>
              </w:rPr>
            </w:pPr>
            <w:r>
              <w:rPr>
                <w:rFonts w:ascii="Arial" w:cs="Arial" w:eastAsia="Arial" w:hAnsi="Arial"/>
                <w:sz w:val="13"/>
                <w:szCs w:val="13"/>
                <w:b w:val="1"/>
                <w:bCs w:val="1"/>
                <w:color w:val="auto"/>
              </w:rPr>
              <w:t>25,721</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ind w:right="73"/>
              <w:spacing w:after="0"/>
              <w:rPr>
                <w:sz w:val="20"/>
                <w:szCs w:val="20"/>
                <w:color w:val="auto"/>
              </w:rPr>
            </w:pPr>
            <w:r>
              <w:rPr>
                <w:rFonts w:ascii="Arial" w:cs="Arial" w:eastAsia="Arial" w:hAnsi="Arial"/>
                <w:sz w:val="13"/>
                <w:szCs w:val="13"/>
                <w:b w:val="1"/>
                <w:bCs w:val="1"/>
                <w:color w:val="auto"/>
              </w:rPr>
              <w:t>25,721</w:t>
            </w: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3460" w:type="dxa"/>
            <w:vAlign w:val="bottom"/>
          </w:tcPr>
          <w:p>
            <w:pPr>
              <w:spacing w:after="0"/>
              <w:rPr>
                <w:sz w:val="20"/>
                <w:szCs w:val="20"/>
                <w:color w:val="auto"/>
              </w:rPr>
            </w:pPr>
            <w:r>
              <w:rPr>
                <w:rFonts w:ascii="Arial" w:cs="Arial" w:eastAsia="Arial" w:hAnsi="Arial"/>
                <w:sz w:val="13"/>
                <w:szCs w:val="13"/>
                <w:b w:val="1"/>
                <w:bCs w:val="1"/>
                <w:color w:val="auto"/>
              </w:rPr>
              <w:t>Net income attributable to noncontrolling interests</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3"/>
                <w:szCs w:val="13"/>
                <w:b w:val="1"/>
                <w:bCs w:val="1"/>
                <w:color w:val="auto"/>
              </w:rPr>
              <w:t>(1,129)</w:t>
            </w: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3"/>
                <w:szCs w:val="13"/>
                <w:b w:val="1"/>
                <w:bCs w:val="1"/>
                <w:color w:val="auto"/>
              </w:rPr>
              <w:t>1,129</w:t>
            </w:r>
          </w:p>
        </w:tc>
        <w:tc>
          <w:tcPr>
            <w:tcW w:w="160" w:type="dxa"/>
            <w:vAlign w:val="bottom"/>
          </w:tcPr>
          <w:p>
            <w:pPr>
              <w:spacing w:after="0"/>
              <w:rPr>
                <w:sz w:val="17"/>
                <w:szCs w:val="17"/>
                <w:color w:val="auto"/>
              </w:rPr>
            </w:pPr>
          </w:p>
        </w:tc>
        <w:tc>
          <w:tcPr>
            <w:tcW w:w="880" w:type="dxa"/>
            <w:vAlign w:val="bottom"/>
          </w:tcPr>
          <w:p>
            <w:pPr>
              <w:jc w:val="right"/>
              <w:ind w:right="73"/>
              <w:spacing w:after="0"/>
              <w:rPr>
                <w:sz w:val="20"/>
                <w:szCs w:val="20"/>
                <w:color w:val="auto"/>
              </w:rPr>
            </w:pPr>
            <w:r>
              <w:rPr>
                <w:rFonts w:ascii="Arial" w:cs="Arial" w:eastAsia="Arial" w:hAnsi="Arial"/>
                <w:sz w:val="13"/>
                <w:szCs w:val="13"/>
                <w:b w:val="1"/>
                <w:bCs w:val="1"/>
                <w:color w:val="auto"/>
              </w:rPr>
              <w:t>—</w:t>
            </w: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460" w:type="dxa"/>
            <w:vAlign w:val="bottom"/>
          </w:tcPr>
          <w:p>
            <w:pPr>
              <w:spacing w:after="0"/>
              <w:rPr>
                <w:sz w:val="20"/>
                <w:szCs w:val="20"/>
                <w:color w:val="auto"/>
              </w:rPr>
            </w:pPr>
            <w:r>
              <w:rPr>
                <w:rFonts w:ascii="Arial" w:cs="Arial" w:eastAsia="Arial" w:hAnsi="Arial"/>
                <w:sz w:val="13"/>
                <w:szCs w:val="13"/>
                <w:b w:val="1"/>
                <w:bCs w:val="1"/>
                <w:color w:val="auto"/>
              </w:rPr>
              <w:t>Net income attributable to redeemable</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(698)</w:t>
            </w: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vMerge w:val="restart"/>
          </w:tcPr>
          <w:p>
            <w:pPr>
              <w:jc w:val="right"/>
              <w:ind w:right="33"/>
              <w:spacing w:after="0"/>
              <w:rPr>
                <w:sz w:val="20"/>
                <w:szCs w:val="20"/>
                <w:color w:val="auto"/>
              </w:rPr>
            </w:pPr>
            <w:r>
              <w:rPr>
                <w:rFonts w:ascii="Arial" w:cs="Arial" w:eastAsia="Arial" w:hAnsi="Arial"/>
                <w:sz w:val="13"/>
                <w:szCs w:val="13"/>
                <w:b w:val="1"/>
                <w:bCs w:val="1"/>
                <w:color w:val="auto"/>
              </w:rPr>
              <w:t>(698)</w:t>
            </w:r>
          </w:p>
        </w:tc>
        <w:tc>
          <w:tcPr>
            <w:tcW w:w="18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698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40" w:type="dxa"/>
            <w:vAlign w:val="bottom"/>
          </w:tcPr>
          <w:p>
            <w:pPr>
              <w:spacing w:after="0"/>
              <w:rPr>
                <w:sz w:val="16"/>
                <w:szCs w:val="16"/>
                <w:color w:val="auto"/>
              </w:rPr>
            </w:pPr>
          </w:p>
        </w:tc>
        <w:tc>
          <w:tcPr>
            <w:tcW w:w="3460" w:type="dxa"/>
            <w:vAlign w:val="bottom"/>
          </w:tcPr>
          <w:p>
            <w:pPr>
              <w:ind w:left="160"/>
              <w:spacing w:after="0"/>
              <w:rPr>
                <w:sz w:val="20"/>
                <w:szCs w:val="20"/>
                <w:color w:val="auto"/>
              </w:rPr>
            </w:pPr>
            <w:r>
              <w:rPr>
                <w:rFonts w:ascii="Arial" w:cs="Arial" w:eastAsia="Arial" w:hAnsi="Arial"/>
                <w:sz w:val="13"/>
                <w:szCs w:val="13"/>
                <w:b w:val="1"/>
                <w:bCs w:val="1"/>
                <w:color w:val="auto"/>
              </w:rPr>
              <w:t>noncontrolling interests</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460" w:type="dxa"/>
            <w:vAlign w:val="bottom"/>
          </w:tcPr>
          <w:p>
            <w:pPr>
              <w:spacing w:after="0"/>
              <w:rPr>
                <w:sz w:val="20"/>
                <w:szCs w:val="20"/>
                <w:color w:val="auto"/>
              </w:rPr>
            </w:pPr>
            <w:r>
              <w:rPr>
                <w:rFonts w:ascii="Arial" w:cs="Arial" w:eastAsia="Arial" w:hAnsi="Arial"/>
                <w:sz w:val="13"/>
                <w:szCs w:val="13"/>
                <w:b w:val="1"/>
                <w:bCs w:val="1"/>
                <w:color w:val="auto"/>
              </w:rPr>
              <w:t>Change in redemption value of redeemable</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634</w:t>
            </w:r>
          </w:p>
        </w:tc>
        <w:tc>
          <w:tcPr>
            <w:tcW w:w="160" w:type="dxa"/>
            <w:vAlign w:val="bottom"/>
          </w:tcPr>
          <w:p>
            <w:pPr>
              <w:spacing w:after="0"/>
              <w:rPr>
                <w:sz w:val="14"/>
                <w:szCs w:val="14"/>
                <w:color w:val="auto"/>
              </w:rPr>
            </w:pPr>
          </w:p>
        </w:tc>
        <w:tc>
          <w:tcPr>
            <w:tcW w:w="880" w:type="dxa"/>
            <w:vAlign w:val="bottom"/>
            <w:vMerge w:val="restart"/>
          </w:tcPr>
          <w:p>
            <w:pPr>
              <w:jc w:val="right"/>
              <w:ind w:right="73"/>
              <w:spacing w:after="0"/>
              <w:rPr>
                <w:sz w:val="20"/>
                <w:szCs w:val="20"/>
                <w:color w:val="auto"/>
              </w:rPr>
            </w:pPr>
            <w:r>
              <w:rPr>
                <w:rFonts w:ascii="Arial" w:cs="Arial" w:eastAsia="Arial" w:hAnsi="Arial"/>
                <w:sz w:val="13"/>
                <w:szCs w:val="13"/>
                <w:b w:val="1"/>
                <w:bCs w:val="1"/>
                <w:color w:val="auto"/>
              </w:rPr>
              <w:t>634</w:t>
            </w:r>
          </w:p>
        </w:tc>
        <w:tc>
          <w:tcPr>
            <w:tcW w:w="18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40" w:type="dxa"/>
            <w:vAlign w:val="bottom"/>
          </w:tcPr>
          <w:p>
            <w:pPr>
              <w:spacing w:after="0"/>
              <w:rPr>
                <w:sz w:val="16"/>
                <w:szCs w:val="16"/>
                <w:color w:val="auto"/>
              </w:rPr>
            </w:pPr>
          </w:p>
        </w:tc>
        <w:tc>
          <w:tcPr>
            <w:tcW w:w="3460" w:type="dxa"/>
            <w:vAlign w:val="bottom"/>
          </w:tcPr>
          <w:p>
            <w:pPr>
              <w:ind w:left="160"/>
              <w:spacing w:after="0"/>
              <w:rPr>
                <w:sz w:val="20"/>
                <w:szCs w:val="20"/>
                <w:color w:val="auto"/>
              </w:rPr>
            </w:pPr>
            <w:r>
              <w:rPr>
                <w:rFonts w:ascii="Arial" w:cs="Arial" w:eastAsia="Arial" w:hAnsi="Arial"/>
                <w:sz w:val="13"/>
                <w:szCs w:val="13"/>
                <w:b w:val="1"/>
                <w:bCs w:val="1"/>
                <w:color w:val="auto"/>
              </w:rPr>
              <w:t>noncontrolling interests</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3460" w:type="dxa"/>
            <w:vAlign w:val="bottom"/>
          </w:tcPr>
          <w:p>
            <w:pPr>
              <w:spacing w:after="0"/>
              <w:rPr>
                <w:sz w:val="20"/>
                <w:szCs w:val="20"/>
                <w:color w:val="auto"/>
              </w:rPr>
            </w:pPr>
            <w:r>
              <w:rPr>
                <w:rFonts w:ascii="Arial" w:cs="Arial" w:eastAsia="Arial" w:hAnsi="Arial"/>
                <w:sz w:val="13"/>
                <w:szCs w:val="13"/>
                <w:b w:val="1"/>
                <w:bCs w:val="1"/>
                <w:color w:val="auto"/>
              </w:rPr>
              <w:t>Noncontrolling interest capital contribution</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3"/>
                <w:szCs w:val="13"/>
                <w:b w:val="1"/>
                <w:bCs w:val="1"/>
                <w:color w:val="auto"/>
              </w:rPr>
              <w:t>180</w:t>
            </w:r>
          </w:p>
        </w:tc>
        <w:tc>
          <w:tcPr>
            <w:tcW w:w="160" w:type="dxa"/>
            <w:vAlign w:val="bottom"/>
          </w:tcPr>
          <w:p>
            <w:pPr>
              <w:spacing w:after="0"/>
              <w:rPr>
                <w:sz w:val="17"/>
                <w:szCs w:val="17"/>
                <w:color w:val="auto"/>
              </w:rPr>
            </w:pPr>
          </w:p>
        </w:tc>
        <w:tc>
          <w:tcPr>
            <w:tcW w:w="880" w:type="dxa"/>
            <w:vAlign w:val="bottom"/>
          </w:tcPr>
          <w:p>
            <w:pPr>
              <w:jc w:val="right"/>
              <w:ind w:right="73"/>
              <w:spacing w:after="0"/>
              <w:rPr>
                <w:sz w:val="20"/>
                <w:szCs w:val="20"/>
                <w:color w:val="auto"/>
              </w:rPr>
            </w:pPr>
            <w:r>
              <w:rPr>
                <w:rFonts w:ascii="Arial" w:cs="Arial" w:eastAsia="Arial" w:hAnsi="Arial"/>
                <w:sz w:val="13"/>
                <w:szCs w:val="13"/>
                <w:b w:val="1"/>
                <w:bCs w:val="1"/>
                <w:color w:val="auto"/>
              </w:rPr>
              <w:t>180</w:t>
            </w: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3460" w:type="dxa"/>
            <w:vAlign w:val="bottom"/>
          </w:tcPr>
          <w:p>
            <w:pPr>
              <w:spacing w:after="0"/>
              <w:rPr>
                <w:sz w:val="20"/>
                <w:szCs w:val="20"/>
                <w:color w:val="auto"/>
              </w:rPr>
            </w:pPr>
            <w:r>
              <w:rPr>
                <w:rFonts w:ascii="Arial" w:cs="Arial" w:eastAsia="Arial" w:hAnsi="Arial"/>
                <w:sz w:val="13"/>
                <w:szCs w:val="13"/>
                <w:b w:val="1"/>
                <w:bCs w:val="1"/>
                <w:color w:val="auto"/>
              </w:rPr>
              <w:t>Distributions to noncontrolling interests</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3"/>
                <w:szCs w:val="13"/>
                <w:b w:val="1"/>
                <w:bCs w:val="1"/>
                <w:color w:val="auto"/>
              </w:rPr>
              <w:t>(747)</w:t>
            </w:r>
          </w:p>
        </w:tc>
        <w:tc>
          <w:tcPr>
            <w:tcW w:w="160" w:type="dxa"/>
            <w:vAlign w:val="bottom"/>
          </w:tcPr>
          <w:p>
            <w:pPr>
              <w:spacing w:after="0"/>
              <w:rPr>
                <w:sz w:val="17"/>
                <w:szCs w:val="17"/>
                <w:color w:val="auto"/>
              </w:rPr>
            </w:pPr>
          </w:p>
        </w:tc>
        <w:tc>
          <w:tcPr>
            <w:tcW w:w="880" w:type="dxa"/>
            <w:vAlign w:val="bottom"/>
          </w:tcPr>
          <w:p>
            <w:pPr>
              <w:jc w:val="right"/>
              <w:ind w:right="33"/>
              <w:spacing w:after="0"/>
              <w:rPr>
                <w:sz w:val="20"/>
                <w:szCs w:val="20"/>
                <w:color w:val="auto"/>
              </w:rPr>
            </w:pPr>
            <w:r>
              <w:rPr>
                <w:rFonts w:ascii="Arial" w:cs="Arial" w:eastAsia="Arial" w:hAnsi="Arial"/>
                <w:sz w:val="13"/>
                <w:szCs w:val="13"/>
                <w:b w:val="1"/>
                <w:bCs w:val="1"/>
                <w:color w:val="auto"/>
              </w:rPr>
              <w:t>(747)</w:t>
            </w:r>
          </w:p>
        </w:tc>
        <w:tc>
          <w:tcPr>
            <w:tcW w:w="1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3"/>
                <w:szCs w:val="13"/>
                <w:b w:val="1"/>
                <w:bCs w:val="1"/>
                <w:color w:val="auto"/>
              </w:rPr>
              <w:t>(941)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3460" w:type="dxa"/>
            <w:vAlign w:val="bottom"/>
          </w:tcPr>
          <w:p>
            <w:pPr>
              <w:spacing w:after="0"/>
              <w:rPr>
                <w:sz w:val="20"/>
                <w:szCs w:val="20"/>
                <w:color w:val="auto"/>
              </w:rPr>
            </w:pPr>
            <w:r>
              <w:rPr>
                <w:rFonts w:ascii="Arial" w:cs="Arial" w:eastAsia="Arial" w:hAnsi="Arial"/>
                <w:sz w:val="13"/>
                <w:szCs w:val="13"/>
                <w:b w:val="1"/>
                <w:bCs w:val="1"/>
                <w:color w:val="auto"/>
              </w:rPr>
              <w:t>Dividends on common stock</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3"/>
                <w:szCs w:val="13"/>
                <w:b w:val="1"/>
                <w:bCs w:val="1"/>
                <w:color w:val="auto"/>
              </w:rPr>
              <w:t>(15,662)</w:t>
            </w: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jc w:val="right"/>
              <w:ind w:right="33"/>
              <w:spacing w:after="0"/>
              <w:rPr>
                <w:sz w:val="20"/>
                <w:szCs w:val="20"/>
                <w:color w:val="auto"/>
              </w:rPr>
            </w:pPr>
            <w:r>
              <w:rPr>
                <w:rFonts w:ascii="Arial" w:cs="Arial" w:eastAsia="Arial" w:hAnsi="Arial"/>
                <w:sz w:val="13"/>
                <w:szCs w:val="13"/>
                <w:b w:val="1"/>
                <w:bCs w:val="1"/>
                <w:color w:val="auto"/>
              </w:rPr>
              <w:t>(15,662)</w:t>
            </w: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3460" w:type="dxa"/>
            <w:vAlign w:val="bottom"/>
          </w:tcPr>
          <w:p>
            <w:pPr>
              <w:spacing w:after="0"/>
              <w:rPr>
                <w:sz w:val="20"/>
                <w:szCs w:val="20"/>
                <w:color w:val="auto"/>
              </w:rPr>
            </w:pPr>
            <w:r>
              <w:rPr>
                <w:rFonts w:ascii="Arial" w:cs="Arial" w:eastAsia="Arial" w:hAnsi="Arial"/>
                <w:sz w:val="13"/>
                <w:szCs w:val="13"/>
                <w:b w:val="1"/>
                <w:bCs w:val="1"/>
                <w:color w:val="auto"/>
              </w:rPr>
              <w:t>Repurchase of Class B common stock</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3"/>
                <w:szCs w:val="13"/>
                <w:b w:val="1"/>
                <w:bCs w:val="1"/>
                <w:color w:val="auto"/>
              </w:rPr>
              <w:t>(3,468)</w:t>
            </w: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jc w:val="right"/>
              <w:ind w:right="33"/>
              <w:spacing w:after="0"/>
              <w:rPr>
                <w:sz w:val="20"/>
                <w:szCs w:val="20"/>
                <w:color w:val="auto"/>
              </w:rPr>
            </w:pPr>
            <w:r>
              <w:rPr>
                <w:rFonts w:ascii="Arial" w:cs="Arial" w:eastAsia="Arial" w:hAnsi="Arial"/>
                <w:sz w:val="13"/>
                <w:szCs w:val="13"/>
                <w:b w:val="1"/>
                <w:bCs w:val="1"/>
                <w:color w:val="auto"/>
              </w:rPr>
              <w:t>(3,468)</w:t>
            </w: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460" w:type="dxa"/>
            <w:vAlign w:val="bottom"/>
          </w:tcPr>
          <w:p>
            <w:pPr>
              <w:spacing w:after="0"/>
              <w:rPr>
                <w:sz w:val="20"/>
                <w:szCs w:val="20"/>
                <w:color w:val="auto"/>
              </w:rPr>
            </w:pPr>
            <w:r>
              <w:rPr>
                <w:rFonts w:ascii="Arial" w:cs="Arial" w:eastAsia="Arial" w:hAnsi="Arial"/>
                <w:sz w:val="13"/>
                <w:szCs w:val="13"/>
                <w:b w:val="1"/>
                <w:bCs w:val="1"/>
                <w:color w:val="auto"/>
              </w:rPr>
              <w:t>Issuance of Class B common stock, net of restricted</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9,431</w:t>
            </w: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9,141</w:t>
            </w: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vMerge w:val="restart"/>
          </w:tcPr>
          <w:p>
            <w:pPr>
              <w:jc w:val="right"/>
              <w:ind w:right="73"/>
              <w:spacing w:after="0"/>
              <w:rPr>
                <w:sz w:val="20"/>
                <w:szCs w:val="20"/>
                <w:color w:val="auto"/>
              </w:rPr>
            </w:pPr>
            <w:r>
              <w:rPr>
                <w:rFonts w:ascii="Arial" w:cs="Arial" w:eastAsia="Arial" w:hAnsi="Arial"/>
                <w:sz w:val="13"/>
                <w:szCs w:val="13"/>
                <w:b w:val="1"/>
                <w:bCs w:val="1"/>
                <w:color w:val="auto"/>
              </w:rPr>
              <w:t>18,572</w:t>
            </w: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40" w:type="dxa"/>
            <w:vAlign w:val="bottom"/>
          </w:tcPr>
          <w:p>
            <w:pPr>
              <w:spacing w:after="0"/>
              <w:rPr>
                <w:sz w:val="16"/>
                <w:szCs w:val="16"/>
                <w:color w:val="auto"/>
              </w:rPr>
            </w:pPr>
          </w:p>
        </w:tc>
        <w:tc>
          <w:tcPr>
            <w:tcW w:w="3460" w:type="dxa"/>
            <w:vAlign w:val="bottom"/>
          </w:tcPr>
          <w:p>
            <w:pPr>
              <w:ind w:left="160"/>
              <w:spacing w:after="0"/>
              <w:rPr>
                <w:sz w:val="20"/>
                <w:szCs w:val="20"/>
                <w:color w:val="auto"/>
              </w:rPr>
            </w:pPr>
            <w:r>
              <w:rPr>
                <w:rFonts w:ascii="Arial" w:cs="Arial" w:eastAsia="Arial" w:hAnsi="Arial"/>
                <w:sz w:val="13"/>
                <w:szCs w:val="13"/>
                <w:b w:val="1"/>
                <w:bCs w:val="1"/>
                <w:color w:val="auto"/>
              </w:rPr>
              <w:t>stock award forfeitures</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40" w:type="dxa"/>
            <w:vAlign w:val="bottom"/>
          </w:tcPr>
          <w:p>
            <w:pPr>
              <w:spacing w:after="0"/>
              <w:rPr>
                <w:sz w:val="17"/>
                <w:szCs w:val="17"/>
                <w:color w:val="auto"/>
              </w:rPr>
            </w:pPr>
          </w:p>
        </w:tc>
        <w:tc>
          <w:tcPr>
            <w:tcW w:w="3460" w:type="dxa"/>
            <w:vAlign w:val="bottom"/>
          </w:tcPr>
          <w:p>
            <w:pPr>
              <w:spacing w:after="0"/>
              <w:rPr>
                <w:sz w:val="20"/>
                <w:szCs w:val="20"/>
                <w:color w:val="auto"/>
              </w:rPr>
            </w:pPr>
            <w:r>
              <w:rPr>
                <w:rFonts w:ascii="Arial" w:cs="Arial" w:eastAsia="Arial" w:hAnsi="Arial"/>
                <w:sz w:val="13"/>
                <w:szCs w:val="13"/>
                <w:b w:val="1"/>
                <w:bCs w:val="1"/>
                <w:color w:val="auto"/>
              </w:rPr>
              <w:t>Shares withheld related to net share settlement</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3"/>
                <w:szCs w:val="13"/>
                <w:b w:val="1"/>
                <w:bCs w:val="1"/>
                <w:color w:val="auto"/>
              </w:rPr>
              <w:t>(402)</w:t>
            </w: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jc w:val="right"/>
              <w:ind w:right="33"/>
              <w:spacing w:after="0"/>
              <w:rPr>
                <w:sz w:val="20"/>
                <w:szCs w:val="20"/>
                <w:color w:val="auto"/>
              </w:rPr>
            </w:pPr>
            <w:r>
              <w:rPr>
                <w:rFonts w:ascii="Arial" w:cs="Arial" w:eastAsia="Arial" w:hAnsi="Arial"/>
                <w:sz w:val="13"/>
                <w:szCs w:val="13"/>
                <w:b w:val="1"/>
                <w:bCs w:val="1"/>
                <w:color w:val="auto"/>
              </w:rPr>
              <w:t>(402)</w:t>
            </w: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460" w:type="dxa"/>
            <w:vAlign w:val="bottom"/>
          </w:tcPr>
          <w:p>
            <w:pPr>
              <w:spacing w:after="0"/>
              <w:rPr>
                <w:sz w:val="20"/>
                <w:szCs w:val="20"/>
                <w:color w:val="auto"/>
              </w:rPr>
            </w:pPr>
            <w:r>
              <w:rPr>
                <w:rFonts w:ascii="Arial" w:cs="Arial" w:eastAsia="Arial" w:hAnsi="Arial"/>
                <w:sz w:val="13"/>
                <w:szCs w:val="13"/>
                <w:b w:val="1"/>
                <w:bCs w:val="1"/>
                <w:color w:val="auto"/>
              </w:rPr>
              <w:t>Amortization of unearned stock compensation and</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1,724</w:t>
            </w: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vMerge w:val="restart"/>
          </w:tcPr>
          <w:p>
            <w:pPr>
              <w:jc w:val="right"/>
              <w:ind w:right="73"/>
              <w:spacing w:after="0"/>
              <w:rPr>
                <w:sz w:val="20"/>
                <w:szCs w:val="20"/>
                <w:color w:val="auto"/>
              </w:rPr>
            </w:pPr>
            <w:r>
              <w:rPr>
                <w:rFonts w:ascii="Arial" w:cs="Arial" w:eastAsia="Arial" w:hAnsi="Arial"/>
                <w:sz w:val="13"/>
                <w:szCs w:val="13"/>
                <w:b w:val="1"/>
                <w:bCs w:val="1"/>
                <w:color w:val="auto"/>
              </w:rPr>
              <w:t>1,724</w:t>
            </w: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40" w:type="dxa"/>
            <w:vAlign w:val="bottom"/>
          </w:tcPr>
          <w:p>
            <w:pPr>
              <w:spacing w:after="0"/>
              <w:rPr>
                <w:sz w:val="16"/>
                <w:szCs w:val="16"/>
                <w:color w:val="auto"/>
              </w:rPr>
            </w:pPr>
          </w:p>
        </w:tc>
        <w:tc>
          <w:tcPr>
            <w:tcW w:w="3460" w:type="dxa"/>
            <w:vAlign w:val="bottom"/>
          </w:tcPr>
          <w:p>
            <w:pPr>
              <w:ind w:left="160"/>
              <w:spacing w:after="0"/>
              <w:rPr>
                <w:sz w:val="20"/>
                <w:szCs w:val="20"/>
                <w:color w:val="auto"/>
              </w:rPr>
            </w:pPr>
            <w:r>
              <w:rPr>
                <w:rFonts w:ascii="Arial" w:cs="Arial" w:eastAsia="Arial" w:hAnsi="Arial"/>
                <w:sz w:val="13"/>
                <w:szCs w:val="13"/>
                <w:b w:val="1"/>
                <w:bCs w:val="1"/>
                <w:color w:val="auto"/>
              </w:rPr>
              <w:t>stock option expense</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40" w:type="dxa"/>
            <w:vAlign w:val="bottom"/>
          </w:tcPr>
          <w:p>
            <w:pPr>
              <w:spacing w:after="0"/>
              <w:rPr>
                <w:sz w:val="17"/>
                <w:szCs w:val="17"/>
                <w:color w:val="auto"/>
              </w:rPr>
            </w:pPr>
          </w:p>
        </w:tc>
        <w:tc>
          <w:tcPr>
            <w:tcW w:w="3460" w:type="dxa"/>
            <w:vAlign w:val="bottom"/>
          </w:tcPr>
          <w:p>
            <w:pPr>
              <w:spacing w:after="0"/>
              <w:rPr>
                <w:sz w:val="20"/>
                <w:szCs w:val="20"/>
                <w:color w:val="auto"/>
              </w:rPr>
            </w:pPr>
            <w:r>
              <w:rPr>
                <w:rFonts w:ascii="Arial" w:cs="Arial" w:eastAsia="Arial" w:hAnsi="Arial"/>
                <w:sz w:val="13"/>
                <w:szCs w:val="13"/>
                <w:b w:val="1"/>
                <w:bCs w:val="1"/>
                <w:color w:val="auto"/>
              </w:rPr>
              <w:t>Other comprehensive income, net of income taxes</w:t>
            </w:r>
          </w:p>
        </w:tc>
        <w:tc>
          <w:tcPr>
            <w:tcW w:w="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13,096</w:t>
            </w: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73"/>
              <w:spacing w:after="0"/>
              <w:rPr>
                <w:sz w:val="20"/>
                <w:szCs w:val="20"/>
                <w:color w:val="auto"/>
              </w:rPr>
            </w:pPr>
            <w:r>
              <w:rPr>
                <w:rFonts w:ascii="Arial" w:cs="Arial" w:eastAsia="Arial" w:hAnsi="Arial"/>
                <w:sz w:val="13"/>
                <w:szCs w:val="13"/>
                <w:b w:val="1"/>
                <w:bCs w:val="1"/>
                <w:color w:val="auto"/>
              </w:rPr>
              <w:t>13,096</w:t>
            </w:r>
          </w:p>
        </w:tc>
        <w:tc>
          <w:tcPr>
            <w:tcW w:w="1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0" w:type="dxa"/>
            <w:vAlign w:val="bottom"/>
          </w:tcPr>
          <w:p>
            <w:pPr>
              <w:spacing w:after="0"/>
              <w:rPr>
                <w:sz w:val="17"/>
                <w:szCs w:val="17"/>
                <w:color w:val="auto"/>
              </w:rPr>
            </w:pPr>
          </w:p>
        </w:tc>
        <w:tc>
          <w:tcPr>
            <w:tcW w:w="3460" w:type="dxa"/>
            <w:vAlign w:val="bottom"/>
          </w:tcPr>
          <w:p>
            <w:pPr>
              <w:spacing w:after="0"/>
              <w:rPr>
                <w:sz w:val="20"/>
                <w:szCs w:val="20"/>
                <w:color w:val="auto"/>
              </w:rPr>
            </w:pPr>
            <w:r>
              <w:rPr>
                <w:rFonts w:ascii="Arial" w:cs="Arial" w:eastAsia="Arial" w:hAnsi="Arial"/>
                <w:sz w:val="13"/>
                <w:szCs w:val="13"/>
                <w:b w:val="1"/>
                <w:bCs w:val="1"/>
                <w:color w:val="auto"/>
              </w:rPr>
              <w:t>As of March 31, 2025</w:t>
            </w:r>
          </w:p>
        </w:tc>
        <w:tc>
          <w:tcPr>
            <w:tcW w:w="160" w:type="dxa"/>
            <w:vAlign w:val="bottom"/>
            <w:tcBorders>
              <w:bottom w:val="single" w:sz="8" w:color="auto"/>
            </w:tcBorders>
            <w:gridSpan w:val="2"/>
          </w:tcPr>
          <w:p>
            <w:pPr>
              <w:jc w:val="right"/>
              <w:ind w:right="6"/>
              <w:spacing w:after="0"/>
              <w:rPr>
                <w:sz w:val="20"/>
                <w:szCs w:val="20"/>
                <w:color w:val="auto"/>
              </w:rPr>
            </w:pPr>
            <w:r>
              <w:rPr>
                <w:rFonts w:ascii="Arial" w:cs="Arial" w:eastAsia="Arial" w:hAnsi="Arial"/>
                <w:sz w:val="13"/>
                <w:szCs w:val="13"/>
                <w:b w:val="1"/>
                <w:bCs w:val="1"/>
                <w:color w:val="auto"/>
              </w:rPr>
              <w:t>$</w:t>
            </w:r>
          </w:p>
        </w:tc>
        <w:tc>
          <w:tcPr>
            <w:tcW w:w="560" w:type="dxa"/>
            <w:vAlign w:val="bottom"/>
            <w:tcBorders>
              <w:bottom w:val="single" w:sz="8" w:color="auto"/>
            </w:tcBorders>
          </w:tcPr>
          <w:p>
            <w:pPr>
              <w:ind w:left="80"/>
              <w:spacing w:after="0"/>
              <w:rPr>
                <w:sz w:val="20"/>
                <w:szCs w:val="20"/>
                <w:color w:val="auto"/>
              </w:rPr>
            </w:pPr>
            <w:r>
              <w:rPr>
                <w:rFonts w:ascii="Arial" w:cs="Arial" w:eastAsia="Arial" w:hAnsi="Arial"/>
                <w:sz w:val="13"/>
                <w:szCs w:val="13"/>
                <w:b w:val="1"/>
                <w:bCs w:val="1"/>
                <w:color w:val="auto"/>
              </w:rPr>
              <w:t>20,000</w:t>
            </w:r>
          </w:p>
        </w:tc>
        <w:tc>
          <w:tcPr>
            <w:tcW w:w="16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b w:val="1"/>
                <w:bCs w:val="1"/>
                <w:color w:val="auto"/>
                <w:w w:val="82"/>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368,074</w:t>
            </w:r>
          </w:p>
        </w:tc>
        <w:tc>
          <w:tcPr>
            <w:tcW w:w="18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b w:val="1"/>
                <w:bCs w:val="1"/>
                <w:color w:val="auto"/>
              </w:rPr>
              <w:t>$</w:t>
            </w:r>
          </w:p>
        </w:tc>
        <w:tc>
          <w:tcPr>
            <w:tcW w:w="78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b w:val="1"/>
                <w:bCs w:val="1"/>
                <w:color w:val="auto"/>
              </w:rPr>
              <w:t>8,039,982</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82"/>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347,893</w:t>
            </w:r>
          </w:p>
        </w:tc>
        <w:tc>
          <w:tcPr>
            <w:tcW w:w="220" w:type="dxa"/>
            <w:vAlign w:val="bottom"/>
            <w:tcBorders>
              <w:bottom w:val="single" w:sz="8" w:color="auto"/>
            </w:tcBorders>
          </w:tcPr>
          <w:p>
            <w:pPr>
              <w:jc w:val="right"/>
              <w:ind w:right="73"/>
              <w:spacing w:after="0"/>
              <w:rPr>
                <w:sz w:val="20"/>
                <w:szCs w:val="20"/>
                <w:color w:val="auto"/>
              </w:rPr>
            </w:pPr>
            <w:r>
              <w:rPr>
                <w:rFonts w:ascii="Arial" w:cs="Arial" w:eastAsia="Arial" w:hAnsi="Arial"/>
                <w:sz w:val="13"/>
                <w:szCs w:val="13"/>
                <w:b w:val="1"/>
                <w:bCs w:val="1"/>
                <w:color w:val="auto"/>
                <w:w w:val="82"/>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(4,481,534)</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82"/>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31,350</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880" w:type="dxa"/>
            <w:vAlign w:val="bottom"/>
            <w:tcBorders>
              <w:bottom w:val="single" w:sz="8" w:color="auto"/>
            </w:tcBorders>
          </w:tcPr>
          <w:p>
            <w:pPr>
              <w:jc w:val="right"/>
              <w:ind w:right="73"/>
              <w:spacing w:after="0"/>
              <w:rPr>
                <w:sz w:val="20"/>
                <w:szCs w:val="20"/>
                <w:color w:val="auto"/>
              </w:rPr>
            </w:pPr>
            <w:r>
              <w:rPr>
                <w:rFonts w:ascii="Arial" w:cs="Arial" w:eastAsia="Arial" w:hAnsi="Arial"/>
                <w:sz w:val="13"/>
                <w:szCs w:val="13"/>
                <w:b w:val="1"/>
                <w:bCs w:val="1"/>
                <w:color w:val="auto"/>
              </w:rPr>
              <w:t>4,325,765</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43,586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3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vMerge w:val="restart"/>
          </w:tcPr>
          <w:p>
            <w:pPr>
              <w:ind w:left="20"/>
              <w:spacing w:after="0"/>
              <w:rPr>
                <w:sz w:val="20"/>
                <w:szCs w:val="20"/>
                <w:color w:val="auto"/>
              </w:rPr>
            </w:pPr>
            <w:r>
              <w:rPr>
                <w:rFonts w:ascii="Arial" w:cs="Arial" w:eastAsia="Arial" w:hAnsi="Arial"/>
                <w:sz w:val="11"/>
                <w:szCs w:val="11"/>
                <w:color w:val="auto"/>
              </w:rPr>
              <w:t>Common</w:t>
            </w:r>
          </w:p>
        </w:tc>
        <w:tc>
          <w:tcPr>
            <w:tcW w:w="160" w:type="dxa"/>
            <w:vAlign w:val="bottom"/>
          </w:tcPr>
          <w:p>
            <w:pPr>
              <w:spacing w:after="0"/>
              <w:rPr>
                <w:sz w:val="17"/>
                <w:szCs w:val="17"/>
                <w:color w:val="auto"/>
              </w:rPr>
            </w:pPr>
          </w:p>
        </w:tc>
        <w:tc>
          <w:tcPr>
            <w:tcW w:w="700" w:type="dxa"/>
            <w:vAlign w:val="bottom"/>
          </w:tcPr>
          <w:p>
            <w:pPr>
              <w:ind w:left="80"/>
              <w:spacing w:after="0"/>
              <w:rPr>
                <w:sz w:val="20"/>
                <w:szCs w:val="20"/>
                <w:color w:val="auto"/>
              </w:rPr>
            </w:pPr>
            <w:r>
              <w:rPr>
                <w:rFonts w:ascii="Arial" w:cs="Arial" w:eastAsia="Arial" w:hAnsi="Arial"/>
                <w:sz w:val="11"/>
                <w:szCs w:val="11"/>
                <w:color w:val="auto"/>
              </w:rPr>
              <w:t>Capital in</w:t>
            </w:r>
          </w:p>
        </w:tc>
        <w:tc>
          <w:tcPr>
            <w:tcW w:w="180" w:type="dxa"/>
            <w:vAlign w:val="bottom"/>
          </w:tcPr>
          <w:p>
            <w:pPr>
              <w:spacing w:after="0"/>
              <w:rPr>
                <w:sz w:val="17"/>
                <w:szCs w:val="17"/>
                <w:color w:val="auto"/>
              </w:rPr>
            </w:pPr>
          </w:p>
        </w:tc>
        <w:tc>
          <w:tcPr>
            <w:tcW w:w="780" w:type="dxa"/>
            <w:vAlign w:val="bottom"/>
            <w:vMerge w:val="restart"/>
          </w:tcPr>
          <w:p>
            <w:pPr>
              <w:jc w:val="right"/>
              <w:ind w:right="196"/>
              <w:spacing w:after="0"/>
              <w:rPr>
                <w:sz w:val="20"/>
                <w:szCs w:val="20"/>
                <w:color w:val="auto"/>
              </w:rPr>
            </w:pPr>
            <w:r>
              <w:rPr>
                <w:rFonts w:ascii="Arial" w:cs="Arial" w:eastAsia="Arial" w:hAnsi="Arial"/>
                <w:sz w:val="11"/>
                <w:szCs w:val="11"/>
                <w:color w:val="auto"/>
              </w:rPr>
              <w:t>Retained</w:t>
            </w:r>
          </w:p>
        </w:tc>
        <w:tc>
          <w:tcPr>
            <w:tcW w:w="1040" w:type="dxa"/>
            <w:vAlign w:val="bottom"/>
            <w:gridSpan w:val="2"/>
          </w:tcPr>
          <w:p>
            <w:pPr>
              <w:jc w:val="right"/>
              <w:spacing w:after="0"/>
              <w:rPr>
                <w:sz w:val="20"/>
                <w:szCs w:val="20"/>
                <w:color w:val="auto"/>
              </w:rPr>
            </w:pPr>
            <w:r>
              <w:rPr>
                <w:rFonts w:ascii="Arial" w:cs="Arial" w:eastAsia="Arial" w:hAnsi="Arial"/>
                <w:sz w:val="11"/>
                <w:szCs w:val="11"/>
                <w:color w:val="auto"/>
              </w:rPr>
              <w:t>Accumulated Other</w:t>
            </w:r>
          </w:p>
        </w:tc>
        <w:tc>
          <w:tcPr>
            <w:tcW w:w="220" w:type="dxa"/>
            <w:vAlign w:val="bottom"/>
          </w:tcPr>
          <w:p>
            <w:pPr>
              <w:spacing w:after="0"/>
              <w:rPr>
                <w:sz w:val="17"/>
                <w:szCs w:val="17"/>
                <w:color w:val="auto"/>
              </w:rPr>
            </w:pPr>
          </w:p>
        </w:tc>
        <w:tc>
          <w:tcPr>
            <w:tcW w:w="820" w:type="dxa"/>
            <w:vAlign w:val="bottom"/>
            <w:vMerge w:val="restart"/>
          </w:tcPr>
          <w:p>
            <w:pPr>
              <w:jc w:val="right"/>
              <w:ind w:right="237"/>
              <w:spacing w:after="0"/>
              <w:rPr>
                <w:sz w:val="20"/>
                <w:szCs w:val="20"/>
                <w:color w:val="auto"/>
              </w:rPr>
            </w:pPr>
            <w:r>
              <w:rPr>
                <w:rFonts w:ascii="Arial" w:cs="Arial" w:eastAsia="Arial" w:hAnsi="Arial"/>
                <w:sz w:val="11"/>
                <w:szCs w:val="11"/>
                <w:color w:val="auto"/>
              </w:rPr>
              <w:t>Treasury</w:t>
            </w:r>
          </w:p>
        </w:tc>
        <w:tc>
          <w:tcPr>
            <w:tcW w:w="120" w:type="dxa"/>
            <w:vAlign w:val="bottom"/>
          </w:tcPr>
          <w:p>
            <w:pPr>
              <w:spacing w:after="0"/>
              <w:rPr>
                <w:sz w:val="17"/>
                <w:szCs w:val="17"/>
                <w:color w:val="auto"/>
              </w:rPr>
            </w:pPr>
          </w:p>
        </w:tc>
        <w:tc>
          <w:tcPr>
            <w:tcW w:w="860" w:type="dxa"/>
            <w:vAlign w:val="bottom"/>
            <w:vMerge w:val="restart"/>
          </w:tcPr>
          <w:p>
            <w:pPr>
              <w:jc w:val="right"/>
              <w:ind w:right="76"/>
              <w:spacing w:after="0"/>
              <w:rPr>
                <w:sz w:val="20"/>
                <w:szCs w:val="20"/>
                <w:color w:val="auto"/>
              </w:rPr>
            </w:pPr>
            <w:r>
              <w:rPr>
                <w:rFonts w:ascii="Arial" w:cs="Arial" w:eastAsia="Arial" w:hAnsi="Arial"/>
                <w:sz w:val="11"/>
                <w:szCs w:val="11"/>
                <w:color w:val="auto"/>
                <w:w w:val="99"/>
              </w:rPr>
              <w:t>Noncontrolling</w:t>
            </w: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jc w:val="center"/>
              <w:ind w:right="38"/>
              <w:spacing w:after="0"/>
              <w:rPr>
                <w:sz w:val="20"/>
                <w:szCs w:val="20"/>
                <w:color w:val="auto"/>
              </w:rPr>
            </w:pPr>
            <w:r>
              <w:rPr>
                <w:rFonts w:ascii="Arial" w:cs="Arial" w:eastAsia="Arial" w:hAnsi="Arial"/>
                <w:sz w:val="11"/>
                <w:szCs w:val="11"/>
                <w:color w:val="auto"/>
                <w:w w:val="96"/>
              </w:rPr>
              <w:t>Redeemable</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346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700" w:type="dxa"/>
            <w:vAlign w:val="bottom"/>
          </w:tcPr>
          <w:p>
            <w:pPr>
              <w:ind w:left="60"/>
              <w:spacing w:after="0" w:line="108" w:lineRule="exact"/>
              <w:rPr>
                <w:sz w:val="20"/>
                <w:szCs w:val="20"/>
                <w:color w:val="auto"/>
              </w:rPr>
            </w:pPr>
            <w:r>
              <w:rPr>
                <w:rFonts w:ascii="Arial" w:cs="Arial" w:eastAsia="Arial" w:hAnsi="Arial"/>
                <w:sz w:val="11"/>
                <w:szCs w:val="11"/>
                <w:color w:val="auto"/>
              </w:rPr>
              <w:t>Excess of</w:t>
            </w:r>
          </w:p>
        </w:tc>
        <w:tc>
          <w:tcPr>
            <w:tcW w:w="18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tcPr>
          <w:p>
            <w:pPr>
              <w:jc w:val="right"/>
              <w:ind w:right="58"/>
              <w:spacing w:after="0" w:line="108" w:lineRule="exact"/>
              <w:rPr>
                <w:sz w:val="20"/>
                <w:szCs w:val="20"/>
                <w:color w:val="auto"/>
              </w:rPr>
            </w:pPr>
            <w:r>
              <w:rPr>
                <w:rFonts w:ascii="Arial" w:cs="Arial" w:eastAsia="Arial" w:hAnsi="Arial"/>
                <w:sz w:val="11"/>
                <w:szCs w:val="11"/>
                <w:color w:val="auto"/>
              </w:rPr>
              <w:t>Comprehensive</w:t>
            </w:r>
          </w:p>
        </w:tc>
        <w:tc>
          <w:tcPr>
            <w:tcW w:w="22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880" w:type="dxa"/>
            <w:vAlign w:val="bottom"/>
          </w:tcPr>
          <w:p>
            <w:pPr>
              <w:spacing w:after="0"/>
              <w:rPr>
                <w:sz w:val="9"/>
                <w:szCs w:val="9"/>
                <w:color w:val="auto"/>
              </w:rPr>
            </w:pPr>
          </w:p>
        </w:tc>
        <w:tc>
          <w:tcPr>
            <w:tcW w:w="180" w:type="dxa"/>
            <w:vAlign w:val="bottom"/>
          </w:tcPr>
          <w:p>
            <w:pPr>
              <w:spacing w:after="0"/>
              <w:rPr>
                <w:sz w:val="9"/>
                <w:szCs w:val="9"/>
                <w:color w:val="auto"/>
              </w:rPr>
            </w:pPr>
          </w:p>
        </w:tc>
        <w:tc>
          <w:tcPr>
            <w:tcW w:w="900" w:type="dxa"/>
            <w:vAlign w:val="bottom"/>
          </w:tcPr>
          <w:p>
            <w:pPr>
              <w:jc w:val="center"/>
              <w:ind w:right="38"/>
              <w:spacing w:after="0" w:line="108" w:lineRule="exact"/>
              <w:rPr>
                <w:sz w:val="20"/>
                <w:szCs w:val="20"/>
                <w:color w:val="auto"/>
              </w:rPr>
            </w:pPr>
            <w:r>
              <w:rPr>
                <w:rFonts w:ascii="Arial" w:cs="Arial" w:eastAsia="Arial" w:hAnsi="Arial"/>
                <w:sz w:val="11"/>
                <w:szCs w:val="11"/>
                <w:color w:val="auto"/>
                <w:w w:val="96"/>
              </w:rPr>
              <w:t>Noncontrolling</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9"/>
        </w:trPr>
        <w:tc>
          <w:tcPr>
            <w:tcW w:w="3500" w:type="dxa"/>
            <w:vAlign w:val="bottom"/>
            <w:tcBorders>
              <w:bottom w:val="single" w:sz="8" w:color="auto"/>
            </w:tcBorders>
            <w:gridSpan w:val="2"/>
          </w:tcPr>
          <w:p>
            <w:pPr>
              <w:ind w:left="20"/>
              <w:spacing w:after="0"/>
              <w:rPr>
                <w:sz w:val="20"/>
                <w:szCs w:val="20"/>
                <w:color w:val="auto"/>
              </w:rPr>
            </w:pPr>
            <w:r>
              <w:rPr>
                <w:rFonts w:ascii="Arial" w:cs="Arial" w:eastAsia="Arial" w:hAnsi="Arial"/>
                <w:sz w:val="11"/>
                <w:szCs w:val="11"/>
                <w:color w:val="auto"/>
              </w:rPr>
              <w:t>(in thousands)</w:t>
            </w: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ind w:left="120"/>
              <w:spacing w:after="0"/>
              <w:rPr>
                <w:sz w:val="20"/>
                <w:szCs w:val="20"/>
                <w:color w:val="auto"/>
              </w:rPr>
            </w:pPr>
            <w:r>
              <w:rPr>
                <w:rFonts w:ascii="Arial" w:cs="Arial" w:eastAsia="Arial" w:hAnsi="Arial"/>
                <w:sz w:val="11"/>
                <w:szCs w:val="11"/>
                <w:color w:val="auto"/>
              </w:rPr>
              <w:t>Stock</w:t>
            </w: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ind w:left="80"/>
              <w:spacing w:after="0"/>
              <w:rPr>
                <w:sz w:val="20"/>
                <w:szCs w:val="20"/>
                <w:color w:val="auto"/>
              </w:rPr>
            </w:pPr>
            <w:r>
              <w:rPr>
                <w:rFonts w:ascii="Arial" w:cs="Arial" w:eastAsia="Arial" w:hAnsi="Arial"/>
                <w:sz w:val="11"/>
                <w:szCs w:val="11"/>
                <w:color w:val="auto"/>
              </w:rPr>
              <w:t>Par Value</w:t>
            </w:r>
          </w:p>
        </w:tc>
        <w:tc>
          <w:tcPr>
            <w:tcW w:w="1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176"/>
              <w:spacing w:after="0"/>
              <w:rPr>
                <w:sz w:val="20"/>
                <w:szCs w:val="20"/>
                <w:color w:val="auto"/>
              </w:rPr>
            </w:pPr>
            <w:r>
              <w:rPr>
                <w:rFonts w:ascii="Arial" w:cs="Arial" w:eastAsia="Arial" w:hAnsi="Arial"/>
                <w:sz w:val="11"/>
                <w:szCs w:val="11"/>
                <w:color w:val="auto"/>
              </w:rPr>
              <w:t>Earnings</w:t>
            </w: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258"/>
              <w:spacing w:after="0"/>
              <w:rPr>
                <w:sz w:val="20"/>
                <w:szCs w:val="20"/>
                <w:color w:val="auto"/>
              </w:rPr>
            </w:pPr>
            <w:r>
              <w:rPr>
                <w:rFonts w:ascii="Arial" w:cs="Arial" w:eastAsia="Arial" w:hAnsi="Arial"/>
                <w:sz w:val="11"/>
                <w:szCs w:val="11"/>
                <w:color w:val="auto"/>
              </w:rPr>
              <w:t>Income</w:t>
            </w: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97"/>
              <w:spacing w:after="0"/>
              <w:rPr>
                <w:sz w:val="20"/>
                <w:szCs w:val="20"/>
                <w:color w:val="auto"/>
              </w:rPr>
            </w:pPr>
            <w:r>
              <w:rPr>
                <w:rFonts w:ascii="Arial" w:cs="Arial" w:eastAsia="Arial" w:hAnsi="Arial"/>
                <w:sz w:val="11"/>
                <w:szCs w:val="11"/>
                <w:color w:val="auto"/>
              </w:rPr>
              <w:t>Stock</w:t>
            </w: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36"/>
              <w:spacing w:after="0"/>
              <w:rPr>
                <w:sz w:val="20"/>
                <w:szCs w:val="20"/>
                <w:color w:val="auto"/>
              </w:rPr>
            </w:pPr>
            <w:r>
              <w:rPr>
                <w:rFonts w:ascii="Arial" w:cs="Arial" w:eastAsia="Arial" w:hAnsi="Arial"/>
                <w:sz w:val="11"/>
                <w:szCs w:val="11"/>
                <w:color w:val="auto"/>
              </w:rPr>
              <w:t>Interest</w:t>
            </w:r>
          </w:p>
        </w:tc>
        <w:tc>
          <w:tcPr>
            <w:tcW w:w="1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193"/>
              <w:spacing w:after="0"/>
              <w:rPr>
                <w:sz w:val="20"/>
                <w:szCs w:val="20"/>
                <w:color w:val="auto"/>
              </w:rPr>
            </w:pPr>
            <w:r>
              <w:rPr>
                <w:rFonts w:ascii="Arial" w:cs="Arial" w:eastAsia="Arial" w:hAnsi="Arial"/>
                <w:sz w:val="11"/>
                <w:szCs w:val="11"/>
                <w:color w:val="auto"/>
              </w:rPr>
              <w:t>Total Equity</w:t>
            </w:r>
          </w:p>
        </w:tc>
        <w:tc>
          <w:tcPr>
            <w:tcW w:w="1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ind w:right="38"/>
              <w:spacing w:after="0"/>
              <w:rPr>
                <w:sz w:val="20"/>
                <w:szCs w:val="20"/>
                <w:color w:val="auto"/>
              </w:rPr>
            </w:pPr>
            <w:r>
              <w:rPr>
                <w:rFonts w:ascii="Arial" w:cs="Arial" w:eastAsia="Arial" w:hAnsi="Arial"/>
                <w:sz w:val="11"/>
                <w:szCs w:val="11"/>
                <w:color w:val="auto"/>
                <w:w w:val="97"/>
              </w:rPr>
              <w:t>Interest</w:t>
            </w:r>
          </w:p>
        </w:tc>
        <w:tc>
          <w:tcPr>
            <w:tcW w:w="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3500" w:type="dxa"/>
            <w:vAlign w:val="bottom"/>
            <w:gridSpan w:val="2"/>
          </w:tcPr>
          <w:p>
            <w:pPr>
              <w:ind w:left="20"/>
              <w:spacing w:after="0"/>
              <w:rPr>
                <w:sz w:val="20"/>
                <w:szCs w:val="20"/>
                <w:color w:val="auto"/>
              </w:rPr>
            </w:pPr>
            <w:r>
              <w:rPr>
                <w:rFonts w:ascii="Arial" w:cs="Arial" w:eastAsia="Arial" w:hAnsi="Arial"/>
                <w:sz w:val="13"/>
                <w:szCs w:val="13"/>
                <w:color w:val="auto"/>
              </w:rPr>
              <w:t>As of December 31, 2023</w:t>
            </w:r>
          </w:p>
        </w:tc>
        <w:tc>
          <w:tcPr>
            <w:tcW w:w="1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560" w:type="dxa"/>
            <w:vAlign w:val="bottom"/>
          </w:tcPr>
          <w:p>
            <w:pPr>
              <w:ind w:left="140"/>
              <w:spacing w:after="0"/>
              <w:rPr>
                <w:sz w:val="20"/>
                <w:szCs w:val="20"/>
                <w:color w:val="auto"/>
              </w:rPr>
            </w:pPr>
            <w:r>
              <w:rPr>
                <w:rFonts w:ascii="Arial" w:cs="Arial" w:eastAsia="Arial" w:hAnsi="Arial"/>
                <w:sz w:val="13"/>
                <w:szCs w:val="13"/>
                <w:color w:val="auto"/>
              </w:rPr>
              <w:t>20,000</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372,040</w:t>
            </w: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7,337,463</w:t>
            </w:r>
          </w:p>
        </w:tc>
        <w:tc>
          <w:tcPr>
            <w:tcW w:w="120" w:type="dxa"/>
            <w:vAlign w:val="bottom"/>
          </w:tcPr>
          <w:p>
            <w:pPr>
              <w:ind w:left="40"/>
              <w:spacing w:after="0"/>
              <w:rPr>
                <w:sz w:val="20"/>
                <w:szCs w:val="20"/>
                <w:color w:val="auto"/>
              </w:rPr>
            </w:pPr>
            <w:r>
              <w:rPr>
                <w:rFonts w:ascii="Arial" w:cs="Arial" w:eastAsia="Arial" w:hAnsi="Arial"/>
                <w:sz w:val="13"/>
                <w:szCs w:val="13"/>
                <w:color w:val="auto"/>
                <w:w w:val="82"/>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614,337</w:t>
            </w:r>
          </w:p>
        </w:tc>
        <w:tc>
          <w:tcPr>
            <w:tcW w:w="22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(4,368,103)</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26,131</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53"/>
              <w:spacing w:after="0"/>
              <w:rPr>
                <w:sz w:val="20"/>
                <w:szCs w:val="20"/>
                <w:color w:val="auto"/>
              </w:rPr>
            </w:pPr>
            <w:r>
              <w:rPr>
                <w:rFonts w:ascii="Arial" w:cs="Arial" w:eastAsia="Arial" w:hAnsi="Arial"/>
                <w:sz w:val="13"/>
                <w:szCs w:val="13"/>
                <w:color w:val="auto"/>
              </w:rPr>
              <w:t>4,001,868</w:t>
            </w: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24,185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500" w:type="dxa"/>
            <w:vAlign w:val="bottom"/>
            <w:gridSpan w:val="2"/>
          </w:tcPr>
          <w:p>
            <w:pPr>
              <w:ind w:left="20"/>
              <w:spacing w:after="0"/>
              <w:rPr>
                <w:sz w:val="20"/>
                <w:szCs w:val="20"/>
                <w:color w:val="auto"/>
              </w:rPr>
            </w:pPr>
            <w:r>
              <w:rPr>
                <w:rFonts w:ascii="Arial" w:cs="Arial" w:eastAsia="Arial" w:hAnsi="Arial"/>
                <w:sz w:val="13"/>
                <w:szCs w:val="13"/>
                <w:color w:val="auto"/>
              </w:rPr>
              <w:t>Net income for the period</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125,339</w:t>
            </w: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jc w:val="right"/>
              <w:ind w:right="53"/>
              <w:spacing w:after="0"/>
              <w:rPr>
                <w:sz w:val="20"/>
                <w:szCs w:val="20"/>
                <w:color w:val="auto"/>
              </w:rPr>
            </w:pPr>
            <w:r>
              <w:rPr>
                <w:rFonts w:ascii="Arial" w:cs="Arial" w:eastAsia="Arial" w:hAnsi="Arial"/>
                <w:sz w:val="13"/>
                <w:szCs w:val="13"/>
                <w:color w:val="auto"/>
              </w:rPr>
              <w:t>125,339</w:t>
            </w: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00" w:type="dxa"/>
            <w:vAlign w:val="bottom"/>
            <w:gridSpan w:val="2"/>
          </w:tcPr>
          <w:p>
            <w:pPr>
              <w:ind w:left="20"/>
              <w:spacing w:after="0"/>
              <w:rPr>
                <w:sz w:val="20"/>
                <w:szCs w:val="20"/>
                <w:color w:val="auto"/>
              </w:rPr>
            </w:pPr>
            <w:r>
              <w:rPr>
                <w:rFonts w:ascii="Arial" w:cs="Arial" w:eastAsia="Arial" w:hAnsi="Arial"/>
                <w:sz w:val="13"/>
                <w:szCs w:val="13"/>
                <w:color w:val="auto"/>
              </w:rPr>
              <w:t>Net income attributable to noncontrolling interests</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(633)</w:t>
            </w: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633</w:t>
            </w:r>
          </w:p>
        </w:tc>
        <w:tc>
          <w:tcPr>
            <w:tcW w:w="160" w:type="dxa"/>
            <w:vAlign w:val="bottom"/>
          </w:tcPr>
          <w:p>
            <w:pPr>
              <w:spacing w:after="0"/>
              <w:rPr>
                <w:sz w:val="17"/>
                <w:szCs w:val="17"/>
                <w:color w:val="auto"/>
              </w:rPr>
            </w:pPr>
          </w:p>
        </w:tc>
        <w:tc>
          <w:tcPr>
            <w:tcW w:w="880" w:type="dxa"/>
            <w:vAlign w:val="bottom"/>
          </w:tcPr>
          <w:p>
            <w:pPr>
              <w:jc w:val="right"/>
              <w:ind w:right="53"/>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3500" w:type="dxa"/>
            <w:vAlign w:val="bottom"/>
            <w:gridSpan w:val="2"/>
          </w:tcPr>
          <w:p>
            <w:pPr>
              <w:ind w:left="20"/>
              <w:spacing w:after="0"/>
              <w:rPr>
                <w:sz w:val="20"/>
                <w:szCs w:val="20"/>
                <w:color w:val="auto"/>
              </w:rPr>
            </w:pPr>
            <w:r>
              <w:rPr>
                <w:rFonts w:ascii="Arial" w:cs="Arial" w:eastAsia="Arial" w:hAnsi="Arial"/>
                <w:sz w:val="13"/>
                <w:szCs w:val="13"/>
                <w:color w:val="auto"/>
              </w:rPr>
              <w:t>Net income attributable to redeemable noncontrolling</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3460" w:type="dxa"/>
            <w:vAlign w:val="bottom"/>
          </w:tcPr>
          <w:p>
            <w:pPr>
              <w:ind w:left="140"/>
              <w:spacing w:after="0"/>
              <w:rPr>
                <w:sz w:val="20"/>
                <w:szCs w:val="20"/>
                <w:color w:val="auto"/>
              </w:rPr>
            </w:pPr>
            <w:r>
              <w:rPr>
                <w:rFonts w:ascii="Arial" w:cs="Arial" w:eastAsia="Arial" w:hAnsi="Arial"/>
                <w:sz w:val="13"/>
                <w:szCs w:val="13"/>
                <w:color w:val="auto"/>
              </w:rPr>
              <w:t>interests</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(326)</w:t>
            </w: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jc w:val="right"/>
              <w:ind w:right="13"/>
              <w:spacing w:after="0"/>
              <w:rPr>
                <w:sz w:val="20"/>
                <w:szCs w:val="20"/>
                <w:color w:val="auto"/>
              </w:rPr>
            </w:pPr>
            <w:r>
              <w:rPr>
                <w:rFonts w:ascii="Arial" w:cs="Arial" w:eastAsia="Arial" w:hAnsi="Arial"/>
                <w:sz w:val="13"/>
                <w:szCs w:val="13"/>
                <w:color w:val="auto"/>
              </w:rPr>
              <w:t>(326)</w:t>
            </w:r>
          </w:p>
        </w:tc>
        <w:tc>
          <w:tcPr>
            <w:tcW w:w="1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326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500" w:type="dxa"/>
            <w:vAlign w:val="bottom"/>
            <w:gridSpan w:val="2"/>
          </w:tcPr>
          <w:p>
            <w:pPr>
              <w:ind w:left="20"/>
              <w:spacing w:after="0"/>
              <w:rPr>
                <w:sz w:val="20"/>
                <w:szCs w:val="20"/>
                <w:color w:val="auto"/>
              </w:rPr>
            </w:pPr>
            <w:r>
              <w:rPr>
                <w:rFonts w:ascii="Arial" w:cs="Arial" w:eastAsia="Arial" w:hAnsi="Arial"/>
                <w:sz w:val="13"/>
                <w:szCs w:val="13"/>
                <w:color w:val="auto"/>
              </w:rPr>
              <w:t>Change in redemption value of redeemable noncontrolling</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3460" w:type="dxa"/>
            <w:vAlign w:val="bottom"/>
          </w:tcPr>
          <w:p>
            <w:pPr>
              <w:ind w:left="140"/>
              <w:spacing w:after="0"/>
              <w:rPr>
                <w:sz w:val="20"/>
                <w:szCs w:val="20"/>
                <w:color w:val="auto"/>
              </w:rPr>
            </w:pPr>
            <w:r>
              <w:rPr>
                <w:rFonts w:ascii="Arial" w:cs="Arial" w:eastAsia="Arial" w:hAnsi="Arial"/>
                <w:sz w:val="13"/>
                <w:szCs w:val="13"/>
                <w:color w:val="auto"/>
              </w:rPr>
              <w:t>interests</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284</w:t>
            </w:r>
          </w:p>
        </w:tc>
        <w:tc>
          <w:tcPr>
            <w:tcW w:w="160" w:type="dxa"/>
            <w:vAlign w:val="bottom"/>
          </w:tcPr>
          <w:p>
            <w:pPr>
              <w:spacing w:after="0"/>
              <w:rPr>
                <w:sz w:val="15"/>
                <w:szCs w:val="15"/>
                <w:color w:val="auto"/>
              </w:rPr>
            </w:pPr>
          </w:p>
        </w:tc>
        <w:tc>
          <w:tcPr>
            <w:tcW w:w="880" w:type="dxa"/>
            <w:vAlign w:val="bottom"/>
          </w:tcPr>
          <w:p>
            <w:pPr>
              <w:jc w:val="right"/>
              <w:ind w:right="53"/>
              <w:spacing w:after="0"/>
              <w:rPr>
                <w:sz w:val="20"/>
                <w:szCs w:val="20"/>
                <w:color w:val="auto"/>
              </w:rPr>
            </w:pPr>
            <w:r>
              <w:rPr>
                <w:rFonts w:ascii="Arial" w:cs="Arial" w:eastAsia="Arial" w:hAnsi="Arial"/>
                <w:sz w:val="13"/>
                <w:szCs w:val="13"/>
                <w:color w:val="auto"/>
              </w:rPr>
              <w:t>284</w:t>
            </w:r>
          </w:p>
        </w:tc>
        <w:tc>
          <w:tcPr>
            <w:tcW w:w="1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164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500" w:type="dxa"/>
            <w:vAlign w:val="bottom"/>
            <w:gridSpan w:val="2"/>
          </w:tcPr>
          <w:p>
            <w:pPr>
              <w:ind w:left="20"/>
              <w:spacing w:after="0"/>
              <w:rPr>
                <w:sz w:val="20"/>
                <w:szCs w:val="20"/>
                <w:color w:val="auto"/>
              </w:rPr>
            </w:pPr>
            <w:r>
              <w:rPr>
                <w:rFonts w:ascii="Arial" w:cs="Arial" w:eastAsia="Arial" w:hAnsi="Arial"/>
                <w:sz w:val="13"/>
                <w:szCs w:val="13"/>
                <w:color w:val="auto"/>
              </w:rPr>
              <w:t>Noncontrolling interest capital contribution</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200</w:t>
            </w:r>
          </w:p>
        </w:tc>
        <w:tc>
          <w:tcPr>
            <w:tcW w:w="160" w:type="dxa"/>
            <w:vAlign w:val="bottom"/>
          </w:tcPr>
          <w:p>
            <w:pPr>
              <w:spacing w:after="0"/>
              <w:rPr>
                <w:sz w:val="17"/>
                <w:szCs w:val="17"/>
                <w:color w:val="auto"/>
              </w:rPr>
            </w:pPr>
          </w:p>
        </w:tc>
        <w:tc>
          <w:tcPr>
            <w:tcW w:w="880" w:type="dxa"/>
            <w:vAlign w:val="bottom"/>
          </w:tcPr>
          <w:p>
            <w:pPr>
              <w:jc w:val="right"/>
              <w:ind w:right="53"/>
              <w:spacing w:after="0"/>
              <w:rPr>
                <w:sz w:val="20"/>
                <w:szCs w:val="20"/>
                <w:color w:val="auto"/>
              </w:rPr>
            </w:pPr>
            <w:r>
              <w:rPr>
                <w:rFonts w:ascii="Arial" w:cs="Arial" w:eastAsia="Arial" w:hAnsi="Arial"/>
                <w:sz w:val="13"/>
                <w:szCs w:val="13"/>
                <w:color w:val="auto"/>
              </w:rPr>
              <w:t>200</w:t>
            </w: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00" w:type="dxa"/>
            <w:vAlign w:val="bottom"/>
            <w:gridSpan w:val="2"/>
          </w:tcPr>
          <w:p>
            <w:pPr>
              <w:ind w:left="20"/>
              <w:spacing w:after="0"/>
              <w:rPr>
                <w:sz w:val="20"/>
                <w:szCs w:val="20"/>
                <w:color w:val="auto"/>
              </w:rPr>
            </w:pPr>
            <w:r>
              <w:rPr>
                <w:rFonts w:ascii="Arial" w:cs="Arial" w:eastAsia="Arial" w:hAnsi="Arial"/>
                <w:sz w:val="13"/>
                <w:szCs w:val="13"/>
                <w:color w:val="auto"/>
              </w:rPr>
              <w:t>Distributions to noncontrolling interests</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(256)</w:t>
            </w:r>
          </w:p>
        </w:tc>
        <w:tc>
          <w:tcPr>
            <w:tcW w:w="160" w:type="dxa"/>
            <w:vAlign w:val="bottom"/>
          </w:tcPr>
          <w:p>
            <w:pPr>
              <w:spacing w:after="0"/>
              <w:rPr>
                <w:sz w:val="17"/>
                <w:szCs w:val="17"/>
                <w:color w:val="auto"/>
              </w:rPr>
            </w:pPr>
          </w:p>
        </w:tc>
        <w:tc>
          <w:tcPr>
            <w:tcW w:w="880" w:type="dxa"/>
            <w:vAlign w:val="bottom"/>
          </w:tcPr>
          <w:p>
            <w:pPr>
              <w:jc w:val="right"/>
              <w:ind w:right="13"/>
              <w:spacing w:after="0"/>
              <w:rPr>
                <w:sz w:val="20"/>
                <w:szCs w:val="20"/>
                <w:color w:val="auto"/>
              </w:rPr>
            </w:pPr>
            <w:r>
              <w:rPr>
                <w:rFonts w:ascii="Arial" w:cs="Arial" w:eastAsia="Arial" w:hAnsi="Arial"/>
                <w:sz w:val="13"/>
                <w:szCs w:val="13"/>
                <w:color w:val="auto"/>
              </w:rPr>
              <w:t>(256)</w:t>
            </w:r>
          </w:p>
        </w:tc>
        <w:tc>
          <w:tcPr>
            <w:tcW w:w="1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(450)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00" w:type="dxa"/>
            <w:vAlign w:val="bottom"/>
            <w:gridSpan w:val="2"/>
          </w:tcPr>
          <w:p>
            <w:pPr>
              <w:ind w:left="20"/>
              <w:spacing w:after="0"/>
              <w:rPr>
                <w:sz w:val="20"/>
                <w:szCs w:val="20"/>
                <w:color w:val="auto"/>
              </w:rPr>
            </w:pPr>
            <w:r>
              <w:rPr>
                <w:rFonts w:ascii="Arial" w:cs="Arial" w:eastAsia="Arial" w:hAnsi="Arial"/>
                <w:sz w:val="13"/>
                <w:szCs w:val="13"/>
                <w:color w:val="auto"/>
              </w:rPr>
              <w:t>Dividends on common stock</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(15,352)</w:t>
            </w: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jc w:val="right"/>
              <w:ind w:right="13"/>
              <w:spacing w:after="0"/>
              <w:rPr>
                <w:sz w:val="20"/>
                <w:szCs w:val="20"/>
                <w:color w:val="auto"/>
              </w:rPr>
            </w:pPr>
            <w:r>
              <w:rPr>
                <w:rFonts w:ascii="Arial" w:cs="Arial" w:eastAsia="Arial" w:hAnsi="Arial"/>
                <w:sz w:val="13"/>
                <w:szCs w:val="13"/>
                <w:color w:val="auto"/>
              </w:rPr>
              <w:t>(15,352)</w:t>
            </w: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00" w:type="dxa"/>
            <w:vAlign w:val="bottom"/>
            <w:gridSpan w:val="2"/>
          </w:tcPr>
          <w:p>
            <w:pPr>
              <w:ind w:left="20"/>
              <w:spacing w:after="0"/>
              <w:rPr>
                <w:sz w:val="20"/>
                <w:szCs w:val="20"/>
                <w:color w:val="auto"/>
              </w:rPr>
            </w:pPr>
            <w:r>
              <w:rPr>
                <w:rFonts w:ascii="Arial" w:cs="Arial" w:eastAsia="Arial" w:hAnsi="Arial"/>
                <w:sz w:val="13"/>
                <w:szCs w:val="13"/>
                <w:color w:val="auto"/>
              </w:rPr>
              <w:t>Repurchase of Class B common stock</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(20,227)</w:t>
            </w: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jc w:val="right"/>
              <w:ind w:right="13"/>
              <w:spacing w:after="0"/>
              <w:rPr>
                <w:sz w:val="20"/>
                <w:szCs w:val="20"/>
                <w:color w:val="auto"/>
              </w:rPr>
            </w:pPr>
            <w:r>
              <w:rPr>
                <w:rFonts w:ascii="Arial" w:cs="Arial" w:eastAsia="Arial" w:hAnsi="Arial"/>
                <w:sz w:val="13"/>
                <w:szCs w:val="13"/>
                <w:color w:val="auto"/>
              </w:rPr>
              <w:t>(20,227)</w:t>
            </w: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3500" w:type="dxa"/>
            <w:vAlign w:val="bottom"/>
            <w:gridSpan w:val="2"/>
          </w:tcPr>
          <w:p>
            <w:pPr>
              <w:ind w:left="20"/>
              <w:spacing w:after="0"/>
              <w:rPr>
                <w:sz w:val="20"/>
                <w:szCs w:val="20"/>
                <w:color w:val="auto"/>
              </w:rPr>
            </w:pPr>
            <w:r>
              <w:rPr>
                <w:rFonts w:ascii="Arial" w:cs="Arial" w:eastAsia="Arial" w:hAnsi="Arial"/>
                <w:sz w:val="13"/>
                <w:szCs w:val="13"/>
                <w:color w:val="auto"/>
              </w:rPr>
              <w:t>Issuance of Class B common stock, net of restricted stock</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3460" w:type="dxa"/>
            <w:vAlign w:val="bottom"/>
          </w:tcPr>
          <w:p>
            <w:pPr>
              <w:ind w:left="140"/>
              <w:spacing w:after="0"/>
              <w:rPr>
                <w:sz w:val="20"/>
                <w:szCs w:val="20"/>
                <w:color w:val="auto"/>
              </w:rPr>
            </w:pPr>
            <w:r>
              <w:rPr>
                <w:rFonts w:ascii="Arial" w:cs="Arial" w:eastAsia="Arial" w:hAnsi="Arial"/>
                <w:sz w:val="13"/>
                <w:szCs w:val="13"/>
                <w:color w:val="auto"/>
              </w:rPr>
              <w:t>award forfeitures</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(344)</w:t>
            </w: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117</w:t>
            </w: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jc w:val="right"/>
              <w:ind w:right="13"/>
              <w:spacing w:after="0"/>
              <w:rPr>
                <w:sz w:val="20"/>
                <w:szCs w:val="20"/>
                <w:color w:val="auto"/>
              </w:rPr>
            </w:pPr>
            <w:r>
              <w:rPr>
                <w:rFonts w:ascii="Arial" w:cs="Arial" w:eastAsia="Arial" w:hAnsi="Arial"/>
                <w:sz w:val="13"/>
                <w:szCs w:val="13"/>
                <w:color w:val="auto"/>
              </w:rPr>
              <w:t>(227)</w:t>
            </w: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500" w:type="dxa"/>
            <w:vAlign w:val="bottom"/>
            <w:gridSpan w:val="2"/>
          </w:tcPr>
          <w:p>
            <w:pPr>
              <w:ind w:left="20"/>
              <w:spacing w:after="0"/>
              <w:rPr>
                <w:sz w:val="20"/>
                <w:szCs w:val="20"/>
                <w:color w:val="auto"/>
              </w:rPr>
            </w:pPr>
            <w:r>
              <w:rPr>
                <w:rFonts w:ascii="Arial" w:cs="Arial" w:eastAsia="Arial" w:hAnsi="Arial"/>
                <w:sz w:val="13"/>
                <w:szCs w:val="13"/>
                <w:color w:val="auto"/>
              </w:rPr>
              <w:t>Amortization of unearned stock compensation and stock</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3460" w:type="dxa"/>
            <w:vAlign w:val="bottom"/>
          </w:tcPr>
          <w:p>
            <w:pPr>
              <w:ind w:left="140"/>
              <w:spacing w:after="0"/>
              <w:rPr>
                <w:sz w:val="20"/>
                <w:szCs w:val="20"/>
                <w:color w:val="auto"/>
              </w:rPr>
            </w:pPr>
            <w:r>
              <w:rPr>
                <w:rFonts w:ascii="Arial" w:cs="Arial" w:eastAsia="Arial" w:hAnsi="Arial"/>
                <w:sz w:val="13"/>
                <w:szCs w:val="13"/>
                <w:color w:val="auto"/>
              </w:rPr>
              <w:t>option expense</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1,671</w:t>
            </w: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jc w:val="right"/>
              <w:ind w:right="53"/>
              <w:spacing w:after="0"/>
              <w:rPr>
                <w:sz w:val="20"/>
                <w:szCs w:val="20"/>
                <w:color w:val="auto"/>
              </w:rPr>
            </w:pPr>
            <w:r>
              <w:rPr>
                <w:rFonts w:ascii="Arial" w:cs="Arial" w:eastAsia="Arial" w:hAnsi="Arial"/>
                <w:sz w:val="13"/>
                <w:szCs w:val="13"/>
                <w:color w:val="auto"/>
              </w:rPr>
              <w:t>1,671</w:t>
            </w: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3500" w:type="dxa"/>
            <w:vAlign w:val="bottom"/>
            <w:gridSpan w:val="2"/>
          </w:tcPr>
          <w:p>
            <w:pPr>
              <w:ind w:left="20"/>
              <w:spacing w:after="0"/>
              <w:rPr>
                <w:sz w:val="20"/>
                <w:szCs w:val="20"/>
                <w:color w:val="auto"/>
              </w:rPr>
            </w:pPr>
            <w:r>
              <w:rPr>
                <w:rFonts w:ascii="Arial" w:cs="Arial" w:eastAsia="Arial" w:hAnsi="Arial"/>
                <w:sz w:val="13"/>
                <w:szCs w:val="13"/>
                <w:color w:val="auto"/>
              </w:rPr>
              <w:t>Other comprehensive loss, net of income taxes</w:t>
            </w:r>
          </w:p>
        </w:tc>
        <w:tc>
          <w:tcPr>
            <w:tcW w:w="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2"/>
          </w:tcPr>
          <w:p>
            <w:pPr>
              <w:jc w:val="right"/>
              <w:ind w:right="133"/>
              <w:spacing w:after="0"/>
              <w:rPr>
                <w:sz w:val="20"/>
                <w:szCs w:val="20"/>
                <w:color w:val="auto"/>
              </w:rPr>
            </w:pPr>
            <w:r>
              <w:rPr>
                <w:rFonts w:ascii="Arial" w:cs="Arial" w:eastAsia="Arial" w:hAnsi="Arial"/>
                <w:sz w:val="13"/>
                <w:szCs w:val="13"/>
                <w:color w:val="auto"/>
              </w:rPr>
              <w:t>(22,492)</w:t>
            </w:r>
          </w:p>
        </w:tc>
        <w:tc>
          <w:tcPr>
            <w:tcW w:w="8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color w:val="auto"/>
              </w:rPr>
              <w:t>(22,492)</w:t>
            </w: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500" w:type="dxa"/>
            <w:vAlign w:val="bottom"/>
            <w:gridSpan w:val="2"/>
          </w:tcPr>
          <w:p>
            <w:pPr>
              <w:ind w:left="20"/>
              <w:spacing w:after="0"/>
              <w:rPr>
                <w:sz w:val="20"/>
                <w:szCs w:val="20"/>
                <w:color w:val="auto"/>
              </w:rPr>
            </w:pPr>
            <w:r>
              <w:rPr>
                <w:rFonts w:ascii="Arial" w:cs="Arial" w:eastAsia="Arial" w:hAnsi="Arial"/>
                <w:sz w:val="13"/>
                <w:szCs w:val="13"/>
                <w:color w:val="auto"/>
              </w:rPr>
              <w:t>As of March 31, 2024</w:t>
            </w:r>
          </w:p>
        </w:tc>
        <w:tc>
          <w:tcPr>
            <w:tcW w:w="1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560" w:type="dxa"/>
            <w:vAlign w:val="bottom"/>
          </w:tcPr>
          <w:p>
            <w:pPr>
              <w:ind w:left="140"/>
              <w:spacing w:after="0"/>
              <w:rPr>
                <w:sz w:val="20"/>
                <w:szCs w:val="20"/>
                <w:color w:val="auto"/>
              </w:rPr>
            </w:pPr>
            <w:r>
              <w:rPr>
                <w:rFonts w:ascii="Arial" w:cs="Arial" w:eastAsia="Arial" w:hAnsi="Arial"/>
                <w:sz w:val="13"/>
                <w:szCs w:val="13"/>
                <w:color w:val="auto"/>
              </w:rPr>
              <w:t>20,000</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373,367</w:t>
            </w: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7,446,491</w:t>
            </w:r>
          </w:p>
        </w:tc>
        <w:tc>
          <w:tcPr>
            <w:tcW w:w="120" w:type="dxa"/>
            <w:vAlign w:val="bottom"/>
          </w:tcPr>
          <w:p>
            <w:pPr>
              <w:ind w:left="40"/>
              <w:spacing w:after="0"/>
              <w:rPr>
                <w:sz w:val="20"/>
                <w:szCs w:val="20"/>
                <w:color w:val="auto"/>
              </w:rPr>
            </w:pPr>
            <w:r>
              <w:rPr>
                <w:rFonts w:ascii="Arial" w:cs="Arial" w:eastAsia="Arial" w:hAnsi="Arial"/>
                <w:sz w:val="13"/>
                <w:szCs w:val="13"/>
                <w:color w:val="auto"/>
                <w:w w:val="82"/>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591,845</w:t>
            </w:r>
          </w:p>
        </w:tc>
        <w:tc>
          <w:tcPr>
            <w:tcW w:w="22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(4,388,213)</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26,992</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53"/>
              <w:spacing w:after="0"/>
              <w:rPr>
                <w:sz w:val="20"/>
                <w:szCs w:val="20"/>
                <w:color w:val="auto"/>
              </w:rPr>
            </w:pPr>
            <w:r>
              <w:rPr>
                <w:rFonts w:ascii="Arial" w:cs="Arial" w:eastAsia="Arial" w:hAnsi="Arial"/>
                <w:sz w:val="13"/>
                <w:szCs w:val="13"/>
                <w:color w:val="auto"/>
              </w:rPr>
              <w:t>4,070,482</w:t>
            </w: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24,225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88"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Condensed Consolidated Financial Statements.</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4" w:right="339" w:bottom="1440" w:gutter="0" w:footer="0" w:header="0"/>
        </w:sectPr>
      </w:pPr>
    </w:p>
    <w:bookmarkStart w:id="7" w:name="page8"/>
    <w:bookmarkEnd w:id="7"/>
    <w:p>
      <w:pPr>
        <w:ind w:left="4240"/>
        <w:spacing w:after="0"/>
        <w:rPr>
          <w:sz w:val="20"/>
          <w:szCs w:val="20"/>
          <w:color w:val="auto"/>
        </w:rPr>
      </w:pPr>
      <w:r>
        <w:rPr>
          <w:rFonts w:ascii="Arial" w:cs="Arial" w:eastAsia="Arial" w:hAnsi="Arial"/>
          <w:sz w:val="18"/>
          <w:szCs w:val="18"/>
          <w:b w:val="1"/>
          <w:bCs w:val="1"/>
          <w:color w:val="auto"/>
        </w:rPr>
        <w:t>GRAHAM HOLDINGS COMPANY</w:t>
      </w:r>
    </w:p>
    <w:p>
      <w:pPr>
        <w:spacing w:after="0" w:line="158"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rPr>
        <w:t>NOTES TO CONDENSED CONSOLIDATED FINANCIAL STATEMENTS</w:t>
      </w:r>
    </w:p>
    <w:p>
      <w:pPr>
        <w:ind w:left="5040"/>
        <w:spacing w:after="0"/>
        <w:rPr>
          <w:sz w:val="20"/>
          <w:szCs w:val="20"/>
          <w:color w:val="auto"/>
        </w:rPr>
      </w:pPr>
      <w:r>
        <w:rPr>
          <w:rFonts w:ascii="Arial" w:cs="Arial" w:eastAsia="Arial" w:hAnsi="Arial"/>
          <w:sz w:val="18"/>
          <w:szCs w:val="18"/>
          <w:b w:val="1"/>
          <w:bCs w:val="1"/>
          <w:color w:val="auto"/>
        </w:rPr>
        <w:t>(UNAUDITED)</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BASIS OF PRESENTATION AND RECENT ACCOUNTING PRONOUNCEMENTS</w:t>
      </w:r>
    </w:p>
    <w:p>
      <w:pPr>
        <w:spacing w:after="0" w:line="158" w:lineRule="exact"/>
        <w:rPr>
          <w:sz w:val="20"/>
          <w:szCs w:val="20"/>
          <w:color w:val="auto"/>
        </w:rPr>
      </w:pPr>
    </w:p>
    <w:p>
      <w:pPr>
        <w:ind w:right="520"/>
        <w:spacing w:after="0" w:line="256" w:lineRule="auto"/>
        <w:rPr>
          <w:sz w:val="20"/>
          <w:szCs w:val="20"/>
          <w:color w:val="auto"/>
        </w:rPr>
      </w:pPr>
      <w:r>
        <w:rPr>
          <w:rFonts w:ascii="Arial" w:cs="Arial" w:eastAsia="Arial" w:hAnsi="Arial"/>
          <w:sz w:val="18"/>
          <w:szCs w:val="18"/>
          <w:color w:val="auto"/>
        </w:rPr>
        <w:t>Graham Holdings Company (the Company), is a diversified holding company whose operations include educational services, television broadcasting, manufacturing, healthcare, automotive dealerships and other businesses.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Through Kaplan, Inc. (Kaplan), the Company provides a wide variety of educational services to students, schools, colleges, universities and</w:t>
      </w:r>
    </w:p>
    <w:p>
      <w:pPr>
        <w:spacing w:after="0" w:line="14" w:lineRule="exact"/>
        <w:rPr>
          <w:sz w:val="20"/>
          <w:szCs w:val="20"/>
          <w:color w:val="auto"/>
        </w:rPr>
      </w:pPr>
    </w:p>
    <w:p>
      <w:pPr>
        <w:ind w:right="200"/>
        <w:spacing w:after="0" w:line="226" w:lineRule="auto"/>
        <w:rPr>
          <w:sz w:val="20"/>
          <w:szCs w:val="20"/>
          <w:color w:val="auto"/>
        </w:rPr>
      </w:pPr>
      <w:r>
        <w:rPr>
          <w:rFonts w:ascii="Arial" w:cs="Arial" w:eastAsia="Arial" w:hAnsi="Arial"/>
          <w:sz w:val="18"/>
          <w:szCs w:val="18"/>
          <w:color w:val="auto"/>
        </w:rPr>
        <w:t>businesses, both domestically and outside the United States (U.S.). Kaplan’s educational services include academic preparation programs for international students; English-language programs; operations support services for pre-college, certificate, undergraduate and graduate</w:t>
      </w:r>
    </w:p>
    <w:p>
      <w:pPr>
        <w:spacing w:after="0" w:line="2" w:lineRule="exact"/>
        <w:rPr>
          <w:sz w:val="20"/>
          <w:szCs w:val="20"/>
          <w:color w:val="auto"/>
        </w:rPr>
      </w:pPr>
    </w:p>
    <w:p>
      <w:pPr>
        <w:ind w:right="240"/>
        <w:spacing w:after="0" w:line="250" w:lineRule="auto"/>
        <w:rPr>
          <w:sz w:val="20"/>
          <w:szCs w:val="20"/>
          <w:color w:val="auto"/>
        </w:rPr>
      </w:pPr>
      <w:r>
        <w:rPr>
          <w:rFonts w:ascii="Arial" w:cs="Arial" w:eastAsia="Arial" w:hAnsi="Arial"/>
          <w:sz w:val="18"/>
          <w:szCs w:val="18"/>
          <w:color w:val="auto"/>
        </w:rPr>
        <w:t>programs; exam preparation for high school and graduate students and for professional certifications and licensures; career and academic advisement services to businesses; and a United Kingdom sixth-form college that prepares students for A-level examinations.</w:t>
      </w:r>
    </w:p>
    <w:p>
      <w:pPr>
        <w:spacing w:after="0" w:line="104" w:lineRule="exact"/>
        <w:rPr>
          <w:sz w:val="20"/>
          <w:szCs w:val="20"/>
          <w:color w:val="auto"/>
        </w:rPr>
      </w:pPr>
    </w:p>
    <w:p>
      <w:pPr>
        <w:ind w:right="580"/>
        <w:spacing w:after="0" w:line="271" w:lineRule="auto"/>
        <w:rPr>
          <w:sz w:val="20"/>
          <w:szCs w:val="20"/>
          <w:color w:val="auto"/>
        </w:rPr>
      </w:pPr>
      <w:r>
        <w:rPr>
          <w:rFonts w:ascii="Arial" w:cs="Arial" w:eastAsia="Arial" w:hAnsi="Arial"/>
          <w:sz w:val="18"/>
          <w:szCs w:val="18"/>
          <w:color w:val="auto"/>
        </w:rPr>
        <w:t>The Company’s television broadcasting segment owns and operates seven television broadcasting stations and provides social media management tools designed to connect newsrooms with their users.</w:t>
      </w:r>
    </w:p>
    <w:p>
      <w:pPr>
        <w:spacing w:after="0" w:line="100"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The Company’s manufacturing companies include a supplier of pressure-treated wood, a manufacturer of electrical solutions, a manufacturer of lifting solutions, and a supplier of parts used in electric utilities and industrial systems.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The Company’s healthcare segment provides home health, hospice and palliative services; in-home specialty pharmacy infusion therapies;</w:t>
      </w:r>
    </w:p>
    <w:p>
      <w:pPr>
        <w:spacing w:after="0" w:line="14" w:lineRule="exact"/>
        <w:rPr>
          <w:sz w:val="20"/>
          <w:szCs w:val="20"/>
          <w:color w:val="auto"/>
        </w:rPr>
      </w:pPr>
    </w:p>
    <w:p>
      <w:pPr>
        <w:ind w:right="540"/>
        <w:spacing w:after="0" w:line="237" w:lineRule="auto"/>
        <w:rPr>
          <w:sz w:val="20"/>
          <w:szCs w:val="20"/>
          <w:color w:val="auto"/>
        </w:rPr>
      </w:pPr>
      <w:r>
        <w:rPr>
          <w:rFonts w:ascii="Arial" w:cs="Arial" w:eastAsia="Arial" w:hAnsi="Arial"/>
          <w:sz w:val="18"/>
          <w:szCs w:val="18"/>
          <w:color w:val="auto"/>
        </w:rPr>
        <w:t>applied behavior analysis therapy; physician services for allergy, asthma and immunology patients; in-home aesthetics; and healthcare software-as-a-service technology.</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The Company’s automotive business comprises eight dealerships and valet repair services.</w:t>
      </w:r>
    </w:p>
    <w:p>
      <w:pPr>
        <w:spacing w:after="0" w:line="158" w:lineRule="exact"/>
        <w:rPr>
          <w:sz w:val="20"/>
          <w:szCs w:val="20"/>
          <w:color w:val="auto"/>
        </w:rPr>
      </w:pPr>
    </w:p>
    <w:p>
      <w:pPr>
        <w:ind w:right="500"/>
        <w:spacing w:after="0" w:line="251" w:lineRule="auto"/>
        <w:rPr>
          <w:sz w:val="20"/>
          <w:szCs w:val="20"/>
          <w:color w:val="auto"/>
        </w:rPr>
      </w:pPr>
      <w:r>
        <w:rPr>
          <w:rFonts w:ascii="Arial" w:cs="Arial" w:eastAsia="Arial" w:hAnsi="Arial"/>
          <w:sz w:val="17"/>
          <w:szCs w:val="17"/>
          <w:color w:val="auto"/>
        </w:rPr>
        <w:t xml:space="preserve">The Company’s other businesses include restaurants; a custom framing company; a marketing solutions provider; a customer data and analytics software company; </w:t>
      </w:r>
      <w:r>
        <w:rPr>
          <w:rFonts w:ascii="Arial" w:cs="Arial" w:eastAsia="Arial" w:hAnsi="Arial"/>
          <w:sz w:val="17"/>
          <w:szCs w:val="17"/>
          <w:i w:val="1"/>
          <w:iCs w:val="1"/>
          <w:color w:val="auto"/>
        </w:rPr>
        <w:t>Slate</w:t>
      </w:r>
      <w:r>
        <w:rPr>
          <w:rFonts w:ascii="Arial" w:cs="Arial" w:eastAsia="Arial" w:hAnsi="Arial"/>
          <w:sz w:val="17"/>
          <w:szCs w:val="17"/>
          <w:color w:val="auto"/>
        </w:rPr>
        <w:t xml:space="preserve"> and </w:t>
      </w:r>
      <w:r>
        <w:rPr>
          <w:rFonts w:ascii="Arial" w:cs="Arial" w:eastAsia="Arial" w:hAnsi="Arial"/>
          <w:sz w:val="17"/>
          <w:szCs w:val="17"/>
          <w:i w:val="1"/>
          <w:iCs w:val="1"/>
          <w:color w:val="auto"/>
        </w:rPr>
        <w:t>Foreign Policy</w:t>
      </w:r>
      <w:r>
        <w:rPr>
          <w:rFonts w:ascii="Arial" w:cs="Arial" w:eastAsia="Arial" w:hAnsi="Arial"/>
          <w:sz w:val="17"/>
          <w:szCs w:val="17"/>
          <w:color w:val="auto"/>
        </w:rPr>
        <w:t xml:space="preserve"> magazines; a daily local news podcast and newsletter company; a company that</w:t>
      </w:r>
    </w:p>
    <w:p>
      <w:pPr>
        <w:spacing w:after="0" w:line="235" w:lineRule="auto"/>
        <w:rPr>
          <w:sz w:val="20"/>
          <w:szCs w:val="20"/>
          <w:color w:val="auto"/>
        </w:rPr>
      </w:pPr>
      <w:r>
        <w:rPr>
          <w:rFonts w:ascii="Arial" w:cs="Arial" w:eastAsia="Arial" w:hAnsi="Arial"/>
          <w:sz w:val="18"/>
          <w:szCs w:val="18"/>
          <w:color w:val="auto"/>
        </w:rPr>
        <w:t>provides a software-as-a-service platform that enables podcasters and media companies to monetize audio content through paid</w:t>
      </w:r>
    </w:p>
    <w:p>
      <w:pPr>
        <w:ind w:right="320"/>
        <w:spacing w:after="0" w:line="237" w:lineRule="auto"/>
        <w:rPr>
          <w:sz w:val="20"/>
          <w:szCs w:val="20"/>
          <w:color w:val="auto"/>
        </w:rPr>
      </w:pPr>
      <w:r>
        <w:rPr>
          <w:rFonts w:ascii="Arial" w:cs="Arial" w:eastAsia="Arial" w:hAnsi="Arial"/>
          <w:sz w:val="18"/>
          <w:szCs w:val="18"/>
          <w:color w:val="auto"/>
        </w:rPr>
        <w:t>subscriptions, memberships, and audiobooks; an online art gallery and in-person art fair business; an online commerce platform featuring original art and designs on an array of consumer products; and an owner and operator of websites.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Basis of Presentation </w:t>
      </w:r>
      <w:r>
        <w:rPr>
          <w:rFonts w:ascii="Arial" w:cs="Arial" w:eastAsia="Arial" w:hAnsi="Arial"/>
          <w:sz w:val="18"/>
          <w:szCs w:val="18"/>
          <w:color w:val="auto"/>
        </w:rPr>
        <w:t>– The accompanying condensed consolidated financial statements have been prepared in accordance with:</w:t>
      </w:r>
    </w:p>
    <w:p>
      <w:pPr>
        <w:spacing w:after="0" w:line="14" w:lineRule="exact"/>
        <w:rPr>
          <w:sz w:val="20"/>
          <w:szCs w:val="20"/>
          <w:color w:val="auto"/>
        </w:rPr>
      </w:pPr>
    </w:p>
    <w:p>
      <w:pPr>
        <w:ind w:right="40" w:firstLine="8"/>
        <w:spacing w:after="0" w:line="231" w:lineRule="auto"/>
        <w:tabs>
          <w:tab w:leader="none" w:pos="210" w:val="left"/>
        </w:tabs>
        <w:numPr>
          <w:ilvl w:val="0"/>
          <w:numId w:val="8"/>
        </w:numPr>
        <w:rPr>
          <w:rFonts w:ascii="Arial" w:cs="Arial" w:eastAsia="Arial" w:hAnsi="Arial"/>
          <w:sz w:val="18"/>
          <w:szCs w:val="18"/>
          <w:color w:val="auto"/>
        </w:rPr>
      </w:pPr>
      <w:r>
        <w:rPr>
          <w:rFonts w:ascii="Arial" w:cs="Arial" w:eastAsia="Arial" w:hAnsi="Arial"/>
          <w:sz w:val="18"/>
          <w:szCs w:val="18"/>
          <w:color w:val="auto"/>
        </w:rPr>
        <w:t>generally accepted accounting principles in the United States of America (GAAP) for interim financial information; (ii) the instructions to Form 10-Q; and (iii) the guidance of Rule 10-01 of Regulation S-X under the Securities and Exchange Act of 1934, as amended, for financial statements required to be filed with the Securities and Exchange Commission (SEC). They include the assets, liabilities, results of operations and cash flows of the Company, including its domestic and foreign subsidiaries that are more than 50% owned or otherwise controlled by the Company. As permitted under such rules, certain notes and other financial information normally required by GAAP have been condensed or omitted. Management believes the accompanying condensed consolidated financial statements reflect all normal and recurring adjustments necessary for a fair statement of the Company’s financial position, results of operations, and cash flows as of and for the periods presented herein. The Company’s results of operations for the three months ended March 31, 2025 and 2024 may not be indicative of the Company’s future results. These condensed consolidated financial statements are unaudited and should be read in conjunction with the Company’s audited consolidated financial statements and the notes thereto included in the Company’s Annual Report on Form 10-K for the fiscal year ended December 31, 2024.</w:t>
      </w:r>
    </w:p>
    <w:p>
      <w:pPr>
        <w:spacing w:after="0" w:line="126"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The year-end condensed consolidated balance sheet data was derived from audited financial statements, but does not include all disclosures required by GAAP.</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Use of Estimates in the Preparation of the Condensed Consolidated Financial Statements </w:t>
      </w:r>
      <w:r>
        <w:rPr>
          <w:rFonts w:ascii="Arial" w:cs="Arial" w:eastAsia="Arial" w:hAnsi="Arial"/>
          <w:sz w:val="18"/>
          <w:szCs w:val="18"/>
          <w:color w:val="auto"/>
        </w:rPr>
        <w:t>– The preparation of the condensed</w:t>
      </w:r>
    </w:p>
    <w:p>
      <w:pPr>
        <w:spacing w:after="0" w:line="14" w:lineRule="exact"/>
        <w:rPr>
          <w:sz w:val="20"/>
          <w:szCs w:val="20"/>
          <w:color w:val="auto"/>
        </w:rPr>
      </w:pPr>
    </w:p>
    <w:p>
      <w:pPr>
        <w:ind w:right="60"/>
        <w:spacing w:after="0" w:line="226" w:lineRule="auto"/>
        <w:rPr>
          <w:sz w:val="20"/>
          <w:szCs w:val="20"/>
          <w:color w:val="auto"/>
        </w:rPr>
      </w:pPr>
      <w:r>
        <w:rPr>
          <w:rFonts w:ascii="Arial" w:cs="Arial" w:eastAsia="Arial" w:hAnsi="Arial"/>
          <w:sz w:val="18"/>
          <w:szCs w:val="18"/>
          <w:color w:val="auto"/>
        </w:rPr>
        <w:t>consolidated financial statements in conformity with GAAP requires management to make estimates and judgments that affect the amounts reported herein. Management bases its estimates and assumptions on historical experience and on various other factors that are believed to</w:t>
      </w:r>
    </w:p>
    <w:p>
      <w:pPr>
        <w:spacing w:after="0" w:line="2" w:lineRule="exact"/>
        <w:rPr>
          <w:sz w:val="20"/>
          <w:szCs w:val="20"/>
          <w:color w:val="auto"/>
        </w:rPr>
      </w:pPr>
    </w:p>
    <w:p>
      <w:pPr>
        <w:ind w:right="600"/>
        <w:spacing w:after="0" w:line="250" w:lineRule="auto"/>
        <w:rPr>
          <w:sz w:val="20"/>
          <w:szCs w:val="20"/>
          <w:color w:val="auto"/>
        </w:rPr>
      </w:pPr>
      <w:r>
        <w:rPr>
          <w:rFonts w:ascii="Arial" w:cs="Arial" w:eastAsia="Arial" w:hAnsi="Arial"/>
          <w:sz w:val="18"/>
          <w:szCs w:val="18"/>
          <w:color w:val="auto"/>
        </w:rPr>
        <w:t>be reasonable under the circumstances. Due to the inherent uncertainty involved in making estimates, actual results reported in future periods may be affected by changes in those estimates.</w:t>
      </w:r>
    </w:p>
    <w:p>
      <w:pPr>
        <w:spacing w:after="0" w:line="104" w:lineRule="exact"/>
        <w:rPr>
          <w:sz w:val="20"/>
          <w:szCs w:val="20"/>
          <w:color w:val="auto"/>
        </w:rPr>
      </w:pPr>
    </w:p>
    <w:p>
      <w:pPr>
        <w:ind w:right="200"/>
        <w:spacing w:after="0" w:line="259" w:lineRule="auto"/>
        <w:rPr>
          <w:sz w:val="20"/>
          <w:szCs w:val="20"/>
          <w:color w:val="auto"/>
        </w:rPr>
      </w:pPr>
      <w:r>
        <w:rPr>
          <w:rFonts w:ascii="Arial" w:cs="Arial" w:eastAsia="Arial" w:hAnsi="Arial"/>
          <w:sz w:val="17"/>
          <w:szCs w:val="17"/>
          <w:b w:val="1"/>
          <w:bCs w:val="1"/>
          <w:color w:val="auto"/>
        </w:rPr>
        <w:t xml:space="preserve">Assets Held for Sale </w:t>
      </w:r>
      <w:r>
        <w:rPr>
          <w:rFonts w:ascii="Arial" w:cs="Arial" w:eastAsia="Arial" w:hAnsi="Arial"/>
          <w:sz w:val="17"/>
          <w:szCs w:val="17"/>
          <w:color w:val="auto"/>
        </w:rPr>
        <w:t>– An asset or business is classified as held for sale when (i) management commits to a plan to sell the asset or</w:t>
      </w:r>
      <w:r>
        <w:rPr>
          <w:rFonts w:ascii="Arial" w:cs="Arial" w:eastAsia="Arial" w:hAnsi="Arial"/>
          <w:sz w:val="17"/>
          <w:szCs w:val="17"/>
          <w:b w:val="1"/>
          <w:bCs w:val="1"/>
          <w:color w:val="auto"/>
        </w:rPr>
        <w:t xml:space="preserve"> </w:t>
      </w:r>
      <w:r>
        <w:rPr>
          <w:rFonts w:ascii="Arial" w:cs="Arial" w:eastAsia="Arial" w:hAnsi="Arial"/>
          <w:sz w:val="17"/>
          <w:szCs w:val="17"/>
          <w:color w:val="auto"/>
        </w:rPr>
        <w:t>business; (ii) the asset or business is available for immediate sale in its present condition; (iii) the asset or business is actively marketed for</w:t>
      </w:r>
    </w:p>
    <w:p>
      <w:pPr>
        <w:spacing w:after="0" w:line="1" w:lineRule="exact"/>
        <w:rPr>
          <w:sz w:val="20"/>
          <w:szCs w:val="20"/>
          <w:color w:val="auto"/>
        </w:rPr>
      </w:pPr>
    </w:p>
    <w:p>
      <w:pPr>
        <w:ind w:right="200"/>
        <w:spacing w:after="0" w:line="237" w:lineRule="auto"/>
        <w:rPr>
          <w:sz w:val="20"/>
          <w:szCs w:val="20"/>
          <w:color w:val="auto"/>
        </w:rPr>
      </w:pPr>
      <w:r>
        <w:rPr>
          <w:rFonts w:ascii="Arial" w:cs="Arial" w:eastAsia="Arial" w:hAnsi="Arial"/>
          <w:sz w:val="18"/>
          <w:szCs w:val="18"/>
          <w:color w:val="auto"/>
        </w:rPr>
        <w:t>sale at a reasonable price; (iv) the sale is expected to be completed within one year; and (v) it is unlikely significant changes to the plan will be made or that the plan will be withdrawn. The</w:t>
      </w: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8" w:name="page9"/>
    <w:bookmarkEnd w:id="8"/>
    <w:p>
      <w:pPr>
        <w:ind w:right="180"/>
        <w:spacing w:after="0" w:line="271" w:lineRule="auto"/>
        <w:rPr>
          <w:sz w:val="20"/>
          <w:szCs w:val="20"/>
          <w:color w:val="auto"/>
        </w:rPr>
      </w:pPr>
      <w:r>
        <w:rPr>
          <w:rFonts w:ascii="Arial" w:cs="Arial" w:eastAsia="Arial" w:hAnsi="Arial"/>
          <w:sz w:val="18"/>
          <w:szCs w:val="18"/>
          <w:color w:val="auto"/>
        </w:rPr>
        <w:t>assets and related liabilities are aggregated and reported separately in the Company’s Condensed Consolidated Financial Statements (see Note 2).</w:t>
      </w:r>
    </w:p>
    <w:p>
      <w:pPr>
        <w:spacing w:after="0" w:line="86" w:lineRule="exact"/>
        <w:rPr>
          <w:sz w:val="20"/>
          <w:szCs w:val="20"/>
          <w:color w:val="auto"/>
        </w:rPr>
      </w:pPr>
    </w:p>
    <w:p>
      <w:pPr>
        <w:ind w:right="140"/>
        <w:spacing w:after="0" w:line="245" w:lineRule="auto"/>
        <w:rPr>
          <w:sz w:val="20"/>
          <w:szCs w:val="20"/>
          <w:color w:val="auto"/>
        </w:rPr>
      </w:pPr>
      <w:r>
        <w:rPr>
          <w:rFonts w:ascii="Arial" w:cs="Arial" w:eastAsia="Arial" w:hAnsi="Arial"/>
          <w:sz w:val="18"/>
          <w:szCs w:val="18"/>
          <w:b w:val="1"/>
          <w:bCs w:val="1"/>
          <w:color w:val="auto"/>
        </w:rPr>
        <w:t xml:space="preserve">Recently Adopted and Issued Accounting Pronouncements </w:t>
      </w:r>
      <w:r>
        <w:rPr>
          <w:rFonts w:ascii="Arial" w:cs="Arial" w:eastAsia="Arial" w:hAnsi="Arial"/>
          <w:sz w:val="18"/>
          <w:szCs w:val="18"/>
          <w:color w:val="auto"/>
        </w:rPr>
        <w:t>– In December 2023, the Financial Accounting Standards Board (FASB)</w:t>
      </w:r>
      <w:r>
        <w:rPr>
          <w:rFonts w:ascii="Arial" w:cs="Arial" w:eastAsia="Arial" w:hAnsi="Arial"/>
          <w:sz w:val="18"/>
          <w:szCs w:val="18"/>
          <w:b w:val="1"/>
          <w:bCs w:val="1"/>
          <w:color w:val="auto"/>
        </w:rPr>
        <w:t xml:space="preserve"> </w:t>
      </w:r>
      <w:r>
        <w:rPr>
          <w:rFonts w:ascii="Arial" w:cs="Arial" w:eastAsia="Arial" w:hAnsi="Arial"/>
          <w:sz w:val="18"/>
          <w:szCs w:val="18"/>
          <w:color w:val="auto"/>
        </w:rPr>
        <w:t>issued new guidance that requires enhanced income tax disclosures related to the rate reconciliation, information on income taxes paid and</w:t>
      </w:r>
    </w:p>
    <w:p>
      <w:pPr>
        <w:ind w:right="160"/>
        <w:spacing w:after="0" w:line="226" w:lineRule="auto"/>
        <w:rPr>
          <w:sz w:val="20"/>
          <w:szCs w:val="20"/>
          <w:color w:val="auto"/>
        </w:rPr>
      </w:pPr>
      <w:r>
        <w:rPr>
          <w:rFonts w:ascii="Arial" w:cs="Arial" w:eastAsia="Arial" w:hAnsi="Arial"/>
          <w:sz w:val="18"/>
          <w:szCs w:val="18"/>
          <w:color w:val="auto"/>
        </w:rPr>
        <w:t>other items. The guidance is effective for annual periods beginning after December 15, 2024. Early adoption is permitted. The standard permits both prospective and retrospective application. The Company is in the process of evaluating the impact of this new guidance on the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disclosures within its Condensed Consolidated Financial Statements.</w:t>
      </w:r>
    </w:p>
    <w:p>
      <w:pPr>
        <w:spacing w:after="0" w:line="140"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In November 2024, the FASB issued new guidance that requires disclosures about certain significant expense categories including inventory purchases, employee compensation, depreciation, amortization, and selling expenses. The guidance is effective for fiscal years beginning</w:t>
      </w:r>
    </w:p>
    <w:p>
      <w:pPr>
        <w:spacing w:after="0" w:line="235" w:lineRule="auto"/>
        <w:rPr>
          <w:sz w:val="20"/>
          <w:szCs w:val="20"/>
          <w:color w:val="auto"/>
        </w:rPr>
      </w:pPr>
      <w:r>
        <w:rPr>
          <w:rFonts w:ascii="Arial" w:cs="Arial" w:eastAsia="Arial" w:hAnsi="Arial"/>
          <w:sz w:val="18"/>
          <w:szCs w:val="18"/>
          <w:color w:val="auto"/>
        </w:rPr>
        <w:t>after December 15, 2026, and interim periods within fiscal years beginning after December 15, 2027. Early adoption is permitted. The</w:t>
      </w:r>
    </w:p>
    <w:p>
      <w:pPr>
        <w:spacing w:after="0" w:line="1" w:lineRule="exact"/>
        <w:rPr>
          <w:sz w:val="20"/>
          <w:szCs w:val="20"/>
          <w:color w:val="auto"/>
        </w:rPr>
      </w:pPr>
    </w:p>
    <w:p>
      <w:pPr>
        <w:ind w:right="400"/>
        <w:spacing w:after="0" w:line="237" w:lineRule="auto"/>
        <w:rPr>
          <w:sz w:val="20"/>
          <w:szCs w:val="20"/>
          <w:color w:val="auto"/>
        </w:rPr>
      </w:pPr>
      <w:r>
        <w:rPr>
          <w:rFonts w:ascii="Arial" w:cs="Arial" w:eastAsia="Arial" w:hAnsi="Arial"/>
          <w:sz w:val="18"/>
          <w:szCs w:val="18"/>
          <w:color w:val="auto"/>
        </w:rPr>
        <w:t>Company is in the process of evaluating the impact of this new guidance on the disclosures within its Condensed Consolidated Financial Statements.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ACQUISITIONS AND DISPOSITIONS OF BUSINESSES</w:t>
      </w:r>
    </w:p>
    <w:p>
      <w:pPr>
        <w:spacing w:after="0" w:line="158" w:lineRule="exact"/>
        <w:rPr>
          <w:sz w:val="20"/>
          <w:szCs w:val="20"/>
          <w:color w:val="auto"/>
        </w:rPr>
      </w:pPr>
    </w:p>
    <w:p>
      <w:pPr>
        <w:ind w:right="760"/>
        <w:spacing w:after="0" w:line="256" w:lineRule="auto"/>
        <w:rPr>
          <w:sz w:val="20"/>
          <w:szCs w:val="20"/>
          <w:color w:val="auto"/>
        </w:rPr>
      </w:pPr>
      <w:r>
        <w:rPr>
          <w:rFonts w:ascii="Arial" w:cs="Arial" w:eastAsia="Arial" w:hAnsi="Arial"/>
          <w:sz w:val="18"/>
          <w:szCs w:val="18"/>
          <w:b w:val="1"/>
          <w:bCs w:val="1"/>
          <w:color w:val="auto"/>
        </w:rPr>
        <w:t>Acquisitions</w:t>
      </w:r>
      <w:r>
        <w:rPr>
          <w:rFonts w:ascii="Arial" w:cs="Arial" w:eastAsia="Arial" w:hAnsi="Arial"/>
          <w:sz w:val="18"/>
          <w:szCs w:val="18"/>
          <w:color w:val="auto"/>
        </w:rPr>
        <w:t>. During 2024, the Company acquired two small businesses. The assets and liabilities of the companies acquired were</w:t>
      </w:r>
      <w:r>
        <w:rPr>
          <w:rFonts w:ascii="Arial" w:cs="Arial" w:eastAsia="Arial" w:hAnsi="Arial"/>
          <w:sz w:val="18"/>
          <w:szCs w:val="18"/>
          <w:b w:val="1"/>
          <w:bCs w:val="1"/>
          <w:color w:val="auto"/>
        </w:rPr>
        <w:t xml:space="preserve"> </w:t>
      </w:r>
      <w:r>
        <w:rPr>
          <w:rFonts w:ascii="Arial" w:cs="Arial" w:eastAsia="Arial" w:hAnsi="Arial"/>
          <w:sz w:val="18"/>
          <w:szCs w:val="18"/>
          <w:color w:val="auto"/>
        </w:rPr>
        <w:t>recorded at their estimated fair values at the date of acquisition.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In January 2024, the Company acquired one small business which is included in other businesses.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In May 2024, Kaplan acquired one small business which is included in its international division.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Acquisition-related costs for acquisitions that closed during the first three months of 2024 were expensed as incurred.</w:t>
      </w:r>
    </w:p>
    <w:p>
      <w:pPr>
        <w:spacing w:after="0" w:line="158" w:lineRule="exact"/>
        <w:rPr>
          <w:sz w:val="20"/>
          <w:szCs w:val="20"/>
          <w:color w:val="auto"/>
        </w:rPr>
      </w:pPr>
    </w:p>
    <w:p>
      <w:pPr>
        <w:ind w:right="280"/>
        <w:spacing w:after="0" w:line="256" w:lineRule="auto"/>
        <w:rPr>
          <w:sz w:val="20"/>
          <w:szCs w:val="20"/>
          <w:color w:val="auto"/>
        </w:rPr>
      </w:pPr>
      <w:r>
        <w:rPr>
          <w:rFonts w:ascii="Arial" w:cs="Arial" w:eastAsia="Arial" w:hAnsi="Arial"/>
          <w:sz w:val="18"/>
          <w:szCs w:val="18"/>
          <w:b w:val="1"/>
          <w:bCs w:val="1"/>
          <w:color w:val="auto"/>
        </w:rPr>
        <w:t xml:space="preserve">Disposition of Businesses. </w:t>
      </w:r>
      <w:r>
        <w:rPr>
          <w:rFonts w:ascii="Arial" w:cs="Arial" w:eastAsia="Arial" w:hAnsi="Arial"/>
          <w:sz w:val="18"/>
          <w:szCs w:val="18"/>
          <w:color w:val="auto"/>
        </w:rPr>
        <w:t>In March 2025, World of Good Brands (WGB) completed the sale of a small business, which was included in</w:t>
      </w:r>
      <w:r>
        <w:rPr>
          <w:rFonts w:ascii="Arial" w:cs="Arial" w:eastAsia="Arial" w:hAnsi="Arial"/>
          <w:sz w:val="18"/>
          <w:szCs w:val="18"/>
          <w:b w:val="1"/>
          <w:bCs w:val="1"/>
          <w:color w:val="auto"/>
        </w:rPr>
        <w:t xml:space="preserve"> </w:t>
      </w:r>
      <w:r>
        <w:rPr>
          <w:rFonts w:ascii="Arial" w:cs="Arial" w:eastAsia="Arial" w:hAnsi="Arial"/>
          <w:sz w:val="18"/>
          <w:szCs w:val="18"/>
          <w:color w:val="auto"/>
        </w:rPr>
        <w:t>other businesses.</w:t>
      </w:r>
    </w:p>
    <w:p>
      <w:pPr>
        <w:spacing w:after="0" w:line="112" w:lineRule="exact"/>
        <w:rPr>
          <w:sz w:val="20"/>
          <w:szCs w:val="20"/>
          <w:color w:val="auto"/>
        </w:rPr>
      </w:pPr>
    </w:p>
    <w:p>
      <w:pPr>
        <w:ind w:right="180"/>
        <w:spacing w:after="0" w:line="271" w:lineRule="auto"/>
        <w:rPr>
          <w:sz w:val="20"/>
          <w:szCs w:val="20"/>
          <w:color w:val="auto"/>
        </w:rPr>
      </w:pPr>
      <w:r>
        <w:rPr>
          <w:rFonts w:ascii="Arial" w:cs="Arial" w:eastAsia="Arial" w:hAnsi="Arial"/>
          <w:sz w:val="18"/>
          <w:szCs w:val="18"/>
          <w:color w:val="auto"/>
        </w:rPr>
        <w:t>In June and September 2024, WGB completed the sales of small businesses. In July 2024, Kaplan completed the sale of a small business, Red Marker, which was included in Kaplan International.</w:t>
      </w:r>
    </w:p>
    <w:p>
      <w:pPr>
        <w:spacing w:after="0" w:line="86" w:lineRule="exact"/>
        <w:rPr>
          <w:sz w:val="20"/>
          <w:szCs w:val="20"/>
          <w:color w:val="auto"/>
        </w:rPr>
      </w:pPr>
    </w:p>
    <w:p>
      <w:pPr>
        <w:ind w:right="80"/>
        <w:spacing w:after="0" w:line="259" w:lineRule="auto"/>
        <w:rPr>
          <w:sz w:val="20"/>
          <w:szCs w:val="20"/>
          <w:color w:val="auto"/>
        </w:rPr>
      </w:pPr>
      <w:r>
        <w:rPr>
          <w:rFonts w:ascii="Arial" w:cs="Arial" w:eastAsia="Arial" w:hAnsi="Arial"/>
          <w:sz w:val="17"/>
          <w:szCs w:val="17"/>
          <w:color w:val="auto"/>
        </w:rPr>
        <w:t>During the first quarter of 2025, Kaplan initiated the sale of a small business, BridgeU Limited (BridgeU), which is included in Kaplan International. As a result, the Company classified BridgeU’s assets and liabilities as held for sale in the Company’s Condensed Consolidated</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Balance Sheet as of March 31, 2025. The held for sale assets and liabilities consist of $1.7 million of current assets (included in Other current assets), $2.8 million of noncurrent assets (included in Deferred Charges and Other Assets), $0.6 million of current liabilities (included in</w:t>
      </w:r>
    </w:p>
    <w:p>
      <w:pPr>
        <w:spacing w:after="0" w:line="236" w:lineRule="auto"/>
        <w:rPr>
          <w:sz w:val="20"/>
          <w:szCs w:val="20"/>
          <w:color w:val="auto"/>
        </w:rPr>
      </w:pPr>
      <w:r>
        <w:rPr>
          <w:rFonts w:ascii="Arial" w:cs="Arial" w:eastAsia="Arial" w:hAnsi="Arial"/>
          <w:sz w:val="18"/>
          <w:szCs w:val="18"/>
          <w:color w:val="auto"/>
        </w:rPr>
        <w:t>Accounts payable, vehicle floor plan payable and accrued liabilities), and $2.2 million of noncurrent liabilities (included in Other Liabilities).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The sale closed in April 2025.</w:t>
      </w:r>
    </w:p>
    <w:p>
      <w:pPr>
        <w:spacing w:after="0" w:line="126" w:lineRule="exact"/>
        <w:rPr>
          <w:sz w:val="20"/>
          <w:szCs w:val="20"/>
          <w:color w:val="auto"/>
        </w:rPr>
      </w:pPr>
    </w:p>
    <w:p>
      <w:pPr>
        <w:ind w:right="540"/>
        <w:spacing w:after="0" w:line="245" w:lineRule="auto"/>
        <w:rPr>
          <w:sz w:val="20"/>
          <w:szCs w:val="20"/>
          <w:color w:val="auto"/>
        </w:rPr>
      </w:pPr>
      <w:r>
        <w:rPr>
          <w:rFonts w:ascii="Arial" w:cs="Arial" w:eastAsia="Arial" w:hAnsi="Arial"/>
          <w:sz w:val="18"/>
          <w:szCs w:val="18"/>
          <w:b w:val="1"/>
          <w:bCs w:val="1"/>
          <w:color w:val="auto"/>
        </w:rPr>
        <w:t xml:space="preserve">Other Transactions. </w:t>
      </w:r>
      <w:r>
        <w:rPr>
          <w:rFonts w:ascii="Arial" w:cs="Arial" w:eastAsia="Arial" w:hAnsi="Arial"/>
          <w:sz w:val="18"/>
          <w:szCs w:val="18"/>
          <w:color w:val="auto"/>
        </w:rPr>
        <w:t>On February 25, 2025, the Company and a group of minority shareholders entered into an agreement to settle a</w:t>
      </w:r>
      <w:r>
        <w:rPr>
          <w:rFonts w:ascii="Arial" w:cs="Arial" w:eastAsia="Arial" w:hAnsi="Arial"/>
          <w:sz w:val="18"/>
          <w:szCs w:val="18"/>
          <w:b w:val="1"/>
          <w:bCs w:val="1"/>
          <w:color w:val="auto"/>
        </w:rPr>
        <w:t xml:space="preserve"> </w:t>
      </w:r>
      <w:r>
        <w:rPr>
          <w:rFonts w:ascii="Arial" w:cs="Arial" w:eastAsia="Arial" w:hAnsi="Arial"/>
          <w:sz w:val="18"/>
          <w:szCs w:val="18"/>
          <w:color w:val="auto"/>
        </w:rPr>
        <w:t>significant portion of the mandatorily redeemable noncontrolling interest related to GHC One LLC (GHC One), including CSI Pharmacy</w:t>
      </w:r>
    </w:p>
    <w:p>
      <w:pPr>
        <w:ind w:right="540"/>
        <w:spacing w:after="0" w:line="237" w:lineRule="auto"/>
        <w:rPr>
          <w:sz w:val="20"/>
          <w:szCs w:val="20"/>
          <w:color w:val="auto"/>
        </w:rPr>
      </w:pPr>
      <w:r>
        <w:rPr>
          <w:rFonts w:ascii="Arial" w:cs="Arial" w:eastAsia="Arial" w:hAnsi="Arial"/>
          <w:sz w:val="18"/>
          <w:szCs w:val="18"/>
          <w:color w:val="auto"/>
        </w:rPr>
        <w:t>Holding Company, LLC (CSI), for a total of $205 million, which consisted of approximately $186.25 million in cash and $18.75 million in Graham Holdings Company Class B common stock.</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The settlement agreement resulted in a $66.2 million increase to the mandatorily redeemable noncontrolling interest obligation, which the</w:t>
      </w:r>
    </w:p>
    <w:p>
      <w:pPr>
        <w:spacing w:after="0" w:line="14" w:lineRule="exact"/>
        <w:rPr>
          <w:sz w:val="20"/>
          <w:szCs w:val="20"/>
          <w:color w:val="auto"/>
        </w:rPr>
      </w:pPr>
    </w:p>
    <w:p>
      <w:pPr>
        <w:ind w:right="20"/>
        <w:spacing w:after="0"/>
        <w:rPr>
          <w:sz w:val="20"/>
          <w:szCs w:val="20"/>
          <w:color w:val="auto"/>
        </w:rPr>
      </w:pPr>
      <w:r>
        <w:rPr>
          <w:rFonts w:ascii="Arial" w:cs="Arial" w:eastAsia="Arial" w:hAnsi="Arial"/>
          <w:sz w:val="17"/>
          <w:szCs w:val="17"/>
          <w:color w:val="auto"/>
        </w:rPr>
        <w:t>Company recorded as interest expense in the first quarter of 2025. The remaining mandatorily redeemable noncontrolling interest obligation related to GHC One and GHC Two LLC (GHC Two) was $20.7 million at March 31, 2025, with $8.4 million included in current liabilities due to</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the expected dissolution of GHC One by March 31, 2026.</w:t>
      </w:r>
    </w:p>
    <w:p>
      <w:pPr>
        <w:spacing w:after="0" w:line="140" w:lineRule="exact"/>
        <w:rPr>
          <w:sz w:val="20"/>
          <w:szCs w:val="20"/>
          <w:color w:val="auto"/>
        </w:rPr>
      </w:pPr>
    </w:p>
    <w:p>
      <w:pPr>
        <w:ind w:right="320"/>
        <w:spacing w:after="0" w:line="251" w:lineRule="auto"/>
        <w:rPr>
          <w:sz w:val="20"/>
          <w:szCs w:val="20"/>
          <w:color w:val="auto"/>
        </w:rPr>
      </w:pPr>
      <w:r>
        <w:rPr>
          <w:rFonts w:ascii="Arial" w:cs="Arial" w:eastAsia="Arial" w:hAnsi="Arial"/>
          <w:sz w:val="17"/>
          <w:szCs w:val="17"/>
          <w:color w:val="auto"/>
        </w:rPr>
        <w:t>In December 2024, the Company acquired some of the minority-owned shares of CSI for a total estimated amount of $2.0 million. The Company paid cash of $0.6 million and entered into a promissory note with the minority owner for the remaining $1.4 million at an interest</w:t>
      </w:r>
    </w:p>
    <w:p>
      <w:pPr>
        <w:spacing w:after="0" w:line="1" w:lineRule="exact"/>
        <w:rPr>
          <w:sz w:val="20"/>
          <w:szCs w:val="20"/>
          <w:color w:val="auto"/>
        </w:rPr>
      </w:pPr>
    </w:p>
    <w:p>
      <w:pPr>
        <w:ind w:right="60"/>
        <w:spacing w:after="0" w:line="250" w:lineRule="auto"/>
        <w:rPr>
          <w:sz w:val="20"/>
          <w:szCs w:val="20"/>
          <w:color w:val="auto"/>
        </w:rPr>
      </w:pPr>
      <w:r>
        <w:rPr>
          <w:rFonts w:ascii="Arial" w:cs="Arial" w:eastAsia="Arial" w:hAnsi="Arial"/>
          <w:sz w:val="18"/>
          <w:szCs w:val="18"/>
          <w:color w:val="auto"/>
        </w:rPr>
        <w:t>rate of 5.5% per annum. The note is included in other indebtedness (see Note 7) and is due and payable on January 31, 2026. Following the redemption, the Company owns 87.5% of CSI.</w:t>
      </w:r>
    </w:p>
    <w:p>
      <w:pPr>
        <w:spacing w:after="0" w:line="104" w:lineRule="exact"/>
        <w:rPr>
          <w:sz w:val="20"/>
          <w:szCs w:val="20"/>
          <w:color w:val="auto"/>
        </w:rPr>
      </w:pPr>
    </w:p>
    <w:p>
      <w:pPr>
        <w:ind w:right="400"/>
        <w:spacing w:after="0" w:line="259" w:lineRule="auto"/>
        <w:rPr>
          <w:sz w:val="20"/>
          <w:szCs w:val="20"/>
          <w:color w:val="auto"/>
        </w:rPr>
      </w:pPr>
      <w:r>
        <w:rPr>
          <w:rFonts w:ascii="Arial" w:cs="Arial" w:eastAsia="Arial" w:hAnsi="Arial"/>
          <w:sz w:val="17"/>
          <w:szCs w:val="17"/>
          <w:color w:val="auto"/>
        </w:rPr>
        <w:t>As of March 31, 2025, the Company holds a controlling financial interest in GHC One and GHC Two and therefore includes the assets, liabilities, results of operations and cash flows in its consolidated financial statements. GHC One acquired Clarus during 2019. GHC Two</w:t>
      </w:r>
    </w:p>
    <w:p>
      <w:pPr>
        <w:spacing w:after="0" w:line="1" w:lineRule="exact"/>
        <w:rPr>
          <w:sz w:val="20"/>
          <w:szCs w:val="20"/>
          <w:color w:val="auto"/>
        </w:rPr>
      </w:pPr>
    </w:p>
    <w:p>
      <w:pPr>
        <w:ind w:right="140"/>
        <w:spacing w:after="0" w:line="237" w:lineRule="auto"/>
        <w:rPr>
          <w:sz w:val="20"/>
          <w:szCs w:val="20"/>
          <w:color w:val="auto"/>
        </w:rPr>
      </w:pPr>
      <w:r>
        <w:rPr>
          <w:rFonts w:ascii="Arial" w:cs="Arial" w:eastAsia="Arial" w:hAnsi="Arial"/>
          <w:sz w:val="18"/>
          <w:szCs w:val="18"/>
          <w:color w:val="auto"/>
        </w:rPr>
        <w:t>acquired Impact Medical during 2021 and Skin Clique and Surpass in 2022. The Company accounts for the minority ownership of the group of senior managers in GHC One and GHC Two as a mandatorily redeemable noncontrolling interest (see Note 8).</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3. INVESTMENTS</w:t>
      </w:r>
    </w:p>
    <w:p>
      <w:pPr>
        <w:spacing w:after="0" w:line="158" w:lineRule="exact"/>
        <w:rPr>
          <w:sz w:val="20"/>
          <w:szCs w:val="20"/>
          <w:color w:val="auto"/>
        </w:rPr>
      </w:pPr>
    </w:p>
    <w:p>
      <w:pPr>
        <w:ind w:right="140"/>
        <w:spacing w:after="0" w:line="285" w:lineRule="auto"/>
        <w:rPr>
          <w:sz w:val="20"/>
          <w:szCs w:val="20"/>
          <w:color w:val="auto"/>
        </w:rPr>
      </w:pPr>
      <w:r>
        <w:rPr>
          <w:rFonts w:ascii="Arial" w:cs="Arial" w:eastAsia="Arial" w:hAnsi="Arial"/>
          <w:sz w:val="17"/>
          <w:szCs w:val="17"/>
          <w:b w:val="1"/>
          <w:bCs w:val="1"/>
          <w:color w:val="auto"/>
        </w:rPr>
        <w:t xml:space="preserve">Money Market Investments. </w:t>
      </w:r>
      <w:r>
        <w:rPr>
          <w:rFonts w:ascii="Arial" w:cs="Arial" w:eastAsia="Arial" w:hAnsi="Arial"/>
          <w:sz w:val="17"/>
          <w:szCs w:val="17"/>
          <w:color w:val="auto"/>
        </w:rPr>
        <w:t>As of March 31, 2025 and December 31, 2024, the Company had money market investments of $6.2 million</w:t>
      </w:r>
      <w:r>
        <w:rPr>
          <w:rFonts w:ascii="Arial" w:cs="Arial" w:eastAsia="Arial" w:hAnsi="Arial"/>
          <w:sz w:val="17"/>
          <w:szCs w:val="17"/>
          <w:b w:val="1"/>
          <w:bCs w:val="1"/>
          <w:color w:val="auto"/>
        </w:rPr>
        <w:t xml:space="preserve"> </w:t>
      </w:r>
      <w:r>
        <w:rPr>
          <w:rFonts w:ascii="Arial" w:cs="Arial" w:eastAsia="Arial" w:hAnsi="Arial"/>
          <w:sz w:val="17"/>
          <w:szCs w:val="17"/>
          <w:color w:val="auto"/>
        </w:rPr>
        <w:t>and $3.9 million, respectively, that are classified as cash and cash equivalents in the Company’s Condensed Consolidated Balance Sheets.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Investments in Marketable Equity Securities. </w:t>
      </w:r>
      <w:r>
        <w:rPr>
          <w:rFonts w:ascii="Arial" w:cs="Arial" w:eastAsia="Arial" w:hAnsi="Arial"/>
          <w:sz w:val="18"/>
          <w:szCs w:val="18"/>
          <w:color w:val="auto"/>
        </w:rPr>
        <w:t>Investments in marketable equity securities consist of the following: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3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As of</w:t>
            </w:r>
          </w:p>
        </w:tc>
        <w:tc>
          <w:tcPr>
            <w:tcW w:w="12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8360" w:type="dxa"/>
            <w:vAlign w:val="bottom"/>
            <w:vMerge w:val="restart"/>
          </w:tcPr>
          <w:p>
            <w:pPr>
              <w:ind w:left="20"/>
              <w:spacing w:after="0"/>
              <w:rPr>
                <w:sz w:val="20"/>
                <w:szCs w:val="20"/>
                <w:color w:val="auto"/>
              </w:rPr>
            </w:pPr>
            <w:r>
              <w:rPr>
                <w:rFonts w:ascii="Arial" w:cs="Arial" w:eastAsia="Arial" w:hAnsi="Arial"/>
                <w:sz w:val="14"/>
                <w:szCs w:val="14"/>
                <w:color w:val="auto"/>
              </w:rPr>
              <w:t>(in thousands)</w:t>
            </w:r>
          </w:p>
        </w:tc>
        <w:tc>
          <w:tcPr>
            <w:tcW w:w="220" w:type="dxa"/>
            <w:vAlign w:val="bottom"/>
          </w:tcPr>
          <w:p>
            <w:pPr>
              <w:spacing w:after="0"/>
              <w:rPr>
                <w:sz w:val="13"/>
                <w:szCs w:val="13"/>
                <w:color w:val="auto"/>
              </w:rPr>
            </w:pPr>
          </w:p>
        </w:tc>
        <w:tc>
          <w:tcPr>
            <w:tcW w:w="1200" w:type="dxa"/>
            <w:vAlign w:val="bottom"/>
          </w:tcPr>
          <w:p>
            <w:pPr>
              <w:jc w:val="right"/>
              <w:ind w:right="323"/>
              <w:spacing w:after="0" w:line="153" w:lineRule="exact"/>
              <w:rPr>
                <w:sz w:val="20"/>
                <w:szCs w:val="20"/>
                <w:color w:val="auto"/>
              </w:rPr>
            </w:pPr>
            <w:r>
              <w:rPr>
                <w:rFonts w:ascii="Arial" w:cs="Arial" w:eastAsia="Arial" w:hAnsi="Arial"/>
                <w:sz w:val="14"/>
                <w:szCs w:val="14"/>
                <w:b w:val="1"/>
                <w:bCs w:val="1"/>
                <w:color w:val="auto"/>
              </w:rPr>
              <w:t>March 31,</w:t>
            </w:r>
          </w:p>
        </w:tc>
        <w:tc>
          <w:tcPr>
            <w:tcW w:w="240" w:type="dxa"/>
            <w:vAlign w:val="bottom"/>
          </w:tcPr>
          <w:p>
            <w:pPr>
              <w:spacing w:after="0"/>
              <w:rPr>
                <w:sz w:val="13"/>
                <w:szCs w:val="13"/>
                <w:color w:val="auto"/>
              </w:rPr>
            </w:pPr>
          </w:p>
        </w:tc>
        <w:tc>
          <w:tcPr>
            <w:tcW w:w="1200" w:type="dxa"/>
            <w:vAlign w:val="bottom"/>
          </w:tcPr>
          <w:p>
            <w:pPr>
              <w:jc w:val="right"/>
              <w:ind w:right="162"/>
              <w:spacing w:after="0" w:line="153" w:lineRule="exact"/>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205"/>
        </w:trPr>
        <w:tc>
          <w:tcPr>
            <w:tcW w:w="8360" w:type="dxa"/>
            <w:vAlign w:val="bottom"/>
            <w:tcBorders>
              <w:bottom w:val="single" w:sz="8" w:color="auto"/>
            </w:tcBorders>
            <w:vMerge w:val="continue"/>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03"/>
              <w:spacing w:after="0"/>
              <w:rPr>
                <w:sz w:val="20"/>
                <w:szCs w:val="20"/>
                <w:color w:val="auto"/>
              </w:rPr>
            </w:pPr>
            <w:r>
              <w:rPr>
                <w:rFonts w:ascii="Arial" w:cs="Arial" w:eastAsia="Arial" w:hAnsi="Arial"/>
                <w:sz w:val="14"/>
                <w:szCs w:val="14"/>
                <w:b w:val="1"/>
                <w:bCs w:val="1"/>
                <w:color w:val="auto"/>
              </w:rPr>
              <w:t>2025</w:t>
            </w:r>
          </w:p>
        </w:tc>
        <w:tc>
          <w:tcPr>
            <w:tcW w:w="2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462"/>
              <w:spacing w:after="0"/>
              <w:rPr>
                <w:sz w:val="20"/>
                <w:szCs w:val="20"/>
                <w:color w:val="auto"/>
              </w:rPr>
            </w:pPr>
            <w:r>
              <w:rPr>
                <w:rFonts w:ascii="Arial" w:cs="Arial" w:eastAsia="Arial" w:hAnsi="Arial"/>
                <w:sz w:val="14"/>
                <w:szCs w:val="14"/>
                <w:color w:val="auto"/>
              </w:rPr>
              <w:t>2024</w:t>
            </w:r>
          </w:p>
        </w:tc>
        <w:tc>
          <w:tcPr>
            <w:tcW w:w="0" w:type="dxa"/>
            <w:vAlign w:val="bottom"/>
          </w:tcPr>
          <w:p>
            <w:pPr>
              <w:spacing w:after="0"/>
              <w:rPr>
                <w:sz w:val="1"/>
                <w:szCs w:val="1"/>
                <w:color w:val="auto"/>
              </w:rPr>
            </w:pPr>
          </w:p>
        </w:tc>
      </w:tr>
      <w:tr>
        <w:trPr>
          <w:trHeight w:val="223"/>
        </w:trPr>
        <w:tc>
          <w:tcPr>
            <w:tcW w:w="8360" w:type="dxa"/>
            <w:vAlign w:val="bottom"/>
          </w:tcPr>
          <w:p>
            <w:pPr>
              <w:ind w:left="20"/>
              <w:spacing w:after="0"/>
              <w:rPr>
                <w:sz w:val="20"/>
                <w:szCs w:val="20"/>
                <w:color w:val="auto"/>
              </w:rPr>
            </w:pPr>
            <w:r>
              <w:rPr>
                <w:rFonts w:ascii="Arial" w:cs="Arial" w:eastAsia="Arial" w:hAnsi="Arial"/>
                <w:sz w:val="16"/>
                <w:szCs w:val="16"/>
                <w:color w:val="auto"/>
              </w:rPr>
              <w:t>Total cost</w:t>
            </w:r>
          </w:p>
        </w:tc>
        <w:tc>
          <w:tcPr>
            <w:tcW w:w="22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200" w:type="dxa"/>
            <w:vAlign w:val="bottom"/>
          </w:tcPr>
          <w:p>
            <w:pPr>
              <w:jc w:val="right"/>
              <w:ind w:right="43"/>
              <w:spacing w:after="0"/>
              <w:rPr>
                <w:sz w:val="20"/>
                <w:szCs w:val="20"/>
                <w:color w:val="auto"/>
              </w:rPr>
            </w:pPr>
            <w:r>
              <w:rPr>
                <w:rFonts w:ascii="Arial" w:cs="Arial" w:eastAsia="Arial" w:hAnsi="Arial"/>
                <w:sz w:val="16"/>
                <w:szCs w:val="16"/>
                <w:b w:val="1"/>
                <w:bCs w:val="1"/>
                <w:color w:val="auto"/>
              </w:rPr>
              <w:t>231,976</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2"/>
              <w:spacing w:after="0"/>
              <w:rPr>
                <w:sz w:val="20"/>
                <w:szCs w:val="20"/>
                <w:color w:val="auto"/>
              </w:rPr>
            </w:pPr>
            <w:r>
              <w:rPr>
                <w:rFonts w:ascii="Arial" w:cs="Arial" w:eastAsia="Arial" w:hAnsi="Arial"/>
                <w:sz w:val="16"/>
                <w:szCs w:val="16"/>
                <w:color w:val="auto"/>
              </w:rPr>
              <w:t>227,153</w:t>
            </w:r>
          </w:p>
        </w:tc>
        <w:tc>
          <w:tcPr>
            <w:tcW w:w="0" w:type="dxa"/>
            <w:vAlign w:val="bottom"/>
          </w:tcPr>
          <w:p>
            <w:pPr>
              <w:spacing w:after="0"/>
              <w:rPr>
                <w:sz w:val="1"/>
                <w:szCs w:val="1"/>
                <w:color w:val="auto"/>
              </w:rPr>
            </w:pPr>
          </w:p>
        </w:tc>
      </w:tr>
      <w:tr>
        <w:trPr>
          <w:trHeight w:val="229"/>
        </w:trPr>
        <w:tc>
          <w:tcPr>
            <w:tcW w:w="8360" w:type="dxa"/>
            <w:vAlign w:val="bottom"/>
          </w:tcPr>
          <w:p>
            <w:pPr>
              <w:ind w:left="20"/>
              <w:spacing w:after="0"/>
              <w:rPr>
                <w:sz w:val="20"/>
                <w:szCs w:val="20"/>
                <w:color w:val="auto"/>
              </w:rPr>
            </w:pPr>
            <w:r>
              <w:rPr>
                <w:rFonts w:ascii="Arial" w:cs="Arial" w:eastAsia="Arial" w:hAnsi="Arial"/>
                <w:sz w:val="16"/>
                <w:szCs w:val="16"/>
                <w:color w:val="auto"/>
              </w:rPr>
              <w:t>Gross unrealized gains</w:t>
            </w:r>
          </w:p>
        </w:tc>
        <w:tc>
          <w:tcPr>
            <w:tcW w:w="220" w:type="dxa"/>
            <w:vAlign w:val="bottom"/>
          </w:tcPr>
          <w:p>
            <w:pPr>
              <w:spacing w:after="0"/>
              <w:rPr>
                <w:sz w:val="19"/>
                <w:szCs w:val="19"/>
                <w:color w:val="auto"/>
              </w:rPr>
            </w:pPr>
          </w:p>
        </w:tc>
        <w:tc>
          <w:tcPr>
            <w:tcW w:w="1200" w:type="dxa"/>
            <w:vAlign w:val="bottom"/>
          </w:tcPr>
          <w:p>
            <w:pPr>
              <w:jc w:val="right"/>
              <w:ind w:right="43"/>
              <w:spacing w:after="0"/>
              <w:rPr>
                <w:sz w:val="20"/>
                <w:szCs w:val="20"/>
                <w:color w:val="auto"/>
              </w:rPr>
            </w:pPr>
            <w:r>
              <w:rPr>
                <w:rFonts w:ascii="Arial" w:cs="Arial" w:eastAsia="Arial" w:hAnsi="Arial"/>
                <w:sz w:val="16"/>
                <w:szCs w:val="16"/>
                <w:b w:val="1"/>
                <w:bCs w:val="1"/>
                <w:color w:val="auto"/>
              </w:rPr>
              <w:t>684,754</w:t>
            </w:r>
          </w:p>
        </w:tc>
        <w:tc>
          <w:tcPr>
            <w:tcW w:w="240" w:type="dxa"/>
            <w:vAlign w:val="bottom"/>
          </w:tcPr>
          <w:p>
            <w:pPr>
              <w:spacing w:after="0"/>
              <w:rPr>
                <w:sz w:val="19"/>
                <w:szCs w:val="19"/>
                <w:color w:val="auto"/>
              </w:rPr>
            </w:pPr>
          </w:p>
        </w:tc>
        <w:tc>
          <w:tcPr>
            <w:tcW w:w="1200" w:type="dxa"/>
            <w:vAlign w:val="bottom"/>
          </w:tcPr>
          <w:p>
            <w:pPr>
              <w:jc w:val="right"/>
              <w:ind w:right="2"/>
              <w:spacing w:after="0"/>
              <w:rPr>
                <w:sz w:val="20"/>
                <w:szCs w:val="20"/>
                <w:color w:val="auto"/>
              </w:rPr>
            </w:pPr>
            <w:r>
              <w:rPr>
                <w:rFonts w:ascii="Arial" w:cs="Arial" w:eastAsia="Arial" w:hAnsi="Arial"/>
                <w:sz w:val="16"/>
                <w:szCs w:val="16"/>
                <w:color w:val="auto"/>
              </w:rPr>
              <w:t>627,760</w:t>
            </w:r>
          </w:p>
        </w:tc>
        <w:tc>
          <w:tcPr>
            <w:tcW w:w="0" w:type="dxa"/>
            <w:vAlign w:val="bottom"/>
          </w:tcPr>
          <w:p>
            <w:pPr>
              <w:spacing w:after="0"/>
              <w:rPr>
                <w:sz w:val="1"/>
                <w:szCs w:val="1"/>
                <w:color w:val="auto"/>
              </w:rPr>
            </w:pPr>
          </w:p>
        </w:tc>
      </w:tr>
      <w:tr>
        <w:trPr>
          <w:trHeight w:val="233"/>
        </w:trPr>
        <w:tc>
          <w:tcPr>
            <w:tcW w:w="8360" w:type="dxa"/>
            <w:vAlign w:val="bottom"/>
          </w:tcPr>
          <w:p>
            <w:pPr>
              <w:ind w:left="20"/>
              <w:spacing w:after="0"/>
              <w:rPr>
                <w:sz w:val="20"/>
                <w:szCs w:val="20"/>
                <w:color w:val="auto"/>
              </w:rPr>
            </w:pPr>
            <w:r>
              <w:rPr>
                <w:rFonts w:ascii="Arial" w:cs="Arial" w:eastAsia="Arial" w:hAnsi="Arial"/>
                <w:sz w:val="16"/>
                <w:szCs w:val="16"/>
                <w:color w:val="auto"/>
              </w:rPr>
              <w:t>Gross unrealized losses</w:t>
            </w:r>
          </w:p>
        </w:tc>
        <w:tc>
          <w:tcPr>
            <w:tcW w:w="2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b w:val="1"/>
                <w:bCs w:val="1"/>
                <w:color w:val="auto"/>
              </w:rPr>
              <w:t>(15,671)</w:t>
            </w:r>
          </w:p>
        </w:tc>
        <w:tc>
          <w:tcPr>
            <w:tcW w:w="2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(2,479)</w:t>
            </w:r>
          </w:p>
        </w:tc>
        <w:tc>
          <w:tcPr>
            <w:tcW w:w="0" w:type="dxa"/>
            <w:vAlign w:val="bottom"/>
          </w:tcPr>
          <w:p>
            <w:pPr>
              <w:spacing w:after="0"/>
              <w:rPr>
                <w:sz w:val="1"/>
                <w:szCs w:val="1"/>
                <w:color w:val="auto"/>
              </w:rPr>
            </w:pPr>
          </w:p>
        </w:tc>
      </w:tr>
      <w:tr>
        <w:trPr>
          <w:trHeight w:val="227"/>
        </w:trPr>
        <w:tc>
          <w:tcPr>
            <w:tcW w:w="8360" w:type="dxa"/>
            <w:vAlign w:val="bottom"/>
          </w:tcPr>
          <w:p>
            <w:pPr>
              <w:ind w:left="20"/>
              <w:spacing w:after="0"/>
              <w:rPr>
                <w:sz w:val="20"/>
                <w:szCs w:val="20"/>
                <w:color w:val="auto"/>
              </w:rPr>
            </w:pPr>
            <w:r>
              <w:rPr>
                <w:rFonts w:ascii="Arial" w:cs="Arial" w:eastAsia="Arial" w:hAnsi="Arial"/>
                <w:sz w:val="16"/>
                <w:szCs w:val="16"/>
                <w:b w:val="1"/>
                <w:bCs w:val="1"/>
                <w:color w:val="auto"/>
              </w:rPr>
              <w:t>Total Fair Value</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20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b w:val="1"/>
                <w:bCs w:val="1"/>
                <w:color w:val="auto"/>
              </w:rPr>
              <w:t>901,059</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852,434</w:t>
            </w:r>
          </w:p>
        </w:tc>
        <w:tc>
          <w:tcPr>
            <w:tcW w:w="0" w:type="dxa"/>
            <w:vAlign w:val="bottom"/>
          </w:tcPr>
          <w:p>
            <w:pPr>
              <w:spacing w:after="0"/>
              <w:rPr>
                <w:sz w:val="1"/>
                <w:szCs w:val="1"/>
                <w:color w:val="auto"/>
              </w:rPr>
            </w:pPr>
          </w:p>
        </w:tc>
      </w:tr>
      <w:tr>
        <w:trPr>
          <w:trHeight w:val="21"/>
        </w:trPr>
        <w:tc>
          <w:tcPr>
            <w:tcW w:w="83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jc w:val="both"/>
        <w:ind w:right="100"/>
        <w:spacing w:after="0" w:line="259" w:lineRule="auto"/>
        <w:rPr>
          <w:sz w:val="20"/>
          <w:szCs w:val="20"/>
          <w:color w:val="auto"/>
        </w:rPr>
      </w:pPr>
      <w:r>
        <w:rPr>
          <w:rFonts w:ascii="Arial" w:cs="Arial" w:eastAsia="Arial" w:hAnsi="Arial"/>
          <w:sz w:val="17"/>
          <w:szCs w:val="17"/>
          <w:color w:val="auto"/>
        </w:rPr>
        <w:t>At March 31, 2025 and December 31, 2024, the Company owned 55,430 shares in Markel Group Inc. (Markel) valued at $103.6 million and $95.7 million, respectively. The Chief Executive Officer of Markel, Mr. Thomas S. Gayner, is a member of the Company’s Board of Directors.</w:t>
      </w:r>
    </w:p>
    <w:p>
      <w:pPr>
        <w:spacing w:after="0" w:line="1"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As of March 31, 2025, the Company owned 422 Class A and 482,945 Class B shares in Berkshire Hathaway valued at $594.1 million, which exceeded 5% of the Company’s total assets.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The Company purchased $4.8 million of marketable equity securities during the first three months of 2025. There were no purchases of</w:t>
      </w:r>
    </w:p>
    <w:p>
      <w:pPr>
        <w:spacing w:after="0" w:line="14" w:lineRule="exact"/>
        <w:rPr>
          <w:sz w:val="20"/>
          <w:szCs w:val="20"/>
          <w:color w:val="auto"/>
        </w:rPr>
      </w:pPr>
    </w:p>
    <w:p>
      <w:pPr>
        <w:ind w:right="180"/>
        <w:spacing w:after="0" w:line="237" w:lineRule="auto"/>
        <w:rPr>
          <w:sz w:val="20"/>
          <w:szCs w:val="20"/>
          <w:color w:val="auto"/>
        </w:rPr>
      </w:pPr>
      <w:r>
        <w:rPr>
          <w:rFonts w:ascii="Arial" w:cs="Arial" w:eastAsia="Arial" w:hAnsi="Arial"/>
          <w:sz w:val="18"/>
          <w:szCs w:val="18"/>
          <w:color w:val="auto"/>
        </w:rPr>
        <w:t>marketable equity securities during the first three months of 2024. There were no sales of marketable equity securities during the first three months of 2025 and 2024.</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Investments in Affiliates. </w:t>
      </w:r>
      <w:r>
        <w:rPr>
          <w:rFonts w:ascii="Arial" w:cs="Arial" w:eastAsia="Arial" w:hAnsi="Arial"/>
          <w:sz w:val="18"/>
          <w:szCs w:val="18"/>
          <w:color w:val="auto"/>
        </w:rPr>
        <w:t>As of March 31, 2025, the Company’ healthcare subsidiary held investments in several other affiliates that</w:t>
      </w:r>
    </w:p>
    <w:p>
      <w:pPr>
        <w:spacing w:after="0" w:line="14" w:lineRule="exact"/>
        <w:rPr>
          <w:sz w:val="20"/>
          <w:szCs w:val="20"/>
          <w:color w:val="auto"/>
        </w:rPr>
      </w:pPr>
    </w:p>
    <w:p>
      <w:pPr>
        <w:ind w:right="300"/>
        <w:spacing w:after="0"/>
        <w:rPr>
          <w:sz w:val="20"/>
          <w:szCs w:val="20"/>
          <w:color w:val="auto"/>
        </w:rPr>
      </w:pPr>
      <w:r>
        <w:rPr>
          <w:rFonts w:ascii="Arial" w:cs="Arial" w:eastAsia="Arial" w:hAnsi="Arial"/>
          <w:sz w:val="17"/>
          <w:szCs w:val="17"/>
          <w:color w:val="auto"/>
        </w:rPr>
        <w:t>Graham Healthcare Group (GHG) actively manages; GHG held a 40% interest in each of the following affiliates: Residential Home Health Illinois, Residential Hospice Illinois, Mary Free Bed at Home, and Allegheny Health Network Healthcare at Home. For the three months</w:t>
      </w:r>
    </w:p>
    <w:p>
      <w:pPr>
        <w:spacing w:after="0" w:line="1" w:lineRule="exact"/>
        <w:rPr>
          <w:sz w:val="20"/>
          <w:szCs w:val="20"/>
          <w:color w:val="auto"/>
        </w:rPr>
      </w:pPr>
    </w:p>
    <w:p>
      <w:pPr>
        <w:ind w:right="220"/>
        <w:spacing w:after="0" w:line="250" w:lineRule="auto"/>
        <w:rPr>
          <w:sz w:val="20"/>
          <w:szCs w:val="20"/>
          <w:color w:val="auto"/>
        </w:rPr>
      </w:pPr>
      <w:r>
        <w:rPr>
          <w:rFonts w:ascii="Arial" w:cs="Arial" w:eastAsia="Arial" w:hAnsi="Arial"/>
          <w:sz w:val="18"/>
          <w:szCs w:val="18"/>
          <w:color w:val="auto"/>
        </w:rPr>
        <w:t>ended March 31, 2025 and 2024, the Company recorded $3.8 million and $4.1 million, respectively, in revenue for services provided to the affiliates of GHG.</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2025, the Company held an approximate 18% interest in Intersection Holdings, LLC (Intersection), and accounts for its</w:t>
      </w:r>
    </w:p>
    <w:p>
      <w:pPr>
        <w:spacing w:after="0" w:line="14" w:lineRule="exact"/>
        <w:rPr>
          <w:sz w:val="20"/>
          <w:szCs w:val="20"/>
          <w:color w:val="auto"/>
        </w:rPr>
      </w:pPr>
    </w:p>
    <w:p>
      <w:pPr>
        <w:ind w:right="140"/>
        <w:spacing w:after="0" w:line="226" w:lineRule="auto"/>
        <w:rPr>
          <w:sz w:val="20"/>
          <w:szCs w:val="20"/>
          <w:color w:val="auto"/>
        </w:rPr>
      </w:pPr>
      <w:r>
        <w:rPr>
          <w:rFonts w:ascii="Arial" w:cs="Arial" w:eastAsia="Arial" w:hAnsi="Arial"/>
          <w:sz w:val="18"/>
          <w:szCs w:val="18"/>
          <w:color w:val="auto"/>
        </w:rPr>
        <w:t>investment under the equity method. The Company holds two of the ten seats of Intersection’s governing board, which allows the Company to exercise significant influence over Intersection. In April 2023, the Company loaned Intersection $30.0 million, which is repayable over 5</w:t>
      </w:r>
    </w:p>
    <w:p>
      <w:pPr>
        <w:spacing w:after="0" w:line="2" w:lineRule="exact"/>
        <w:rPr>
          <w:sz w:val="20"/>
          <w:szCs w:val="20"/>
          <w:color w:val="auto"/>
        </w:rPr>
      </w:pPr>
    </w:p>
    <w:p>
      <w:pPr>
        <w:ind w:right="720"/>
        <w:spacing w:after="0" w:line="250" w:lineRule="auto"/>
        <w:rPr>
          <w:sz w:val="20"/>
          <w:szCs w:val="20"/>
          <w:color w:val="auto"/>
        </w:rPr>
      </w:pPr>
      <w:r>
        <w:rPr>
          <w:rFonts w:ascii="Arial" w:cs="Arial" w:eastAsia="Arial" w:hAnsi="Arial"/>
          <w:sz w:val="18"/>
          <w:szCs w:val="18"/>
          <w:color w:val="auto"/>
        </w:rPr>
        <w:t>years at an interest rate of 9% per annum. The outstanding balance on this loan was $24.7 million as of March 31, 2025. The loan is repayable by May 2028.</w:t>
      </w:r>
    </w:p>
    <w:p>
      <w:pPr>
        <w:spacing w:after="0" w:line="104" w:lineRule="exact"/>
        <w:rPr>
          <w:sz w:val="20"/>
          <w:szCs w:val="20"/>
          <w:color w:val="auto"/>
        </w:rPr>
      </w:pPr>
    </w:p>
    <w:p>
      <w:pPr>
        <w:ind w:right="60"/>
        <w:spacing w:after="0" w:line="259" w:lineRule="auto"/>
        <w:rPr>
          <w:sz w:val="20"/>
          <w:szCs w:val="20"/>
          <w:color w:val="auto"/>
        </w:rPr>
      </w:pPr>
      <w:r>
        <w:rPr>
          <w:rFonts w:ascii="Arial" w:cs="Arial" w:eastAsia="Arial" w:hAnsi="Arial"/>
          <w:sz w:val="17"/>
          <w:szCs w:val="17"/>
          <w:color w:val="auto"/>
        </w:rPr>
        <w:t>As of March 31, 2025, the Company held a 50.4% and 41.4% interest in N2K Networks and Realm, respectively, on a fully diluted basis, and accounts for these investments under the equity method. The Company holds two of the five seats of N2K Networks’ governing board with</w:t>
      </w:r>
    </w:p>
    <w:p>
      <w:pPr>
        <w:spacing w:after="0" w:line="1" w:lineRule="exact"/>
        <w:rPr>
          <w:sz w:val="20"/>
          <w:szCs w:val="20"/>
          <w:color w:val="auto"/>
        </w:rPr>
      </w:pPr>
    </w:p>
    <w:p>
      <w:pPr>
        <w:ind w:right="240"/>
        <w:spacing w:after="0" w:line="226" w:lineRule="auto"/>
        <w:rPr>
          <w:sz w:val="20"/>
          <w:szCs w:val="20"/>
          <w:color w:val="auto"/>
        </w:rPr>
      </w:pPr>
      <w:r>
        <w:rPr>
          <w:rFonts w:ascii="Arial" w:cs="Arial" w:eastAsia="Arial" w:hAnsi="Arial"/>
          <w:sz w:val="18"/>
          <w:szCs w:val="18"/>
          <w:color w:val="auto"/>
        </w:rPr>
        <w:t>the other shareholders retaining substantive participation rights to control the financial and operating decisions of N2K Networks through representation on the board. In May 2024, the Company entered into a convertible promissory note agreement to loan N2K Networks $2.0</w:t>
      </w:r>
    </w:p>
    <w:p>
      <w:pPr>
        <w:spacing w:after="0" w:line="2" w:lineRule="exact"/>
        <w:rPr>
          <w:sz w:val="20"/>
          <w:szCs w:val="20"/>
          <w:color w:val="auto"/>
        </w:rPr>
      </w:pPr>
    </w:p>
    <w:p>
      <w:pPr>
        <w:ind w:right="160"/>
        <w:spacing w:after="0" w:line="250" w:lineRule="auto"/>
        <w:rPr>
          <w:sz w:val="20"/>
          <w:szCs w:val="20"/>
          <w:color w:val="auto"/>
        </w:rPr>
      </w:pPr>
      <w:r>
        <w:rPr>
          <w:rFonts w:ascii="Arial" w:cs="Arial" w:eastAsia="Arial" w:hAnsi="Arial"/>
          <w:sz w:val="18"/>
          <w:szCs w:val="18"/>
          <w:color w:val="auto"/>
        </w:rPr>
        <w:t>million. The convertible promissory note bears interest at a rate of 12% per annum and, subject to conversion provisions, all unpaid interest and principal are due by May 2027.</w:t>
      </w:r>
    </w:p>
    <w:p>
      <w:pPr>
        <w:spacing w:after="0" w:line="104" w:lineRule="exact"/>
        <w:rPr>
          <w:sz w:val="20"/>
          <w:szCs w:val="20"/>
          <w:color w:val="auto"/>
        </w:rPr>
      </w:pPr>
    </w:p>
    <w:p>
      <w:pPr>
        <w:ind w:right="960"/>
        <w:spacing w:after="0" w:line="271" w:lineRule="auto"/>
        <w:rPr>
          <w:sz w:val="20"/>
          <w:szCs w:val="20"/>
          <w:color w:val="auto"/>
        </w:rPr>
      </w:pPr>
      <w:r>
        <w:rPr>
          <w:rFonts w:ascii="Arial" w:cs="Arial" w:eastAsia="Arial" w:hAnsi="Arial"/>
          <w:sz w:val="18"/>
          <w:szCs w:val="18"/>
          <w:color w:val="auto"/>
        </w:rPr>
        <w:t>The Company had $27.7 million and $38.0 million in its investment account that represents cumulative undistributed income in its investments in affiliates as of March 31, 2025 and December 31, 2024, respectively.</w:t>
      </w:r>
    </w:p>
    <w:p>
      <w:pPr>
        <w:spacing w:after="0" w:line="100" w:lineRule="exact"/>
        <w:rPr>
          <w:sz w:val="20"/>
          <w:szCs w:val="20"/>
          <w:color w:val="auto"/>
        </w:rPr>
      </w:pPr>
    </w:p>
    <w:p>
      <w:pPr>
        <w:ind w:right="180"/>
        <w:spacing w:after="0" w:line="251" w:lineRule="auto"/>
        <w:rPr>
          <w:sz w:val="20"/>
          <w:szCs w:val="20"/>
          <w:color w:val="auto"/>
        </w:rPr>
      </w:pPr>
      <w:r>
        <w:rPr>
          <w:rFonts w:ascii="Arial" w:cs="Arial" w:eastAsia="Arial" w:hAnsi="Arial"/>
          <w:sz w:val="17"/>
          <w:szCs w:val="17"/>
          <w:color w:val="auto"/>
        </w:rPr>
        <w:t>Additionally, Kaplan International Holdings Limited (KIHL) held a 45% interest in a joint venture formed with University of York. KIHL loaned the joint venture £22 million, which is repayable over 25 years at an interest rate of 7% and guaranteed by the University of York. The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outstanding balance on this loan was £19.3 million as of March 31, 2025. The loan is repayable by December 2041.</w:t>
      </w:r>
    </w:p>
    <w:p>
      <w:pPr>
        <w:spacing w:after="0" w:line="140"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b w:val="1"/>
          <w:bCs w:val="1"/>
          <w:color w:val="auto"/>
        </w:rPr>
        <w:t xml:space="preserve">Cost Method Investments. </w:t>
      </w:r>
      <w:r>
        <w:rPr>
          <w:rFonts w:ascii="Arial" w:cs="Arial" w:eastAsia="Arial" w:hAnsi="Arial"/>
          <w:sz w:val="18"/>
          <w:szCs w:val="18"/>
          <w:color w:val="auto"/>
        </w:rPr>
        <w:t>The Company held investments without readily determinable fair values in a number of equity securities that are</w:t>
      </w:r>
      <w:r>
        <w:rPr>
          <w:rFonts w:ascii="Arial" w:cs="Arial" w:eastAsia="Arial" w:hAnsi="Arial"/>
          <w:sz w:val="18"/>
          <w:szCs w:val="18"/>
          <w:b w:val="1"/>
          <w:bCs w:val="1"/>
          <w:color w:val="auto"/>
        </w:rPr>
        <w:t xml:space="preserve"> </w:t>
      </w:r>
      <w:r>
        <w:rPr>
          <w:rFonts w:ascii="Arial" w:cs="Arial" w:eastAsia="Arial" w:hAnsi="Arial"/>
          <w:sz w:val="18"/>
          <w:szCs w:val="18"/>
          <w:color w:val="auto"/>
        </w:rPr>
        <w:t>accounted for as cost method investments, which are recorded at cost, less impairment, and adjusted for observable price changes for</w:t>
      </w:r>
    </w:p>
    <w:p>
      <w:pPr>
        <w:spacing w:after="0" w:line="235" w:lineRule="auto"/>
        <w:rPr>
          <w:sz w:val="20"/>
          <w:szCs w:val="20"/>
          <w:color w:val="auto"/>
        </w:rPr>
      </w:pPr>
      <w:r>
        <w:rPr>
          <w:rFonts w:ascii="Arial" w:cs="Arial" w:eastAsia="Arial" w:hAnsi="Arial"/>
          <w:sz w:val="18"/>
          <w:szCs w:val="18"/>
          <w:color w:val="auto"/>
        </w:rPr>
        <w:t>identical or similar investments of the same issuer. The carrying value of these investments was $75.0 million and $74.8 million as of</w:t>
      </w:r>
    </w:p>
    <w:p>
      <w:pPr>
        <w:spacing w:after="0" w:line="1" w:lineRule="exact"/>
        <w:rPr>
          <w:sz w:val="20"/>
          <w:szCs w:val="20"/>
          <w:color w:val="auto"/>
        </w:rPr>
      </w:pPr>
    </w:p>
    <w:p>
      <w:pPr>
        <w:ind w:right="200"/>
        <w:spacing w:after="0" w:line="237" w:lineRule="auto"/>
        <w:rPr>
          <w:sz w:val="20"/>
          <w:szCs w:val="20"/>
          <w:color w:val="auto"/>
        </w:rPr>
      </w:pPr>
      <w:r>
        <w:rPr>
          <w:rFonts w:ascii="Arial" w:cs="Arial" w:eastAsia="Arial" w:hAnsi="Arial"/>
          <w:sz w:val="18"/>
          <w:szCs w:val="18"/>
          <w:color w:val="auto"/>
        </w:rPr>
        <w:t>March 31, 2025 and December 31, 2024, respectively. During the three months ended March 31, 2024, the Company recorded impairment losses of $0.4 million to equity securities that are accounted for as cost method investments.</w:t>
      </w: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39" w:right="359" w:bottom="1440" w:gutter="0" w:footer="0" w:header="0"/>
        </w:sectPr>
      </w:pPr>
    </w:p>
    <w:bookmarkStart w:id="10" w:name="page11"/>
    <w:bookmarkEnd w:id="10"/>
    <w:p>
      <w:pPr>
        <w:ind w:right="1400"/>
        <w:spacing w:after="0" w:line="451" w:lineRule="auto"/>
        <w:rPr>
          <w:sz w:val="20"/>
          <w:szCs w:val="20"/>
          <w:color w:val="auto"/>
        </w:rPr>
      </w:pPr>
      <w:r>
        <w:rPr>
          <w:rFonts w:ascii="Arial" w:cs="Arial" w:eastAsia="Arial" w:hAnsi="Arial"/>
          <w:sz w:val="18"/>
          <w:szCs w:val="18"/>
          <w:b w:val="1"/>
          <w:bCs w:val="1"/>
          <w:color w:val="auto"/>
        </w:rPr>
        <w:t xml:space="preserve">4. ACCOUNTS RECEIVABLE, ACCOUNTS PAYABLE, VEHICLE FLOOR PLAN PAYABLE AND ACCRUED LIABILITIES </w:t>
      </w:r>
      <w:r>
        <w:rPr>
          <w:rFonts w:ascii="Arial" w:cs="Arial" w:eastAsia="Arial" w:hAnsi="Arial"/>
          <w:sz w:val="18"/>
          <w:szCs w:val="18"/>
          <w:color w:val="auto"/>
        </w:rPr>
        <w:t>Accounts receivable consist of the following:</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4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As of</w:t>
            </w:r>
          </w:p>
        </w:tc>
        <w:tc>
          <w:tcPr>
            <w:tcW w:w="11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8480" w:type="dxa"/>
            <w:vAlign w:val="bottom"/>
            <w:vMerge w:val="restart"/>
          </w:tcPr>
          <w:p>
            <w:pPr>
              <w:ind w:left="20"/>
              <w:spacing w:after="0"/>
              <w:rPr>
                <w:sz w:val="20"/>
                <w:szCs w:val="20"/>
                <w:color w:val="auto"/>
              </w:rPr>
            </w:pPr>
            <w:r>
              <w:rPr>
                <w:rFonts w:ascii="Arial" w:cs="Arial" w:eastAsia="Arial" w:hAnsi="Arial"/>
                <w:sz w:val="14"/>
                <w:szCs w:val="14"/>
                <w:color w:val="auto"/>
              </w:rPr>
              <w:t>(in thousands)</w:t>
            </w:r>
          </w:p>
        </w:tc>
        <w:tc>
          <w:tcPr>
            <w:tcW w:w="220" w:type="dxa"/>
            <w:vAlign w:val="bottom"/>
          </w:tcPr>
          <w:p>
            <w:pPr>
              <w:spacing w:after="0"/>
              <w:rPr>
                <w:sz w:val="14"/>
                <w:szCs w:val="14"/>
                <w:color w:val="auto"/>
              </w:rPr>
            </w:pPr>
          </w:p>
        </w:tc>
        <w:tc>
          <w:tcPr>
            <w:tcW w:w="1180" w:type="dxa"/>
            <w:vAlign w:val="bottom"/>
          </w:tcPr>
          <w:p>
            <w:pPr>
              <w:jc w:val="right"/>
              <w:ind w:right="304"/>
              <w:spacing w:after="0"/>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4"/>
                <w:szCs w:val="14"/>
                <w:color w:val="auto"/>
              </w:rPr>
            </w:pPr>
          </w:p>
        </w:tc>
        <w:tc>
          <w:tcPr>
            <w:tcW w:w="1140" w:type="dxa"/>
            <w:vAlign w:val="bottom"/>
          </w:tcPr>
          <w:p>
            <w:pPr>
              <w:jc w:val="right"/>
              <w:ind w:right="103"/>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97"/>
        </w:trPr>
        <w:tc>
          <w:tcPr>
            <w:tcW w:w="8480" w:type="dxa"/>
            <w:vAlign w:val="bottom"/>
            <w:tcBorders>
              <w:bottom w:val="single" w:sz="8" w:color="auto"/>
            </w:tcBorders>
            <w:vMerge w:val="continue"/>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84"/>
              <w:spacing w:after="0"/>
              <w:rPr>
                <w:sz w:val="20"/>
                <w:szCs w:val="20"/>
                <w:color w:val="auto"/>
              </w:rPr>
            </w:pPr>
            <w:r>
              <w:rPr>
                <w:rFonts w:ascii="Arial" w:cs="Arial" w:eastAsia="Arial" w:hAnsi="Arial"/>
                <w:sz w:val="14"/>
                <w:szCs w:val="14"/>
                <w:b w:val="1"/>
                <w:bCs w:val="1"/>
                <w:color w:val="auto"/>
              </w:rPr>
              <w:t>2025</w:t>
            </w:r>
          </w:p>
        </w:tc>
        <w:tc>
          <w:tcPr>
            <w:tcW w:w="2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03"/>
              <w:spacing w:after="0"/>
              <w:rPr>
                <w:sz w:val="20"/>
                <w:szCs w:val="20"/>
                <w:color w:val="auto"/>
              </w:rPr>
            </w:pPr>
            <w:r>
              <w:rPr>
                <w:rFonts w:ascii="Arial" w:cs="Arial" w:eastAsia="Arial" w:hAnsi="Arial"/>
                <w:sz w:val="14"/>
                <w:szCs w:val="14"/>
                <w:color w:val="auto"/>
              </w:rPr>
              <w:t>2024</w:t>
            </w:r>
          </w:p>
        </w:tc>
        <w:tc>
          <w:tcPr>
            <w:tcW w:w="0" w:type="dxa"/>
            <w:vAlign w:val="bottom"/>
          </w:tcPr>
          <w:p>
            <w:pPr>
              <w:spacing w:after="0"/>
              <w:rPr>
                <w:sz w:val="1"/>
                <w:szCs w:val="1"/>
                <w:color w:val="auto"/>
              </w:rPr>
            </w:pPr>
          </w:p>
        </w:tc>
      </w:tr>
      <w:tr>
        <w:trPr>
          <w:trHeight w:val="217"/>
        </w:trPr>
        <w:tc>
          <w:tcPr>
            <w:tcW w:w="8480" w:type="dxa"/>
            <w:vAlign w:val="bottom"/>
          </w:tcPr>
          <w:p>
            <w:pPr>
              <w:ind w:left="20"/>
              <w:spacing w:after="0"/>
              <w:rPr>
                <w:sz w:val="20"/>
                <w:szCs w:val="20"/>
                <w:color w:val="auto"/>
              </w:rPr>
            </w:pPr>
            <w:r>
              <w:rPr>
                <w:rFonts w:ascii="Arial" w:cs="Arial" w:eastAsia="Arial" w:hAnsi="Arial"/>
                <w:sz w:val="16"/>
                <w:szCs w:val="16"/>
                <w:color w:val="auto"/>
              </w:rPr>
              <w:t>Receivables from contracts with customers, less estimated credit losses of $24,071 and $23,719</w:t>
            </w:r>
          </w:p>
        </w:tc>
        <w:tc>
          <w:tcPr>
            <w:tcW w:w="22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180" w:type="dxa"/>
            <w:vAlign w:val="bottom"/>
          </w:tcPr>
          <w:p>
            <w:pPr>
              <w:jc w:val="right"/>
              <w:ind w:right="24"/>
              <w:spacing w:after="0"/>
              <w:rPr>
                <w:sz w:val="20"/>
                <w:szCs w:val="20"/>
                <w:color w:val="auto"/>
              </w:rPr>
            </w:pPr>
            <w:r>
              <w:rPr>
                <w:rFonts w:ascii="Arial" w:cs="Arial" w:eastAsia="Arial" w:hAnsi="Arial"/>
                <w:sz w:val="16"/>
                <w:szCs w:val="16"/>
                <w:b w:val="1"/>
                <w:bCs w:val="1"/>
                <w:color w:val="auto"/>
              </w:rPr>
              <w:t>459,648</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3"/>
              <w:spacing w:after="0"/>
              <w:rPr>
                <w:sz w:val="20"/>
                <w:szCs w:val="20"/>
                <w:color w:val="auto"/>
              </w:rPr>
            </w:pPr>
            <w:r>
              <w:rPr>
                <w:rFonts w:ascii="Arial" w:cs="Arial" w:eastAsia="Arial" w:hAnsi="Arial"/>
                <w:sz w:val="16"/>
                <w:szCs w:val="16"/>
                <w:color w:val="auto"/>
              </w:rPr>
              <w:t>477,827</w:t>
            </w:r>
          </w:p>
        </w:tc>
        <w:tc>
          <w:tcPr>
            <w:tcW w:w="0" w:type="dxa"/>
            <w:vAlign w:val="bottom"/>
          </w:tcPr>
          <w:p>
            <w:pPr>
              <w:spacing w:after="0"/>
              <w:rPr>
                <w:sz w:val="1"/>
                <w:szCs w:val="1"/>
                <w:color w:val="auto"/>
              </w:rPr>
            </w:pPr>
          </w:p>
        </w:tc>
      </w:tr>
      <w:tr>
        <w:trPr>
          <w:trHeight w:val="233"/>
        </w:trPr>
        <w:tc>
          <w:tcPr>
            <w:tcW w:w="8480" w:type="dxa"/>
            <w:vAlign w:val="bottom"/>
          </w:tcPr>
          <w:p>
            <w:pPr>
              <w:ind w:left="20"/>
              <w:spacing w:after="0"/>
              <w:rPr>
                <w:sz w:val="20"/>
                <w:szCs w:val="20"/>
                <w:color w:val="auto"/>
              </w:rPr>
            </w:pPr>
            <w:r>
              <w:rPr>
                <w:rFonts w:ascii="Arial" w:cs="Arial" w:eastAsia="Arial" w:hAnsi="Arial"/>
                <w:sz w:val="16"/>
                <w:szCs w:val="16"/>
                <w:color w:val="auto"/>
              </w:rPr>
              <w:t>Other receivables</w:t>
            </w:r>
          </w:p>
        </w:tc>
        <w:tc>
          <w:tcPr>
            <w:tcW w:w="2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24"/>
              <w:spacing w:after="0"/>
              <w:rPr>
                <w:sz w:val="20"/>
                <w:szCs w:val="20"/>
                <w:color w:val="auto"/>
              </w:rPr>
            </w:pPr>
            <w:r>
              <w:rPr>
                <w:rFonts w:ascii="Arial" w:cs="Arial" w:eastAsia="Arial" w:hAnsi="Arial"/>
                <w:sz w:val="16"/>
                <w:szCs w:val="16"/>
                <w:b w:val="1"/>
                <w:bCs w:val="1"/>
                <w:color w:val="auto"/>
              </w:rPr>
              <w:t>40,020</w:t>
            </w:r>
          </w:p>
        </w:tc>
        <w:tc>
          <w:tcPr>
            <w:tcW w:w="2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36,599</w:t>
            </w:r>
          </w:p>
        </w:tc>
        <w:tc>
          <w:tcPr>
            <w:tcW w:w="0" w:type="dxa"/>
            <w:vAlign w:val="bottom"/>
          </w:tcPr>
          <w:p>
            <w:pPr>
              <w:spacing w:after="0"/>
              <w:rPr>
                <w:sz w:val="1"/>
                <w:szCs w:val="1"/>
                <w:color w:val="auto"/>
              </w:rPr>
            </w:pPr>
          </w:p>
        </w:tc>
      </w:tr>
      <w:tr>
        <w:trPr>
          <w:trHeight w:val="223"/>
        </w:trPr>
        <w:tc>
          <w:tcPr>
            <w:tcW w:w="8480" w:type="dxa"/>
            <w:vAlign w:val="bottom"/>
          </w:tcPr>
          <w:p>
            <w:pPr>
              <w:spacing w:after="0"/>
              <w:rPr>
                <w:sz w:val="19"/>
                <w:szCs w:val="19"/>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180" w:type="dxa"/>
            <w:vAlign w:val="bottom"/>
            <w:tcBorders>
              <w:bottom w:val="single" w:sz="8" w:color="auto"/>
            </w:tcBorders>
          </w:tcPr>
          <w:p>
            <w:pPr>
              <w:jc w:val="right"/>
              <w:ind w:right="24"/>
              <w:spacing w:after="0"/>
              <w:rPr>
                <w:sz w:val="20"/>
                <w:szCs w:val="20"/>
                <w:color w:val="auto"/>
              </w:rPr>
            </w:pPr>
            <w:r>
              <w:rPr>
                <w:rFonts w:ascii="Arial" w:cs="Arial" w:eastAsia="Arial" w:hAnsi="Arial"/>
                <w:sz w:val="16"/>
                <w:szCs w:val="16"/>
                <w:b w:val="1"/>
                <w:bCs w:val="1"/>
                <w:color w:val="auto"/>
              </w:rPr>
              <w:t>499,668</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514,426</w:t>
            </w:r>
          </w:p>
        </w:tc>
        <w:tc>
          <w:tcPr>
            <w:tcW w:w="0" w:type="dxa"/>
            <w:vAlign w:val="bottom"/>
          </w:tcPr>
          <w:p>
            <w:pPr>
              <w:spacing w:after="0"/>
              <w:rPr>
                <w:sz w:val="1"/>
                <w:szCs w:val="1"/>
                <w:color w:val="auto"/>
              </w:rPr>
            </w:pPr>
          </w:p>
        </w:tc>
      </w:tr>
      <w:tr>
        <w:trPr>
          <w:trHeight w:val="24"/>
        </w:trPr>
        <w:tc>
          <w:tcPr>
            <w:tcW w:w="84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Credit loss expense was $1.1 million and $1.7 million for the three months ended March 31, 2025 and 2024, respectively.</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Accounts payable, vehicle floor plan payable and accrued liabilities consist of the following:</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4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As of</w:t>
            </w:r>
          </w:p>
        </w:tc>
        <w:tc>
          <w:tcPr>
            <w:tcW w:w="11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8480" w:type="dxa"/>
            <w:vAlign w:val="bottom"/>
            <w:vMerge w:val="restart"/>
          </w:tcPr>
          <w:p>
            <w:pPr>
              <w:ind w:left="20"/>
              <w:spacing w:after="0"/>
              <w:rPr>
                <w:sz w:val="20"/>
                <w:szCs w:val="20"/>
                <w:color w:val="auto"/>
              </w:rPr>
            </w:pPr>
            <w:r>
              <w:rPr>
                <w:rFonts w:ascii="Arial" w:cs="Arial" w:eastAsia="Arial" w:hAnsi="Arial"/>
                <w:sz w:val="14"/>
                <w:szCs w:val="14"/>
                <w:color w:val="auto"/>
              </w:rPr>
              <w:t>(in thousands)</w:t>
            </w:r>
          </w:p>
        </w:tc>
        <w:tc>
          <w:tcPr>
            <w:tcW w:w="220" w:type="dxa"/>
            <w:vAlign w:val="bottom"/>
          </w:tcPr>
          <w:p>
            <w:pPr>
              <w:spacing w:after="0"/>
              <w:rPr>
                <w:sz w:val="14"/>
                <w:szCs w:val="14"/>
                <w:color w:val="auto"/>
              </w:rPr>
            </w:pPr>
          </w:p>
        </w:tc>
        <w:tc>
          <w:tcPr>
            <w:tcW w:w="1180" w:type="dxa"/>
            <w:vAlign w:val="bottom"/>
          </w:tcPr>
          <w:p>
            <w:pPr>
              <w:jc w:val="right"/>
              <w:ind w:right="302"/>
              <w:spacing w:after="0"/>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4"/>
                <w:szCs w:val="14"/>
                <w:color w:val="auto"/>
              </w:rPr>
            </w:pPr>
          </w:p>
        </w:tc>
        <w:tc>
          <w:tcPr>
            <w:tcW w:w="1140" w:type="dxa"/>
            <w:vAlign w:val="bottom"/>
          </w:tcPr>
          <w:p>
            <w:pPr>
              <w:jc w:val="right"/>
              <w:ind w:right="102"/>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97"/>
        </w:trPr>
        <w:tc>
          <w:tcPr>
            <w:tcW w:w="8480" w:type="dxa"/>
            <w:vAlign w:val="bottom"/>
            <w:tcBorders>
              <w:bottom w:val="single" w:sz="8" w:color="auto"/>
            </w:tcBorders>
            <w:vMerge w:val="continue"/>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2025</w:t>
            </w:r>
          </w:p>
        </w:tc>
        <w:tc>
          <w:tcPr>
            <w:tcW w:w="2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02"/>
              <w:spacing w:after="0"/>
              <w:rPr>
                <w:sz w:val="20"/>
                <w:szCs w:val="20"/>
                <w:color w:val="auto"/>
              </w:rPr>
            </w:pPr>
            <w:r>
              <w:rPr>
                <w:rFonts w:ascii="Arial" w:cs="Arial" w:eastAsia="Arial" w:hAnsi="Arial"/>
                <w:sz w:val="14"/>
                <w:szCs w:val="14"/>
                <w:color w:val="auto"/>
              </w:rPr>
              <w:t>2024</w:t>
            </w:r>
          </w:p>
        </w:tc>
        <w:tc>
          <w:tcPr>
            <w:tcW w:w="0" w:type="dxa"/>
            <w:vAlign w:val="bottom"/>
          </w:tcPr>
          <w:p>
            <w:pPr>
              <w:spacing w:after="0"/>
              <w:rPr>
                <w:sz w:val="1"/>
                <w:szCs w:val="1"/>
                <w:color w:val="auto"/>
              </w:rPr>
            </w:pPr>
          </w:p>
        </w:tc>
      </w:tr>
      <w:tr>
        <w:trPr>
          <w:trHeight w:val="217"/>
        </w:trPr>
        <w:tc>
          <w:tcPr>
            <w:tcW w:w="8480" w:type="dxa"/>
            <w:vAlign w:val="bottom"/>
          </w:tcPr>
          <w:p>
            <w:pPr>
              <w:ind w:left="20"/>
              <w:spacing w:after="0"/>
              <w:rPr>
                <w:sz w:val="20"/>
                <w:szCs w:val="20"/>
                <w:color w:val="auto"/>
              </w:rPr>
            </w:pPr>
            <w:r>
              <w:rPr>
                <w:rFonts w:ascii="Arial" w:cs="Arial" w:eastAsia="Arial" w:hAnsi="Arial"/>
                <w:sz w:val="16"/>
                <w:szCs w:val="16"/>
                <w:color w:val="auto"/>
              </w:rPr>
              <w:t>Accounts payable</w:t>
            </w:r>
          </w:p>
        </w:tc>
        <w:tc>
          <w:tcPr>
            <w:tcW w:w="22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180" w:type="dxa"/>
            <w:vAlign w:val="bottom"/>
          </w:tcPr>
          <w:p>
            <w:pPr>
              <w:jc w:val="right"/>
              <w:ind w:right="22"/>
              <w:spacing w:after="0"/>
              <w:rPr>
                <w:sz w:val="20"/>
                <w:szCs w:val="20"/>
                <w:color w:val="auto"/>
              </w:rPr>
            </w:pPr>
            <w:r>
              <w:rPr>
                <w:rFonts w:ascii="Arial" w:cs="Arial" w:eastAsia="Arial" w:hAnsi="Arial"/>
                <w:sz w:val="16"/>
                <w:szCs w:val="16"/>
                <w:b w:val="1"/>
                <w:bCs w:val="1"/>
                <w:color w:val="auto"/>
              </w:rPr>
              <w:t>146,615</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2"/>
              <w:spacing w:after="0"/>
              <w:rPr>
                <w:sz w:val="20"/>
                <w:szCs w:val="20"/>
                <w:color w:val="auto"/>
              </w:rPr>
            </w:pPr>
            <w:r>
              <w:rPr>
                <w:rFonts w:ascii="Arial" w:cs="Arial" w:eastAsia="Arial" w:hAnsi="Arial"/>
                <w:sz w:val="16"/>
                <w:szCs w:val="16"/>
                <w:color w:val="auto"/>
              </w:rPr>
              <w:t>160,384</w:t>
            </w:r>
          </w:p>
        </w:tc>
        <w:tc>
          <w:tcPr>
            <w:tcW w:w="0" w:type="dxa"/>
            <w:vAlign w:val="bottom"/>
          </w:tcPr>
          <w:p>
            <w:pPr>
              <w:spacing w:after="0"/>
              <w:rPr>
                <w:sz w:val="1"/>
                <w:szCs w:val="1"/>
                <w:color w:val="auto"/>
              </w:rPr>
            </w:pPr>
          </w:p>
        </w:tc>
      </w:tr>
      <w:tr>
        <w:trPr>
          <w:trHeight w:val="229"/>
        </w:trPr>
        <w:tc>
          <w:tcPr>
            <w:tcW w:w="8480" w:type="dxa"/>
            <w:vAlign w:val="bottom"/>
          </w:tcPr>
          <w:p>
            <w:pPr>
              <w:ind w:left="20"/>
              <w:spacing w:after="0"/>
              <w:rPr>
                <w:sz w:val="20"/>
                <w:szCs w:val="20"/>
                <w:color w:val="auto"/>
              </w:rPr>
            </w:pPr>
            <w:r>
              <w:rPr>
                <w:rFonts w:ascii="Arial" w:cs="Arial" w:eastAsia="Arial" w:hAnsi="Arial"/>
                <w:sz w:val="16"/>
                <w:szCs w:val="16"/>
                <w:color w:val="auto"/>
              </w:rPr>
              <w:t>Vehicle floor plan payable</w:t>
            </w:r>
          </w:p>
        </w:tc>
        <w:tc>
          <w:tcPr>
            <w:tcW w:w="220" w:type="dxa"/>
            <w:vAlign w:val="bottom"/>
          </w:tcPr>
          <w:p>
            <w:pPr>
              <w:spacing w:after="0"/>
              <w:rPr>
                <w:sz w:val="19"/>
                <w:szCs w:val="19"/>
                <w:color w:val="auto"/>
              </w:rPr>
            </w:pPr>
          </w:p>
        </w:tc>
        <w:tc>
          <w:tcPr>
            <w:tcW w:w="1180" w:type="dxa"/>
            <w:vAlign w:val="bottom"/>
          </w:tcPr>
          <w:p>
            <w:pPr>
              <w:jc w:val="right"/>
              <w:ind w:right="22"/>
              <w:spacing w:after="0"/>
              <w:rPr>
                <w:sz w:val="20"/>
                <w:szCs w:val="20"/>
                <w:color w:val="auto"/>
              </w:rPr>
            </w:pPr>
            <w:r>
              <w:rPr>
                <w:rFonts w:ascii="Arial" w:cs="Arial" w:eastAsia="Arial" w:hAnsi="Arial"/>
                <w:sz w:val="16"/>
                <w:szCs w:val="16"/>
                <w:b w:val="1"/>
                <w:bCs w:val="1"/>
                <w:color w:val="auto"/>
              </w:rPr>
              <w:t>115,583</w:t>
            </w:r>
          </w:p>
        </w:tc>
        <w:tc>
          <w:tcPr>
            <w:tcW w:w="220" w:type="dxa"/>
            <w:vAlign w:val="bottom"/>
          </w:tcPr>
          <w:p>
            <w:pPr>
              <w:spacing w:after="0"/>
              <w:rPr>
                <w:sz w:val="19"/>
                <w:szCs w:val="19"/>
                <w:color w:val="auto"/>
              </w:rPr>
            </w:pPr>
          </w:p>
        </w:tc>
        <w:tc>
          <w:tcPr>
            <w:tcW w:w="1140" w:type="dxa"/>
            <w:vAlign w:val="bottom"/>
          </w:tcPr>
          <w:p>
            <w:pPr>
              <w:jc w:val="right"/>
              <w:ind w:right="2"/>
              <w:spacing w:after="0"/>
              <w:rPr>
                <w:sz w:val="20"/>
                <w:szCs w:val="20"/>
                <w:color w:val="auto"/>
              </w:rPr>
            </w:pPr>
            <w:r>
              <w:rPr>
                <w:rFonts w:ascii="Arial" w:cs="Arial" w:eastAsia="Arial" w:hAnsi="Arial"/>
                <w:sz w:val="16"/>
                <w:szCs w:val="16"/>
                <w:color w:val="auto"/>
              </w:rPr>
              <w:t>147,884</w:t>
            </w:r>
          </w:p>
        </w:tc>
        <w:tc>
          <w:tcPr>
            <w:tcW w:w="0" w:type="dxa"/>
            <w:vAlign w:val="bottom"/>
          </w:tcPr>
          <w:p>
            <w:pPr>
              <w:spacing w:after="0"/>
              <w:rPr>
                <w:sz w:val="1"/>
                <w:szCs w:val="1"/>
                <w:color w:val="auto"/>
              </w:rPr>
            </w:pPr>
          </w:p>
        </w:tc>
      </w:tr>
      <w:tr>
        <w:trPr>
          <w:trHeight w:val="230"/>
        </w:trPr>
        <w:tc>
          <w:tcPr>
            <w:tcW w:w="8480" w:type="dxa"/>
            <w:vAlign w:val="bottom"/>
          </w:tcPr>
          <w:p>
            <w:pPr>
              <w:ind w:left="20"/>
              <w:spacing w:after="0"/>
              <w:rPr>
                <w:sz w:val="20"/>
                <w:szCs w:val="20"/>
                <w:color w:val="auto"/>
              </w:rPr>
            </w:pPr>
            <w:r>
              <w:rPr>
                <w:rFonts w:ascii="Arial" w:cs="Arial" w:eastAsia="Arial" w:hAnsi="Arial"/>
                <w:sz w:val="16"/>
                <w:szCs w:val="16"/>
                <w:color w:val="auto"/>
              </w:rPr>
              <w:t>Accrued compensation and related benefits</w:t>
            </w:r>
          </w:p>
        </w:tc>
        <w:tc>
          <w:tcPr>
            <w:tcW w:w="220" w:type="dxa"/>
            <w:vAlign w:val="bottom"/>
          </w:tcPr>
          <w:p>
            <w:pPr>
              <w:spacing w:after="0"/>
              <w:rPr>
                <w:sz w:val="19"/>
                <w:szCs w:val="19"/>
                <w:color w:val="auto"/>
              </w:rPr>
            </w:pPr>
          </w:p>
        </w:tc>
        <w:tc>
          <w:tcPr>
            <w:tcW w:w="1180" w:type="dxa"/>
            <w:vAlign w:val="bottom"/>
          </w:tcPr>
          <w:p>
            <w:pPr>
              <w:jc w:val="right"/>
              <w:ind w:right="22"/>
              <w:spacing w:after="0"/>
              <w:rPr>
                <w:sz w:val="20"/>
                <w:szCs w:val="20"/>
                <w:color w:val="auto"/>
              </w:rPr>
            </w:pPr>
            <w:r>
              <w:rPr>
                <w:rFonts w:ascii="Arial" w:cs="Arial" w:eastAsia="Arial" w:hAnsi="Arial"/>
                <w:sz w:val="16"/>
                <w:szCs w:val="16"/>
                <w:b w:val="1"/>
                <w:bCs w:val="1"/>
                <w:color w:val="auto"/>
              </w:rPr>
              <w:t>134,281</w:t>
            </w:r>
          </w:p>
        </w:tc>
        <w:tc>
          <w:tcPr>
            <w:tcW w:w="220" w:type="dxa"/>
            <w:vAlign w:val="bottom"/>
          </w:tcPr>
          <w:p>
            <w:pPr>
              <w:spacing w:after="0"/>
              <w:rPr>
                <w:sz w:val="19"/>
                <w:szCs w:val="19"/>
                <w:color w:val="auto"/>
              </w:rPr>
            </w:pPr>
          </w:p>
        </w:tc>
        <w:tc>
          <w:tcPr>
            <w:tcW w:w="1140" w:type="dxa"/>
            <w:vAlign w:val="bottom"/>
          </w:tcPr>
          <w:p>
            <w:pPr>
              <w:jc w:val="right"/>
              <w:ind w:right="2"/>
              <w:spacing w:after="0"/>
              <w:rPr>
                <w:sz w:val="20"/>
                <w:szCs w:val="20"/>
                <w:color w:val="auto"/>
              </w:rPr>
            </w:pPr>
            <w:r>
              <w:rPr>
                <w:rFonts w:ascii="Arial" w:cs="Arial" w:eastAsia="Arial" w:hAnsi="Arial"/>
                <w:sz w:val="16"/>
                <w:szCs w:val="16"/>
                <w:color w:val="auto"/>
              </w:rPr>
              <w:t>172,915</w:t>
            </w:r>
          </w:p>
        </w:tc>
        <w:tc>
          <w:tcPr>
            <w:tcW w:w="0" w:type="dxa"/>
            <w:vAlign w:val="bottom"/>
          </w:tcPr>
          <w:p>
            <w:pPr>
              <w:spacing w:after="0"/>
              <w:rPr>
                <w:sz w:val="1"/>
                <w:szCs w:val="1"/>
                <w:color w:val="auto"/>
              </w:rPr>
            </w:pPr>
          </w:p>
        </w:tc>
      </w:tr>
      <w:tr>
        <w:trPr>
          <w:trHeight w:val="233"/>
        </w:trPr>
        <w:tc>
          <w:tcPr>
            <w:tcW w:w="8480" w:type="dxa"/>
            <w:vAlign w:val="bottom"/>
          </w:tcPr>
          <w:p>
            <w:pPr>
              <w:ind w:left="20"/>
              <w:spacing w:after="0"/>
              <w:rPr>
                <w:sz w:val="20"/>
                <w:szCs w:val="20"/>
                <w:color w:val="auto"/>
              </w:rPr>
            </w:pPr>
            <w:r>
              <w:rPr>
                <w:rFonts w:ascii="Arial" w:cs="Arial" w:eastAsia="Arial" w:hAnsi="Arial"/>
                <w:sz w:val="16"/>
                <w:szCs w:val="16"/>
                <w:color w:val="auto"/>
              </w:rPr>
              <w:t>Other accrued liabilities</w:t>
            </w:r>
          </w:p>
        </w:tc>
        <w:tc>
          <w:tcPr>
            <w:tcW w:w="2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b w:val="1"/>
                <w:bCs w:val="1"/>
                <w:color w:val="auto"/>
              </w:rPr>
              <w:t>215,434</w:t>
            </w:r>
          </w:p>
        </w:tc>
        <w:tc>
          <w:tcPr>
            <w:tcW w:w="2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231,322</w:t>
            </w:r>
          </w:p>
        </w:tc>
        <w:tc>
          <w:tcPr>
            <w:tcW w:w="0" w:type="dxa"/>
            <w:vAlign w:val="bottom"/>
          </w:tcPr>
          <w:p>
            <w:pPr>
              <w:spacing w:after="0"/>
              <w:rPr>
                <w:sz w:val="1"/>
                <w:szCs w:val="1"/>
                <w:color w:val="auto"/>
              </w:rPr>
            </w:pPr>
          </w:p>
        </w:tc>
      </w:tr>
      <w:tr>
        <w:trPr>
          <w:trHeight w:val="223"/>
        </w:trPr>
        <w:tc>
          <w:tcPr>
            <w:tcW w:w="8480" w:type="dxa"/>
            <w:vAlign w:val="bottom"/>
          </w:tcPr>
          <w:p>
            <w:pPr>
              <w:spacing w:after="0"/>
              <w:rPr>
                <w:sz w:val="19"/>
                <w:szCs w:val="19"/>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18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b w:val="1"/>
                <w:bCs w:val="1"/>
                <w:color w:val="auto"/>
              </w:rPr>
              <w:t>611,913</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712,505</w:t>
            </w:r>
          </w:p>
        </w:tc>
        <w:tc>
          <w:tcPr>
            <w:tcW w:w="0" w:type="dxa"/>
            <w:vAlign w:val="bottom"/>
          </w:tcPr>
          <w:p>
            <w:pPr>
              <w:spacing w:after="0"/>
              <w:rPr>
                <w:sz w:val="1"/>
                <w:szCs w:val="1"/>
                <w:color w:val="auto"/>
              </w:rPr>
            </w:pPr>
          </w:p>
        </w:tc>
      </w:tr>
      <w:tr>
        <w:trPr>
          <w:trHeight w:val="24"/>
        </w:trPr>
        <w:tc>
          <w:tcPr>
            <w:tcW w:w="84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Cash overdrafts of $0.5 million are included in accounts payable as of March 31, 2025.</w:t>
      </w:r>
    </w:p>
    <w:p>
      <w:pPr>
        <w:spacing w:after="0" w:line="158" w:lineRule="exact"/>
        <w:rPr>
          <w:sz w:val="20"/>
          <w:szCs w:val="20"/>
          <w:color w:val="auto"/>
        </w:rPr>
      </w:pPr>
    </w:p>
    <w:p>
      <w:pPr>
        <w:ind w:right="140"/>
        <w:spacing w:after="0" w:line="251" w:lineRule="auto"/>
        <w:rPr>
          <w:sz w:val="20"/>
          <w:szCs w:val="20"/>
          <w:color w:val="auto"/>
        </w:rPr>
      </w:pPr>
      <w:r>
        <w:rPr>
          <w:rFonts w:ascii="Arial" w:cs="Arial" w:eastAsia="Arial" w:hAnsi="Arial"/>
          <w:sz w:val="17"/>
          <w:szCs w:val="17"/>
          <w:color w:val="auto"/>
        </w:rPr>
        <w:t>The Company finances new, used and service loaner vehicle inventory through standardized floor plan facilities with Truist Bank and Toyota Motor Credit Corporation and Ford Motor Credit Company. At March 31, 2025, the floor plan facilities bore interest at variable rates that are</w:t>
      </w:r>
    </w:p>
    <w:p>
      <w:pPr>
        <w:spacing w:after="0" w:line="235" w:lineRule="auto"/>
        <w:rPr>
          <w:sz w:val="20"/>
          <w:szCs w:val="20"/>
          <w:color w:val="auto"/>
        </w:rPr>
      </w:pPr>
      <w:r>
        <w:rPr>
          <w:rFonts w:ascii="Arial" w:cs="Arial" w:eastAsia="Arial" w:hAnsi="Arial"/>
          <w:sz w:val="18"/>
          <w:szCs w:val="18"/>
          <w:color w:val="auto"/>
        </w:rPr>
        <w:t>based on Secured Overnight Financing Rate (SOFR) and prime-based interest rates. The weighted average interest rate for the floor plan</w:t>
      </w:r>
    </w:p>
    <w:p>
      <w:pPr>
        <w:ind w:right="240"/>
        <w:spacing w:after="0"/>
        <w:rPr>
          <w:sz w:val="20"/>
          <w:szCs w:val="20"/>
          <w:color w:val="auto"/>
        </w:rPr>
      </w:pPr>
      <w:r>
        <w:rPr>
          <w:rFonts w:ascii="Arial" w:cs="Arial" w:eastAsia="Arial" w:hAnsi="Arial"/>
          <w:sz w:val="17"/>
          <w:szCs w:val="17"/>
          <w:color w:val="auto"/>
        </w:rPr>
        <w:t>facilities was 6.3% and 6.9% for the three months ended March 31, 2025 and 2024, respectively. The Company incurred floor plan interest expense of $2.2 million and $3.0 million for the three months ended March 31, 2025 and 2024, respectively, which is included in interest</w:t>
      </w:r>
    </w:p>
    <w:p>
      <w:pPr>
        <w:spacing w:after="0" w:line="1" w:lineRule="exact"/>
        <w:rPr>
          <w:sz w:val="20"/>
          <w:szCs w:val="20"/>
          <w:color w:val="auto"/>
        </w:rPr>
      </w:pPr>
    </w:p>
    <w:p>
      <w:pPr>
        <w:ind w:right="340"/>
        <w:spacing w:after="0" w:line="250" w:lineRule="auto"/>
        <w:rPr>
          <w:sz w:val="20"/>
          <w:szCs w:val="20"/>
          <w:color w:val="auto"/>
        </w:rPr>
      </w:pPr>
      <w:r>
        <w:rPr>
          <w:rFonts w:ascii="Arial" w:cs="Arial" w:eastAsia="Arial" w:hAnsi="Arial"/>
          <w:sz w:val="18"/>
          <w:szCs w:val="18"/>
          <w:color w:val="auto"/>
        </w:rPr>
        <w:t>expense in the Condensed Consolidated Statements of Operations. Changes in the vehicle floor plan payable are reported as cash flows from financing activities in the Condensed Consolidated Statements of Cash Flows.</w:t>
      </w:r>
    </w:p>
    <w:p>
      <w:pPr>
        <w:spacing w:after="0" w:line="104" w:lineRule="exact"/>
        <w:rPr>
          <w:sz w:val="20"/>
          <w:szCs w:val="20"/>
          <w:color w:val="auto"/>
        </w:rPr>
      </w:pPr>
    </w:p>
    <w:p>
      <w:pPr>
        <w:ind w:right="60"/>
        <w:spacing w:after="0" w:line="245" w:lineRule="auto"/>
        <w:rPr>
          <w:sz w:val="20"/>
          <w:szCs w:val="20"/>
          <w:color w:val="auto"/>
        </w:rPr>
      </w:pPr>
      <w:r>
        <w:rPr>
          <w:rFonts w:ascii="Arial" w:cs="Arial" w:eastAsia="Arial" w:hAnsi="Arial"/>
          <w:sz w:val="18"/>
          <w:szCs w:val="18"/>
          <w:color w:val="auto"/>
        </w:rPr>
        <w:t>The floor plan facilities are collateralized by vehicle inventory and other assets of the relevant dealership subsidiary, and contain a number of covenants, including, among others, covenants restricting the dealership subsidiary with respect to the creation of liens and changes in</w:t>
      </w:r>
    </w:p>
    <w:p>
      <w:pPr>
        <w:ind w:right="100"/>
        <w:spacing w:after="0" w:line="237" w:lineRule="auto"/>
        <w:rPr>
          <w:sz w:val="20"/>
          <w:szCs w:val="20"/>
          <w:color w:val="auto"/>
        </w:rPr>
      </w:pPr>
      <w:r>
        <w:rPr>
          <w:rFonts w:ascii="Arial" w:cs="Arial" w:eastAsia="Arial" w:hAnsi="Arial"/>
          <w:sz w:val="18"/>
          <w:szCs w:val="18"/>
          <w:color w:val="auto"/>
        </w:rPr>
        <w:t>ownership, officers and key management personnel. The Company was in compliance with all of these restrictive covenants as of March 31, 2025.</w:t>
      </w:r>
    </w:p>
    <w:p>
      <w:pPr>
        <w:spacing w:after="0" w:line="127"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The floor plan interest expense related to the vehicle floor plan arrangements is offset by amounts received from manufacturers in the form of floor plan assistance capitalized in inventory and recorded against cost of goods sold in the Condensed Consolidated Statements of</w:t>
      </w:r>
    </w:p>
    <w:p>
      <w:pPr>
        <w:spacing w:after="0" w:line="1" w:lineRule="exact"/>
        <w:rPr>
          <w:sz w:val="20"/>
          <w:szCs w:val="20"/>
          <w:color w:val="auto"/>
        </w:rPr>
      </w:pPr>
    </w:p>
    <w:p>
      <w:pPr>
        <w:ind w:right="640"/>
        <w:spacing w:after="0" w:line="250" w:lineRule="auto"/>
        <w:rPr>
          <w:sz w:val="20"/>
          <w:szCs w:val="20"/>
          <w:color w:val="auto"/>
        </w:rPr>
      </w:pPr>
      <w:r>
        <w:rPr>
          <w:rFonts w:ascii="Arial" w:cs="Arial" w:eastAsia="Arial" w:hAnsi="Arial"/>
          <w:sz w:val="18"/>
          <w:szCs w:val="18"/>
          <w:color w:val="auto"/>
        </w:rPr>
        <w:t>Operations when the associated inventory is sold. For the three months ended March 31, 2025 and 2024, the Company recognized a reduction in cost of goods sold of $2.0 million and $2.2 million, respectively, related to manufacturer floor plan assistance.</w:t>
      </w:r>
    </w:p>
    <w:p>
      <w:pPr>
        <w:spacing w:after="0" w:line="104" w:lineRule="exact"/>
        <w:rPr>
          <w:sz w:val="20"/>
          <w:szCs w:val="20"/>
          <w:color w:val="auto"/>
        </w:rPr>
      </w:pPr>
    </w:p>
    <w:p>
      <w:pPr>
        <w:ind w:right="180"/>
        <w:spacing w:after="0" w:line="271" w:lineRule="auto"/>
        <w:rPr>
          <w:sz w:val="20"/>
          <w:szCs w:val="20"/>
          <w:color w:val="auto"/>
        </w:rPr>
      </w:pPr>
      <w:r>
        <w:rPr>
          <w:rFonts w:ascii="Arial" w:cs="Arial" w:eastAsia="Arial" w:hAnsi="Arial"/>
          <w:sz w:val="18"/>
          <w:szCs w:val="18"/>
          <w:color w:val="auto"/>
        </w:rPr>
        <w:t>As of March 31, 2025 and December 31, 2024, the Company had $100.3 million and $133.5 million, respectively, in obligations outstanding related to floor plan facilities associated with new vehicles.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INVENTORIES AND CONTRACTS IN PROGRESS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Inventories and contracts in progress consist of the following: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4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As of</w:t>
            </w:r>
          </w:p>
        </w:tc>
        <w:tc>
          <w:tcPr>
            <w:tcW w:w="11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8480" w:type="dxa"/>
            <w:vAlign w:val="bottom"/>
            <w:vMerge w:val="restart"/>
          </w:tcPr>
          <w:p>
            <w:pPr>
              <w:ind w:left="20"/>
              <w:spacing w:after="0"/>
              <w:rPr>
                <w:sz w:val="20"/>
                <w:szCs w:val="20"/>
                <w:color w:val="auto"/>
              </w:rPr>
            </w:pPr>
            <w:r>
              <w:rPr>
                <w:rFonts w:ascii="Arial" w:cs="Arial" w:eastAsia="Arial" w:hAnsi="Arial"/>
                <w:sz w:val="14"/>
                <w:szCs w:val="14"/>
                <w:color w:val="auto"/>
              </w:rPr>
              <w:t>(in thousands)</w:t>
            </w:r>
          </w:p>
        </w:tc>
        <w:tc>
          <w:tcPr>
            <w:tcW w:w="220" w:type="dxa"/>
            <w:vAlign w:val="bottom"/>
          </w:tcPr>
          <w:p>
            <w:pPr>
              <w:spacing w:after="0"/>
              <w:rPr>
                <w:sz w:val="14"/>
                <w:szCs w:val="14"/>
                <w:color w:val="auto"/>
              </w:rPr>
            </w:pPr>
          </w:p>
        </w:tc>
        <w:tc>
          <w:tcPr>
            <w:tcW w:w="1180" w:type="dxa"/>
            <w:vAlign w:val="bottom"/>
          </w:tcPr>
          <w:p>
            <w:pPr>
              <w:jc w:val="right"/>
              <w:ind w:right="302"/>
              <w:spacing w:after="0"/>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4"/>
                <w:szCs w:val="14"/>
                <w:color w:val="auto"/>
              </w:rPr>
            </w:pPr>
          </w:p>
        </w:tc>
        <w:tc>
          <w:tcPr>
            <w:tcW w:w="1140" w:type="dxa"/>
            <w:vAlign w:val="bottom"/>
          </w:tcPr>
          <w:p>
            <w:pPr>
              <w:jc w:val="right"/>
              <w:ind w:right="102"/>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97"/>
        </w:trPr>
        <w:tc>
          <w:tcPr>
            <w:tcW w:w="8480" w:type="dxa"/>
            <w:vAlign w:val="bottom"/>
            <w:tcBorders>
              <w:bottom w:val="single" w:sz="8" w:color="auto"/>
            </w:tcBorders>
            <w:vMerge w:val="continue"/>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2025</w:t>
            </w:r>
          </w:p>
        </w:tc>
        <w:tc>
          <w:tcPr>
            <w:tcW w:w="2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02"/>
              <w:spacing w:after="0"/>
              <w:rPr>
                <w:sz w:val="20"/>
                <w:szCs w:val="20"/>
                <w:color w:val="auto"/>
              </w:rPr>
            </w:pPr>
            <w:r>
              <w:rPr>
                <w:rFonts w:ascii="Arial" w:cs="Arial" w:eastAsia="Arial" w:hAnsi="Arial"/>
                <w:sz w:val="14"/>
                <w:szCs w:val="14"/>
                <w:color w:val="auto"/>
              </w:rPr>
              <w:t>2024</w:t>
            </w:r>
          </w:p>
        </w:tc>
        <w:tc>
          <w:tcPr>
            <w:tcW w:w="0" w:type="dxa"/>
            <w:vAlign w:val="bottom"/>
          </w:tcPr>
          <w:p>
            <w:pPr>
              <w:spacing w:after="0"/>
              <w:rPr>
                <w:sz w:val="1"/>
                <w:szCs w:val="1"/>
                <w:color w:val="auto"/>
              </w:rPr>
            </w:pPr>
          </w:p>
        </w:tc>
      </w:tr>
      <w:tr>
        <w:trPr>
          <w:trHeight w:val="217"/>
        </w:trPr>
        <w:tc>
          <w:tcPr>
            <w:tcW w:w="8480" w:type="dxa"/>
            <w:vAlign w:val="bottom"/>
          </w:tcPr>
          <w:p>
            <w:pPr>
              <w:ind w:left="20"/>
              <w:spacing w:after="0"/>
              <w:rPr>
                <w:sz w:val="20"/>
                <w:szCs w:val="20"/>
                <w:color w:val="auto"/>
              </w:rPr>
            </w:pPr>
            <w:r>
              <w:rPr>
                <w:rFonts w:ascii="Arial" w:cs="Arial" w:eastAsia="Arial" w:hAnsi="Arial"/>
                <w:sz w:val="16"/>
                <w:szCs w:val="16"/>
                <w:color w:val="auto"/>
              </w:rPr>
              <w:t>Raw materials</w:t>
            </w:r>
          </w:p>
        </w:tc>
        <w:tc>
          <w:tcPr>
            <w:tcW w:w="22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180" w:type="dxa"/>
            <w:vAlign w:val="bottom"/>
          </w:tcPr>
          <w:p>
            <w:pPr>
              <w:jc w:val="right"/>
              <w:ind w:right="22"/>
              <w:spacing w:after="0"/>
              <w:rPr>
                <w:sz w:val="20"/>
                <w:szCs w:val="20"/>
                <w:color w:val="auto"/>
              </w:rPr>
            </w:pPr>
            <w:r>
              <w:rPr>
                <w:rFonts w:ascii="Arial" w:cs="Arial" w:eastAsia="Arial" w:hAnsi="Arial"/>
                <w:sz w:val="16"/>
                <w:szCs w:val="16"/>
                <w:b w:val="1"/>
                <w:bCs w:val="1"/>
                <w:color w:val="auto"/>
              </w:rPr>
              <w:t>44,260</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2"/>
              <w:spacing w:after="0"/>
              <w:rPr>
                <w:sz w:val="20"/>
                <w:szCs w:val="20"/>
                <w:color w:val="auto"/>
              </w:rPr>
            </w:pPr>
            <w:r>
              <w:rPr>
                <w:rFonts w:ascii="Arial" w:cs="Arial" w:eastAsia="Arial" w:hAnsi="Arial"/>
                <w:sz w:val="16"/>
                <w:szCs w:val="16"/>
                <w:color w:val="auto"/>
              </w:rPr>
              <w:t>46,058</w:t>
            </w:r>
          </w:p>
        </w:tc>
        <w:tc>
          <w:tcPr>
            <w:tcW w:w="0" w:type="dxa"/>
            <w:vAlign w:val="bottom"/>
          </w:tcPr>
          <w:p>
            <w:pPr>
              <w:spacing w:after="0"/>
              <w:rPr>
                <w:sz w:val="1"/>
                <w:szCs w:val="1"/>
                <w:color w:val="auto"/>
              </w:rPr>
            </w:pPr>
          </w:p>
        </w:tc>
      </w:tr>
      <w:tr>
        <w:trPr>
          <w:trHeight w:val="229"/>
        </w:trPr>
        <w:tc>
          <w:tcPr>
            <w:tcW w:w="8480" w:type="dxa"/>
            <w:vAlign w:val="bottom"/>
          </w:tcPr>
          <w:p>
            <w:pPr>
              <w:ind w:left="20"/>
              <w:spacing w:after="0"/>
              <w:rPr>
                <w:sz w:val="20"/>
                <w:szCs w:val="20"/>
                <w:color w:val="auto"/>
              </w:rPr>
            </w:pPr>
            <w:r>
              <w:rPr>
                <w:rFonts w:ascii="Arial" w:cs="Arial" w:eastAsia="Arial" w:hAnsi="Arial"/>
                <w:sz w:val="16"/>
                <w:szCs w:val="16"/>
                <w:color w:val="auto"/>
              </w:rPr>
              <w:t>Work-in-process</w:t>
            </w:r>
          </w:p>
        </w:tc>
        <w:tc>
          <w:tcPr>
            <w:tcW w:w="220" w:type="dxa"/>
            <w:vAlign w:val="bottom"/>
          </w:tcPr>
          <w:p>
            <w:pPr>
              <w:spacing w:after="0"/>
              <w:rPr>
                <w:sz w:val="19"/>
                <w:szCs w:val="19"/>
                <w:color w:val="auto"/>
              </w:rPr>
            </w:pPr>
          </w:p>
        </w:tc>
        <w:tc>
          <w:tcPr>
            <w:tcW w:w="1180" w:type="dxa"/>
            <w:vAlign w:val="bottom"/>
          </w:tcPr>
          <w:p>
            <w:pPr>
              <w:jc w:val="right"/>
              <w:ind w:right="22"/>
              <w:spacing w:after="0"/>
              <w:rPr>
                <w:sz w:val="20"/>
                <w:szCs w:val="20"/>
                <w:color w:val="auto"/>
              </w:rPr>
            </w:pPr>
            <w:r>
              <w:rPr>
                <w:rFonts w:ascii="Arial" w:cs="Arial" w:eastAsia="Arial" w:hAnsi="Arial"/>
                <w:sz w:val="16"/>
                <w:szCs w:val="16"/>
                <w:b w:val="1"/>
                <w:bCs w:val="1"/>
                <w:color w:val="auto"/>
              </w:rPr>
              <w:t>12,706</w:t>
            </w:r>
          </w:p>
        </w:tc>
        <w:tc>
          <w:tcPr>
            <w:tcW w:w="220" w:type="dxa"/>
            <w:vAlign w:val="bottom"/>
          </w:tcPr>
          <w:p>
            <w:pPr>
              <w:spacing w:after="0"/>
              <w:rPr>
                <w:sz w:val="19"/>
                <w:szCs w:val="19"/>
                <w:color w:val="auto"/>
              </w:rPr>
            </w:pPr>
          </w:p>
        </w:tc>
        <w:tc>
          <w:tcPr>
            <w:tcW w:w="1140" w:type="dxa"/>
            <w:vAlign w:val="bottom"/>
          </w:tcPr>
          <w:p>
            <w:pPr>
              <w:jc w:val="right"/>
              <w:ind w:right="2"/>
              <w:spacing w:after="0"/>
              <w:rPr>
                <w:sz w:val="20"/>
                <w:szCs w:val="20"/>
                <w:color w:val="auto"/>
              </w:rPr>
            </w:pPr>
            <w:r>
              <w:rPr>
                <w:rFonts w:ascii="Arial" w:cs="Arial" w:eastAsia="Arial" w:hAnsi="Arial"/>
                <w:sz w:val="16"/>
                <w:szCs w:val="16"/>
                <w:color w:val="auto"/>
              </w:rPr>
              <w:t>12,685</w:t>
            </w:r>
          </w:p>
        </w:tc>
        <w:tc>
          <w:tcPr>
            <w:tcW w:w="0" w:type="dxa"/>
            <w:vAlign w:val="bottom"/>
          </w:tcPr>
          <w:p>
            <w:pPr>
              <w:spacing w:after="0"/>
              <w:rPr>
                <w:sz w:val="1"/>
                <w:szCs w:val="1"/>
                <w:color w:val="auto"/>
              </w:rPr>
            </w:pPr>
          </w:p>
        </w:tc>
      </w:tr>
      <w:tr>
        <w:trPr>
          <w:trHeight w:val="229"/>
        </w:trPr>
        <w:tc>
          <w:tcPr>
            <w:tcW w:w="8480" w:type="dxa"/>
            <w:vAlign w:val="bottom"/>
          </w:tcPr>
          <w:p>
            <w:pPr>
              <w:ind w:left="20"/>
              <w:spacing w:after="0"/>
              <w:rPr>
                <w:sz w:val="20"/>
                <w:szCs w:val="20"/>
                <w:color w:val="auto"/>
              </w:rPr>
            </w:pPr>
            <w:r>
              <w:rPr>
                <w:rFonts w:ascii="Arial" w:cs="Arial" w:eastAsia="Arial" w:hAnsi="Arial"/>
                <w:sz w:val="16"/>
                <w:szCs w:val="16"/>
                <w:color w:val="auto"/>
              </w:rPr>
              <w:t>Finished goods</w:t>
            </w:r>
          </w:p>
        </w:tc>
        <w:tc>
          <w:tcPr>
            <w:tcW w:w="220" w:type="dxa"/>
            <w:vAlign w:val="bottom"/>
          </w:tcPr>
          <w:p>
            <w:pPr>
              <w:spacing w:after="0"/>
              <w:rPr>
                <w:sz w:val="19"/>
                <w:szCs w:val="19"/>
                <w:color w:val="auto"/>
              </w:rPr>
            </w:pPr>
          </w:p>
        </w:tc>
        <w:tc>
          <w:tcPr>
            <w:tcW w:w="1180" w:type="dxa"/>
            <w:vAlign w:val="bottom"/>
          </w:tcPr>
          <w:p>
            <w:pPr>
              <w:jc w:val="right"/>
              <w:ind w:right="22"/>
              <w:spacing w:after="0"/>
              <w:rPr>
                <w:sz w:val="20"/>
                <w:szCs w:val="20"/>
                <w:color w:val="auto"/>
              </w:rPr>
            </w:pPr>
            <w:r>
              <w:rPr>
                <w:rFonts w:ascii="Arial" w:cs="Arial" w:eastAsia="Arial" w:hAnsi="Arial"/>
                <w:sz w:val="16"/>
                <w:szCs w:val="16"/>
                <w:b w:val="1"/>
                <w:bCs w:val="1"/>
                <w:color w:val="auto"/>
              </w:rPr>
              <w:t>204,338</w:t>
            </w:r>
          </w:p>
        </w:tc>
        <w:tc>
          <w:tcPr>
            <w:tcW w:w="220" w:type="dxa"/>
            <w:vAlign w:val="bottom"/>
          </w:tcPr>
          <w:p>
            <w:pPr>
              <w:spacing w:after="0"/>
              <w:rPr>
                <w:sz w:val="19"/>
                <w:szCs w:val="19"/>
                <w:color w:val="auto"/>
              </w:rPr>
            </w:pPr>
          </w:p>
        </w:tc>
        <w:tc>
          <w:tcPr>
            <w:tcW w:w="1140" w:type="dxa"/>
            <w:vAlign w:val="bottom"/>
          </w:tcPr>
          <w:p>
            <w:pPr>
              <w:jc w:val="right"/>
              <w:ind w:right="2"/>
              <w:spacing w:after="0"/>
              <w:rPr>
                <w:sz w:val="20"/>
                <w:szCs w:val="20"/>
                <w:color w:val="auto"/>
              </w:rPr>
            </w:pPr>
            <w:r>
              <w:rPr>
                <w:rFonts w:ascii="Arial" w:cs="Arial" w:eastAsia="Arial" w:hAnsi="Arial"/>
                <w:sz w:val="16"/>
                <w:szCs w:val="16"/>
                <w:color w:val="auto"/>
              </w:rPr>
              <w:t>234,344</w:t>
            </w:r>
          </w:p>
        </w:tc>
        <w:tc>
          <w:tcPr>
            <w:tcW w:w="0" w:type="dxa"/>
            <w:vAlign w:val="bottom"/>
          </w:tcPr>
          <w:p>
            <w:pPr>
              <w:spacing w:after="0"/>
              <w:rPr>
                <w:sz w:val="1"/>
                <w:szCs w:val="1"/>
                <w:color w:val="auto"/>
              </w:rPr>
            </w:pPr>
          </w:p>
        </w:tc>
      </w:tr>
      <w:tr>
        <w:trPr>
          <w:trHeight w:val="233"/>
        </w:trPr>
        <w:tc>
          <w:tcPr>
            <w:tcW w:w="8480" w:type="dxa"/>
            <w:vAlign w:val="bottom"/>
          </w:tcPr>
          <w:p>
            <w:pPr>
              <w:ind w:left="20"/>
              <w:spacing w:after="0"/>
              <w:rPr>
                <w:sz w:val="20"/>
                <w:szCs w:val="20"/>
                <w:color w:val="auto"/>
              </w:rPr>
            </w:pPr>
            <w:r>
              <w:rPr>
                <w:rFonts w:ascii="Arial" w:cs="Arial" w:eastAsia="Arial" w:hAnsi="Arial"/>
                <w:sz w:val="16"/>
                <w:szCs w:val="16"/>
                <w:color w:val="auto"/>
              </w:rPr>
              <w:t>Contracts in progress</w:t>
            </w:r>
          </w:p>
        </w:tc>
        <w:tc>
          <w:tcPr>
            <w:tcW w:w="2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b w:val="1"/>
                <w:bCs w:val="1"/>
                <w:color w:val="auto"/>
              </w:rPr>
              <w:t>1,185</w:t>
            </w:r>
          </w:p>
        </w:tc>
        <w:tc>
          <w:tcPr>
            <w:tcW w:w="2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2,721</w:t>
            </w:r>
          </w:p>
        </w:tc>
        <w:tc>
          <w:tcPr>
            <w:tcW w:w="0" w:type="dxa"/>
            <w:vAlign w:val="bottom"/>
          </w:tcPr>
          <w:p>
            <w:pPr>
              <w:spacing w:after="0"/>
              <w:rPr>
                <w:sz w:val="1"/>
                <w:szCs w:val="1"/>
                <w:color w:val="auto"/>
              </w:rPr>
            </w:pPr>
          </w:p>
        </w:tc>
      </w:tr>
      <w:tr>
        <w:trPr>
          <w:trHeight w:val="223"/>
        </w:trPr>
        <w:tc>
          <w:tcPr>
            <w:tcW w:w="8480" w:type="dxa"/>
            <w:vAlign w:val="bottom"/>
          </w:tcPr>
          <w:p>
            <w:pPr>
              <w:spacing w:after="0"/>
              <w:rPr>
                <w:sz w:val="19"/>
                <w:szCs w:val="19"/>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18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b w:val="1"/>
                <w:bCs w:val="1"/>
                <w:color w:val="auto"/>
              </w:rPr>
              <w:t>262,489</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295,808</w:t>
            </w:r>
          </w:p>
        </w:tc>
        <w:tc>
          <w:tcPr>
            <w:tcW w:w="0" w:type="dxa"/>
            <w:vAlign w:val="bottom"/>
          </w:tcPr>
          <w:p>
            <w:pPr>
              <w:spacing w:after="0"/>
              <w:rPr>
                <w:sz w:val="1"/>
                <w:szCs w:val="1"/>
                <w:color w:val="auto"/>
              </w:rPr>
            </w:pPr>
          </w:p>
        </w:tc>
      </w:tr>
      <w:tr>
        <w:trPr>
          <w:trHeight w:val="24"/>
        </w:trPr>
        <w:tc>
          <w:tcPr>
            <w:tcW w:w="84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039" w:right="339" w:bottom="1440" w:gutter="0" w:footer="0" w:header="0"/>
        </w:sect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183515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type w:val="continuous"/>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6. GOODWILL AND OTHER INTANGIBLE ASSETS</w:t>
      </w:r>
    </w:p>
    <w:p>
      <w:pPr>
        <w:spacing w:after="0" w:line="158" w:lineRule="exact"/>
        <w:rPr>
          <w:sz w:val="20"/>
          <w:szCs w:val="20"/>
          <w:color w:val="auto"/>
        </w:rPr>
      </w:pPr>
    </w:p>
    <w:p>
      <w:pPr>
        <w:ind w:right="380"/>
        <w:spacing w:after="0" w:line="237" w:lineRule="auto"/>
        <w:rPr>
          <w:sz w:val="20"/>
          <w:szCs w:val="20"/>
          <w:color w:val="auto"/>
        </w:rPr>
      </w:pPr>
      <w:r>
        <w:rPr>
          <w:rFonts w:ascii="Arial" w:cs="Arial" w:eastAsia="Arial" w:hAnsi="Arial"/>
          <w:sz w:val="18"/>
          <w:szCs w:val="18"/>
          <w:color w:val="auto"/>
        </w:rPr>
        <w:t>Amortization of intangible assets for the three months ended March 31, 2025 and 2024, was $7.8 million and $10.8 million, respectively. Amortization of intangible assets is estimated to be approximately $20 million for the remainder of 2025, $20 million in 2026, $5 million in</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2027, $2 million in 2028 and $1 million in 2029.</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the carrying amount of goodwill, by segment, were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420" w:type="dxa"/>
            <w:vAlign w:val="bottom"/>
            <w:vMerge w:val="restart"/>
          </w:tcPr>
          <w:p>
            <w:pPr>
              <w:ind w:left="20"/>
              <w:spacing w:after="0"/>
              <w:rPr>
                <w:sz w:val="20"/>
                <w:szCs w:val="20"/>
                <w:color w:val="auto"/>
              </w:rPr>
            </w:pPr>
            <w:r>
              <w:rPr>
                <w:rFonts w:ascii="Arial" w:cs="Arial" w:eastAsia="Arial" w:hAnsi="Arial"/>
                <w:sz w:val="14"/>
                <w:szCs w:val="14"/>
                <w:color w:val="auto"/>
              </w:rPr>
              <w:t>(in thousands)</w:t>
            </w:r>
          </w:p>
        </w:tc>
        <w:tc>
          <w:tcPr>
            <w:tcW w:w="180" w:type="dxa"/>
            <w:vAlign w:val="bottom"/>
          </w:tcPr>
          <w:p>
            <w:pPr>
              <w:spacing w:after="0"/>
              <w:rPr>
                <w:sz w:val="14"/>
                <w:szCs w:val="14"/>
                <w:color w:val="auto"/>
              </w:rPr>
            </w:pPr>
          </w:p>
        </w:tc>
        <w:tc>
          <w:tcPr>
            <w:tcW w:w="1040" w:type="dxa"/>
            <w:vAlign w:val="bottom"/>
            <w:vMerge w:val="restart"/>
          </w:tcPr>
          <w:p>
            <w:pPr>
              <w:jc w:val="right"/>
              <w:ind w:right="200"/>
              <w:spacing w:after="0"/>
              <w:rPr>
                <w:sz w:val="20"/>
                <w:szCs w:val="20"/>
                <w:color w:val="auto"/>
              </w:rPr>
            </w:pPr>
            <w:r>
              <w:rPr>
                <w:rFonts w:ascii="Arial" w:cs="Arial" w:eastAsia="Arial" w:hAnsi="Arial"/>
                <w:sz w:val="14"/>
                <w:szCs w:val="14"/>
                <w:b w:val="1"/>
                <w:bCs w:val="1"/>
                <w:color w:val="auto"/>
              </w:rPr>
              <w:t>Education</w:t>
            </w:r>
          </w:p>
        </w:tc>
        <w:tc>
          <w:tcPr>
            <w:tcW w:w="180" w:type="dxa"/>
            <w:vAlign w:val="bottom"/>
          </w:tcPr>
          <w:p>
            <w:pPr>
              <w:spacing w:after="0"/>
              <w:rPr>
                <w:sz w:val="14"/>
                <w:szCs w:val="14"/>
                <w:color w:val="auto"/>
              </w:rPr>
            </w:pPr>
          </w:p>
        </w:tc>
        <w:tc>
          <w:tcPr>
            <w:tcW w:w="1140" w:type="dxa"/>
            <w:vAlign w:val="bottom"/>
          </w:tcPr>
          <w:p>
            <w:pPr>
              <w:jc w:val="right"/>
              <w:ind w:right="241"/>
              <w:spacing w:after="0"/>
              <w:rPr>
                <w:sz w:val="20"/>
                <w:szCs w:val="20"/>
                <w:color w:val="auto"/>
              </w:rPr>
            </w:pPr>
            <w:r>
              <w:rPr>
                <w:rFonts w:ascii="Arial" w:cs="Arial" w:eastAsia="Arial" w:hAnsi="Arial"/>
                <w:sz w:val="14"/>
                <w:szCs w:val="14"/>
                <w:b w:val="1"/>
                <w:bCs w:val="1"/>
                <w:color w:val="auto"/>
              </w:rPr>
              <w:t>Television</w:t>
            </w:r>
          </w:p>
        </w:tc>
        <w:tc>
          <w:tcPr>
            <w:tcW w:w="220" w:type="dxa"/>
            <w:vAlign w:val="bottom"/>
          </w:tcPr>
          <w:p>
            <w:pPr>
              <w:spacing w:after="0"/>
              <w:rPr>
                <w:sz w:val="14"/>
                <w:szCs w:val="14"/>
                <w:color w:val="auto"/>
              </w:rPr>
            </w:pPr>
          </w:p>
        </w:tc>
        <w:tc>
          <w:tcPr>
            <w:tcW w:w="1240" w:type="dxa"/>
            <w:vAlign w:val="bottom"/>
            <w:vMerge w:val="restart"/>
          </w:tcPr>
          <w:p>
            <w:pPr>
              <w:jc w:val="right"/>
              <w:ind w:right="140"/>
              <w:spacing w:after="0"/>
              <w:rPr>
                <w:sz w:val="20"/>
                <w:szCs w:val="20"/>
                <w:color w:val="auto"/>
              </w:rPr>
            </w:pPr>
            <w:r>
              <w:rPr>
                <w:rFonts w:ascii="Arial" w:cs="Arial" w:eastAsia="Arial" w:hAnsi="Arial"/>
                <w:sz w:val="14"/>
                <w:szCs w:val="14"/>
                <w:b w:val="1"/>
                <w:bCs w:val="1"/>
                <w:color w:val="auto"/>
              </w:rPr>
              <w:t>Manufacturing</w:t>
            </w:r>
          </w:p>
        </w:tc>
        <w:tc>
          <w:tcPr>
            <w:tcW w:w="180" w:type="dxa"/>
            <w:vAlign w:val="bottom"/>
          </w:tcPr>
          <w:p>
            <w:pPr>
              <w:spacing w:after="0"/>
              <w:rPr>
                <w:sz w:val="14"/>
                <w:szCs w:val="14"/>
                <w:color w:val="auto"/>
              </w:rPr>
            </w:pPr>
          </w:p>
        </w:tc>
        <w:tc>
          <w:tcPr>
            <w:tcW w:w="920" w:type="dxa"/>
            <w:vAlign w:val="bottom"/>
            <w:vMerge w:val="restart"/>
          </w:tcPr>
          <w:p>
            <w:pPr>
              <w:jc w:val="right"/>
              <w:ind w:right="80"/>
              <w:spacing w:after="0"/>
              <w:rPr>
                <w:sz w:val="20"/>
                <w:szCs w:val="20"/>
                <w:color w:val="auto"/>
              </w:rPr>
            </w:pPr>
            <w:r>
              <w:rPr>
                <w:rFonts w:ascii="Arial" w:cs="Arial" w:eastAsia="Arial" w:hAnsi="Arial"/>
                <w:sz w:val="14"/>
                <w:szCs w:val="14"/>
                <w:b w:val="1"/>
                <w:bCs w:val="1"/>
                <w:color w:val="auto"/>
              </w:rPr>
              <w:t>Healthcare</w:t>
            </w:r>
          </w:p>
        </w:tc>
        <w:tc>
          <w:tcPr>
            <w:tcW w:w="220" w:type="dxa"/>
            <w:vAlign w:val="bottom"/>
          </w:tcPr>
          <w:p>
            <w:pPr>
              <w:spacing w:after="0"/>
              <w:rPr>
                <w:sz w:val="14"/>
                <w:szCs w:val="14"/>
                <w:color w:val="auto"/>
              </w:rPr>
            </w:pPr>
          </w:p>
        </w:tc>
        <w:tc>
          <w:tcPr>
            <w:tcW w:w="1000" w:type="dxa"/>
            <w:vAlign w:val="bottom"/>
            <w:vMerge w:val="restart"/>
          </w:tcPr>
          <w:p>
            <w:pPr>
              <w:jc w:val="right"/>
              <w:ind w:right="100"/>
              <w:spacing w:after="0"/>
              <w:rPr>
                <w:sz w:val="20"/>
                <w:szCs w:val="20"/>
                <w:color w:val="auto"/>
              </w:rPr>
            </w:pPr>
            <w:r>
              <w:rPr>
                <w:rFonts w:ascii="Arial" w:cs="Arial" w:eastAsia="Arial" w:hAnsi="Arial"/>
                <w:sz w:val="14"/>
                <w:szCs w:val="14"/>
                <w:b w:val="1"/>
                <w:bCs w:val="1"/>
                <w:color w:val="auto"/>
              </w:rPr>
              <w:t>Automotive</w:t>
            </w:r>
          </w:p>
        </w:tc>
        <w:tc>
          <w:tcPr>
            <w:tcW w:w="220" w:type="dxa"/>
            <w:vAlign w:val="bottom"/>
          </w:tcPr>
          <w:p>
            <w:pPr>
              <w:spacing w:after="0"/>
              <w:rPr>
                <w:sz w:val="14"/>
                <w:szCs w:val="14"/>
                <w:color w:val="auto"/>
              </w:rPr>
            </w:pPr>
          </w:p>
        </w:tc>
        <w:tc>
          <w:tcPr>
            <w:tcW w:w="1020" w:type="dxa"/>
            <w:vAlign w:val="bottom"/>
          </w:tcPr>
          <w:p>
            <w:pPr>
              <w:jc w:val="right"/>
              <w:ind w:right="361"/>
              <w:spacing w:after="0"/>
              <w:rPr>
                <w:sz w:val="20"/>
                <w:szCs w:val="20"/>
                <w:color w:val="auto"/>
              </w:rPr>
            </w:pPr>
            <w:r>
              <w:rPr>
                <w:rFonts w:ascii="Arial" w:cs="Arial" w:eastAsia="Arial" w:hAnsi="Arial"/>
                <w:sz w:val="14"/>
                <w:szCs w:val="14"/>
                <w:b w:val="1"/>
                <w:bCs w:val="1"/>
                <w:color w:val="auto"/>
              </w:rPr>
              <w:t>Other</w:t>
            </w:r>
          </w:p>
        </w:tc>
        <w:tc>
          <w:tcPr>
            <w:tcW w:w="300" w:type="dxa"/>
            <w:vAlign w:val="bottom"/>
          </w:tcPr>
          <w:p>
            <w:pPr>
              <w:spacing w:after="0"/>
              <w:rPr>
                <w:sz w:val="14"/>
                <w:szCs w:val="14"/>
                <w:color w:val="auto"/>
              </w:rPr>
            </w:pPr>
          </w:p>
        </w:tc>
        <w:tc>
          <w:tcPr>
            <w:tcW w:w="940" w:type="dxa"/>
            <w:vAlign w:val="bottom"/>
            <w:vMerge w:val="restart"/>
          </w:tcPr>
          <w:p>
            <w:pPr>
              <w:jc w:val="right"/>
              <w:ind w:right="3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7"/>
        </w:trPr>
        <w:tc>
          <w:tcPr>
            <w:tcW w:w="2420" w:type="dxa"/>
            <w:vAlign w:val="bottom"/>
            <w:tcBorders>
              <w:bottom w:val="single" w:sz="8" w:color="auto"/>
            </w:tcBorders>
            <w:vMerge w:val="continue"/>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vMerge w:val="continue"/>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101"/>
              <w:spacing w:after="0"/>
              <w:rPr>
                <w:sz w:val="20"/>
                <w:szCs w:val="20"/>
                <w:color w:val="auto"/>
              </w:rPr>
            </w:pPr>
            <w:r>
              <w:rPr>
                <w:rFonts w:ascii="Arial" w:cs="Arial" w:eastAsia="Arial" w:hAnsi="Arial"/>
                <w:sz w:val="14"/>
                <w:szCs w:val="14"/>
                <w:b w:val="1"/>
                <w:bCs w:val="1"/>
                <w:color w:val="auto"/>
              </w:rPr>
              <w:t>Broadcasting</w:t>
            </w:r>
          </w:p>
        </w:tc>
        <w:tc>
          <w:tcPr>
            <w:tcW w:w="2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vMerge w:val="continue"/>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vMerge w:val="continue"/>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vMerge w:val="continue"/>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121"/>
              <w:spacing w:after="0"/>
              <w:rPr>
                <w:sz w:val="20"/>
                <w:szCs w:val="20"/>
                <w:color w:val="auto"/>
              </w:rPr>
            </w:pPr>
            <w:r>
              <w:rPr>
                <w:rFonts w:ascii="Arial" w:cs="Arial" w:eastAsia="Arial" w:hAnsi="Arial"/>
                <w:sz w:val="14"/>
                <w:szCs w:val="14"/>
                <w:b w:val="1"/>
                <w:bCs w:val="1"/>
                <w:color w:val="auto"/>
              </w:rPr>
              <w:t>Businesses</w:t>
            </w:r>
          </w:p>
        </w:tc>
        <w:tc>
          <w:tcPr>
            <w:tcW w:w="3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2420" w:type="dxa"/>
            <w:vAlign w:val="bottom"/>
          </w:tcPr>
          <w:p>
            <w:pPr>
              <w:ind w:left="20"/>
              <w:spacing w:after="0" w:line="169" w:lineRule="exact"/>
              <w:rPr>
                <w:sz w:val="20"/>
                <w:szCs w:val="20"/>
                <w:color w:val="auto"/>
              </w:rPr>
            </w:pPr>
            <w:r>
              <w:rPr>
                <w:rFonts w:ascii="Arial" w:cs="Arial" w:eastAsia="Arial" w:hAnsi="Arial"/>
                <w:sz w:val="16"/>
                <w:szCs w:val="16"/>
                <w:color w:val="auto"/>
              </w:rPr>
              <w:t>Balance as of December 31,</w:t>
            </w: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2420" w:type="dxa"/>
            <w:vAlign w:val="bottom"/>
          </w:tcPr>
          <w:p>
            <w:pPr>
              <w:ind w:left="20"/>
              <w:spacing w:after="0"/>
              <w:rPr>
                <w:sz w:val="20"/>
                <w:szCs w:val="20"/>
                <w:color w:val="auto"/>
              </w:rPr>
            </w:pPr>
            <w:r>
              <w:rPr>
                <w:rFonts w:ascii="Arial" w:cs="Arial" w:eastAsia="Arial" w:hAnsi="Arial"/>
                <w:sz w:val="16"/>
                <w:szCs w:val="16"/>
                <w:color w:val="auto"/>
              </w:rPr>
              <w:t>2024</w:t>
            </w: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420" w:type="dxa"/>
            <w:vAlign w:val="bottom"/>
          </w:tcPr>
          <w:p>
            <w:pPr>
              <w:ind w:left="220"/>
              <w:spacing w:after="0"/>
              <w:rPr>
                <w:sz w:val="20"/>
                <w:szCs w:val="20"/>
                <w:color w:val="auto"/>
              </w:rPr>
            </w:pPr>
            <w:r>
              <w:rPr>
                <w:rFonts w:ascii="Arial" w:cs="Arial" w:eastAsia="Arial" w:hAnsi="Arial"/>
                <w:sz w:val="16"/>
                <w:szCs w:val="16"/>
                <w:color w:val="auto"/>
              </w:rPr>
              <w:t>Goodwill</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1,146,335</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21"/>
              <w:spacing w:after="0"/>
              <w:rPr>
                <w:sz w:val="20"/>
                <w:szCs w:val="20"/>
                <w:color w:val="auto"/>
              </w:rPr>
            </w:pPr>
            <w:r>
              <w:rPr>
                <w:rFonts w:ascii="Arial" w:cs="Arial" w:eastAsia="Arial" w:hAnsi="Arial"/>
                <w:sz w:val="16"/>
                <w:szCs w:val="16"/>
                <w:color w:val="auto"/>
              </w:rPr>
              <w:t>190,815</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234,993</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135,038</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129,280</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41"/>
              <w:spacing w:after="0"/>
              <w:rPr>
                <w:sz w:val="20"/>
                <w:szCs w:val="20"/>
                <w:color w:val="auto"/>
              </w:rPr>
            </w:pPr>
            <w:r>
              <w:rPr>
                <w:rFonts w:ascii="Arial" w:cs="Arial" w:eastAsia="Arial" w:hAnsi="Arial"/>
                <w:sz w:val="16"/>
                <w:szCs w:val="16"/>
                <w:color w:val="auto"/>
              </w:rPr>
              <w:t>251,216</w:t>
            </w:r>
          </w:p>
        </w:tc>
        <w:tc>
          <w:tcPr>
            <w:tcW w:w="3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2,087,677</w:t>
            </w:r>
          </w:p>
        </w:tc>
        <w:tc>
          <w:tcPr>
            <w:tcW w:w="0" w:type="dxa"/>
            <w:vAlign w:val="bottom"/>
          </w:tcPr>
          <w:p>
            <w:pPr>
              <w:spacing w:after="0"/>
              <w:rPr>
                <w:sz w:val="1"/>
                <w:szCs w:val="1"/>
                <w:color w:val="auto"/>
              </w:rPr>
            </w:pPr>
          </w:p>
        </w:tc>
      </w:tr>
      <w:tr>
        <w:trPr>
          <w:trHeight w:val="190"/>
        </w:trPr>
        <w:tc>
          <w:tcPr>
            <w:tcW w:w="2420" w:type="dxa"/>
            <w:vAlign w:val="bottom"/>
          </w:tcPr>
          <w:p>
            <w:pPr>
              <w:ind w:left="220"/>
              <w:spacing w:after="0"/>
              <w:rPr>
                <w:sz w:val="20"/>
                <w:szCs w:val="20"/>
                <w:color w:val="auto"/>
              </w:rPr>
            </w:pPr>
            <w:r>
              <w:rPr>
                <w:rFonts w:ascii="Arial" w:cs="Arial" w:eastAsia="Arial" w:hAnsi="Arial"/>
                <w:sz w:val="16"/>
                <w:szCs w:val="16"/>
                <w:color w:val="auto"/>
              </w:rPr>
              <w:t>Accumulated impairment</w:t>
            </w: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2420" w:type="dxa"/>
            <w:vAlign w:val="bottom"/>
          </w:tcPr>
          <w:p>
            <w:pPr>
              <w:ind w:left="400"/>
              <w:spacing w:after="0"/>
              <w:rPr>
                <w:sz w:val="20"/>
                <w:szCs w:val="20"/>
                <w:color w:val="auto"/>
              </w:rPr>
            </w:pPr>
            <w:r>
              <w:rPr>
                <w:rFonts w:ascii="Arial" w:cs="Arial" w:eastAsia="Arial" w:hAnsi="Arial"/>
                <w:sz w:val="16"/>
                <w:szCs w:val="16"/>
                <w:color w:val="auto"/>
              </w:rPr>
              <w:t>losses</w:t>
            </w: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(331,151)</w:t>
            </w: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(82,062)</w:t>
            </w: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(174,428)</w:t>
            </w: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(587,641)</w:t>
            </w:r>
          </w:p>
        </w:tc>
        <w:tc>
          <w:tcPr>
            <w:tcW w:w="0" w:type="dxa"/>
            <w:vAlign w:val="bottom"/>
          </w:tcPr>
          <w:p>
            <w:pPr>
              <w:spacing w:after="0"/>
              <w:rPr>
                <w:sz w:val="1"/>
                <w:szCs w:val="1"/>
                <w:color w:val="auto"/>
              </w:rPr>
            </w:pPr>
          </w:p>
        </w:tc>
      </w:tr>
      <w:tr>
        <w:trPr>
          <w:trHeight w:val="215"/>
        </w:trPr>
        <w:tc>
          <w:tcPr>
            <w:tcW w:w="2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815,184</w:t>
            </w:r>
          </w:p>
        </w:tc>
        <w:tc>
          <w:tcPr>
            <w:tcW w:w="180" w:type="dxa"/>
            <w:vAlign w:val="bottom"/>
          </w:tcPr>
          <w:p>
            <w:pPr>
              <w:spacing w:after="0"/>
              <w:rPr>
                <w:sz w:val="18"/>
                <w:szCs w:val="18"/>
                <w:color w:val="auto"/>
              </w:rPr>
            </w:pPr>
          </w:p>
        </w:tc>
        <w:tc>
          <w:tcPr>
            <w:tcW w:w="1140" w:type="dxa"/>
            <w:vAlign w:val="bottom"/>
          </w:tcPr>
          <w:p>
            <w:pPr>
              <w:jc w:val="right"/>
              <w:ind w:right="21"/>
              <w:spacing w:after="0"/>
              <w:rPr>
                <w:sz w:val="20"/>
                <w:szCs w:val="20"/>
                <w:color w:val="auto"/>
              </w:rPr>
            </w:pPr>
            <w:r>
              <w:rPr>
                <w:rFonts w:ascii="Arial" w:cs="Arial" w:eastAsia="Arial" w:hAnsi="Arial"/>
                <w:sz w:val="16"/>
                <w:szCs w:val="16"/>
                <w:color w:val="auto"/>
              </w:rPr>
              <w:t>190,815</w:t>
            </w:r>
          </w:p>
        </w:tc>
        <w:tc>
          <w:tcPr>
            <w:tcW w:w="220" w:type="dxa"/>
            <w:vAlign w:val="bottom"/>
          </w:tcPr>
          <w:p>
            <w:pPr>
              <w:spacing w:after="0"/>
              <w:rPr>
                <w:sz w:val="18"/>
                <w:szCs w:val="18"/>
                <w:color w:val="auto"/>
              </w:rPr>
            </w:pP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152,931</w:t>
            </w:r>
          </w:p>
        </w:tc>
        <w:tc>
          <w:tcPr>
            <w:tcW w:w="180" w:type="dxa"/>
            <w:vAlign w:val="bottom"/>
          </w:tcPr>
          <w:p>
            <w:pPr>
              <w:spacing w:after="0"/>
              <w:rPr>
                <w:sz w:val="18"/>
                <w:szCs w:val="18"/>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135,038</w:t>
            </w:r>
          </w:p>
        </w:tc>
        <w:tc>
          <w:tcPr>
            <w:tcW w:w="220" w:type="dxa"/>
            <w:vAlign w:val="bottom"/>
          </w:tcPr>
          <w:p>
            <w:pPr>
              <w:spacing w:after="0"/>
              <w:rPr>
                <w:sz w:val="18"/>
                <w:szCs w:val="18"/>
                <w:color w:val="auto"/>
              </w:rPr>
            </w:pP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129,280</w:t>
            </w:r>
          </w:p>
        </w:tc>
        <w:tc>
          <w:tcPr>
            <w:tcW w:w="220" w:type="dxa"/>
            <w:vAlign w:val="bottom"/>
          </w:tcPr>
          <w:p>
            <w:pPr>
              <w:spacing w:after="0"/>
              <w:rPr>
                <w:sz w:val="18"/>
                <w:szCs w:val="18"/>
                <w:color w:val="auto"/>
              </w:rPr>
            </w:pPr>
          </w:p>
        </w:tc>
        <w:tc>
          <w:tcPr>
            <w:tcW w:w="1020" w:type="dxa"/>
            <w:vAlign w:val="bottom"/>
          </w:tcPr>
          <w:p>
            <w:pPr>
              <w:jc w:val="right"/>
              <w:ind w:right="41"/>
              <w:spacing w:after="0"/>
              <w:rPr>
                <w:sz w:val="20"/>
                <w:szCs w:val="20"/>
                <w:color w:val="auto"/>
              </w:rPr>
            </w:pPr>
            <w:r>
              <w:rPr>
                <w:rFonts w:ascii="Arial" w:cs="Arial" w:eastAsia="Arial" w:hAnsi="Arial"/>
                <w:sz w:val="16"/>
                <w:szCs w:val="16"/>
                <w:color w:val="auto"/>
              </w:rPr>
              <w:t>76,788</w:t>
            </w: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1,500,036</w:t>
            </w:r>
          </w:p>
        </w:tc>
        <w:tc>
          <w:tcPr>
            <w:tcW w:w="0" w:type="dxa"/>
            <w:vAlign w:val="bottom"/>
          </w:tcPr>
          <w:p>
            <w:pPr>
              <w:spacing w:after="0"/>
              <w:rPr>
                <w:sz w:val="1"/>
                <w:szCs w:val="1"/>
                <w:color w:val="auto"/>
              </w:rPr>
            </w:pPr>
          </w:p>
        </w:tc>
      </w:tr>
      <w:tr>
        <w:trPr>
          <w:trHeight w:val="190"/>
        </w:trPr>
        <w:tc>
          <w:tcPr>
            <w:tcW w:w="2420" w:type="dxa"/>
            <w:vAlign w:val="bottom"/>
          </w:tcPr>
          <w:p>
            <w:pPr>
              <w:ind w:left="20"/>
              <w:spacing w:after="0"/>
              <w:rPr>
                <w:sz w:val="20"/>
                <w:szCs w:val="20"/>
                <w:color w:val="auto"/>
              </w:rPr>
            </w:pPr>
            <w:r>
              <w:rPr>
                <w:rFonts w:ascii="Arial" w:cs="Arial" w:eastAsia="Arial" w:hAnsi="Arial"/>
                <w:sz w:val="16"/>
                <w:szCs w:val="16"/>
                <w:b w:val="1"/>
                <w:bCs w:val="1"/>
                <w:color w:val="auto"/>
              </w:rPr>
              <w:t>Reclassification to assets held</w:t>
            </w:r>
          </w:p>
        </w:tc>
        <w:tc>
          <w:tcPr>
            <w:tcW w:w="180" w:type="dxa"/>
            <w:vAlign w:val="bottom"/>
          </w:tcPr>
          <w:p>
            <w:pPr>
              <w:spacing w:after="0"/>
              <w:rPr>
                <w:sz w:val="16"/>
                <w:szCs w:val="16"/>
                <w:color w:val="auto"/>
              </w:rPr>
            </w:pPr>
          </w:p>
        </w:tc>
        <w:tc>
          <w:tcPr>
            <w:tcW w:w="10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(1,070)</w:t>
            </w:r>
          </w:p>
        </w:tc>
        <w:tc>
          <w:tcPr>
            <w:tcW w:w="180" w:type="dxa"/>
            <w:vAlign w:val="bottom"/>
          </w:tcPr>
          <w:p>
            <w:pPr>
              <w:spacing w:after="0"/>
              <w:rPr>
                <w:sz w:val="16"/>
                <w:szCs w:val="16"/>
                <w:color w:val="auto"/>
              </w:rPr>
            </w:pPr>
          </w:p>
        </w:tc>
        <w:tc>
          <w:tcPr>
            <w:tcW w:w="1140" w:type="dxa"/>
            <w:vAlign w:val="bottom"/>
            <w:vMerge w:val="restart"/>
          </w:tcPr>
          <w:p>
            <w:pPr>
              <w:jc w:val="right"/>
              <w:ind w:right="21"/>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16"/>
                <w:szCs w:val="16"/>
                <w:color w:val="auto"/>
              </w:rPr>
            </w:pPr>
          </w:p>
        </w:tc>
        <w:tc>
          <w:tcPr>
            <w:tcW w:w="1240" w:type="dxa"/>
            <w:vAlign w:val="bottom"/>
            <w:vMerge w:val="restart"/>
          </w:tcPr>
          <w:p>
            <w:pPr>
              <w:jc w:val="right"/>
              <w:ind w:right="40"/>
              <w:spacing w:after="0"/>
              <w:rPr>
                <w:sz w:val="20"/>
                <w:szCs w:val="20"/>
                <w:color w:val="auto"/>
              </w:rPr>
            </w:pPr>
            <w:r>
              <w:rPr>
                <w:rFonts w:ascii="Arial" w:cs="Arial" w:eastAsia="Arial" w:hAnsi="Arial"/>
                <w:sz w:val="16"/>
                <w:szCs w:val="16"/>
                <w:b w:val="1"/>
                <w:bCs w:val="1"/>
                <w:color w:val="auto"/>
              </w:rPr>
              <w:t>—</w:t>
            </w:r>
          </w:p>
        </w:tc>
        <w:tc>
          <w:tcPr>
            <w:tcW w:w="180" w:type="dxa"/>
            <w:vAlign w:val="bottom"/>
          </w:tcPr>
          <w:p>
            <w:pPr>
              <w:spacing w:after="0"/>
              <w:rPr>
                <w:sz w:val="16"/>
                <w:szCs w:val="16"/>
                <w:color w:val="auto"/>
              </w:rPr>
            </w:pPr>
          </w:p>
        </w:tc>
        <w:tc>
          <w:tcPr>
            <w:tcW w:w="920" w:type="dxa"/>
            <w:vAlign w:val="bottom"/>
            <w:vMerge w:val="restart"/>
          </w:tcPr>
          <w:p>
            <w:pPr>
              <w:jc w:val="right"/>
              <w:ind w:right="20"/>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16"/>
                <w:szCs w:val="16"/>
                <w:color w:val="auto"/>
              </w:rPr>
            </w:pPr>
          </w:p>
        </w:tc>
        <w:tc>
          <w:tcPr>
            <w:tcW w:w="1000" w:type="dxa"/>
            <w:vAlign w:val="bottom"/>
            <w:vMerge w:val="restart"/>
          </w:tcPr>
          <w:p>
            <w:pPr>
              <w:jc w:val="right"/>
              <w:ind w:right="20"/>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16"/>
                <w:szCs w:val="16"/>
                <w:color w:val="auto"/>
              </w:rPr>
            </w:pPr>
          </w:p>
        </w:tc>
        <w:tc>
          <w:tcPr>
            <w:tcW w:w="1020" w:type="dxa"/>
            <w:vAlign w:val="bottom"/>
            <w:vMerge w:val="restart"/>
          </w:tcPr>
          <w:p>
            <w:pPr>
              <w:jc w:val="right"/>
              <w:ind w:right="41"/>
              <w:spacing w:after="0"/>
              <w:rPr>
                <w:sz w:val="20"/>
                <w:szCs w:val="20"/>
                <w:color w:val="auto"/>
              </w:rPr>
            </w:pPr>
            <w:r>
              <w:rPr>
                <w:rFonts w:ascii="Arial" w:cs="Arial" w:eastAsia="Arial" w:hAnsi="Arial"/>
                <w:sz w:val="16"/>
                <w:szCs w:val="16"/>
                <w:b w:val="1"/>
                <w:bCs w:val="1"/>
                <w:color w:val="auto"/>
              </w:rPr>
              <w:t>—</w:t>
            </w:r>
          </w:p>
        </w:tc>
        <w:tc>
          <w:tcPr>
            <w:tcW w:w="300" w:type="dxa"/>
            <w:vAlign w:val="bottom"/>
          </w:tcPr>
          <w:p>
            <w:pPr>
              <w:spacing w:after="0"/>
              <w:rPr>
                <w:sz w:val="16"/>
                <w:szCs w:val="16"/>
                <w:color w:val="auto"/>
              </w:rPr>
            </w:pPr>
          </w:p>
        </w:tc>
        <w:tc>
          <w:tcPr>
            <w:tcW w:w="9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(1,070)</w:t>
            </w:r>
          </w:p>
        </w:tc>
        <w:tc>
          <w:tcPr>
            <w:tcW w:w="0" w:type="dxa"/>
            <w:vAlign w:val="bottom"/>
          </w:tcPr>
          <w:p>
            <w:pPr>
              <w:spacing w:after="0"/>
              <w:rPr>
                <w:sz w:val="1"/>
                <w:szCs w:val="1"/>
                <w:color w:val="auto"/>
              </w:rPr>
            </w:pPr>
          </w:p>
        </w:tc>
      </w:tr>
      <w:tr>
        <w:trPr>
          <w:trHeight w:val="223"/>
        </w:trPr>
        <w:tc>
          <w:tcPr>
            <w:tcW w:w="2420" w:type="dxa"/>
            <w:vAlign w:val="bottom"/>
          </w:tcPr>
          <w:p>
            <w:pPr>
              <w:ind w:left="180"/>
              <w:spacing w:after="0"/>
              <w:rPr>
                <w:sz w:val="20"/>
                <w:szCs w:val="20"/>
                <w:color w:val="auto"/>
              </w:rPr>
            </w:pPr>
            <w:r>
              <w:rPr>
                <w:rFonts w:ascii="Arial" w:cs="Arial" w:eastAsia="Arial" w:hAnsi="Arial"/>
                <w:sz w:val="16"/>
                <w:szCs w:val="16"/>
                <w:b w:val="1"/>
                <w:bCs w:val="1"/>
                <w:color w:val="auto"/>
              </w:rPr>
              <w:t>for sale</w:t>
            </w:r>
          </w:p>
        </w:tc>
        <w:tc>
          <w:tcPr>
            <w:tcW w:w="18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2"/>
        </w:trPr>
        <w:tc>
          <w:tcPr>
            <w:tcW w:w="2420" w:type="dxa"/>
            <w:vAlign w:val="bottom"/>
          </w:tcPr>
          <w:p>
            <w:pPr>
              <w:ind w:left="20"/>
              <w:spacing w:after="0" w:line="182" w:lineRule="exact"/>
              <w:rPr>
                <w:sz w:val="20"/>
                <w:szCs w:val="20"/>
                <w:color w:val="auto"/>
              </w:rPr>
            </w:pPr>
            <w:r>
              <w:rPr>
                <w:rFonts w:ascii="Arial" w:cs="Arial" w:eastAsia="Arial" w:hAnsi="Arial"/>
                <w:sz w:val="16"/>
                <w:szCs w:val="16"/>
                <w:b w:val="1"/>
                <w:bCs w:val="1"/>
                <w:color w:val="auto"/>
              </w:rPr>
              <w:t>Foreign currency exchange</w:t>
            </w:r>
          </w:p>
        </w:tc>
        <w:tc>
          <w:tcPr>
            <w:tcW w:w="180" w:type="dxa"/>
            <w:vAlign w:val="bottom"/>
          </w:tcPr>
          <w:p>
            <w:pPr>
              <w:spacing w:after="0"/>
              <w:rPr>
                <w:sz w:val="15"/>
                <w:szCs w:val="15"/>
                <w:color w:val="auto"/>
              </w:rPr>
            </w:pPr>
          </w:p>
        </w:tc>
        <w:tc>
          <w:tcPr>
            <w:tcW w:w="1040" w:type="dxa"/>
            <w:vAlign w:val="bottom"/>
            <w:vMerge w:val="restart"/>
          </w:tcPr>
          <w:p>
            <w:pPr>
              <w:jc w:val="right"/>
              <w:ind w:right="40"/>
              <w:spacing w:after="0"/>
              <w:rPr>
                <w:sz w:val="20"/>
                <w:szCs w:val="20"/>
                <w:color w:val="auto"/>
              </w:rPr>
            </w:pPr>
            <w:r>
              <w:rPr>
                <w:rFonts w:ascii="Arial" w:cs="Arial" w:eastAsia="Arial" w:hAnsi="Arial"/>
                <w:sz w:val="16"/>
                <w:szCs w:val="16"/>
                <w:b w:val="1"/>
                <w:bCs w:val="1"/>
                <w:color w:val="auto"/>
              </w:rPr>
              <w:t>10,433</w:t>
            </w:r>
          </w:p>
        </w:tc>
        <w:tc>
          <w:tcPr>
            <w:tcW w:w="180" w:type="dxa"/>
            <w:vAlign w:val="bottom"/>
          </w:tcPr>
          <w:p>
            <w:pPr>
              <w:spacing w:after="0"/>
              <w:rPr>
                <w:sz w:val="15"/>
                <w:szCs w:val="15"/>
                <w:color w:val="auto"/>
              </w:rPr>
            </w:pPr>
          </w:p>
        </w:tc>
        <w:tc>
          <w:tcPr>
            <w:tcW w:w="1140" w:type="dxa"/>
            <w:vAlign w:val="bottom"/>
            <w:vMerge w:val="restart"/>
          </w:tcPr>
          <w:p>
            <w:pPr>
              <w:jc w:val="right"/>
              <w:ind w:right="21"/>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15"/>
                <w:szCs w:val="15"/>
                <w:color w:val="auto"/>
              </w:rPr>
            </w:pPr>
          </w:p>
        </w:tc>
        <w:tc>
          <w:tcPr>
            <w:tcW w:w="1240" w:type="dxa"/>
            <w:vAlign w:val="bottom"/>
            <w:vMerge w:val="restart"/>
          </w:tcPr>
          <w:p>
            <w:pPr>
              <w:jc w:val="right"/>
              <w:ind w:right="40"/>
              <w:spacing w:after="0"/>
              <w:rPr>
                <w:sz w:val="20"/>
                <w:szCs w:val="20"/>
                <w:color w:val="auto"/>
              </w:rPr>
            </w:pPr>
            <w:r>
              <w:rPr>
                <w:rFonts w:ascii="Arial" w:cs="Arial" w:eastAsia="Arial" w:hAnsi="Arial"/>
                <w:sz w:val="16"/>
                <w:szCs w:val="16"/>
                <w:b w:val="1"/>
                <w:bCs w:val="1"/>
                <w:color w:val="auto"/>
              </w:rPr>
              <w:t>—</w:t>
            </w:r>
          </w:p>
        </w:tc>
        <w:tc>
          <w:tcPr>
            <w:tcW w:w="180" w:type="dxa"/>
            <w:vAlign w:val="bottom"/>
          </w:tcPr>
          <w:p>
            <w:pPr>
              <w:spacing w:after="0"/>
              <w:rPr>
                <w:sz w:val="15"/>
                <w:szCs w:val="15"/>
                <w:color w:val="auto"/>
              </w:rPr>
            </w:pPr>
          </w:p>
        </w:tc>
        <w:tc>
          <w:tcPr>
            <w:tcW w:w="920" w:type="dxa"/>
            <w:vAlign w:val="bottom"/>
            <w:vMerge w:val="restart"/>
          </w:tcPr>
          <w:p>
            <w:pPr>
              <w:jc w:val="right"/>
              <w:ind w:right="20"/>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15"/>
                <w:szCs w:val="15"/>
                <w:color w:val="auto"/>
              </w:rPr>
            </w:pPr>
          </w:p>
        </w:tc>
        <w:tc>
          <w:tcPr>
            <w:tcW w:w="1000" w:type="dxa"/>
            <w:vAlign w:val="bottom"/>
            <w:vMerge w:val="restart"/>
          </w:tcPr>
          <w:p>
            <w:pPr>
              <w:jc w:val="right"/>
              <w:ind w:right="20"/>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15"/>
                <w:szCs w:val="15"/>
                <w:color w:val="auto"/>
              </w:rPr>
            </w:pPr>
          </w:p>
        </w:tc>
        <w:tc>
          <w:tcPr>
            <w:tcW w:w="1020" w:type="dxa"/>
            <w:vAlign w:val="bottom"/>
            <w:vMerge w:val="restart"/>
          </w:tcPr>
          <w:p>
            <w:pPr>
              <w:jc w:val="right"/>
              <w:ind w:right="41"/>
              <w:spacing w:after="0"/>
              <w:rPr>
                <w:sz w:val="20"/>
                <w:szCs w:val="20"/>
                <w:color w:val="auto"/>
              </w:rPr>
            </w:pPr>
            <w:r>
              <w:rPr>
                <w:rFonts w:ascii="Arial" w:cs="Arial" w:eastAsia="Arial" w:hAnsi="Arial"/>
                <w:sz w:val="16"/>
                <w:szCs w:val="16"/>
                <w:b w:val="1"/>
                <w:bCs w:val="1"/>
                <w:color w:val="auto"/>
              </w:rPr>
              <w:t>—</w:t>
            </w:r>
          </w:p>
        </w:tc>
        <w:tc>
          <w:tcPr>
            <w:tcW w:w="30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10,433</w:t>
            </w:r>
          </w:p>
        </w:tc>
        <w:tc>
          <w:tcPr>
            <w:tcW w:w="0" w:type="dxa"/>
            <w:vAlign w:val="bottom"/>
          </w:tcPr>
          <w:p>
            <w:pPr>
              <w:spacing w:after="0"/>
              <w:rPr>
                <w:sz w:val="1"/>
                <w:szCs w:val="1"/>
                <w:color w:val="auto"/>
              </w:rPr>
            </w:pPr>
          </w:p>
        </w:tc>
      </w:tr>
      <w:tr>
        <w:trPr>
          <w:trHeight w:val="224"/>
        </w:trPr>
        <w:tc>
          <w:tcPr>
            <w:tcW w:w="2420" w:type="dxa"/>
            <w:vAlign w:val="bottom"/>
          </w:tcPr>
          <w:p>
            <w:pPr>
              <w:ind w:left="180"/>
              <w:spacing w:after="0"/>
              <w:rPr>
                <w:sz w:val="20"/>
                <w:szCs w:val="20"/>
                <w:color w:val="auto"/>
              </w:rPr>
            </w:pPr>
            <w:r>
              <w:rPr>
                <w:rFonts w:ascii="Arial" w:cs="Arial" w:eastAsia="Arial" w:hAnsi="Arial"/>
                <w:sz w:val="16"/>
                <w:szCs w:val="16"/>
                <w:b w:val="1"/>
                <w:bCs w:val="1"/>
                <w:color w:val="auto"/>
              </w:rPr>
              <w:t>rate changes</w:t>
            </w: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vMerge w:val="continue"/>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vMerge w:val="continue"/>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vMerge w:val="continue"/>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vMerge w:val="continue"/>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vMerge w:val="continue"/>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vMerge w:val="continue"/>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420" w:type="dxa"/>
            <w:vAlign w:val="bottom"/>
          </w:tcPr>
          <w:p>
            <w:pPr>
              <w:ind w:left="20"/>
              <w:spacing w:after="0"/>
              <w:rPr>
                <w:sz w:val="20"/>
                <w:szCs w:val="20"/>
                <w:color w:val="auto"/>
              </w:rPr>
            </w:pPr>
            <w:r>
              <w:rPr>
                <w:rFonts w:ascii="Arial" w:cs="Arial" w:eastAsia="Arial" w:hAnsi="Arial"/>
                <w:sz w:val="16"/>
                <w:szCs w:val="16"/>
                <w:b w:val="1"/>
                <w:bCs w:val="1"/>
                <w:color w:val="auto"/>
              </w:rPr>
              <w:t>Balance as of March 31, 2025</w:t>
            </w: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420" w:type="dxa"/>
            <w:vAlign w:val="bottom"/>
          </w:tcPr>
          <w:p>
            <w:pPr>
              <w:ind w:left="220"/>
              <w:spacing w:after="0"/>
              <w:rPr>
                <w:sz w:val="20"/>
                <w:szCs w:val="20"/>
                <w:color w:val="auto"/>
              </w:rPr>
            </w:pPr>
            <w:r>
              <w:rPr>
                <w:rFonts w:ascii="Arial" w:cs="Arial" w:eastAsia="Arial" w:hAnsi="Arial"/>
                <w:sz w:val="16"/>
                <w:szCs w:val="16"/>
                <w:b w:val="1"/>
                <w:bCs w:val="1"/>
                <w:color w:val="auto"/>
              </w:rPr>
              <w:t>Goodwill</w:t>
            </w:r>
          </w:p>
        </w:tc>
        <w:tc>
          <w:tcPr>
            <w:tcW w:w="180" w:type="dxa"/>
            <w:vAlign w:val="bottom"/>
          </w:tcPr>
          <w:p>
            <w:pPr>
              <w:spacing w:after="0"/>
              <w:rPr>
                <w:sz w:val="19"/>
                <w:szCs w:val="19"/>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b w:val="1"/>
                <w:bCs w:val="1"/>
                <w:color w:val="auto"/>
              </w:rPr>
              <w:t>1,155,698</w:t>
            </w:r>
          </w:p>
        </w:tc>
        <w:tc>
          <w:tcPr>
            <w:tcW w:w="180" w:type="dxa"/>
            <w:vAlign w:val="bottom"/>
          </w:tcPr>
          <w:p>
            <w:pPr>
              <w:spacing w:after="0"/>
              <w:rPr>
                <w:sz w:val="19"/>
                <w:szCs w:val="19"/>
                <w:color w:val="auto"/>
              </w:rPr>
            </w:pPr>
          </w:p>
        </w:tc>
        <w:tc>
          <w:tcPr>
            <w:tcW w:w="1140" w:type="dxa"/>
            <w:vAlign w:val="bottom"/>
          </w:tcPr>
          <w:p>
            <w:pPr>
              <w:jc w:val="right"/>
              <w:ind w:right="21"/>
              <w:spacing w:after="0"/>
              <w:rPr>
                <w:sz w:val="20"/>
                <w:szCs w:val="20"/>
                <w:color w:val="auto"/>
              </w:rPr>
            </w:pPr>
            <w:r>
              <w:rPr>
                <w:rFonts w:ascii="Arial" w:cs="Arial" w:eastAsia="Arial" w:hAnsi="Arial"/>
                <w:sz w:val="16"/>
                <w:szCs w:val="16"/>
                <w:b w:val="1"/>
                <w:bCs w:val="1"/>
                <w:color w:val="auto"/>
              </w:rPr>
              <w:t>190,815</w:t>
            </w:r>
          </w:p>
        </w:tc>
        <w:tc>
          <w:tcPr>
            <w:tcW w:w="220" w:type="dxa"/>
            <w:vAlign w:val="bottom"/>
          </w:tcPr>
          <w:p>
            <w:pPr>
              <w:spacing w:after="0"/>
              <w:rPr>
                <w:sz w:val="19"/>
                <w:szCs w:val="19"/>
                <w:color w:val="auto"/>
              </w:rPr>
            </w:pPr>
          </w:p>
        </w:tc>
        <w:tc>
          <w:tcPr>
            <w:tcW w:w="1240" w:type="dxa"/>
            <w:vAlign w:val="bottom"/>
          </w:tcPr>
          <w:p>
            <w:pPr>
              <w:jc w:val="right"/>
              <w:ind w:right="40"/>
              <w:spacing w:after="0"/>
              <w:rPr>
                <w:sz w:val="20"/>
                <w:szCs w:val="20"/>
                <w:color w:val="auto"/>
              </w:rPr>
            </w:pPr>
            <w:r>
              <w:rPr>
                <w:rFonts w:ascii="Arial" w:cs="Arial" w:eastAsia="Arial" w:hAnsi="Arial"/>
                <w:sz w:val="16"/>
                <w:szCs w:val="16"/>
                <w:b w:val="1"/>
                <w:bCs w:val="1"/>
                <w:color w:val="auto"/>
              </w:rPr>
              <w:t>234,993</w:t>
            </w:r>
          </w:p>
        </w:tc>
        <w:tc>
          <w:tcPr>
            <w:tcW w:w="180" w:type="dxa"/>
            <w:vAlign w:val="bottom"/>
          </w:tcPr>
          <w:p>
            <w:pPr>
              <w:spacing w:after="0"/>
              <w:rPr>
                <w:sz w:val="19"/>
                <w:szCs w:val="19"/>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b w:val="1"/>
                <w:bCs w:val="1"/>
                <w:color w:val="auto"/>
              </w:rPr>
              <w:t>135,038</w:t>
            </w:r>
          </w:p>
        </w:tc>
        <w:tc>
          <w:tcPr>
            <w:tcW w:w="220" w:type="dxa"/>
            <w:vAlign w:val="bottom"/>
          </w:tcPr>
          <w:p>
            <w:pPr>
              <w:spacing w:after="0"/>
              <w:rPr>
                <w:sz w:val="19"/>
                <w:szCs w:val="19"/>
                <w:color w:val="auto"/>
              </w:rPr>
            </w:pPr>
          </w:p>
        </w:tc>
        <w:tc>
          <w:tcPr>
            <w:tcW w:w="1000" w:type="dxa"/>
            <w:vAlign w:val="bottom"/>
          </w:tcPr>
          <w:p>
            <w:pPr>
              <w:jc w:val="right"/>
              <w:ind w:right="20"/>
              <w:spacing w:after="0"/>
              <w:rPr>
                <w:sz w:val="20"/>
                <w:szCs w:val="20"/>
                <w:color w:val="auto"/>
              </w:rPr>
            </w:pPr>
            <w:r>
              <w:rPr>
                <w:rFonts w:ascii="Arial" w:cs="Arial" w:eastAsia="Arial" w:hAnsi="Arial"/>
                <w:sz w:val="16"/>
                <w:szCs w:val="16"/>
                <w:b w:val="1"/>
                <w:bCs w:val="1"/>
                <w:color w:val="auto"/>
              </w:rPr>
              <w:t>129,280</w:t>
            </w:r>
          </w:p>
        </w:tc>
        <w:tc>
          <w:tcPr>
            <w:tcW w:w="220" w:type="dxa"/>
            <w:vAlign w:val="bottom"/>
          </w:tcPr>
          <w:p>
            <w:pPr>
              <w:spacing w:after="0"/>
              <w:rPr>
                <w:sz w:val="19"/>
                <w:szCs w:val="19"/>
                <w:color w:val="auto"/>
              </w:rPr>
            </w:pPr>
          </w:p>
        </w:tc>
        <w:tc>
          <w:tcPr>
            <w:tcW w:w="1020" w:type="dxa"/>
            <w:vAlign w:val="bottom"/>
          </w:tcPr>
          <w:p>
            <w:pPr>
              <w:jc w:val="right"/>
              <w:ind w:right="41"/>
              <w:spacing w:after="0"/>
              <w:rPr>
                <w:sz w:val="20"/>
                <w:szCs w:val="20"/>
                <w:color w:val="auto"/>
              </w:rPr>
            </w:pPr>
            <w:r>
              <w:rPr>
                <w:rFonts w:ascii="Arial" w:cs="Arial" w:eastAsia="Arial" w:hAnsi="Arial"/>
                <w:sz w:val="16"/>
                <w:szCs w:val="16"/>
                <w:b w:val="1"/>
                <w:bCs w:val="1"/>
                <w:color w:val="auto"/>
              </w:rPr>
              <w:t>251,216</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2,097,040</w:t>
            </w:r>
          </w:p>
        </w:tc>
        <w:tc>
          <w:tcPr>
            <w:tcW w:w="0" w:type="dxa"/>
            <w:vAlign w:val="bottom"/>
          </w:tcPr>
          <w:p>
            <w:pPr>
              <w:spacing w:after="0"/>
              <w:rPr>
                <w:sz w:val="1"/>
                <w:szCs w:val="1"/>
                <w:color w:val="auto"/>
              </w:rPr>
            </w:pPr>
          </w:p>
        </w:tc>
      </w:tr>
      <w:tr>
        <w:trPr>
          <w:trHeight w:val="182"/>
        </w:trPr>
        <w:tc>
          <w:tcPr>
            <w:tcW w:w="2420" w:type="dxa"/>
            <w:vAlign w:val="bottom"/>
          </w:tcPr>
          <w:p>
            <w:pPr>
              <w:ind w:left="220"/>
              <w:spacing w:after="0" w:line="182" w:lineRule="exact"/>
              <w:rPr>
                <w:sz w:val="20"/>
                <w:szCs w:val="20"/>
                <w:color w:val="auto"/>
              </w:rPr>
            </w:pPr>
            <w:r>
              <w:rPr>
                <w:rFonts w:ascii="Arial" w:cs="Arial" w:eastAsia="Arial" w:hAnsi="Arial"/>
                <w:sz w:val="16"/>
                <w:szCs w:val="16"/>
                <w:b w:val="1"/>
                <w:bCs w:val="1"/>
                <w:color w:val="auto"/>
              </w:rPr>
              <w:t>Accumulated impairment</w:t>
            </w:r>
          </w:p>
        </w:tc>
        <w:tc>
          <w:tcPr>
            <w:tcW w:w="18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(331,151)</w:t>
            </w:r>
          </w:p>
        </w:tc>
        <w:tc>
          <w:tcPr>
            <w:tcW w:w="180" w:type="dxa"/>
            <w:vAlign w:val="bottom"/>
          </w:tcPr>
          <w:p>
            <w:pPr>
              <w:spacing w:after="0"/>
              <w:rPr>
                <w:sz w:val="15"/>
                <w:szCs w:val="15"/>
                <w:color w:val="auto"/>
              </w:rPr>
            </w:pPr>
          </w:p>
        </w:tc>
        <w:tc>
          <w:tcPr>
            <w:tcW w:w="1140" w:type="dxa"/>
            <w:vAlign w:val="bottom"/>
            <w:vMerge w:val="restart"/>
          </w:tcPr>
          <w:p>
            <w:pPr>
              <w:jc w:val="right"/>
              <w:ind w:right="21"/>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15"/>
                <w:szCs w:val="15"/>
                <w:color w:val="auto"/>
              </w:rPr>
            </w:pPr>
          </w:p>
        </w:tc>
        <w:tc>
          <w:tcPr>
            <w:tcW w:w="12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(82,062)</w:t>
            </w:r>
          </w:p>
        </w:tc>
        <w:tc>
          <w:tcPr>
            <w:tcW w:w="180" w:type="dxa"/>
            <w:vAlign w:val="bottom"/>
          </w:tcPr>
          <w:p>
            <w:pPr>
              <w:spacing w:after="0"/>
              <w:rPr>
                <w:sz w:val="15"/>
                <w:szCs w:val="15"/>
                <w:color w:val="auto"/>
              </w:rPr>
            </w:pPr>
          </w:p>
        </w:tc>
        <w:tc>
          <w:tcPr>
            <w:tcW w:w="920" w:type="dxa"/>
            <w:vAlign w:val="bottom"/>
            <w:vMerge w:val="restart"/>
          </w:tcPr>
          <w:p>
            <w:pPr>
              <w:jc w:val="right"/>
              <w:ind w:right="20"/>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15"/>
                <w:szCs w:val="15"/>
                <w:color w:val="auto"/>
              </w:rPr>
            </w:pPr>
          </w:p>
        </w:tc>
        <w:tc>
          <w:tcPr>
            <w:tcW w:w="1000" w:type="dxa"/>
            <w:vAlign w:val="bottom"/>
            <w:vMerge w:val="restart"/>
          </w:tcPr>
          <w:p>
            <w:pPr>
              <w:jc w:val="right"/>
              <w:ind w:right="20"/>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15"/>
                <w:szCs w:val="15"/>
                <w:color w:val="auto"/>
              </w:rPr>
            </w:pPr>
          </w:p>
        </w:tc>
        <w:tc>
          <w:tcPr>
            <w:tcW w:w="1020" w:type="dxa"/>
            <w:vAlign w:val="bottom"/>
            <w:vMerge w:val="restart"/>
          </w:tcPr>
          <w:p>
            <w:pPr>
              <w:jc w:val="right"/>
              <w:ind w:right="1"/>
              <w:spacing w:after="0"/>
              <w:rPr>
                <w:sz w:val="20"/>
                <w:szCs w:val="20"/>
                <w:color w:val="auto"/>
              </w:rPr>
            </w:pPr>
            <w:r>
              <w:rPr>
                <w:rFonts w:ascii="Arial" w:cs="Arial" w:eastAsia="Arial" w:hAnsi="Arial"/>
                <w:sz w:val="16"/>
                <w:szCs w:val="16"/>
                <w:b w:val="1"/>
                <w:bCs w:val="1"/>
                <w:color w:val="auto"/>
              </w:rPr>
              <w:t>(174,428)</w:t>
            </w:r>
          </w:p>
        </w:tc>
        <w:tc>
          <w:tcPr>
            <w:tcW w:w="30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(587,641)</w:t>
            </w:r>
          </w:p>
        </w:tc>
        <w:tc>
          <w:tcPr>
            <w:tcW w:w="0" w:type="dxa"/>
            <w:vAlign w:val="bottom"/>
          </w:tcPr>
          <w:p>
            <w:pPr>
              <w:spacing w:after="0"/>
              <w:rPr>
                <w:sz w:val="1"/>
                <w:szCs w:val="1"/>
                <w:color w:val="auto"/>
              </w:rPr>
            </w:pPr>
          </w:p>
        </w:tc>
      </w:tr>
      <w:tr>
        <w:trPr>
          <w:trHeight w:val="226"/>
        </w:trPr>
        <w:tc>
          <w:tcPr>
            <w:tcW w:w="2420" w:type="dxa"/>
            <w:vAlign w:val="bottom"/>
          </w:tcPr>
          <w:p>
            <w:pPr>
              <w:ind w:left="400"/>
              <w:spacing w:after="0"/>
              <w:rPr>
                <w:sz w:val="20"/>
                <w:szCs w:val="20"/>
                <w:color w:val="auto"/>
              </w:rPr>
            </w:pPr>
            <w:r>
              <w:rPr>
                <w:rFonts w:ascii="Arial" w:cs="Arial" w:eastAsia="Arial" w:hAnsi="Arial"/>
                <w:sz w:val="16"/>
                <w:szCs w:val="16"/>
                <w:b w:val="1"/>
                <w:bCs w:val="1"/>
                <w:color w:val="auto"/>
              </w:rPr>
              <w:t>losses</w:t>
            </w: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vMerge w:val="continue"/>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vMerge w:val="continue"/>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vMerge w:val="continue"/>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vMerge w:val="continue"/>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vMerge w:val="continue"/>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vMerge w:val="continue"/>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4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0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824,547</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1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190,815</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2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152,931</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135,038</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129,280</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0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76,788</w:t>
            </w:r>
          </w:p>
        </w:tc>
        <w:tc>
          <w:tcPr>
            <w:tcW w:w="3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1,509,399</w:t>
            </w:r>
          </w:p>
        </w:tc>
        <w:tc>
          <w:tcPr>
            <w:tcW w:w="0" w:type="dxa"/>
            <w:vAlign w:val="bottom"/>
          </w:tcPr>
          <w:p>
            <w:pPr>
              <w:spacing w:after="0"/>
              <w:rPr>
                <w:sz w:val="1"/>
                <w:szCs w:val="1"/>
                <w:color w:val="auto"/>
              </w:rPr>
            </w:pPr>
          </w:p>
        </w:tc>
      </w:tr>
      <w:tr>
        <w:trPr>
          <w:trHeight w:val="24"/>
        </w:trPr>
        <w:tc>
          <w:tcPr>
            <w:tcW w:w="24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carrying amount of goodwill at the Company’s education division were as follows: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40" w:type="dxa"/>
            <w:vAlign w:val="bottom"/>
            <w:vMerge w:val="restart"/>
          </w:tcPr>
          <w:p>
            <w:pPr>
              <w:ind w:left="20"/>
              <w:spacing w:after="0"/>
              <w:rPr>
                <w:sz w:val="20"/>
                <w:szCs w:val="20"/>
                <w:color w:val="auto"/>
              </w:rPr>
            </w:pPr>
            <w:r>
              <w:rPr>
                <w:rFonts w:ascii="Arial" w:cs="Arial" w:eastAsia="Arial" w:hAnsi="Arial"/>
                <w:sz w:val="14"/>
                <w:szCs w:val="14"/>
                <w:color w:val="auto"/>
              </w:rPr>
              <w:t>(in thousands)</w:t>
            </w:r>
          </w:p>
        </w:tc>
        <w:tc>
          <w:tcPr>
            <w:tcW w:w="160" w:type="dxa"/>
            <w:vAlign w:val="bottom"/>
          </w:tcPr>
          <w:p>
            <w:pPr>
              <w:spacing w:after="0"/>
              <w:rPr>
                <w:sz w:val="14"/>
                <w:szCs w:val="14"/>
                <w:color w:val="auto"/>
              </w:rPr>
            </w:pPr>
          </w:p>
        </w:tc>
        <w:tc>
          <w:tcPr>
            <w:tcW w:w="1200" w:type="dxa"/>
            <w:vAlign w:val="bottom"/>
          </w:tcPr>
          <w:p>
            <w:pPr>
              <w:jc w:val="right"/>
              <w:ind w:right="381"/>
              <w:spacing w:after="0"/>
              <w:rPr>
                <w:sz w:val="20"/>
                <w:szCs w:val="20"/>
                <w:color w:val="auto"/>
              </w:rPr>
            </w:pPr>
            <w:r>
              <w:rPr>
                <w:rFonts w:ascii="Arial" w:cs="Arial" w:eastAsia="Arial" w:hAnsi="Arial"/>
                <w:sz w:val="14"/>
                <w:szCs w:val="14"/>
                <w:b w:val="1"/>
                <w:bCs w:val="1"/>
                <w:color w:val="auto"/>
              </w:rPr>
              <w:t>Kaplan</w:t>
            </w:r>
          </w:p>
        </w:tc>
        <w:tc>
          <w:tcPr>
            <w:tcW w:w="260" w:type="dxa"/>
            <w:vAlign w:val="bottom"/>
          </w:tcPr>
          <w:p>
            <w:pPr>
              <w:spacing w:after="0"/>
              <w:rPr>
                <w:sz w:val="14"/>
                <w:szCs w:val="14"/>
                <w:color w:val="auto"/>
              </w:rPr>
            </w:pPr>
          </w:p>
        </w:tc>
        <w:tc>
          <w:tcPr>
            <w:tcW w:w="1140" w:type="dxa"/>
            <w:vAlign w:val="bottom"/>
          </w:tcPr>
          <w:p>
            <w:pPr>
              <w:jc w:val="right"/>
              <w:ind w:right="381"/>
              <w:spacing w:after="0"/>
              <w:rPr>
                <w:sz w:val="20"/>
                <w:szCs w:val="20"/>
                <w:color w:val="auto"/>
              </w:rPr>
            </w:pPr>
            <w:r>
              <w:rPr>
                <w:rFonts w:ascii="Arial" w:cs="Arial" w:eastAsia="Arial" w:hAnsi="Arial"/>
                <w:sz w:val="14"/>
                <w:szCs w:val="14"/>
                <w:b w:val="1"/>
                <w:bCs w:val="1"/>
                <w:color w:val="auto"/>
              </w:rPr>
              <w:t>Higher</w:t>
            </w:r>
          </w:p>
        </w:tc>
        <w:tc>
          <w:tcPr>
            <w:tcW w:w="220" w:type="dxa"/>
            <w:vAlign w:val="bottom"/>
          </w:tcPr>
          <w:p>
            <w:pPr>
              <w:spacing w:after="0"/>
              <w:rPr>
                <w:sz w:val="14"/>
                <w:szCs w:val="14"/>
                <w:color w:val="auto"/>
              </w:rPr>
            </w:pPr>
          </w:p>
        </w:tc>
        <w:tc>
          <w:tcPr>
            <w:tcW w:w="1220" w:type="dxa"/>
            <w:vAlign w:val="bottom"/>
          </w:tcPr>
          <w:p>
            <w:pPr>
              <w:jc w:val="right"/>
              <w:ind w:right="161"/>
              <w:spacing w:after="0"/>
              <w:rPr>
                <w:sz w:val="20"/>
                <w:szCs w:val="20"/>
                <w:color w:val="auto"/>
              </w:rPr>
            </w:pPr>
            <w:r>
              <w:rPr>
                <w:rFonts w:ascii="Arial" w:cs="Arial" w:eastAsia="Arial" w:hAnsi="Arial"/>
                <w:sz w:val="14"/>
                <w:szCs w:val="14"/>
                <w:b w:val="1"/>
                <w:bCs w:val="1"/>
                <w:color w:val="auto"/>
              </w:rPr>
              <w:t>Supplemental</w:t>
            </w:r>
          </w:p>
        </w:tc>
        <w:tc>
          <w:tcPr>
            <w:tcW w:w="360" w:type="dxa"/>
            <w:vAlign w:val="bottom"/>
          </w:tcPr>
          <w:p>
            <w:pPr>
              <w:spacing w:after="0"/>
              <w:rPr>
                <w:sz w:val="14"/>
                <w:szCs w:val="14"/>
                <w:color w:val="auto"/>
              </w:rPr>
            </w:pPr>
          </w:p>
        </w:tc>
        <w:tc>
          <w:tcPr>
            <w:tcW w:w="1040" w:type="dxa"/>
            <w:vAlign w:val="bottom"/>
            <w:vMerge w:val="restart"/>
          </w:tcPr>
          <w:p>
            <w:pPr>
              <w:jc w:val="right"/>
              <w:ind w:right="4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5"/>
        </w:trPr>
        <w:tc>
          <w:tcPr>
            <w:tcW w:w="5640" w:type="dxa"/>
            <w:vAlign w:val="bottom"/>
            <w:tcBorders>
              <w:bottom w:val="single" w:sz="8" w:color="auto"/>
            </w:tcBorders>
            <w:vMerge w:val="continue"/>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201"/>
              <w:spacing w:after="0"/>
              <w:rPr>
                <w:sz w:val="20"/>
                <w:szCs w:val="20"/>
                <w:color w:val="auto"/>
              </w:rPr>
            </w:pPr>
            <w:r>
              <w:rPr>
                <w:rFonts w:ascii="Arial" w:cs="Arial" w:eastAsia="Arial" w:hAnsi="Arial"/>
                <w:sz w:val="14"/>
                <w:szCs w:val="14"/>
                <w:b w:val="1"/>
                <w:bCs w:val="1"/>
                <w:color w:val="auto"/>
              </w:rPr>
              <w:t>International</w:t>
            </w:r>
          </w:p>
        </w:tc>
        <w:tc>
          <w:tcPr>
            <w:tcW w:w="2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261"/>
              <w:spacing w:after="0"/>
              <w:rPr>
                <w:sz w:val="20"/>
                <w:szCs w:val="20"/>
                <w:color w:val="auto"/>
              </w:rPr>
            </w:pPr>
            <w:r>
              <w:rPr>
                <w:rFonts w:ascii="Arial" w:cs="Arial" w:eastAsia="Arial" w:hAnsi="Arial"/>
                <w:sz w:val="14"/>
                <w:szCs w:val="14"/>
                <w:b w:val="1"/>
                <w:bCs w:val="1"/>
                <w:color w:val="auto"/>
              </w:rPr>
              <w:t>Education</w:t>
            </w:r>
          </w:p>
        </w:tc>
        <w:tc>
          <w:tcPr>
            <w:tcW w:w="2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281"/>
              <w:spacing w:after="0"/>
              <w:rPr>
                <w:sz w:val="20"/>
                <w:szCs w:val="20"/>
                <w:color w:val="auto"/>
              </w:rPr>
            </w:pPr>
            <w:r>
              <w:rPr>
                <w:rFonts w:ascii="Arial" w:cs="Arial" w:eastAsia="Arial" w:hAnsi="Arial"/>
                <w:sz w:val="14"/>
                <w:szCs w:val="14"/>
                <w:b w:val="1"/>
                <w:bCs w:val="1"/>
                <w:color w:val="auto"/>
              </w:rPr>
              <w:t>Education</w:t>
            </w:r>
          </w:p>
        </w:tc>
        <w:tc>
          <w:tcPr>
            <w:tcW w:w="3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5640" w:type="dxa"/>
            <w:vAlign w:val="bottom"/>
          </w:tcPr>
          <w:p>
            <w:pPr>
              <w:ind w:left="20"/>
              <w:spacing w:after="0"/>
              <w:rPr>
                <w:sz w:val="20"/>
                <w:szCs w:val="20"/>
                <w:color w:val="auto"/>
              </w:rPr>
            </w:pPr>
            <w:r>
              <w:rPr>
                <w:rFonts w:ascii="Arial" w:cs="Arial" w:eastAsia="Arial" w:hAnsi="Arial"/>
                <w:sz w:val="16"/>
                <w:szCs w:val="16"/>
                <w:color w:val="auto"/>
              </w:rPr>
              <w:t>Balance as of December 31, 2024</w:t>
            </w: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640" w:type="dxa"/>
            <w:vAlign w:val="bottom"/>
          </w:tcPr>
          <w:p>
            <w:pPr>
              <w:ind w:left="220"/>
              <w:spacing w:after="0"/>
              <w:rPr>
                <w:sz w:val="20"/>
                <w:szCs w:val="20"/>
                <w:color w:val="auto"/>
              </w:rPr>
            </w:pPr>
            <w:r>
              <w:rPr>
                <w:rFonts w:ascii="Arial" w:cs="Arial" w:eastAsia="Arial" w:hAnsi="Arial"/>
                <w:sz w:val="16"/>
                <w:szCs w:val="16"/>
                <w:color w:val="auto"/>
              </w:rPr>
              <w:t>Goodwill</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41"/>
              <w:spacing w:after="0"/>
              <w:rPr>
                <w:sz w:val="20"/>
                <w:szCs w:val="20"/>
                <w:color w:val="auto"/>
              </w:rPr>
            </w:pPr>
            <w:r>
              <w:rPr>
                <w:rFonts w:ascii="Arial" w:cs="Arial" w:eastAsia="Arial" w:hAnsi="Arial"/>
                <w:sz w:val="16"/>
                <w:szCs w:val="16"/>
                <w:color w:val="auto"/>
              </w:rPr>
              <w:t>580,495</w:t>
            </w:r>
          </w:p>
        </w:tc>
        <w:tc>
          <w:tcPr>
            <w:tcW w:w="2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41"/>
              <w:spacing w:after="0"/>
              <w:rPr>
                <w:sz w:val="20"/>
                <w:szCs w:val="20"/>
                <w:color w:val="auto"/>
              </w:rPr>
            </w:pPr>
            <w:r>
              <w:rPr>
                <w:rFonts w:ascii="Arial" w:cs="Arial" w:eastAsia="Arial" w:hAnsi="Arial"/>
                <w:sz w:val="16"/>
                <w:szCs w:val="16"/>
                <w:color w:val="auto"/>
              </w:rPr>
              <w:t>174,564</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41"/>
              <w:spacing w:after="0"/>
              <w:rPr>
                <w:sz w:val="20"/>
                <w:szCs w:val="20"/>
                <w:color w:val="auto"/>
              </w:rPr>
            </w:pPr>
            <w:r>
              <w:rPr>
                <w:rFonts w:ascii="Arial" w:cs="Arial" w:eastAsia="Arial" w:hAnsi="Arial"/>
                <w:sz w:val="16"/>
                <w:szCs w:val="16"/>
                <w:color w:val="auto"/>
              </w:rPr>
              <w:t>391,276</w:t>
            </w:r>
          </w:p>
        </w:tc>
        <w:tc>
          <w:tcPr>
            <w:tcW w:w="3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1,146,335</w:t>
            </w:r>
          </w:p>
        </w:tc>
        <w:tc>
          <w:tcPr>
            <w:tcW w:w="0" w:type="dxa"/>
            <w:vAlign w:val="bottom"/>
          </w:tcPr>
          <w:p>
            <w:pPr>
              <w:spacing w:after="0"/>
              <w:rPr>
                <w:sz w:val="1"/>
                <w:szCs w:val="1"/>
                <w:color w:val="auto"/>
              </w:rPr>
            </w:pPr>
          </w:p>
        </w:tc>
      </w:tr>
      <w:tr>
        <w:trPr>
          <w:trHeight w:val="239"/>
        </w:trPr>
        <w:tc>
          <w:tcPr>
            <w:tcW w:w="5640" w:type="dxa"/>
            <w:vAlign w:val="bottom"/>
          </w:tcPr>
          <w:p>
            <w:pPr>
              <w:ind w:left="220"/>
              <w:spacing w:after="0"/>
              <w:rPr>
                <w:sz w:val="20"/>
                <w:szCs w:val="20"/>
                <w:color w:val="auto"/>
              </w:rPr>
            </w:pPr>
            <w:r>
              <w:rPr>
                <w:rFonts w:ascii="Arial" w:cs="Arial" w:eastAsia="Arial" w:hAnsi="Arial"/>
                <w:sz w:val="16"/>
                <w:szCs w:val="16"/>
                <w:color w:val="auto"/>
              </w:rPr>
              <w:t>Accumulated impairment losses</w:t>
            </w:r>
          </w:p>
        </w:tc>
        <w:tc>
          <w:tcPr>
            <w:tcW w:w="1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(111,324)</w:t>
            </w:r>
          </w:p>
        </w:tc>
        <w:tc>
          <w:tcPr>
            <w:tcW w:w="2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(219,827)</w:t>
            </w:r>
          </w:p>
        </w:tc>
        <w:tc>
          <w:tcPr>
            <w:tcW w:w="3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(331,151)</w:t>
            </w:r>
          </w:p>
        </w:tc>
        <w:tc>
          <w:tcPr>
            <w:tcW w:w="0" w:type="dxa"/>
            <w:vAlign w:val="bottom"/>
          </w:tcPr>
          <w:p>
            <w:pPr>
              <w:spacing w:after="0"/>
              <w:rPr>
                <w:sz w:val="1"/>
                <w:szCs w:val="1"/>
                <w:color w:val="auto"/>
              </w:rPr>
            </w:pPr>
          </w:p>
        </w:tc>
      </w:tr>
      <w:tr>
        <w:trPr>
          <w:trHeight w:val="215"/>
        </w:trPr>
        <w:tc>
          <w:tcPr>
            <w:tcW w:w="5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ind w:right="41"/>
              <w:spacing w:after="0"/>
              <w:rPr>
                <w:sz w:val="20"/>
                <w:szCs w:val="20"/>
                <w:color w:val="auto"/>
              </w:rPr>
            </w:pPr>
            <w:r>
              <w:rPr>
                <w:rFonts w:ascii="Arial" w:cs="Arial" w:eastAsia="Arial" w:hAnsi="Arial"/>
                <w:sz w:val="16"/>
                <w:szCs w:val="16"/>
                <w:color w:val="auto"/>
              </w:rPr>
              <w:t>580,495</w:t>
            </w:r>
          </w:p>
        </w:tc>
        <w:tc>
          <w:tcPr>
            <w:tcW w:w="260" w:type="dxa"/>
            <w:vAlign w:val="bottom"/>
          </w:tcPr>
          <w:p>
            <w:pPr>
              <w:spacing w:after="0"/>
              <w:rPr>
                <w:sz w:val="18"/>
                <w:szCs w:val="18"/>
                <w:color w:val="auto"/>
              </w:rPr>
            </w:pPr>
          </w:p>
        </w:tc>
        <w:tc>
          <w:tcPr>
            <w:tcW w:w="1140" w:type="dxa"/>
            <w:vAlign w:val="bottom"/>
          </w:tcPr>
          <w:p>
            <w:pPr>
              <w:jc w:val="right"/>
              <w:ind w:right="41"/>
              <w:spacing w:after="0"/>
              <w:rPr>
                <w:sz w:val="20"/>
                <w:szCs w:val="20"/>
                <w:color w:val="auto"/>
              </w:rPr>
            </w:pPr>
            <w:r>
              <w:rPr>
                <w:rFonts w:ascii="Arial" w:cs="Arial" w:eastAsia="Arial" w:hAnsi="Arial"/>
                <w:sz w:val="16"/>
                <w:szCs w:val="16"/>
                <w:color w:val="auto"/>
              </w:rPr>
              <w:t>63,240</w:t>
            </w:r>
          </w:p>
        </w:tc>
        <w:tc>
          <w:tcPr>
            <w:tcW w:w="220" w:type="dxa"/>
            <w:vAlign w:val="bottom"/>
          </w:tcPr>
          <w:p>
            <w:pPr>
              <w:spacing w:after="0"/>
              <w:rPr>
                <w:sz w:val="18"/>
                <w:szCs w:val="18"/>
                <w:color w:val="auto"/>
              </w:rPr>
            </w:pPr>
          </w:p>
        </w:tc>
        <w:tc>
          <w:tcPr>
            <w:tcW w:w="1220" w:type="dxa"/>
            <w:vAlign w:val="bottom"/>
          </w:tcPr>
          <w:p>
            <w:pPr>
              <w:jc w:val="right"/>
              <w:ind w:right="41"/>
              <w:spacing w:after="0"/>
              <w:rPr>
                <w:sz w:val="20"/>
                <w:szCs w:val="20"/>
                <w:color w:val="auto"/>
              </w:rPr>
            </w:pPr>
            <w:r>
              <w:rPr>
                <w:rFonts w:ascii="Arial" w:cs="Arial" w:eastAsia="Arial" w:hAnsi="Arial"/>
                <w:sz w:val="16"/>
                <w:szCs w:val="16"/>
                <w:color w:val="auto"/>
              </w:rPr>
              <w:t>171,449</w:t>
            </w:r>
          </w:p>
        </w:tc>
        <w:tc>
          <w:tcPr>
            <w:tcW w:w="3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815,184</w:t>
            </w:r>
          </w:p>
        </w:tc>
        <w:tc>
          <w:tcPr>
            <w:tcW w:w="0" w:type="dxa"/>
            <w:vAlign w:val="bottom"/>
          </w:tcPr>
          <w:p>
            <w:pPr>
              <w:spacing w:after="0"/>
              <w:rPr>
                <w:sz w:val="1"/>
                <w:szCs w:val="1"/>
                <w:color w:val="auto"/>
              </w:rPr>
            </w:pPr>
          </w:p>
        </w:tc>
      </w:tr>
      <w:tr>
        <w:trPr>
          <w:trHeight w:val="237"/>
        </w:trPr>
        <w:tc>
          <w:tcPr>
            <w:tcW w:w="5640" w:type="dxa"/>
            <w:vAlign w:val="bottom"/>
          </w:tcPr>
          <w:p>
            <w:pPr>
              <w:ind w:left="20"/>
              <w:spacing w:after="0"/>
              <w:rPr>
                <w:sz w:val="20"/>
                <w:szCs w:val="20"/>
                <w:color w:val="auto"/>
              </w:rPr>
            </w:pPr>
            <w:r>
              <w:rPr>
                <w:rFonts w:ascii="Arial" w:cs="Arial" w:eastAsia="Arial" w:hAnsi="Arial"/>
                <w:sz w:val="16"/>
                <w:szCs w:val="16"/>
                <w:b w:val="1"/>
                <w:bCs w:val="1"/>
                <w:color w:val="auto"/>
              </w:rPr>
              <w:t>Reclassification to assets held for sale</w:t>
            </w:r>
          </w:p>
        </w:tc>
        <w:tc>
          <w:tcPr>
            <w:tcW w:w="160" w:type="dxa"/>
            <w:vAlign w:val="bottom"/>
          </w:tcPr>
          <w:p>
            <w:pPr>
              <w:spacing w:after="0"/>
              <w:rPr>
                <w:sz w:val="20"/>
                <w:szCs w:val="20"/>
                <w:color w:val="auto"/>
              </w:rPr>
            </w:pPr>
          </w:p>
        </w:tc>
        <w:tc>
          <w:tcPr>
            <w:tcW w:w="1200" w:type="dxa"/>
            <w:vAlign w:val="bottom"/>
          </w:tcPr>
          <w:p>
            <w:pPr>
              <w:jc w:val="right"/>
              <w:ind w:right="1"/>
              <w:spacing w:after="0"/>
              <w:rPr>
                <w:sz w:val="20"/>
                <w:szCs w:val="20"/>
                <w:color w:val="auto"/>
              </w:rPr>
            </w:pPr>
            <w:r>
              <w:rPr>
                <w:rFonts w:ascii="Arial" w:cs="Arial" w:eastAsia="Arial" w:hAnsi="Arial"/>
                <w:sz w:val="16"/>
                <w:szCs w:val="16"/>
                <w:b w:val="1"/>
                <w:bCs w:val="1"/>
                <w:color w:val="auto"/>
              </w:rPr>
              <w:t>(1,070)</w:t>
            </w:r>
          </w:p>
        </w:tc>
        <w:tc>
          <w:tcPr>
            <w:tcW w:w="260" w:type="dxa"/>
            <w:vAlign w:val="bottom"/>
          </w:tcPr>
          <w:p>
            <w:pPr>
              <w:spacing w:after="0"/>
              <w:rPr>
                <w:sz w:val="20"/>
                <w:szCs w:val="20"/>
                <w:color w:val="auto"/>
              </w:rPr>
            </w:pPr>
          </w:p>
        </w:tc>
        <w:tc>
          <w:tcPr>
            <w:tcW w:w="1140" w:type="dxa"/>
            <w:vAlign w:val="bottom"/>
          </w:tcPr>
          <w:p>
            <w:pPr>
              <w:jc w:val="right"/>
              <w:ind w:right="41"/>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20"/>
                <w:szCs w:val="20"/>
                <w:color w:val="auto"/>
              </w:rPr>
            </w:pPr>
          </w:p>
        </w:tc>
        <w:tc>
          <w:tcPr>
            <w:tcW w:w="1220" w:type="dxa"/>
            <w:vAlign w:val="bottom"/>
          </w:tcPr>
          <w:p>
            <w:pPr>
              <w:jc w:val="right"/>
              <w:ind w:right="41"/>
              <w:spacing w:after="0"/>
              <w:rPr>
                <w:sz w:val="20"/>
                <w:szCs w:val="20"/>
                <w:color w:val="auto"/>
              </w:rPr>
            </w:pPr>
            <w:r>
              <w:rPr>
                <w:rFonts w:ascii="Arial" w:cs="Arial" w:eastAsia="Arial" w:hAnsi="Arial"/>
                <w:sz w:val="16"/>
                <w:szCs w:val="16"/>
                <w:b w:val="1"/>
                <w:bCs w:val="1"/>
                <w:color w:val="auto"/>
              </w:rPr>
              <w:t>—</w:t>
            </w:r>
          </w:p>
        </w:tc>
        <w:tc>
          <w:tcPr>
            <w:tcW w:w="3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(1,070)</w:t>
            </w:r>
          </w:p>
        </w:tc>
        <w:tc>
          <w:tcPr>
            <w:tcW w:w="0" w:type="dxa"/>
            <w:vAlign w:val="bottom"/>
          </w:tcPr>
          <w:p>
            <w:pPr>
              <w:spacing w:after="0"/>
              <w:rPr>
                <w:sz w:val="1"/>
                <w:szCs w:val="1"/>
                <w:color w:val="auto"/>
              </w:rPr>
            </w:pPr>
          </w:p>
        </w:tc>
      </w:tr>
      <w:tr>
        <w:trPr>
          <w:trHeight w:val="230"/>
        </w:trPr>
        <w:tc>
          <w:tcPr>
            <w:tcW w:w="5640" w:type="dxa"/>
            <w:vAlign w:val="bottom"/>
          </w:tcPr>
          <w:p>
            <w:pPr>
              <w:ind w:left="20"/>
              <w:spacing w:after="0"/>
              <w:rPr>
                <w:sz w:val="20"/>
                <w:szCs w:val="20"/>
                <w:color w:val="auto"/>
              </w:rPr>
            </w:pPr>
            <w:r>
              <w:rPr>
                <w:rFonts w:ascii="Arial" w:cs="Arial" w:eastAsia="Arial" w:hAnsi="Arial"/>
                <w:sz w:val="16"/>
                <w:szCs w:val="16"/>
                <w:b w:val="1"/>
                <w:bCs w:val="1"/>
                <w:color w:val="auto"/>
              </w:rPr>
              <w:t>Foreign currency exchange rate changes</w:t>
            </w:r>
          </w:p>
        </w:tc>
        <w:tc>
          <w:tcPr>
            <w:tcW w:w="1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10,424</w:t>
            </w:r>
          </w:p>
        </w:tc>
        <w:tc>
          <w:tcPr>
            <w:tcW w:w="2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w:t>
            </w:r>
          </w:p>
        </w:tc>
        <w:tc>
          <w:tcPr>
            <w:tcW w:w="2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9</w:t>
            </w:r>
          </w:p>
        </w:tc>
        <w:tc>
          <w:tcPr>
            <w:tcW w:w="3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10,433</w:t>
            </w:r>
          </w:p>
        </w:tc>
        <w:tc>
          <w:tcPr>
            <w:tcW w:w="0" w:type="dxa"/>
            <w:vAlign w:val="bottom"/>
          </w:tcPr>
          <w:p>
            <w:pPr>
              <w:spacing w:after="0"/>
              <w:rPr>
                <w:sz w:val="1"/>
                <w:szCs w:val="1"/>
                <w:color w:val="auto"/>
              </w:rPr>
            </w:pPr>
          </w:p>
        </w:tc>
      </w:tr>
      <w:tr>
        <w:trPr>
          <w:trHeight w:val="222"/>
        </w:trPr>
        <w:tc>
          <w:tcPr>
            <w:tcW w:w="5640" w:type="dxa"/>
            <w:vAlign w:val="bottom"/>
          </w:tcPr>
          <w:p>
            <w:pPr>
              <w:ind w:left="20"/>
              <w:spacing w:after="0"/>
              <w:rPr>
                <w:sz w:val="20"/>
                <w:szCs w:val="20"/>
                <w:color w:val="auto"/>
              </w:rPr>
            </w:pPr>
            <w:r>
              <w:rPr>
                <w:rFonts w:ascii="Arial" w:cs="Arial" w:eastAsia="Arial" w:hAnsi="Arial"/>
                <w:sz w:val="16"/>
                <w:szCs w:val="16"/>
                <w:b w:val="1"/>
                <w:bCs w:val="1"/>
                <w:color w:val="auto"/>
              </w:rPr>
              <w:t>Balance as of March 31, 2025</w:t>
            </w: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40" w:type="dxa"/>
            <w:vAlign w:val="bottom"/>
          </w:tcPr>
          <w:p>
            <w:pPr>
              <w:ind w:left="220"/>
              <w:spacing w:after="0"/>
              <w:rPr>
                <w:sz w:val="20"/>
                <w:szCs w:val="20"/>
                <w:color w:val="auto"/>
              </w:rPr>
            </w:pPr>
            <w:r>
              <w:rPr>
                <w:rFonts w:ascii="Arial" w:cs="Arial" w:eastAsia="Arial" w:hAnsi="Arial"/>
                <w:sz w:val="16"/>
                <w:szCs w:val="16"/>
                <w:b w:val="1"/>
                <w:bCs w:val="1"/>
                <w:color w:val="auto"/>
              </w:rPr>
              <w:t>Goodwill</w:t>
            </w:r>
          </w:p>
        </w:tc>
        <w:tc>
          <w:tcPr>
            <w:tcW w:w="160" w:type="dxa"/>
            <w:vAlign w:val="bottom"/>
          </w:tcPr>
          <w:p>
            <w:pPr>
              <w:spacing w:after="0"/>
              <w:rPr>
                <w:sz w:val="19"/>
                <w:szCs w:val="19"/>
                <w:color w:val="auto"/>
              </w:rPr>
            </w:pPr>
          </w:p>
        </w:tc>
        <w:tc>
          <w:tcPr>
            <w:tcW w:w="1200" w:type="dxa"/>
            <w:vAlign w:val="bottom"/>
          </w:tcPr>
          <w:p>
            <w:pPr>
              <w:jc w:val="right"/>
              <w:ind w:right="41"/>
              <w:spacing w:after="0"/>
              <w:rPr>
                <w:sz w:val="20"/>
                <w:szCs w:val="20"/>
                <w:color w:val="auto"/>
              </w:rPr>
            </w:pPr>
            <w:r>
              <w:rPr>
                <w:rFonts w:ascii="Arial" w:cs="Arial" w:eastAsia="Arial" w:hAnsi="Arial"/>
                <w:sz w:val="16"/>
                <w:szCs w:val="16"/>
                <w:b w:val="1"/>
                <w:bCs w:val="1"/>
                <w:color w:val="auto"/>
              </w:rPr>
              <w:t>589,849</w:t>
            </w:r>
          </w:p>
        </w:tc>
        <w:tc>
          <w:tcPr>
            <w:tcW w:w="260" w:type="dxa"/>
            <w:vAlign w:val="bottom"/>
          </w:tcPr>
          <w:p>
            <w:pPr>
              <w:spacing w:after="0"/>
              <w:rPr>
                <w:sz w:val="19"/>
                <w:szCs w:val="19"/>
                <w:color w:val="auto"/>
              </w:rPr>
            </w:pPr>
          </w:p>
        </w:tc>
        <w:tc>
          <w:tcPr>
            <w:tcW w:w="1140" w:type="dxa"/>
            <w:vAlign w:val="bottom"/>
          </w:tcPr>
          <w:p>
            <w:pPr>
              <w:jc w:val="right"/>
              <w:ind w:right="41"/>
              <w:spacing w:after="0"/>
              <w:rPr>
                <w:sz w:val="20"/>
                <w:szCs w:val="20"/>
                <w:color w:val="auto"/>
              </w:rPr>
            </w:pPr>
            <w:r>
              <w:rPr>
                <w:rFonts w:ascii="Arial" w:cs="Arial" w:eastAsia="Arial" w:hAnsi="Arial"/>
                <w:sz w:val="16"/>
                <w:szCs w:val="16"/>
                <w:b w:val="1"/>
                <w:bCs w:val="1"/>
                <w:color w:val="auto"/>
              </w:rPr>
              <w:t>174,564</w:t>
            </w:r>
          </w:p>
        </w:tc>
        <w:tc>
          <w:tcPr>
            <w:tcW w:w="220" w:type="dxa"/>
            <w:vAlign w:val="bottom"/>
          </w:tcPr>
          <w:p>
            <w:pPr>
              <w:spacing w:after="0"/>
              <w:rPr>
                <w:sz w:val="19"/>
                <w:szCs w:val="19"/>
                <w:color w:val="auto"/>
              </w:rPr>
            </w:pPr>
          </w:p>
        </w:tc>
        <w:tc>
          <w:tcPr>
            <w:tcW w:w="1220" w:type="dxa"/>
            <w:vAlign w:val="bottom"/>
          </w:tcPr>
          <w:p>
            <w:pPr>
              <w:jc w:val="right"/>
              <w:ind w:right="41"/>
              <w:spacing w:after="0"/>
              <w:rPr>
                <w:sz w:val="20"/>
                <w:szCs w:val="20"/>
                <w:color w:val="auto"/>
              </w:rPr>
            </w:pPr>
            <w:r>
              <w:rPr>
                <w:rFonts w:ascii="Arial" w:cs="Arial" w:eastAsia="Arial" w:hAnsi="Arial"/>
                <w:sz w:val="16"/>
                <w:szCs w:val="16"/>
                <w:b w:val="1"/>
                <w:bCs w:val="1"/>
                <w:color w:val="auto"/>
              </w:rPr>
              <w:t>391,285</w:t>
            </w:r>
          </w:p>
        </w:tc>
        <w:tc>
          <w:tcPr>
            <w:tcW w:w="3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1,155,698</w:t>
            </w:r>
          </w:p>
        </w:tc>
        <w:tc>
          <w:tcPr>
            <w:tcW w:w="0" w:type="dxa"/>
            <w:vAlign w:val="bottom"/>
          </w:tcPr>
          <w:p>
            <w:pPr>
              <w:spacing w:after="0"/>
              <w:rPr>
                <w:sz w:val="1"/>
                <w:szCs w:val="1"/>
                <w:color w:val="auto"/>
              </w:rPr>
            </w:pPr>
          </w:p>
        </w:tc>
      </w:tr>
      <w:tr>
        <w:trPr>
          <w:trHeight w:val="233"/>
        </w:trPr>
        <w:tc>
          <w:tcPr>
            <w:tcW w:w="5640" w:type="dxa"/>
            <w:vAlign w:val="bottom"/>
          </w:tcPr>
          <w:p>
            <w:pPr>
              <w:ind w:left="220"/>
              <w:spacing w:after="0"/>
              <w:rPr>
                <w:sz w:val="20"/>
                <w:szCs w:val="20"/>
                <w:color w:val="auto"/>
              </w:rPr>
            </w:pPr>
            <w:r>
              <w:rPr>
                <w:rFonts w:ascii="Arial" w:cs="Arial" w:eastAsia="Arial" w:hAnsi="Arial"/>
                <w:sz w:val="16"/>
                <w:szCs w:val="16"/>
                <w:b w:val="1"/>
                <w:bCs w:val="1"/>
                <w:color w:val="auto"/>
              </w:rPr>
              <w:t>Accumulated impairment losses</w:t>
            </w:r>
          </w:p>
        </w:tc>
        <w:tc>
          <w:tcPr>
            <w:tcW w:w="1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w:t>
            </w:r>
          </w:p>
        </w:tc>
        <w:tc>
          <w:tcPr>
            <w:tcW w:w="2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(111,324)</w:t>
            </w:r>
          </w:p>
        </w:tc>
        <w:tc>
          <w:tcPr>
            <w:tcW w:w="2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(219,827)</w:t>
            </w:r>
          </w:p>
        </w:tc>
        <w:tc>
          <w:tcPr>
            <w:tcW w:w="3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(331,151)</w:t>
            </w:r>
          </w:p>
        </w:tc>
        <w:tc>
          <w:tcPr>
            <w:tcW w:w="0" w:type="dxa"/>
            <w:vAlign w:val="bottom"/>
          </w:tcPr>
          <w:p>
            <w:pPr>
              <w:spacing w:after="0"/>
              <w:rPr>
                <w:sz w:val="1"/>
                <w:szCs w:val="1"/>
                <w:color w:val="auto"/>
              </w:rPr>
            </w:pPr>
          </w:p>
        </w:tc>
      </w:tr>
      <w:tr>
        <w:trPr>
          <w:trHeight w:val="223"/>
        </w:trPr>
        <w:tc>
          <w:tcPr>
            <w:tcW w:w="564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2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589,849</w:t>
            </w:r>
          </w:p>
        </w:tc>
        <w:tc>
          <w:tcPr>
            <w:tcW w:w="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11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63,240</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2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171,458</w:t>
            </w:r>
          </w:p>
        </w:tc>
        <w:tc>
          <w:tcPr>
            <w:tcW w:w="3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824,547</w:t>
            </w:r>
          </w:p>
        </w:tc>
        <w:tc>
          <w:tcPr>
            <w:tcW w:w="0" w:type="dxa"/>
            <w:vAlign w:val="bottom"/>
          </w:tcPr>
          <w:p>
            <w:pPr>
              <w:spacing w:after="0"/>
              <w:rPr>
                <w:sz w:val="1"/>
                <w:szCs w:val="1"/>
                <w:color w:val="auto"/>
              </w:rPr>
            </w:pPr>
          </w:p>
        </w:tc>
      </w:tr>
      <w:tr>
        <w:trPr>
          <w:trHeight w:val="24"/>
        </w:trPr>
        <w:tc>
          <w:tcPr>
            <w:tcW w:w="56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Other intangible assets consist of the following: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9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As of March 31, 2025</w:t>
            </w:r>
          </w:p>
        </w:tc>
        <w:tc>
          <w:tcPr>
            <w:tcW w:w="1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380" w:type="dxa"/>
            <w:vAlign w:val="bottom"/>
            <w:tcBorders>
              <w:bottom w:val="single" w:sz="8" w:color="auto"/>
            </w:tcBorders>
            <w:gridSpan w:val="4"/>
          </w:tcPr>
          <w:p>
            <w:pPr>
              <w:jc w:val="center"/>
              <w:ind w:left="581"/>
              <w:spacing w:after="0"/>
              <w:rPr>
                <w:sz w:val="20"/>
                <w:szCs w:val="20"/>
                <w:color w:val="auto"/>
              </w:rPr>
            </w:pPr>
            <w:r>
              <w:rPr>
                <w:rFonts w:ascii="Arial" w:cs="Arial" w:eastAsia="Arial" w:hAnsi="Arial"/>
                <w:sz w:val="14"/>
                <w:szCs w:val="14"/>
                <w:color w:val="auto"/>
              </w:rPr>
              <w:t>As of December 31, 2024</w:t>
            </w:r>
          </w:p>
        </w:tc>
        <w:tc>
          <w:tcPr>
            <w:tcW w:w="8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29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center"/>
              <w:ind w:right="101"/>
              <w:spacing w:after="0"/>
              <w:rPr>
                <w:sz w:val="20"/>
                <w:szCs w:val="20"/>
                <w:color w:val="auto"/>
              </w:rPr>
            </w:pPr>
            <w:r>
              <w:rPr>
                <w:rFonts w:ascii="Arial" w:cs="Arial" w:eastAsia="Arial" w:hAnsi="Arial"/>
                <w:sz w:val="14"/>
                <w:szCs w:val="14"/>
                <w:b w:val="1"/>
                <w:bCs w:val="1"/>
                <w:color w:val="auto"/>
                <w:w w:val="98"/>
              </w:rPr>
              <w:t>Gross</w:t>
            </w:r>
          </w:p>
        </w:tc>
        <w:tc>
          <w:tcPr>
            <w:tcW w:w="2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jc w:val="center"/>
              <w:ind w:right="121"/>
              <w:spacing w:after="0"/>
              <w:rPr>
                <w:sz w:val="20"/>
                <w:szCs w:val="20"/>
                <w:color w:val="auto"/>
              </w:rPr>
            </w:pPr>
            <w:r>
              <w:rPr>
                <w:rFonts w:ascii="Arial" w:cs="Arial" w:eastAsia="Arial" w:hAnsi="Arial"/>
                <w:sz w:val="14"/>
                <w:szCs w:val="14"/>
                <w:color w:val="auto"/>
              </w:rPr>
              <w:t>Gross</w:t>
            </w:r>
          </w:p>
        </w:tc>
        <w:tc>
          <w:tcPr>
            <w:tcW w:w="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jc w:val="center"/>
              <w:ind w:right="122"/>
              <w:spacing w:after="0"/>
              <w:rPr>
                <w:sz w:val="20"/>
                <w:szCs w:val="20"/>
                <w:color w:val="auto"/>
              </w:rPr>
            </w:pPr>
            <w:r>
              <w:rPr>
                <w:rFonts w:ascii="Arial" w:cs="Arial" w:eastAsia="Arial" w:hAnsi="Arial"/>
                <w:sz w:val="14"/>
                <w:szCs w:val="14"/>
                <w:color w:val="auto"/>
              </w:rPr>
              <w:t>Net</w:t>
            </w:r>
          </w:p>
        </w:tc>
        <w:tc>
          <w:tcPr>
            <w:tcW w:w="0" w:type="dxa"/>
            <w:vAlign w:val="bottom"/>
          </w:tcPr>
          <w:p>
            <w:pPr>
              <w:spacing w:after="0"/>
              <w:rPr>
                <w:sz w:val="1"/>
                <w:szCs w:val="1"/>
                <w:color w:val="auto"/>
              </w:rPr>
            </w:pPr>
          </w:p>
        </w:tc>
      </w:tr>
      <w:tr>
        <w:trPr>
          <w:trHeight w:val="148"/>
        </w:trPr>
        <w:tc>
          <w:tcPr>
            <w:tcW w:w="2900" w:type="dxa"/>
            <w:vAlign w:val="bottom"/>
          </w:tcPr>
          <w:p>
            <w:pPr>
              <w:spacing w:after="0"/>
              <w:rPr>
                <w:sz w:val="12"/>
                <w:szCs w:val="12"/>
                <w:color w:val="auto"/>
              </w:rPr>
            </w:pPr>
          </w:p>
        </w:tc>
        <w:tc>
          <w:tcPr>
            <w:tcW w:w="1460" w:type="dxa"/>
            <w:vAlign w:val="bottom"/>
          </w:tcPr>
          <w:p>
            <w:pPr>
              <w:jc w:val="center"/>
              <w:ind w:right="162"/>
              <w:spacing w:after="0" w:line="149" w:lineRule="exact"/>
              <w:rPr>
                <w:sz w:val="20"/>
                <w:szCs w:val="20"/>
                <w:color w:val="auto"/>
              </w:rPr>
            </w:pPr>
            <w:r>
              <w:rPr>
                <w:rFonts w:ascii="Arial" w:cs="Arial" w:eastAsia="Arial" w:hAnsi="Arial"/>
                <w:sz w:val="14"/>
                <w:szCs w:val="14"/>
                <w:b w:val="1"/>
                <w:bCs w:val="1"/>
                <w:color w:val="auto"/>
              </w:rPr>
              <w:t>Useful Life</w:t>
            </w:r>
          </w:p>
        </w:tc>
        <w:tc>
          <w:tcPr>
            <w:tcW w:w="140" w:type="dxa"/>
            <w:vAlign w:val="bottom"/>
          </w:tcPr>
          <w:p>
            <w:pPr>
              <w:spacing w:after="0"/>
              <w:rPr>
                <w:sz w:val="12"/>
                <w:szCs w:val="12"/>
                <w:color w:val="auto"/>
              </w:rPr>
            </w:pPr>
          </w:p>
        </w:tc>
        <w:tc>
          <w:tcPr>
            <w:tcW w:w="820" w:type="dxa"/>
            <w:vAlign w:val="bottom"/>
          </w:tcPr>
          <w:p>
            <w:pPr>
              <w:jc w:val="center"/>
              <w:ind w:right="101"/>
              <w:spacing w:after="0" w:line="149" w:lineRule="exact"/>
              <w:rPr>
                <w:sz w:val="20"/>
                <w:szCs w:val="20"/>
                <w:color w:val="auto"/>
              </w:rPr>
            </w:pPr>
            <w:r>
              <w:rPr>
                <w:rFonts w:ascii="Arial" w:cs="Arial" w:eastAsia="Arial" w:hAnsi="Arial"/>
                <w:sz w:val="14"/>
                <w:szCs w:val="14"/>
                <w:b w:val="1"/>
                <w:bCs w:val="1"/>
                <w:color w:val="auto"/>
              </w:rPr>
              <w:t>Carrying</w:t>
            </w:r>
          </w:p>
        </w:tc>
        <w:tc>
          <w:tcPr>
            <w:tcW w:w="240" w:type="dxa"/>
            <w:vAlign w:val="bottom"/>
          </w:tcPr>
          <w:p>
            <w:pPr>
              <w:spacing w:after="0"/>
              <w:rPr>
                <w:sz w:val="12"/>
                <w:szCs w:val="12"/>
                <w:color w:val="auto"/>
              </w:rPr>
            </w:pPr>
          </w:p>
        </w:tc>
        <w:tc>
          <w:tcPr>
            <w:tcW w:w="1240" w:type="dxa"/>
            <w:vAlign w:val="bottom"/>
          </w:tcPr>
          <w:p>
            <w:pPr>
              <w:jc w:val="center"/>
              <w:ind w:right="181"/>
              <w:spacing w:after="0" w:line="149" w:lineRule="exact"/>
              <w:rPr>
                <w:sz w:val="20"/>
                <w:szCs w:val="20"/>
                <w:color w:val="auto"/>
              </w:rPr>
            </w:pPr>
            <w:r>
              <w:rPr>
                <w:rFonts w:ascii="Arial" w:cs="Arial" w:eastAsia="Arial" w:hAnsi="Arial"/>
                <w:sz w:val="14"/>
                <w:szCs w:val="14"/>
                <w:b w:val="1"/>
                <w:bCs w:val="1"/>
                <w:color w:val="auto"/>
              </w:rPr>
              <w:t>Accumulated</w:t>
            </w:r>
          </w:p>
        </w:tc>
        <w:tc>
          <w:tcPr>
            <w:tcW w:w="108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Net Carrying</w:t>
            </w:r>
          </w:p>
        </w:tc>
        <w:tc>
          <w:tcPr>
            <w:tcW w:w="160" w:type="dxa"/>
            <w:vAlign w:val="bottom"/>
          </w:tcPr>
          <w:p>
            <w:pPr>
              <w:spacing w:after="0"/>
              <w:rPr>
                <w:sz w:val="12"/>
                <w:szCs w:val="12"/>
                <w:color w:val="auto"/>
              </w:rPr>
            </w:pPr>
          </w:p>
        </w:tc>
        <w:tc>
          <w:tcPr>
            <w:tcW w:w="820" w:type="dxa"/>
            <w:vAlign w:val="bottom"/>
          </w:tcPr>
          <w:p>
            <w:pPr>
              <w:jc w:val="center"/>
              <w:ind w:right="121"/>
              <w:spacing w:after="0" w:line="149" w:lineRule="exact"/>
              <w:rPr>
                <w:sz w:val="20"/>
                <w:szCs w:val="20"/>
                <w:color w:val="auto"/>
              </w:rPr>
            </w:pPr>
            <w:r>
              <w:rPr>
                <w:rFonts w:ascii="Arial" w:cs="Arial" w:eastAsia="Arial" w:hAnsi="Arial"/>
                <w:sz w:val="14"/>
                <w:szCs w:val="14"/>
                <w:color w:val="auto"/>
              </w:rPr>
              <w:t>Carrying</w:t>
            </w:r>
          </w:p>
        </w:tc>
        <w:tc>
          <w:tcPr>
            <w:tcW w:w="240" w:type="dxa"/>
            <w:vAlign w:val="bottom"/>
          </w:tcPr>
          <w:p>
            <w:pPr>
              <w:spacing w:after="0"/>
              <w:rPr>
                <w:sz w:val="12"/>
                <w:szCs w:val="12"/>
                <w:color w:val="auto"/>
              </w:rPr>
            </w:pPr>
          </w:p>
        </w:tc>
        <w:tc>
          <w:tcPr>
            <w:tcW w:w="1080" w:type="dxa"/>
            <w:vAlign w:val="bottom"/>
          </w:tcPr>
          <w:p>
            <w:pPr>
              <w:jc w:val="center"/>
              <w:ind w:right="121"/>
              <w:spacing w:after="0" w:line="149" w:lineRule="exact"/>
              <w:rPr>
                <w:sz w:val="20"/>
                <w:szCs w:val="20"/>
                <w:color w:val="auto"/>
              </w:rPr>
            </w:pPr>
            <w:r>
              <w:rPr>
                <w:rFonts w:ascii="Arial" w:cs="Arial" w:eastAsia="Arial" w:hAnsi="Arial"/>
                <w:sz w:val="14"/>
                <w:szCs w:val="14"/>
                <w:color w:val="auto"/>
              </w:rPr>
              <w:t>Accumulated</w:t>
            </w:r>
          </w:p>
        </w:tc>
        <w:tc>
          <w:tcPr>
            <w:tcW w:w="240" w:type="dxa"/>
            <w:vAlign w:val="bottom"/>
          </w:tcPr>
          <w:p>
            <w:pPr>
              <w:spacing w:after="0"/>
              <w:rPr>
                <w:sz w:val="12"/>
                <w:szCs w:val="12"/>
                <w:color w:val="auto"/>
              </w:rPr>
            </w:pPr>
          </w:p>
        </w:tc>
        <w:tc>
          <w:tcPr>
            <w:tcW w:w="820" w:type="dxa"/>
            <w:vAlign w:val="bottom"/>
          </w:tcPr>
          <w:p>
            <w:pPr>
              <w:jc w:val="center"/>
              <w:ind w:right="82"/>
              <w:spacing w:after="0" w:line="149" w:lineRule="exact"/>
              <w:rPr>
                <w:sz w:val="20"/>
                <w:szCs w:val="20"/>
                <w:color w:val="auto"/>
              </w:rPr>
            </w:pPr>
            <w:r>
              <w:rPr>
                <w:rFonts w:ascii="Arial" w:cs="Arial" w:eastAsia="Arial" w:hAnsi="Arial"/>
                <w:sz w:val="14"/>
                <w:szCs w:val="14"/>
                <w:color w:val="auto"/>
              </w:rPr>
              <w:t>Carrying</w:t>
            </w:r>
          </w:p>
        </w:tc>
        <w:tc>
          <w:tcPr>
            <w:tcW w:w="0" w:type="dxa"/>
            <w:vAlign w:val="bottom"/>
          </w:tcPr>
          <w:p>
            <w:pPr>
              <w:spacing w:after="0"/>
              <w:rPr>
                <w:sz w:val="1"/>
                <w:szCs w:val="1"/>
                <w:color w:val="auto"/>
              </w:rPr>
            </w:pPr>
          </w:p>
        </w:tc>
      </w:tr>
      <w:tr>
        <w:trPr>
          <w:trHeight w:val="211"/>
        </w:trPr>
        <w:tc>
          <w:tcPr>
            <w:tcW w:w="29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1460" w:type="dxa"/>
            <w:vAlign w:val="bottom"/>
            <w:tcBorders>
              <w:bottom w:val="single" w:sz="8" w:color="auto"/>
            </w:tcBorders>
          </w:tcPr>
          <w:p>
            <w:pPr>
              <w:jc w:val="center"/>
              <w:ind w:right="102"/>
              <w:spacing w:after="0"/>
              <w:rPr>
                <w:sz w:val="20"/>
                <w:szCs w:val="20"/>
                <w:color w:val="auto"/>
              </w:rPr>
            </w:pPr>
            <w:r>
              <w:rPr>
                <w:rFonts w:ascii="Arial" w:cs="Arial" w:eastAsia="Arial" w:hAnsi="Arial"/>
                <w:sz w:val="14"/>
                <w:szCs w:val="14"/>
                <w:b w:val="1"/>
                <w:bCs w:val="1"/>
                <w:color w:val="auto"/>
              </w:rPr>
              <w:t>Range</w:t>
            </w: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center"/>
              <w:ind w:right="61"/>
              <w:spacing w:after="0"/>
              <w:rPr>
                <w:sz w:val="20"/>
                <w:szCs w:val="20"/>
                <w:color w:val="auto"/>
              </w:rPr>
            </w:pPr>
            <w:r>
              <w:rPr>
                <w:rFonts w:ascii="Arial" w:cs="Arial" w:eastAsia="Arial" w:hAnsi="Arial"/>
                <w:sz w:val="14"/>
                <w:szCs w:val="14"/>
                <w:b w:val="1"/>
                <w:bCs w:val="1"/>
                <w:color w:val="auto"/>
              </w:rPr>
              <w:t>Amount</w:t>
            </w:r>
          </w:p>
        </w:tc>
        <w:tc>
          <w:tcPr>
            <w:tcW w:w="2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center"/>
              <w:ind w:right="161"/>
              <w:spacing w:after="0"/>
              <w:rPr>
                <w:sz w:val="20"/>
                <w:szCs w:val="20"/>
                <w:color w:val="auto"/>
              </w:rPr>
            </w:pPr>
            <w:r>
              <w:rPr>
                <w:rFonts w:ascii="Arial" w:cs="Arial" w:eastAsia="Arial" w:hAnsi="Arial"/>
                <w:sz w:val="14"/>
                <w:szCs w:val="14"/>
                <w:b w:val="1"/>
                <w:bCs w:val="1"/>
                <w:color w:val="auto"/>
              </w:rPr>
              <w:t>Amortization</w:t>
            </w: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b w:val="1"/>
                <w:bCs w:val="1"/>
                <w:color w:val="auto"/>
              </w:rPr>
              <w:t>Amount</w:t>
            </w: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center"/>
              <w:ind w:right="81"/>
              <w:spacing w:after="0"/>
              <w:rPr>
                <w:sz w:val="20"/>
                <w:szCs w:val="20"/>
                <w:color w:val="auto"/>
              </w:rPr>
            </w:pPr>
            <w:r>
              <w:rPr>
                <w:rFonts w:ascii="Arial" w:cs="Arial" w:eastAsia="Arial" w:hAnsi="Arial"/>
                <w:sz w:val="14"/>
                <w:szCs w:val="14"/>
                <w:color w:val="auto"/>
              </w:rPr>
              <w:t>Amount</w:t>
            </w:r>
          </w:p>
        </w:tc>
        <w:tc>
          <w:tcPr>
            <w:tcW w:w="2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center"/>
              <w:ind w:right="81"/>
              <w:spacing w:after="0"/>
              <w:rPr>
                <w:sz w:val="20"/>
                <w:szCs w:val="20"/>
                <w:color w:val="auto"/>
              </w:rPr>
            </w:pPr>
            <w:r>
              <w:rPr>
                <w:rFonts w:ascii="Arial" w:cs="Arial" w:eastAsia="Arial" w:hAnsi="Arial"/>
                <w:sz w:val="14"/>
                <w:szCs w:val="14"/>
                <w:color w:val="auto"/>
              </w:rPr>
              <w:t>Amortization</w:t>
            </w: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center"/>
              <w:ind w:right="82"/>
              <w:spacing w:after="0"/>
              <w:rPr>
                <w:sz w:val="20"/>
                <w:szCs w:val="20"/>
                <w:color w:val="auto"/>
              </w:rPr>
            </w:pPr>
            <w:r>
              <w:rPr>
                <w:rFonts w:ascii="Arial" w:cs="Arial" w:eastAsia="Arial" w:hAnsi="Arial"/>
                <w:sz w:val="14"/>
                <w:szCs w:val="14"/>
                <w:color w:val="auto"/>
              </w:rPr>
              <w:t>Amount</w:t>
            </w:r>
          </w:p>
        </w:tc>
        <w:tc>
          <w:tcPr>
            <w:tcW w:w="0" w:type="dxa"/>
            <w:vAlign w:val="bottom"/>
          </w:tcPr>
          <w:p>
            <w:pPr>
              <w:spacing w:after="0"/>
              <w:rPr>
                <w:sz w:val="1"/>
                <w:szCs w:val="1"/>
                <w:color w:val="auto"/>
              </w:rPr>
            </w:pPr>
          </w:p>
        </w:tc>
      </w:tr>
      <w:tr>
        <w:trPr>
          <w:trHeight w:val="217"/>
        </w:trPr>
        <w:tc>
          <w:tcPr>
            <w:tcW w:w="2900" w:type="dxa"/>
            <w:vAlign w:val="bottom"/>
          </w:tcPr>
          <w:p>
            <w:pPr>
              <w:ind w:left="20"/>
              <w:spacing w:after="0"/>
              <w:rPr>
                <w:sz w:val="20"/>
                <w:szCs w:val="20"/>
                <w:color w:val="auto"/>
              </w:rPr>
            </w:pPr>
            <w:r>
              <w:rPr>
                <w:rFonts w:ascii="Arial" w:cs="Arial" w:eastAsia="Arial" w:hAnsi="Arial"/>
                <w:sz w:val="16"/>
                <w:szCs w:val="16"/>
                <w:b w:val="1"/>
                <w:bCs w:val="1"/>
                <w:color w:val="auto"/>
              </w:rPr>
              <w:t>Amortized Intangible Assets</w:t>
            </w:r>
          </w:p>
        </w:tc>
        <w:tc>
          <w:tcPr>
            <w:tcW w:w="1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900" w:type="dxa"/>
            <w:vAlign w:val="bottom"/>
          </w:tcPr>
          <w:p>
            <w:pPr>
              <w:ind w:left="140"/>
              <w:spacing w:after="0"/>
              <w:rPr>
                <w:sz w:val="20"/>
                <w:szCs w:val="20"/>
                <w:color w:val="auto"/>
              </w:rPr>
            </w:pPr>
            <w:r>
              <w:rPr>
                <w:rFonts w:ascii="Arial" w:cs="Arial" w:eastAsia="Arial" w:hAnsi="Arial"/>
                <w:sz w:val="16"/>
                <w:szCs w:val="16"/>
                <w:color w:val="auto"/>
              </w:rPr>
              <w:t>Student and customer relationships</w:t>
            </w:r>
          </w:p>
        </w:tc>
        <w:tc>
          <w:tcPr>
            <w:tcW w:w="1460" w:type="dxa"/>
            <w:vAlign w:val="bottom"/>
          </w:tcPr>
          <w:p>
            <w:pPr>
              <w:jc w:val="center"/>
              <w:ind w:right="122"/>
              <w:spacing w:after="0"/>
              <w:rPr>
                <w:sz w:val="20"/>
                <w:szCs w:val="20"/>
                <w:color w:val="auto"/>
              </w:rPr>
            </w:pPr>
            <w:r>
              <w:rPr>
                <w:rFonts w:ascii="Arial" w:cs="Arial" w:eastAsia="Arial" w:hAnsi="Arial"/>
                <w:sz w:val="16"/>
                <w:szCs w:val="16"/>
                <w:b w:val="1"/>
                <w:bCs w:val="1"/>
                <w:color w:val="auto"/>
              </w:rPr>
              <w:t>2–10 years</w:t>
            </w: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280,411</w:t>
            </w:r>
          </w:p>
        </w:tc>
        <w:tc>
          <w:tcPr>
            <w:tcW w:w="2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240" w:type="dxa"/>
            <w:vAlign w:val="bottom"/>
          </w:tcPr>
          <w:p>
            <w:pPr>
              <w:jc w:val="right"/>
              <w:ind w:right="101"/>
              <w:spacing w:after="0"/>
              <w:rPr>
                <w:sz w:val="20"/>
                <w:szCs w:val="20"/>
                <w:color w:val="auto"/>
              </w:rPr>
            </w:pPr>
            <w:r>
              <w:rPr>
                <w:rFonts w:ascii="Arial" w:cs="Arial" w:eastAsia="Arial" w:hAnsi="Arial"/>
                <w:sz w:val="16"/>
                <w:szCs w:val="16"/>
                <w:b w:val="1"/>
                <w:bCs w:val="1"/>
                <w:color w:val="auto"/>
              </w:rPr>
              <w:t>255,881</w:t>
            </w:r>
          </w:p>
        </w:tc>
        <w:tc>
          <w:tcPr>
            <w:tcW w:w="160" w:type="dxa"/>
            <w:vAlign w:val="bottom"/>
          </w:tcPr>
          <w:p>
            <w:pPr>
              <w:ind w:left="20"/>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ind w:right="100"/>
              <w:spacing w:after="0"/>
              <w:rPr>
                <w:sz w:val="20"/>
                <w:szCs w:val="20"/>
                <w:color w:val="auto"/>
              </w:rPr>
            </w:pPr>
            <w:r>
              <w:rPr>
                <w:rFonts w:ascii="Arial" w:cs="Arial" w:eastAsia="Arial" w:hAnsi="Arial"/>
                <w:sz w:val="16"/>
                <w:szCs w:val="16"/>
                <w:b w:val="1"/>
                <w:bCs w:val="1"/>
                <w:color w:val="auto"/>
              </w:rPr>
              <w:t>24,530</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281,140</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21"/>
              <w:spacing w:after="0"/>
              <w:rPr>
                <w:sz w:val="20"/>
                <w:szCs w:val="20"/>
                <w:color w:val="auto"/>
              </w:rPr>
            </w:pPr>
            <w:r>
              <w:rPr>
                <w:rFonts w:ascii="Arial" w:cs="Arial" w:eastAsia="Arial" w:hAnsi="Arial"/>
                <w:sz w:val="16"/>
                <w:szCs w:val="16"/>
                <w:color w:val="auto"/>
              </w:rPr>
              <w:t>252,969</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2"/>
              <w:spacing w:after="0"/>
              <w:rPr>
                <w:sz w:val="20"/>
                <w:szCs w:val="20"/>
                <w:color w:val="auto"/>
              </w:rPr>
            </w:pPr>
            <w:r>
              <w:rPr>
                <w:rFonts w:ascii="Arial" w:cs="Arial" w:eastAsia="Arial" w:hAnsi="Arial"/>
                <w:sz w:val="16"/>
                <w:szCs w:val="16"/>
                <w:color w:val="auto"/>
              </w:rPr>
              <w:t>28,171</w:t>
            </w:r>
          </w:p>
        </w:tc>
        <w:tc>
          <w:tcPr>
            <w:tcW w:w="0" w:type="dxa"/>
            <w:vAlign w:val="bottom"/>
          </w:tcPr>
          <w:p>
            <w:pPr>
              <w:spacing w:after="0"/>
              <w:rPr>
                <w:sz w:val="1"/>
                <w:szCs w:val="1"/>
                <w:color w:val="auto"/>
              </w:rPr>
            </w:pPr>
          </w:p>
        </w:tc>
      </w:tr>
      <w:tr>
        <w:trPr>
          <w:trHeight w:val="230"/>
        </w:trPr>
        <w:tc>
          <w:tcPr>
            <w:tcW w:w="2900" w:type="dxa"/>
            <w:vAlign w:val="bottom"/>
          </w:tcPr>
          <w:p>
            <w:pPr>
              <w:ind w:left="140"/>
              <w:spacing w:after="0"/>
              <w:rPr>
                <w:sz w:val="20"/>
                <w:szCs w:val="20"/>
                <w:color w:val="auto"/>
              </w:rPr>
            </w:pPr>
            <w:r>
              <w:rPr>
                <w:rFonts w:ascii="Arial" w:cs="Arial" w:eastAsia="Arial" w:hAnsi="Arial"/>
                <w:sz w:val="16"/>
                <w:szCs w:val="16"/>
                <w:color w:val="auto"/>
              </w:rPr>
              <w:t>Trade names and trademarks</w:t>
            </w:r>
          </w:p>
        </w:tc>
        <w:tc>
          <w:tcPr>
            <w:tcW w:w="1460" w:type="dxa"/>
            <w:vAlign w:val="bottom"/>
          </w:tcPr>
          <w:p>
            <w:pPr>
              <w:jc w:val="center"/>
              <w:ind w:right="122"/>
              <w:spacing w:after="0"/>
              <w:rPr>
                <w:sz w:val="20"/>
                <w:szCs w:val="20"/>
                <w:color w:val="auto"/>
              </w:rPr>
            </w:pPr>
            <w:r>
              <w:rPr>
                <w:rFonts w:ascii="Arial" w:cs="Arial" w:eastAsia="Arial" w:hAnsi="Arial"/>
                <w:sz w:val="16"/>
                <w:szCs w:val="16"/>
                <w:b w:val="1"/>
                <w:bCs w:val="1"/>
                <w:color w:val="auto"/>
              </w:rPr>
              <w:t>2–10 years</w:t>
            </w: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113,280</w:t>
            </w:r>
          </w:p>
        </w:tc>
        <w:tc>
          <w:tcPr>
            <w:tcW w:w="240" w:type="dxa"/>
            <w:vAlign w:val="bottom"/>
          </w:tcPr>
          <w:p>
            <w:pPr>
              <w:spacing w:after="0"/>
              <w:rPr>
                <w:sz w:val="19"/>
                <w:szCs w:val="19"/>
                <w:color w:val="auto"/>
              </w:rPr>
            </w:pPr>
          </w:p>
        </w:tc>
        <w:tc>
          <w:tcPr>
            <w:tcW w:w="1240" w:type="dxa"/>
            <w:vAlign w:val="bottom"/>
          </w:tcPr>
          <w:p>
            <w:pPr>
              <w:jc w:val="right"/>
              <w:ind w:right="101"/>
              <w:spacing w:after="0"/>
              <w:rPr>
                <w:sz w:val="20"/>
                <w:szCs w:val="20"/>
                <w:color w:val="auto"/>
              </w:rPr>
            </w:pPr>
            <w:r>
              <w:rPr>
                <w:rFonts w:ascii="Arial" w:cs="Arial" w:eastAsia="Arial" w:hAnsi="Arial"/>
                <w:sz w:val="16"/>
                <w:szCs w:val="16"/>
                <w:b w:val="1"/>
                <w:bCs w:val="1"/>
                <w:color w:val="auto"/>
              </w:rPr>
              <w:t>95,705</w:t>
            </w:r>
          </w:p>
        </w:tc>
        <w:tc>
          <w:tcPr>
            <w:tcW w:w="160" w:type="dxa"/>
            <w:vAlign w:val="bottom"/>
          </w:tcPr>
          <w:p>
            <w:pPr>
              <w:spacing w:after="0"/>
              <w:rPr>
                <w:sz w:val="19"/>
                <w:szCs w:val="19"/>
                <w:color w:val="auto"/>
              </w:rPr>
            </w:pPr>
          </w:p>
        </w:tc>
        <w:tc>
          <w:tcPr>
            <w:tcW w:w="920" w:type="dxa"/>
            <w:vAlign w:val="bottom"/>
          </w:tcPr>
          <w:p>
            <w:pPr>
              <w:jc w:val="right"/>
              <w:ind w:right="100"/>
              <w:spacing w:after="0"/>
              <w:rPr>
                <w:sz w:val="20"/>
                <w:szCs w:val="20"/>
                <w:color w:val="auto"/>
              </w:rPr>
            </w:pPr>
            <w:r>
              <w:rPr>
                <w:rFonts w:ascii="Arial" w:cs="Arial" w:eastAsia="Arial" w:hAnsi="Arial"/>
                <w:sz w:val="16"/>
                <w:szCs w:val="16"/>
                <w:b w:val="1"/>
                <w:bCs w:val="1"/>
                <w:color w:val="auto"/>
              </w:rPr>
              <w:t>17,575</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116,081</w:t>
            </w:r>
          </w:p>
        </w:tc>
        <w:tc>
          <w:tcPr>
            <w:tcW w:w="240" w:type="dxa"/>
            <w:vAlign w:val="bottom"/>
          </w:tcPr>
          <w:p>
            <w:pPr>
              <w:spacing w:after="0"/>
              <w:rPr>
                <w:sz w:val="19"/>
                <w:szCs w:val="19"/>
                <w:color w:val="auto"/>
              </w:rPr>
            </w:pPr>
          </w:p>
        </w:tc>
        <w:tc>
          <w:tcPr>
            <w:tcW w:w="1080" w:type="dxa"/>
            <w:vAlign w:val="bottom"/>
          </w:tcPr>
          <w:p>
            <w:pPr>
              <w:jc w:val="right"/>
              <w:ind w:right="21"/>
              <w:spacing w:after="0"/>
              <w:rPr>
                <w:sz w:val="20"/>
                <w:szCs w:val="20"/>
                <w:color w:val="auto"/>
              </w:rPr>
            </w:pPr>
            <w:r>
              <w:rPr>
                <w:rFonts w:ascii="Arial" w:cs="Arial" w:eastAsia="Arial" w:hAnsi="Arial"/>
                <w:sz w:val="16"/>
                <w:szCs w:val="16"/>
                <w:color w:val="auto"/>
              </w:rPr>
              <w:t>94,408</w:t>
            </w:r>
          </w:p>
        </w:tc>
        <w:tc>
          <w:tcPr>
            <w:tcW w:w="240" w:type="dxa"/>
            <w:vAlign w:val="bottom"/>
          </w:tcPr>
          <w:p>
            <w:pPr>
              <w:spacing w:after="0"/>
              <w:rPr>
                <w:sz w:val="19"/>
                <w:szCs w:val="19"/>
                <w:color w:val="auto"/>
              </w:rPr>
            </w:pPr>
          </w:p>
        </w:tc>
        <w:tc>
          <w:tcPr>
            <w:tcW w:w="820" w:type="dxa"/>
            <w:vAlign w:val="bottom"/>
          </w:tcPr>
          <w:p>
            <w:pPr>
              <w:jc w:val="right"/>
              <w:ind w:right="2"/>
              <w:spacing w:after="0"/>
              <w:rPr>
                <w:sz w:val="20"/>
                <w:szCs w:val="20"/>
                <w:color w:val="auto"/>
              </w:rPr>
            </w:pPr>
            <w:r>
              <w:rPr>
                <w:rFonts w:ascii="Arial" w:cs="Arial" w:eastAsia="Arial" w:hAnsi="Arial"/>
                <w:sz w:val="16"/>
                <w:szCs w:val="16"/>
                <w:color w:val="auto"/>
              </w:rPr>
              <w:t>21,673</w:t>
            </w:r>
          </w:p>
        </w:tc>
        <w:tc>
          <w:tcPr>
            <w:tcW w:w="0" w:type="dxa"/>
            <w:vAlign w:val="bottom"/>
          </w:tcPr>
          <w:p>
            <w:pPr>
              <w:spacing w:after="0"/>
              <w:rPr>
                <w:sz w:val="1"/>
                <w:szCs w:val="1"/>
                <w:color w:val="auto"/>
              </w:rPr>
            </w:pPr>
          </w:p>
        </w:tc>
      </w:tr>
      <w:tr>
        <w:trPr>
          <w:trHeight w:val="229"/>
        </w:trPr>
        <w:tc>
          <w:tcPr>
            <w:tcW w:w="2900" w:type="dxa"/>
            <w:vAlign w:val="bottom"/>
          </w:tcPr>
          <w:p>
            <w:pPr>
              <w:ind w:left="140"/>
              <w:spacing w:after="0"/>
              <w:rPr>
                <w:sz w:val="20"/>
                <w:szCs w:val="20"/>
                <w:color w:val="auto"/>
              </w:rPr>
            </w:pPr>
            <w:r>
              <w:rPr>
                <w:rFonts w:ascii="Arial" w:cs="Arial" w:eastAsia="Arial" w:hAnsi="Arial"/>
                <w:sz w:val="16"/>
                <w:szCs w:val="16"/>
                <w:color w:val="auto"/>
              </w:rPr>
              <w:t>Network affiliation agreements</w:t>
            </w:r>
          </w:p>
        </w:tc>
        <w:tc>
          <w:tcPr>
            <w:tcW w:w="1460" w:type="dxa"/>
            <w:vAlign w:val="bottom"/>
          </w:tcPr>
          <w:p>
            <w:pPr>
              <w:jc w:val="center"/>
              <w:ind w:right="122"/>
              <w:spacing w:after="0"/>
              <w:rPr>
                <w:sz w:val="20"/>
                <w:szCs w:val="20"/>
                <w:color w:val="auto"/>
              </w:rPr>
            </w:pPr>
            <w:r>
              <w:rPr>
                <w:rFonts w:ascii="Arial" w:cs="Arial" w:eastAsia="Arial" w:hAnsi="Arial"/>
                <w:sz w:val="16"/>
                <w:szCs w:val="16"/>
                <w:b w:val="1"/>
                <w:bCs w:val="1"/>
                <w:color w:val="auto"/>
              </w:rPr>
              <w:t>10 years</w:t>
            </w: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17,400</w:t>
            </w:r>
          </w:p>
        </w:tc>
        <w:tc>
          <w:tcPr>
            <w:tcW w:w="240" w:type="dxa"/>
            <w:vAlign w:val="bottom"/>
          </w:tcPr>
          <w:p>
            <w:pPr>
              <w:spacing w:after="0"/>
              <w:rPr>
                <w:sz w:val="19"/>
                <w:szCs w:val="19"/>
                <w:color w:val="auto"/>
              </w:rPr>
            </w:pPr>
          </w:p>
        </w:tc>
        <w:tc>
          <w:tcPr>
            <w:tcW w:w="1240" w:type="dxa"/>
            <w:vAlign w:val="bottom"/>
          </w:tcPr>
          <w:p>
            <w:pPr>
              <w:jc w:val="right"/>
              <w:ind w:right="101"/>
              <w:spacing w:after="0"/>
              <w:rPr>
                <w:sz w:val="20"/>
                <w:szCs w:val="20"/>
                <w:color w:val="auto"/>
              </w:rPr>
            </w:pPr>
            <w:r>
              <w:rPr>
                <w:rFonts w:ascii="Arial" w:cs="Arial" w:eastAsia="Arial" w:hAnsi="Arial"/>
                <w:sz w:val="16"/>
                <w:szCs w:val="16"/>
                <w:b w:val="1"/>
                <w:bCs w:val="1"/>
                <w:color w:val="auto"/>
              </w:rPr>
              <w:t>14,282</w:t>
            </w:r>
          </w:p>
        </w:tc>
        <w:tc>
          <w:tcPr>
            <w:tcW w:w="160" w:type="dxa"/>
            <w:vAlign w:val="bottom"/>
          </w:tcPr>
          <w:p>
            <w:pPr>
              <w:spacing w:after="0"/>
              <w:rPr>
                <w:sz w:val="19"/>
                <w:szCs w:val="19"/>
                <w:color w:val="auto"/>
              </w:rPr>
            </w:pPr>
          </w:p>
        </w:tc>
        <w:tc>
          <w:tcPr>
            <w:tcW w:w="920" w:type="dxa"/>
            <w:vAlign w:val="bottom"/>
          </w:tcPr>
          <w:p>
            <w:pPr>
              <w:jc w:val="right"/>
              <w:ind w:right="100"/>
              <w:spacing w:after="0"/>
              <w:rPr>
                <w:sz w:val="20"/>
                <w:szCs w:val="20"/>
                <w:color w:val="auto"/>
              </w:rPr>
            </w:pPr>
            <w:r>
              <w:rPr>
                <w:rFonts w:ascii="Arial" w:cs="Arial" w:eastAsia="Arial" w:hAnsi="Arial"/>
                <w:sz w:val="16"/>
                <w:szCs w:val="16"/>
                <w:b w:val="1"/>
                <w:bCs w:val="1"/>
                <w:color w:val="auto"/>
              </w:rPr>
              <w:t>3,118</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17,400</w:t>
            </w:r>
          </w:p>
        </w:tc>
        <w:tc>
          <w:tcPr>
            <w:tcW w:w="240" w:type="dxa"/>
            <w:vAlign w:val="bottom"/>
          </w:tcPr>
          <w:p>
            <w:pPr>
              <w:spacing w:after="0"/>
              <w:rPr>
                <w:sz w:val="19"/>
                <w:szCs w:val="19"/>
                <w:color w:val="auto"/>
              </w:rPr>
            </w:pPr>
          </w:p>
        </w:tc>
        <w:tc>
          <w:tcPr>
            <w:tcW w:w="1080" w:type="dxa"/>
            <w:vAlign w:val="bottom"/>
          </w:tcPr>
          <w:p>
            <w:pPr>
              <w:jc w:val="right"/>
              <w:ind w:right="21"/>
              <w:spacing w:after="0"/>
              <w:rPr>
                <w:sz w:val="20"/>
                <w:szCs w:val="20"/>
                <w:color w:val="auto"/>
              </w:rPr>
            </w:pPr>
            <w:r>
              <w:rPr>
                <w:rFonts w:ascii="Arial" w:cs="Arial" w:eastAsia="Arial" w:hAnsi="Arial"/>
                <w:sz w:val="16"/>
                <w:szCs w:val="16"/>
                <w:color w:val="auto"/>
              </w:rPr>
              <w:t>13,848</w:t>
            </w:r>
          </w:p>
        </w:tc>
        <w:tc>
          <w:tcPr>
            <w:tcW w:w="240" w:type="dxa"/>
            <w:vAlign w:val="bottom"/>
          </w:tcPr>
          <w:p>
            <w:pPr>
              <w:spacing w:after="0"/>
              <w:rPr>
                <w:sz w:val="19"/>
                <w:szCs w:val="19"/>
                <w:color w:val="auto"/>
              </w:rPr>
            </w:pPr>
          </w:p>
        </w:tc>
        <w:tc>
          <w:tcPr>
            <w:tcW w:w="820" w:type="dxa"/>
            <w:vAlign w:val="bottom"/>
          </w:tcPr>
          <w:p>
            <w:pPr>
              <w:jc w:val="right"/>
              <w:ind w:right="2"/>
              <w:spacing w:after="0"/>
              <w:rPr>
                <w:sz w:val="20"/>
                <w:szCs w:val="20"/>
                <w:color w:val="auto"/>
              </w:rPr>
            </w:pPr>
            <w:r>
              <w:rPr>
                <w:rFonts w:ascii="Arial" w:cs="Arial" w:eastAsia="Arial" w:hAnsi="Arial"/>
                <w:sz w:val="16"/>
                <w:szCs w:val="16"/>
                <w:color w:val="auto"/>
              </w:rPr>
              <w:t>3,552</w:t>
            </w:r>
          </w:p>
        </w:tc>
        <w:tc>
          <w:tcPr>
            <w:tcW w:w="0" w:type="dxa"/>
            <w:vAlign w:val="bottom"/>
          </w:tcPr>
          <w:p>
            <w:pPr>
              <w:spacing w:after="0"/>
              <w:rPr>
                <w:sz w:val="1"/>
                <w:szCs w:val="1"/>
                <w:color w:val="auto"/>
              </w:rPr>
            </w:pPr>
          </w:p>
        </w:tc>
      </w:tr>
      <w:tr>
        <w:trPr>
          <w:trHeight w:val="230"/>
        </w:trPr>
        <w:tc>
          <w:tcPr>
            <w:tcW w:w="2900" w:type="dxa"/>
            <w:vAlign w:val="bottom"/>
          </w:tcPr>
          <w:p>
            <w:pPr>
              <w:ind w:left="140"/>
              <w:spacing w:after="0"/>
              <w:rPr>
                <w:sz w:val="20"/>
                <w:szCs w:val="20"/>
                <w:color w:val="auto"/>
              </w:rPr>
            </w:pPr>
            <w:r>
              <w:rPr>
                <w:rFonts w:ascii="Arial" w:cs="Arial" w:eastAsia="Arial" w:hAnsi="Arial"/>
                <w:sz w:val="16"/>
                <w:szCs w:val="16"/>
                <w:color w:val="auto"/>
              </w:rPr>
              <w:t>Databases and technology</w:t>
            </w:r>
          </w:p>
        </w:tc>
        <w:tc>
          <w:tcPr>
            <w:tcW w:w="1460" w:type="dxa"/>
            <w:vAlign w:val="bottom"/>
          </w:tcPr>
          <w:p>
            <w:pPr>
              <w:jc w:val="center"/>
              <w:ind w:right="122"/>
              <w:spacing w:after="0"/>
              <w:rPr>
                <w:sz w:val="20"/>
                <w:szCs w:val="20"/>
                <w:color w:val="auto"/>
              </w:rPr>
            </w:pPr>
            <w:r>
              <w:rPr>
                <w:rFonts w:ascii="Arial" w:cs="Arial" w:eastAsia="Arial" w:hAnsi="Arial"/>
                <w:sz w:val="16"/>
                <w:szCs w:val="16"/>
                <w:b w:val="1"/>
                <w:bCs w:val="1"/>
                <w:color w:val="auto"/>
              </w:rPr>
              <w:t>3–6 years</w:t>
            </w: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31,705</w:t>
            </w:r>
          </w:p>
        </w:tc>
        <w:tc>
          <w:tcPr>
            <w:tcW w:w="240" w:type="dxa"/>
            <w:vAlign w:val="bottom"/>
          </w:tcPr>
          <w:p>
            <w:pPr>
              <w:spacing w:after="0"/>
              <w:rPr>
                <w:sz w:val="19"/>
                <w:szCs w:val="19"/>
                <w:color w:val="auto"/>
              </w:rPr>
            </w:pPr>
          </w:p>
        </w:tc>
        <w:tc>
          <w:tcPr>
            <w:tcW w:w="1240" w:type="dxa"/>
            <w:vAlign w:val="bottom"/>
          </w:tcPr>
          <w:p>
            <w:pPr>
              <w:jc w:val="right"/>
              <w:ind w:right="101"/>
              <w:spacing w:after="0"/>
              <w:rPr>
                <w:sz w:val="20"/>
                <w:szCs w:val="20"/>
                <w:color w:val="auto"/>
              </w:rPr>
            </w:pPr>
            <w:r>
              <w:rPr>
                <w:rFonts w:ascii="Arial" w:cs="Arial" w:eastAsia="Arial" w:hAnsi="Arial"/>
                <w:sz w:val="16"/>
                <w:szCs w:val="16"/>
                <w:b w:val="1"/>
                <w:bCs w:val="1"/>
                <w:color w:val="auto"/>
              </w:rPr>
              <w:t>31,705</w:t>
            </w:r>
          </w:p>
        </w:tc>
        <w:tc>
          <w:tcPr>
            <w:tcW w:w="160" w:type="dxa"/>
            <w:vAlign w:val="bottom"/>
          </w:tcPr>
          <w:p>
            <w:pPr>
              <w:spacing w:after="0"/>
              <w:rPr>
                <w:sz w:val="19"/>
                <w:szCs w:val="19"/>
                <w:color w:val="auto"/>
              </w:rPr>
            </w:pPr>
          </w:p>
        </w:tc>
        <w:tc>
          <w:tcPr>
            <w:tcW w:w="920" w:type="dxa"/>
            <w:vAlign w:val="bottom"/>
          </w:tcPr>
          <w:p>
            <w:pPr>
              <w:jc w:val="right"/>
              <w:ind w:right="100"/>
              <w:spacing w:after="0"/>
              <w:rPr>
                <w:sz w:val="20"/>
                <w:szCs w:val="20"/>
                <w:color w:val="auto"/>
              </w:rPr>
            </w:pPr>
            <w:r>
              <w:rPr>
                <w:rFonts w:ascii="Arial" w:cs="Arial" w:eastAsia="Arial" w:hAnsi="Arial"/>
                <w:sz w:val="16"/>
                <w:szCs w:val="16"/>
                <w:b w:val="1"/>
                <w:bCs w:val="1"/>
                <w:color w:val="auto"/>
              </w:rPr>
              <w:t>—</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33,290</w:t>
            </w:r>
          </w:p>
        </w:tc>
        <w:tc>
          <w:tcPr>
            <w:tcW w:w="240" w:type="dxa"/>
            <w:vAlign w:val="bottom"/>
          </w:tcPr>
          <w:p>
            <w:pPr>
              <w:spacing w:after="0"/>
              <w:rPr>
                <w:sz w:val="19"/>
                <w:szCs w:val="19"/>
                <w:color w:val="auto"/>
              </w:rPr>
            </w:pPr>
          </w:p>
        </w:tc>
        <w:tc>
          <w:tcPr>
            <w:tcW w:w="1080" w:type="dxa"/>
            <w:vAlign w:val="bottom"/>
          </w:tcPr>
          <w:p>
            <w:pPr>
              <w:jc w:val="right"/>
              <w:ind w:right="21"/>
              <w:spacing w:after="0"/>
              <w:rPr>
                <w:sz w:val="20"/>
                <w:szCs w:val="20"/>
                <w:color w:val="auto"/>
              </w:rPr>
            </w:pPr>
            <w:r>
              <w:rPr>
                <w:rFonts w:ascii="Arial" w:cs="Arial" w:eastAsia="Arial" w:hAnsi="Arial"/>
                <w:sz w:val="16"/>
                <w:szCs w:val="16"/>
                <w:color w:val="auto"/>
              </w:rPr>
              <w:t>33,290</w:t>
            </w:r>
          </w:p>
        </w:tc>
        <w:tc>
          <w:tcPr>
            <w:tcW w:w="240" w:type="dxa"/>
            <w:vAlign w:val="bottom"/>
          </w:tcPr>
          <w:p>
            <w:pPr>
              <w:spacing w:after="0"/>
              <w:rPr>
                <w:sz w:val="19"/>
                <w:szCs w:val="19"/>
                <w:color w:val="auto"/>
              </w:rPr>
            </w:pPr>
          </w:p>
        </w:tc>
        <w:tc>
          <w:tcPr>
            <w:tcW w:w="82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3"/>
        </w:trPr>
        <w:tc>
          <w:tcPr>
            <w:tcW w:w="2900" w:type="dxa"/>
            <w:vAlign w:val="bottom"/>
          </w:tcPr>
          <w:p>
            <w:pPr>
              <w:ind w:left="140"/>
              <w:spacing w:after="0"/>
              <w:rPr>
                <w:sz w:val="20"/>
                <w:szCs w:val="20"/>
                <w:color w:val="auto"/>
              </w:rPr>
            </w:pPr>
            <w:r>
              <w:rPr>
                <w:rFonts w:ascii="Arial" w:cs="Arial" w:eastAsia="Arial" w:hAnsi="Arial"/>
                <w:sz w:val="16"/>
                <w:szCs w:val="16"/>
                <w:color w:val="auto"/>
              </w:rPr>
              <w:t>Other</w:t>
            </w:r>
          </w:p>
        </w:tc>
        <w:tc>
          <w:tcPr>
            <w:tcW w:w="1460" w:type="dxa"/>
            <w:vAlign w:val="bottom"/>
          </w:tcPr>
          <w:p>
            <w:pPr>
              <w:jc w:val="center"/>
              <w:ind w:right="122"/>
              <w:spacing w:after="0"/>
              <w:rPr>
                <w:sz w:val="20"/>
                <w:szCs w:val="20"/>
                <w:color w:val="auto"/>
              </w:rPr>
            </w:pPr>
            <w:r>
              <w:rPr>
                <w:rFonts w:ascii="Arial" w:cs="Arial" w:eastAsia="Arial" w:hAnsi="Arial"/>
                <w:sz w:val="16"/>
                <w:szCs w:val="16"/>
                <w:b w:val="1"/>
                <w:bCs w:val="1"/>
                <w:color w:val="auto"/>
              </w:rPr>
              <w:t>1–8 years</w:t>
            </w:r>
          </w:p>
        </w:tc>
        <w:tc>
          <w:tcPr>
            <w:tcW w:w="1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41,514</w:t>
            </w:r>
          </w:p>
        </w:tc>
        <w:tc>
          <w:tcPr>
            <w:tcW w:w="2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b w:val="1"/>
                <w:bCs w:val="1"/>
                <w:color w:val="auto"/>
              </w:rPr>
              <w:t>39,103</w:t>
            </w:r>
          </w:p>
        </w:tc>
        <w:tc>
          <w:tcPr>
            <w:tcW w:w="1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b w:val="1"/>
                <w:bCs w:val="1"/>
                <w:color w:val="auto"/>
              </w:rPr>
              <w:t>2,411</w:t>
            </w:r>
          </w:p>
        </w:tc>
        <w:tc>
          <w:tcPr>
            <w:tcW w:w="1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41,514</w:t>
            </w:r>
          </w:p>
        </w:tc>
        <w:tc>
          <w:tcPr>
            <w:tcW w:w="2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38,214</w:t>
            </w:r>
          </w:p>
        </w:tc>
        <w:tc>
          <w:tcPr>
            <w:tcW w:w="2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3,300</w:t>
            </w:r>
          </w:p>
        </w:tc>
        <w:tc>
          <w:tcPr>
            <w:tcW w:w="0" w:type="dxa"/>
            <w:vAlign w:val="bottom"/>
          </w:tcPr>
          <w:p>
            <w:pPr>
              <w:spacing w:after="0"/>
              <w:rPr>
                <w:sz w:val="1"/>
                <w:szCs w:val="1"/>
                <w:color w:val="auto"/>
              </w:rPr>
            </w:pPr>
          </w:p>
        </w:tc>
      </w:tr>
      <w:tr>
        <w:trPr>
          <w:trHeight w:val="220"/>
        </w:trPr>
        <w:tc>
          <w:tcPr>
            <w:tcW w:w="29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484,310</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24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b w:val="1"/>
                <w:bCs w:val="1"/>
                <w:color w:val="auto"/>
              </w:rPr>
              <w:t>436,676</w:t>
            </w:r>
          </w:p>
        </w:tc>
        <w:tc>
          <w:tcPr>
            <w:tcW w:w="1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b w:val="1"/>
                <w:bCs w:val="1"/>
                <w:color w:val="auto"/>
              </w:rPr>
              <w:t>47,634</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489,425</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432,729</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56,696</w:t>
            </w:r>
          </w:p>
        </w:tc>
        <w:tc>
          <w:tcPr>
            <w:tcW w:w="0" w:type="dxa"/>
            <w:vAlign w:val="bottom"/>
          </w:tcPr>
          <w:p>
            <w:pPr>
              <w:spacing w:after="0"/>
              <w:rPr>
                <w:sz w:val="1"/>
                <w:szCs w:val="1"/>
                <w:color w:val="auto"/>
              </w:rPr>
            </w:pPr>
          </w:p>
        </w:tc>
      </w:tr>
      <w:tr>
        <w:trPr>
          <w:trHeight w:val="27"/>
        </w:trPr>
        <w:tc>
          <w:tcPr>
            <w:tcW w:w="290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Indefinite-Lived Intangible Assets</w:t>
            </w:r>
          </w:p>
        </w:tc>
        <w:tc>
          <w:tcPr>
            <w:tcW w:w="14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5"/>
        </w:trPr>
        <w:tc>
          <w:tcPr>
            <w:tcW w:w="2900" w:type="dxa"/>
            <w:vAlign w:val="bottom"/>
            <w:vMerge w:val="continue"/>
          </w:tcPr>
          <w:p>
            <w:pPr>
              <w:spacing w:after="0"/>
              <w:rPr>
                <w:sz w:val="18"/>
                <w:szCs w:val="18"/>
                <w:color w:val="auto"/>
              </w:rPr>
            </w:pPr>
          </w:p>
        </w:tc>
        <w:tc>
          <w:tcPr>
            <w:tcW w:w="1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900" w:type="dxa"/>
            <w:vAlign w:val="bottom"/>
          </w:tcPr>
          <w:p>
            <w:pPr>
              <w:ind w:left="140"/>
              <w:spacing w:after="0"/>
              <w:rPr>
                <w:sz w:val="20"/>
                <w:szCs w:val="20"/>
                <w:color w:val="auto"/>
              </w:rPr>
            </w:pPr>
            <w:r>
              <w:rPr>
                <w:rFonts w:ascii="Arial" w:cs="Arial" w:eastAsia="Arial" w:hAnsi="Arial"/>
                <w:sz w:val="16"/>
                <w:szCs w:val="16"/>
                <w:color w:val="auto"/>
              </w:rPr>
              <w:t>Franchise agreements</w:t>
            </w:r>
          </w:p>
        </w:tc>
        <w:tc>
          <w:tcPr>
            <w:tcW w:w="146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92,158</w:t>
            </w: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92,158</w:t>
            </w: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900" w:type="dxa"/>
            <w:vAlign w:val="bottom"/>
          </w:tcPr>
          <w:p>
            <w:pPr>
              <w:ind w:left="140"/>
              <w:spacing w:after="0"/>
              <w:rPr>
                <w:sz w:val="20"/>
                <w:szCs w:val="20"/>
                <w:color w:val="auto"/>
              </w:rPr>
            </w:pPr>
            <w:r>
              <w:rPr>
                <w:rFonts w:ascii="Arial" w:cs="Arial" w:eastAsia="Arial" w:hAnsi="Arial"/>
                <w:sz w:val="16"/>
                <w:szCs w:val="16"/>
                <w:color w:val="auto"/>
              </w:rPr>
              <w:t>Trade names and trademarks</w:t>
            </w:r>
          </w:p>
        </w:tc>
        <w:tc>
          <w:tcPr>
            <w:tcW w:w="1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61,669</w:t>
            </w: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60,994</w:t>
            </w: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00" w:type="dxa"/>
            <w:vAlign w:val="bottom"/>
          </w:tcPr>
          <w:p>
            <w:pPr>
              <w:ind w:left="140"/>
              <w:spacing w:after="0"/>
              <w:rPr>
                <w:sz w:val="20"/>
                <w:szCs w:val="20"/>
                <w:color w:val="auto"/>
              </w:rPr>
            </w:pPr>
            <w:r>
              <w:rPr>
                <w:rFonts w:ascii="Arial" w:cs="Arial" w:eastAsia="Arial" w:hAnsi="Arial"/>
                <w:sz w:val="16"/>
                <w:szCs w:val="16"/>
                <w:color w:val="auto"/>
              </w:rPr>
              <w:t>FCC licenses</w:t>
            </w:r>
          </w:p>
        </w:tc>
        <w:tc>
          <w:tcPr>
            <w:tcW w:w="1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11,000</w:t>
            </w: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11,000</w:t>
            </w: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900" w:type="dxa"/>
            <w:vAlign w:val="bottom"/>
          </w:tcPr>
          <w:p>
            <w:pPr>
              <w:ind w:left="140"/>
              <w:spacing w:after="0"/>
              <w:rPr>
                <w:sz w:val="20"/>
                <w:szCs w:val="20"/>
                <w:color w:val="auto"/>
              </w:rPr>
            </w:pPr>
            <w:r>
              <w:rPr>
                <w:rFonts w:ascii="Arial" w:cs="Arial" w:eastAsia="Arial" w:hAnsi="Arial"/>
                <w:sz w:val="16"/>
                <w:szCs w:val="16"/>
                <w:color w:val="auto"/>
              </w:rPr>
              <w:t>Other</w:t>
            </w:r>
          </w:p>
        </w:tc>
        <w:tc>
          <w:tcPr>
            <w:tcW w:w="14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171</w:t>
            </w: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171</w:t>
            </w:r>
          </w:p>
        </w:tc>
        <w:tc>
          <w:tcPr>
            <w:tcW w:w="2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9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164,998</w:t>
            </w: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164,323</w:t>
            </w: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
        </w:trPr>
        <w:tc>
          <w:tcPr>
            <w:tcW w:w="29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039" w:right="339" w:bottom="1440" w:gutter="0" w:footer="0" w:header="0"/>
        </w:sect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183515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type w:val="continuous"/>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7. DEBT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Company’s borrowings consist of the following:</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58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gridSpan w:val="2"/>
          </w:tcPr>
          <w:p>
            <w:pPr>
              <w:jc w:val="right"/>
              <w:ind w:right="39"/>
              <w:spacing w:after="0"/>
              <w:rPr>
                <w:sz w:val="20"/>
                <w:szCs w:val="20"/>
                <w:color w:val="auto"/>
              </w:rPr>
            </w:pPr>
            <w:r>
              <w:rPr>
                <w:rFonts w:ascii="Arial" w:cs="Arial" w:eastAsia="Arial" w:hAnsi="Arial"/>
                <w:sz w:val="14"/>
                <w:szCs w:val="14"/>
                <w:b w:val="1"/>
                <w:bCs w:val="1"/>
                <w:color w:val="auto"/>
              </w:rPr>
              <w:t>As of</w:t>
            </w:r>
          </w:p>
        </w:tc>
        <w:tc>
          <w:tcPr>
            <w:tcW w:w="13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2580" w:type="dxa"/>
            <w:vAlign w:val="bottom"/>
            <w:vMerge w:val="restart"/>
          </w:tcPr>
          <w:p>
            <w:pPr>
              <w:ind w:left="20"/>
              <w:spacing w:after="0"/>
              <w:rPr>
                <w:sz w:val="20"/>
                <w:szCs w:val="20"/>
                <w:color w:val="auto"/>
              </w:rPr>
            </w:pPr>
            <w:r>
              <w:rPr>
                <w:rFonts w:ascii="Arial" w:cs="Arial" w:eastAsia="Arial" w:hAnsi="Arial"/>
                <w:sz w:val="14"/>
                <w:szCs w:val="14"/>
                <w:color w:val="auto"/>
              </w:rPr>
              <w:t>(in thousands)</w:t>
            </w:r>
          </w:p>
        </w:tc>
        <w:tc>
          <w:tcPr>
            <w:tcW w:w="1940" w:type="dxa"/>
            <w:vAlign w:val="bottom"/>
            <w:vMerge w:val="restart"/>
          </w:tcPr>
          <w:p>
            <w:pPr>
              <w:ind w:left="940"/>
              <w:spacing w:after="0"/>
              <w:rPr>
                <w:sz w:val="20"/>
                <w:szCs w:val="20"/>
                <w:color w:val="auto"/>
              </w:rPr>
            </w:pPr>
            <w:r>
              <w:rPr>
                <w:rFonts w:ascii="Arial" w:cs="Arial" w:eastAsia="Arial" w:hAnsi="Arial"/>
                <w:sz w:val="14"/>
                <w:szCs w:val="14"/>
                <w:b w:val="1"/>
                <w:bCs w:val="1"/>
                <w:color w:val="auto"/>
              </w:rPr>
              <w:t>Maturities</w:t>
            </w:r>
          </w:p>
        </w:tc>
        <w:tc>
          <w:tcPr>
            <w:tcW w:w="1680" w:type="dxa"/>
            <w:vAlign w:val="bottom"/>
            <w:vMerge w:val="restart"/>
          </w:tcPr>
          <w:p>
            <w:pPr>
              <w:ind w:left="220"/>
              <w:spacing w:after="0"/>
              <w:rPr>
                <w:sz w:val="20"/>
                <w:szCs w:val="20"/>
                <w:color w:val="auto"/>
              </w:rPr>
            </w:pPr>
            <w:r>
              <w:rPr>
                <w:rFonts w:ascii="Arial" w:cs="Arial" w:eastAsia="Arial" w:hAnsi="Arial"/>
                <w:sz w:val="14"/>
                <w:szCs w:val="14"/>
                <w:b w:val="1"/>
                <w:bCs w:val="1"/>
                <w:color w:val="auto"/>
              </w:rPr>
              <w:t>Stated Interest Rate</w:t>
            </w:r>
          </w:p>
        </w:tc>
        <w:tc>
          <w:tcPr>
            <w:tcW w:w="178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Effective Interest Rate</w:t>
            </w:r>
          </w:p>
        </w:tc>
        <w:tc>
          <w:tcPr>
            <w:tcW w:w="280" w:type="dxa"/>
            <w:vAlign w:val="bottom"/>
          </w:tcPr>
          <w:p>
            <w:pPr>
              <w:spacing w:after="0"/>
              <w:rPr>
                <w:sz w:val="14"/>
                <w:szCs w:val="14"/>
                <w:color w:val="auto"/>
              </w:rPr>
            </w:pPr>
          </w:p>
        </w:tc>
        <w:tc>
          <w:tcPr>
            <w:tcW w:w="1340" w:type="dxa"/>
            <w:vAlign w:val="bottom"/>
          </w:tcPr>
          <w:p>
            <w:pPr>
              <w:jc w:val="right"/>
              <w:ind w:right="421"/>
              <w:spacing w:after="0"/>
              <w:rPr>
                <w:sz w:val="20"/>
                <w:szCs w:val="20"/>
                <w:color w:val="auto"/>
              </w:rPr>
            </w:pPr>
            <w:r>
              <w:rPr>
                <w:rFonts w:ascii="Arial" w:cs="Arial" w:eastAsia="Arial" w:hAnsi="Arial"/>
                <w:sz w:val="14"/>
                <w:szCs w:val="14"/>
                <w:b w:val="1"/>
                <w:bCs w:val="1"/>
                <w:color w:val="auto"/>
              </w:rPr>
              <w:t>March 31,</w:t>
            </w:r>
          </w:p>
        </w:tc>
        <w:tc>
          <w:tcPr>
            <w:tcW w:w="300" w:type="dxa"/>
            <w:vAlign w:val="bottom"/>
          </w:tcPr>
          <w:p>
            <w:pPr>
              <w:spacing w:after="0"/>
              <w:rPr>
                <w:sz w:val="14"/>
                <w:szCs w:val="14"/>
                <w:color w:val="auto"/>
              </w:rPr>
            </w:pPr>
          </w:p>
        </w:tc>
        <w:tc>
          <w:tcPr>
            <w:tcW w:w="1340" w:type="dxa"/>
            <w:vAlign w:val="bottom"/>
          </w:tcPr>
          <w:p>
            <w:pPr>
              <w:jc w:val="right"/>
              <w:ind w:right="261"/>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97"/>
        </w:trPr>
        <w:tc>
          <w:tcPr>
            <w:tcW w:w="2580" w:type="dxa"/>
            <w:vAlign w:val="bottom"/>
            <w:tcBorders>
              <w:bottom w:val="single" w:sz="8" w:color="auto"/>
            </w:tcBorders>
            <w:vMerge w:val="continue"/>
          </w:tcPr>
          <w:p>
            <w:pPr>
              <w:spacing w:after="0"/>
              <w:rPr>
                <w:sz w:val="17"/>
                <w:szCs w:val="17"/>
                <w:color w:val="auto"/>
              </w:rPr>
            </w:pPr>
          </w:p>
        </w:tc>
        <w:tc>
          <w:tcPr>
            <w:tcW w:w="1940" w:type="dxa"/>
            <w:vAlign w:val="bottom"/>
            <w:tcBorders>
              <w:bottom w:val="single" w:sz="8" w:color="auto"/>
            </w:tcBorders>
            <w:vMerge w:val="continue"/>
          </w:tcPr>
          <w:p>
            <w:pPr>
              <w:spacing w:after="0"/>
              <w:rPr>
                <w:sz w:val="17"/>
                <w:szCs w:val="17"/>
                <w:color w:val="auto"/>
              </w:rPr>
            </w:pPr>
          </w:p>
        </w:tc>
        <w:tc>
          <w:tcPr>
            <w:tcW w:w="1680" w:type="dxa"/>
            <w:vAlign w:val="bottom"/>
            <w:tcBorders>
              <w:bottom w:val="single" w:sz="8" w:color="auto"/>
            </w:tcBorders>
            <w:vMerge w:val="continue"/>
          </w:tcPr>
          <w:p>
            <w:pPr>
              <w:spacing w:after="0"/>
              <w:rPr>
                <w:sz w:val="17"/>
                <w:szCs w:val="17"/>
                <w:color w:val="auto"/>
              </w:rPr>
            </w:pPr>
          </w:p>
        </w:tc>
        <w:tc>
          <w:tcPr>
            <w:tcW w:w="1780" w:type="dxa"/>
            <w:vAlign w:val="bottom"/>
            <w:tcBorders>
              <w:bottom w:val="single" w:sz="8" w:color="auto"/>
            </w:tcBorders>
            <w:vMerge w:val="continue"/>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601"/>
              <w:spacing w:after="0"/>
              <w:rPr>
                <w:sz w:val="20"/>
                <w:szCs w:val="20"/>
                <w:color w:val="auto"/>
              </w:rPr>
            </w:pPr>
            <w:r>
              <w:rPr>
                <w:rFonts w:ascii="Arial" w:cs="Arial" w:eastAsia="Arial" w:hAnsi="Arial"/>
                <w:sz w:val="14"/>
                <w:szCs w:val="14"/>
                <w:b w:val="1"/>
                <w:bCs w:val="1"/>
                <w:color w:val="auto"/>
              </w:rPr>
              <w:t>2025</w:t>
            </w:r>
          </w:p>
        </w:tc>
        <w:tc>
          <w:tcPr>
            <w:tcW w:w="3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541"/>
              <w:spacing w:after="0"/>
              <w:rPr>
                <w:sz w:val="20"/>
                <w:szCs w:val="20"/>
                <w:color w:val="auto"/>
              </w:rPr>
            </w:pPr>
            <w:r>
              <w:rPr>
                <w:rFonts w:ascii="Arial" w:cs="Arial" w:eastAsia="Arial" w:hAnsi="Arial"/>
                <w:sz w:val="14"/>
                <w:szCs w:val="14"/>
                <w:color w:val="auto"/>
              </w:rPr>
              <w:t>2024</w:t>
            </w:r>
          </w:p>
        </w:tc>
        <w:tc>
          <w:tcPr>
            <w:tcW w:w="0" w:type="dxa"/>
            <w:vAlign w:val="bottom"/>
          </w:tcPr>
          <w:p>
            <w:pPr>
              <w:spacing w:after="0"/>
              <w:rPr>
                <w:sz w:val="1"/>
                <w:szCs w:val="1"/>
                <w:color w:val="auto"/>
              </w:rPr>
            </w:pPr>
          </w:p>
        </w:tc>
      </w:tr>
      <w:tr>
        <w:trPr>
          <w:trHeight w:val="223"/>
        </w:trPr>
        <w:tc>
          <w:tcPr>
            <w:tcW w:w="2580" w:type="dxa"/>
            <w:vAlign w:val="bottom"/>
          </w:tcPr>
          <w:p>
            <w:pPr>
              <w:ind w:left="20"/>
              <w:spacing w:after="0" w:line="224" w:lineRule="exact"/>
              <w:rPr>
                <w:sz w:val="20"/>
                <w:szCs w:val="20"/>
                <w:color w:val="auto"/>
              </w:rPr>
            </w:pPr>
            <w:r>
              <w:rPr>
                <w:rFonts w:ascii="Arial" w:cs="Arial" w:eastAsia="Arial" w:hAnsi="Arial"/>
                <w:sz w:val="16"/>
                <w:szCs w:val="16"/>
                <w:color w:val="auto"/>
              </w:rPr>
              <w:t xml:space="preserve">Unsecured notes </w:t>
            </w:r>
            <w:r>
              <w:rPr>
                <w:rFonts w:ascii="Arial" w:cs="Arial" w:eastAsia="Arial" w:hAnsi="Arial"/>
                <w:sz w:val="21"/>
                <w:szCs w:val="21"/>
                <w:color w:val="auto"/>
                <w:vertAlign w:val="superscript"/>
              </w:rPr>
              <w:t>(1)</w:t>
            </w:r>
          </w:p>
        </w:tc>
        <w:tc>
          <w:tcPr>
            <w:tcW w:w="1940" w:type="dxa"/>
            <w:vAlign w:val="bottom"/>
          </w:tcPr>
          <w:p>
            <w:pPr>
              <w:jc w:val="center"/>
              <w:ind w:left="540"/>
              <w:spacing w:after="0"/>
              <w:rPr>
                <w:sz w:val="20"/>
                <w:szCs w:val="20"/>
                <w:color w:val="auto"/>
              </w:rPr>
            </w:pPr>
            <w:r>
              <w:rPr>
                <w:rFonts w:ascii="Arial" w:cs="Arial" w:eastAsia="Arial" w:hAnsi="Arial"/>
                <w:sz w:val="16"/>
                <w:szCs w:val="16"/>
                <w:color w:val="auto"/>
              </w:rPr>
              <w:t>2026</w:t>
            </w:r>
          </w:p>
        </w:tc>
        <w:tc>
          <w:tcPr>
            <w:tcW w:w="1680" w:type="dxa"/>
            <w:vAlign w:val="bottom"/>
          </w:tcPr>
          <w:p>
            <w:pPr>
              <w:jc w:val="center"/>
              <w:ind w:left="20"/>
              <w:spacing w:after="0"/>
              <w:rPr>
                <w:sz w:val="20"/>
                <w:szCs w:val="20"/>
                <w:color w:val="auto"/>
              </w:rPr>
            </w:pPr>
            <w:r>
              <w:rPr>
                <w:rFonts w:ascii="Arial" w:cs="Arial" w:eastAsia="Arial" w:hAnsi="Arial"/>
                <w:sz w:val="16"/>
                <w:szCs w:val="16"/>
                <w:color w:val="auto"/>
              </w:rPr>
              <w:t>5.75%</w:t>
            </w:r>
          </w:p>
        </w:tc>
        <w:tc>
          <w:tcPr>
            <w:tcW w:w="1780" w:type="dxa"/>
            <w:vAlign w:val="bottom"/>
          </w:tcPr>
          <w:p>
            <w:pPr>
              <w:jc w:val="center"/>
              <w:spacing w:after="0"/>
              <w:rPr>
                <w:sz w:val="20"/>
                <w:szCs w:val="20"/>
                <w:color w:val="auto"/>
              </w:rPr>
            </w:pPr>
            <w:r>
              <w:rPr>
                <w:rFonts w:ascii="Arial" w:cs="Arial" w:eastAsia="Arial" w:hAnsi="Arial"/>
                <w:sz w:val="16"/>
                <w:szCs w:val="16"/>
                <w:color w:val="auto"/>
              </w:rPr>
              <w:t>5.75%</w:t>
            </w:r>
          </w:p>
        </w:tc>
        <w:tc>
          <w:tcPr>
            <w:tcW w:w="280" w:type="dxa"/>
            <w:vAlign w:val="bottom"/>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1340" w:type="dxa"/>
            <w:vAlign w:val="bottom"/>
          </w:tcPr>
          <w:p>
            <w:pPr>
              <w:jc w:val="right"/>
              <w:ind w:right="41"/>
              <w:spacing w:after="0"/>
              <w:rPr>
                <w:sz w:val="20"/>
                <w:szCs w:val="20"/>
                <w:color w:val="auto"/>
              </w:rPr>
            </w:pPr>
            <w:r>
              <w:rPr>
                <w:rFonts w:ascii="Arial" w:cs="Arial" w:eastAsia="Arial" w:hAnsi="Arial"/>
                <w:sz w:val="16"/>
                <w:szCs w:val="16"/>
                <w:b w:val="1"/>
                <w:bCs w:val="1"/>
                <w:color w:val="auto"/>
              </w:rPr>
              <w:t>399,162</w:t>
            </w:r>
          </w:p>
        </w:tc>
        <w:tc>
          <w:tcPr>
            <w:tcW w:w="3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1"/>
              <w:spacing w:after="0"/>
              <w:rPr>
                <w:sz w:val="20"/>
                <w:szCs w:val="20"/>
                <w:color w:val="auto"/>
              </w:rPr>
            </w:pPr>
            <w:r>
              <w:rPr>
                <w:rFonts w:ascii="Arial" w:cs="Arial" w:eastAsia="Arial" w:hAnsi="Arial"/>
                <w:sz w:val="16"/>
                <w:szCs w:val="16"/>
                <w:color w:val="auto"/>
              </w:rPr>
              <w:t>398,985</w:t>
            </w:r>
          </w:p>
        </w:tc>
        <w:tc>
          <w:tcPr>
            <w:tcW w:w="0" w:type="dxa"/>
            <w:vAlign w:val="bottom"/>
          </w:tcPr>
          <w:p>
            <w:pPr>
              <w:spacing w:after="0"/>
              <w:rPr>
                <w:sz w:val="1"/>
                <w:szCs w:val="1"/>
                <w:color w:val="auto"/>
              </w:rPr>
            </w:pPr>
          </w:p>
        </w:tc>
      </w:tr>
      <w:tr>
        <w:trPr>
          <w:trHeight w:val="223"/>
        </w:trPr>
        <w:tc>
          <w:tcPr>
            <w:tcW w:w="2580" w:type="dxa"/>
            <w:vAlign w:val="bottom"/>
          </w:tcPr>
          <w:p>
            <w:pPr>
              <w:ind w:left="20"/>
              <w:spacing w:after="0"/>
              <w:rPr>
                <w:sz w:val="20"/>
                <w:szCs w:val="20"/>
                <w:color w:val="auto"/>
              </w:rPr>
            </w:pPr>
            <w:r>
              <w:rPr>
                <w:rFonts w:ascii="Arial" w:cs="Arial" w:eastAsia="Arial" w:hAnsi="Arial"/>
                <w:sz w:val="16"/>
                <w:szCs w:val="16"/>
                <w:color w:val="auto"/>
              </w:rPr>
              <w:t>Revolving credit facility</w:t>
            </w:r>
          </w:p>
        </w:tc>
        <w:tc>
          <w:tcPr>
            <w:tcW w:w="1940" w:type="dxa"/>
            <w:vAlign w:val="bottom"/>
          </w:tcPr>
          <w:p>
            <w:pPr>
              <w:jc w:val="center"/>
              <w:ind w:left="540"/>
              <w:spacing w:after="0"/>
              <w:rPr>
                <w:sz w:val="20"/>
                <w:szCs w:val="20"/>
                <w:color w:val="auto"/>
              </w:rPr>
            </w:pPr>
            <w:r>
              <w:rPr>
                <w:rFonts w:ascii="Arial" w:cs="Arial" w:eastAsia="Arial" w:hAnsi="Arial"/>
                <w:sz w:val="16"/>
                <w:szCs w:val="16"/>
                <w:color w:val="auto"/>
              </w:rPr>
              <w:t>2027</w:t>
            </w:r>
          </w:p>
        </w:tc>
        <w:tc>
          <w:tcPr>
            <w:tcW w:w="1680" w:type="dxa"/>
            <w:vAlign w:val="bottom"/>
          </w:tcPr>
          <w:p>
            <w:pPr>
              <w:jc w:val="center"/>
              <w:ind w:left="20"/>
              <w:spacing w:after="0"/>
              <w:rPr>
                <w:sz w:val="20"/>
                <w:szCs w:val="20"/>
                <w:color w:val="auto"/>
              </w:rPr>
            </w:pPr>
            <w:r>
              <w:rPr>
                <w:rFonts w:ascii="Arial" w:cs="Arial" w:eastAsia="Arial" w:hAnsi="Arial"/>
                <w:sz w:val="16"/>
                <w:szCs w:val="16"/>
                <w:color w:val="auto"/>
              </w:rPr>
              <w:t>5.79% - 7.88%</w:t>
            </w:r>
          </w:p>
        </w:tc>
        <w:tc>
          <w:tcPr>
            <w:tcW w:w="1780" w:type="dxa"/>
            <w:vAlign w:val="bottom"/>
          </w:tcPr>
          <w:p>
            <w:pPr>
              <w:jc w:val="center"/>
              <w:spacing w:after="0"/>
              <w:rPr>
                <w:sz w:val="20"/>
                <w:szCs w:val="20"/>
                <w:color w:val="auto"/>
              </w:rPr>
            </w:pPr>
            <w:r>
              <w:rPr>
                <w:rFonts w:ascii="Arial" w:cs="Arial" w:eastAsia="Arial" w:hAnsi="Arial"/>
                <w:sz w:val="16"/>
                <w:szCs w:val="16"/>
                <w:color w:val="auto"/>
              </w:rPr>
              <w:t>6.06%</w:t>
            </w:r>
          </w:p>
        </w:tc>
        <w:tc>
          <w:tcPr>
            <w:tcW w:w="280" w:type="dxa"/>
            <w:vAlign w:val="bottom"/>
          </w:tcPr>
          <w:p>
            <w:pPr>
              <w:spacing w:after="0"/>
              <w:rPr>
                <w:sz w:val="19"/>
                <w:szCs w:val="19"/>
                <w:color w:val="auto"/>
              </w:rPr>
            </w:pPr>
          </w:p>
        </w:tc>
        <w:tc>
          <w:tcPr>
            <w:tcW w:w="1340" w:type="dxa"/>
            <w:vAlign w:val="bottom"/>
          </w:tcPr>
          <w:p>
            <w:pPr>
              <w:jc w:val="right"/>
              <w:ind w:right="41"/>
              <w:spacing w:after="0"/>
              <w:rPr>
                <w:sz w:val="20"/>
                <w:szCs w:val="20"/>
                <w:color w:val="auto"/>
              </w:rPr>
            </w:pPr>
            <w:r>
              <w:rPr>
                <w:rFonts w:ascii="Arial" w:cs="Arial" w:eastAsia="Arial" w:hAnsi="Arial"/>
                <w:sz w:val="16"/>
                <w:szCs w:val="16"/>
                <w:b w:val="1"/>
                <w:bCs w:val="1"/>
                <w:color w:val="auto"/>
              </w:rPr>
              <w:t>184,719</w:t>
            </w:r>
          </w:p>
        </w:tc>
        <w:tc>
          <w:tcPr>
            <w:tcW w:w="300" w:type="dxa"/>
            <w:vAlign w:val="bottom"/>
          </w:tcPr>
          <w:p>
            <w:pPr>
              <w:spacing w:after="0"/>
              <w:rPr>
                <w:sz w:val="19"/>
                <w:szCs w:val="19"/>
                <w:color w:val="auto"/>
              </w:rPr>
            </w:pPr>
          </w:p>
        </w:tc>
        <w:tc>
          <w:tcPr>
            <w:tcW w:w="1340" w:type="dxa"/>
            <w:vAlign w:val="bottom"/>
          </w:tcPr>
          <w:p>
            <w:pPr>
              <w:jc w:val="right"/>
              <w:ind w:right="1"/>
              <w:spacing w:after="0"/>
              <w:rPr>
                <w:sz w:val="20"/>
                <w:szCs w:val="20"/>
                <w:color w:val="auto"/>
              </w:rPr>
            </w:pPr>
            <w:r>
              <w:rPr>
                <w:rFonts w:ascii="Arial" w:cs="Arial" w:eastAsia="Arial" w:hAnsi="Arial"/>
                <w:sz w:val="16"/>
                <w:szCs w:val="16"/>
                <w:color w:val="auto"/>
              </w:rPr>
              <w:t>62,836</w:t>
            </w:r>
          </w:p>
        </w:tc>
        <w:tc>
          <w:tcPr>
            <w:tcW w:w="0" w:type="dxa"/>
            <w:vAlign w:val="bottom"/>
          </w:tcPr>
          <w:p>
            <w:pPr>
              <w:spacing w:after="0"/>
              <w:rPr>
                <w:sz w:val="1"/>
                <w:szCs w:val="1"/>
                <w:color w:val="auto"/>
              </w:rPr>
            </w:pPr>
          </w:p>
        </w:tc>
      </w:tr>
      <w:tr>
        <w:trPr>
          <w:trHeight w:val="236"/>
        </w:trPr>
        <w:tc>
          <w:tcPr>
            <w:tcW w:w="2580" w:type="dxa"/>
            <w:vAlign w:val="bottom"/>
          </w:tcPr>
          <w:p>
            <w:pPr>
              <w:ind w:left="20"/>
              <w:spacing w:after="0" w:line="236" w:lineRule="exact"/>
              <w:rPr>
                <w:sz w:val="20"/>
                <w:szCs w:val="20"/>
                <w:color w:val="auto"/>
              </w:rPr>
            </w:pPr>
            <w:r>
              <w:rPr>
                <w:rFonts w:ascii="Arial" w:cs="Arial" w:eastAsia="Arial" w:hAnsi="Arial"/>
                <w:sz w:val="16"/>
                <w:szCs w:val="16"/>
                <w:color w:val="auto"/>
              </w:rPr>
              <w:t xml:space="preserve">Term loan </w:t>
            </w:r>
            <w:r>
              <w:rPr>
                <w:rFonts w:ascii="Arial" w:cs="Arial" w:eastAsia="Arial" w:hAnsi="Arial"/>
                <w:sz w:val="21"/>
                <w:szCs w:val="21"/>
                <w:color w:val="auto"/>
                <w:vertAlign w:val="superscript"/>
              </w:rPr>
              <w:t>(2)</w:t>
            </w:r>
          </w:p>
        </w:tc>
        <w:tc>
          <w:tcPr>
            <w:tcW w:w="1940" w:type="dxa"/>
            <w:vAlign w:val="bottom"/>
          </w:tcPr>
          <w:p>
            <w:pPr>
              <w:jc w:val="center"/>
              <w:ind w:left="540"/>
              <w:spacing w:after="0"/>
              <w:rPr>
                <w:sz w:val="20"/>
                <w:szCs w:val="20"/>
                <w:color w:val="auto"/>
              </w:rPr>
            </w:pPr>
            <w:r>
              <w:rPr>
                <w:rFonts w:ascii="Arial" w:cs="Arial" w:eastAsia="Arial" w:hAnsi="Arial"/>
                <w:sz w:val="16"/>
                <w:szCs w:val="16"/>
                <w:color w:val="auto"/>
              </w:rPr>
              <w:t>2027</w:t>
            </w:r>
          </w:p>
        </w:tc>
        <w:tc>
          <w:tcPr>
            <w:tcW w:w="1680" w:type="dxa"/>
            <w:vAlign w:val="bottom"/>
          </w:tcPr>
          <w:p>
            <w:pPr>
              <w:jc w:val="center"/>
              <w:ind w:left="20"/>
              <w:spacing w:after="0"/>
              <w:rPr>
                <w:sz w:val="20"/>
                <w:szCs w:val="20"/>
                <w:color w:val="auto"/>
              </w:rPr>
            </w:pPr>
            <w:r>
              <w:rPr>
                <w:rFonts w:ascii="Arial" w:cs="Arial" w:eastAsia="Arial" w:hAnsi="Arial"/>
                <w:sz w:val="16"/>
                <w:szCs w:val="16"/>
                <w:color w:val="auto"/>
              </w:rPr>
              <w:t>6.16% - 6.21%</w:t>
            </w:r>
          </w:p>
        </w:tc>
        <w:tc>
          <w:tcPr>
            <w:tcW w:w="1780" w:type="dxa"/>
            <w:vAlign w:val="bottom"/>
          </w:tcPr>
          <w:p>
            <w:pPr>
              <w:jc w:val="center"/>
              <w:spacing w:after="0"/>
              <w:rPr>
                <w:sz w:val="20"/>
                <w:szCs w:val="20"/>
                <w:color w:val="auto"/>
              </w:rPr>
            </w:pPr>
            <w:r>
              <w:rPr>
                <w:rFonts w:ascii="Arial" w:cs="Arial" w:eastAsia="Arial" w:hAnsi="Arial"/>
                <w:sz w:val="16"/>
                <w:szCs w:val="16"/>
                <w:color w:val="auto"/>
              </w:rPr>
              <w:t>6.27%</w:t>
            </w:r>
          </w:p>
        </w:tc>
        <w:tc>
          <w:tcPr>
            <w:tcW w:w="280" w:type="dxa"/>
            <w:vAlign w:val="bottom"/>
          </w:tcPr>
          <w:p>
            <w:pPr>
              <w:spacing w:after="0"/>
              <w:rPr>
                <w:sz w:val="20"/>
                <w:szCs w:val="20"/>
                <w:color w:val="auto"/>
              </w:rPr>
            </w:pPr>
          </w:p>
        </w:tc>
        <w:tc>
          <w:tcPr>
            <w:tcW w:w="1340" w:type="dxa"/>
            <w:vAlign w:val="bottom"/>
          </w:tcPr>
          <w:p>
            <w:pPr>
              <w:jc w:val="right"/>
              <w:ind w:right="41"/>
              <w:spacing w:after="0"/>
              <w:rPr>
                <w:sz w:val="20"/>
                <w:szCs w:val="20"/>
                <w:color w:val="auto"/>
              </w:rPr>
            </w:pPr>
            <w:r>
              <w:rPr>
                <w:rFonts w:ascii="Arial" w:cs="Arial" w:eastAsia="Arial" w:hAnsi="Arial"/>
                <w:sz w:val="16"/>
                <w:szCs w:val="16"/>
                <w:b w:val="1"/>
                <w:bCs w:val="1"/>
                <w:color w:val="auto"/>
              </w:rPr>
              <w:t>138,278</w:t>
            </w:r>
          </w:p>
        </w:tc>
        <w:tc>
          <w:tcPr>
            <w:tcW w:w="300" w:type="dxa"/>
            <w:vAlign w:val="bottom"/>
          </w:tcPr>
          <w:p>
            <w:pPr>
              <w:spacing w:after="0"/>
              <w:rPr>
                <w:sz w:val="20"/>
                <w:szCs w:val="20"/>
                <w:color w:val="auto"/>
              </w:rPr>
            </w:pPr>
          </w:p>
        </w:tc>
        <w:tc>
          <w:tcPr>
            <w:tcW w:w="1340" w:type="dxa"/>
            <w:vAlign w:val="bottom"/>
          </w:tcPr>
          <w:p>
            <w:pPr>
              <w:jc w:val="right"/>
              <w:ind w:right="1"/>
              <w:spacing w:after="0"/>
              <w:rPr>
                <w:sz w:val="20"/>
                <w:szCs w:val="20"/>
                <w:color w:val="auto"/>
              </w:rPr>
            </w:pPr>
            <w:r>
              <w:rPr>
                <w:rFonts w:ascii="Arial" w:cs="Arial" w:eastAsia="Arial" w:hAnsi="Arial"/>
                <w:sz w:val="16"/>
                <w:szCs w:val="16"/>
                <w:color w:val="auto"/>
              </w:rPr>
              <w:t>140,099</w:t>
            </w:r>
          </w:p>
        </w:tc>
        <w:tc>
          <w:tcPr>
            <w:tcW w:w="0" w:type="dxa"/>
            <w:vAlign w:val="bottom"/>
          </w:tcPr>
          <w:p>
            <w:pPr>
              <w:spacing w:after="0"/>
              <w:rPr>
                <w:sz w:val="1"/>
                <w:szCs w:val="1"/>
                <w:color w:val="auto"/>
              </w:rPr>
            </w:pPr>
          </w:p>
        </w:tc>
      </w:tr>
      <w:tr>
        <w:trPr>
          <w:trHeight w:val="230"/>
        </w:trPr>
        <w:tc>
          <w:tcPr>
            <w:tcW w:w="2580" w:type="dxa"/>
            <w:vAlign w:val="bottom"/>
          </w:tcPr>
          <w:p>
            <w:pPr>
              <w:ind w:left="20"/>
              <w:spacing w:after="0" w:line="230" w:lineRule="exact"/>
              <w:rPr>
                <w:sz w:val="20"/>
                <w:szCs w:val="20"/>
                <w:color w:val="auto"/>
              </w:rPr>
            </w:pPr>
            <w:r>
              <w:rPr>
                <w:rFonts w:ascii="Arial" w:cs="Arial" w:eastAsia="Arial" w:hAnsi="Arial"/>
                <w:sz w:val="16"/>
                <w:szCs w:val="16"/>
                <w:color w:val="auto"/>
              </w:rPr>
              <w:t xml:space="preserve">Real estate term loan </w:t>
            </w:r>
            <w:r>
              <w:rPr>
                <w:rFonts w:ascii="Arial" w:cs="Arial" w:eastAsia="Arial" w:hAnsi="Arial"/>
                <w:sz w:val="21"/>
                <w:szCs w:val="21"/>
                <w:color w:val="auto"/>
                <w:vertAlign w:val="superscript"/>
              </w:rPr>
              <w:t>(3)</w:t>
            </w:r>
          </w:p>
        </w:tc>
        <w:tc>
          <w:tcPr>
            <w:tcW w:w="1940" w:type="dxa"/>
            <w:vAlign w:val="bottom"/>
          </w:tcPr>
          <w:p>
            <w:pPr>
              <w:jc w:val="center"/>
              <w:ind w:left="540"/>
              <w:spacing w:after="0"/>
              <w:rPr>
                <w:sz w:val="20"/>
                <w:szCs w:val="20"/>
                <w:color w:val="auto"/>
              </w:rPr>
            </w:pPr>
            <w:r>
              <w:rPr>
                <w:rFonts w:ascii="Arial" w:cs="Arial" w:eastAsia="Arial" w:hAnsi="Arial"/>
                <w:sz w:val="16"/>
                <w:szCs w:val="16"/>
                <w:color w:val="auto"/>
              </w:rPr>
              <w:t>2028</w:t>
            </w:r>
          </w:p>
        </w:tc>
        <w:tc>
          <w:tcPr>
            <w:tcW w:w="1680" w:type="dxa"/>
            <w:vAlign w:val="bottom"/>
          </w:tcPr>
          <w:p>
            <w:pPr>
              <w:jc w:val="center"/>
              <w:ind w:left="20"/>
              <w:spacing w:after="0"/>
              <w:rPr>
                <w:sz w:val="20"/>
                <w:szCs w:val="20"/>
                <w:color w:val="auto"/>
              </w:rPr>
            </w:pPr>
            <w:r>
              <w:rPr>
                <w:rFonts w:ascii="Arial" w:cs="Arial" w:eastAsia="Arial" w:hAnsi="Arial"/>
                <w:sz w:val="16"/>
                <w:szCs w:val="16"/>
                <w:color w:val="auto"/>
              </w:rPr>
              <w:t>6.06% - 6.09%</w:t>
            </w:r>
          </w:p>
        </w:tc>
        <w:tc>
          <w:tcPr>
            <w:tcW w:w="1780" w:type="dxa"/>
            <w:vAlign w:val="bottom"/>
          </w:tcPr>
          <w:p>
            <w:pPr>
              <w:jc w:val="center"/>
              <w:spacing w:after="0"/>
              <w:rPr>
                <w:sz w:val="20"/>
                <w:szCs w:val="20"/>
                <w:color w:val="auto"/>
              </w:rPr>
            </w:pPr>
            <w:r>
              <w:rPr>
                <w:rFonts w:ascii="Arial" w:cs="Arial" w:eastAsia="Arial" w:hAnsi="Arial"/>
                <w:sz w:val="16"/>
                <w:szCs w:val="16"/>
                <w:color w:val="auto"/>
              </w:rPr>
              <w:t>6.14%</w:t>
            </w:r>
          </w:p>
        </w:tc>
        <w:tc>
          <w:tcPr>
            <w:tcW w:w="280" w:type="dxa"/>
            <w:vAlign w:val="bottom"/>
          </w:tcPr>
          <w:p>
            <w:pPr>
              <w:spacing w:after="0"/>
              <w:rPr>
                <w:sz w:val="19"/>
                <w:szCs w:val="19"/>
                <w:color w:val="auto"/>
              </w:rPr>
            </w:pPr>
          </w:p>
        </w:tc>
        <w:tc>
          <w:tcPr>
            <w:tcW w:w="1340" w:type="dxa"/>
            <w:vAlign w:val="bottom"/>
          </w:tcPr>
          <w:p>
            <w:pPr>
              <w:jc w:val="right"/>
              <w:ind w:right="41"/>
              <w:spacing w:after="0"/>
              <w:rPr>
                <w:sz w:val="20"/>
                <w:szCs w:val="20"/>
                <w:color w:val="auto"/>
              </w:rPr>
            </w:pPr>
            <w:r>
              <w:rPr>
                <w:rFonts w:ascii="Arial" w:cs="Arial" w:eastAsia="Arial" w:hAnsi="Arial"/>
                <w:sz w:val="16"/>
                <w:szCs w:val="16"/>
                <w:b w:val="1"/>
                <w:bCs w:val="1"/>
                <w:color w:val="auto"/>
              </w:rPr>
              <w:t>69,858</w:t>
            </w:r>
          </w:p>
        </w:tc>
        <w:tc>
          <w:tcPr>
            <w:tcW w:w="300" w:type="dxa"/>
            <w:vAlign w:val="bottom"/>
          </w:tcPr>
          <w:p>
            <w:pPr>
              <w:spacing w:after="0"/>
              <w:rPr>
                <w:sz w:val="19"/>
                <w:szCs w:val="19"/>
                <w:color w:val="auto"/>
              </w:rPr>
            </w:pPr>
          </w:p>
        </w:tc>
        <w:tc>
          <w:tcPr>
            <w:tcW w:w="1340" w:type="dxa"/>
            <w:vAlign w:val="bottom"/>
          </w:tcPr>
          <w:p>
            <w:pPr>
              <w:jc w:val="right"/>
              <w:ind w:right="1"/>
              <w:spacing w:after="0"/>
              <w:rPr>
                <w:sz w:val="20"/>
                <w:szCs w:val="20"/>
                <w:color w:val="auto"/>
              </w:rPr>
            </w:pPr>
            <w:r>
              <w:rPr>
                <w:rFonts w:ascii="Arial" w:cs="Arial" w:eastAsia="Arial" w:hAnsi="Arial"/>
                <w:sz w:val="16"/>
                <w:szCs w:val="16"/>
                <w:color w:val="auto"/>
              </w:rPr>
              <w:t>70,795</w:t>
            </w:r>
          </w:p>
        </w:tc>
        <w:tc>
          <w:tcPr>
            <w:tcW w:w="0" w:type="dxa"/>
            <w:vAlign w:val="bottom"/>
          </w:tcPr>
          <w:p>
            <w:pPr>
              <w:spacing w:after="0"/>
              <w:rPr>
                <w:sz w:val="1"/>
                <w:szCs w:val="1"/>
                <w:color w:val="auto"/>
              </w:rPr>
            </w:pPr>
          </w:p>
        </w:tc>
      </w:tr>
      <w:tr>
        <w:trPr>
          <w:trHeight w:val="229"/>
        </w:trPr>
        <w:tc>
          <w:tcPr>
            <w:tcW w:w="2580" w:type="dxa"/>
            <w:vAlign w:val="bottom"/>
          </w:tcPr>
          <w:p>
            <w:pPr>
              <w:ind w:left="20"/>
              <w:spacing w:after="0" w:line="230" w:lineRule="exact"/>
              <w:rPr>
                <w:sz w:val="20"/>
                <w:szCs w:val="20"/>
                <w:color w:val="auto"/>
              </w:rPr>
            </w:pPr>
            <w:r>
              <w:rPr>
                <w:rFonts w:ascii="Arial" w:cs="Arial" w:eastAsia="Arial" w:hAnsi="Arial"/>
                <w:sz w:val="16"/>
                <w:szCs w:val="16"/>
                <w:color w:val="auto"/>
              </w:rPr>
              <w:t xml:space="preserve">Capital term loan </w:t>
            </w:r>
            <w:r>
              <w:rPr>
                <w:rFonts w:ascii="Arial" w:cs="Arial" w:eastAsia="Arial" w:hAnsi="Arial"/>
                <w:sz w:val="21"/>
                <w:szCs w:val="21"/>
                <w:color w:val="auto"/>
                <w:vertAlign w:val="superscript"/>
              </w:rPr>
              <w:t>(4)</w:t>
            </w:r>
          </w:p>
        </w:tc>
        <w:tc>
          <w:tcPr>
            <w:tcW w:w="1940" w:type="dxa"/>
            <w:vAlign w:val="bottom"/>
          </w:tcPr>
          <w:p>
            <w:pPr>
              <w:jc w:val="center"/>
              <w:ind w:left="540"/>
              <w:spacing w:after="0"/>
              <w:rPr>
                <w:sz w:val="20"/>
                <w:szCs w:val="20"/>
                <w:color w:val="auto"/>
              </w:rPr>
            </w:pPr>
            <w:r>
              <w:rPr>
                <w:rFonts w:ascii="Arial" w:cs="Arial" w:eastAsia="Arial" w:hAnsi="Arial"/>
                <w:sz w:val="16"/>
                <w:szCs w:val="16"/>
                <w:color w:val="auto"/>
              </w:rPr>
              <w:t>2028</w:t>
            </w:r>
          </w:p>
        </w:tc>
        <w:tc>
          <w:tcPr>
            <w:tcW w:w="1680" w:type="dxa"/>
            <w:vAlign w:val="bottom"/>
          </w:tcPr>
          <w:p>
            <w:pPr>
              <w:jc w:val="center"/>
              <w:ind w:left="20"/>
              <w:spacing w:after="0"/>
              <w:rPr>
                <w:sz w:val="20"/>
                <w:szCs w:val="20"/>
                <w:color w:val="auto"/>
              </w:rPr>
            </w:pPr>
            <w:r>
              <w:rPr>
                <w:rFonts w:ascii="Arial" w:cs="Arial" w:eastAsia="Arial" w:hAnsi="Arial"/>
                <w:sz w:val="16"/>
                <w:szCs w:val="16"/>
                <w:color w:val="auto"/>
              </w:rPr>
              <w:t>6.31% - 6.34%</w:t>
            </w:r>
          </w:p>
        </w:tc>
        <w:tc>
          <w:tcPr>
            <w:tcW w:w="1780" w:type="dxa"/>
            <w:vAlign w:val="bottom"/>
          </w:tcPr>
          <w:p>
            <w:pPr>
              <w:jc w:val="center"/>
              <w:spacing w:after="0"/>
              <w:rPr>
                <w:sz w:val="20"/>
                <w:szCs w:val="20"/>
                <w:color w:val="auto"/>
              </w:rPr>
            </w:pPr>
            <w:r>
              <w:rPr>
                <w:rFonts w:ascii="Arial" w:cs="Arial" w:eastAsia="Arial" w:hAnsi="Arial"/>
                <w:sz w:val="16"/>
                <w:szCs w:val="16"/>
                <w:color w:val="auto"/>
              </w:rPr>
              <w:t>6.89%</w:t>
            </w:r>
          </w:p>
        </w:tc>
        <w:tc>
          <w:tcPr>
            <w:tcW w:w="280" w:type="dxa"/>
            <w:vAlign w:val="bottom"/>
          </w:tcPr>
          <w:p>
            <w:pPr>
              <w:spacing w:after="0"/>
              <w:rPr>
                <w:sz w:val="19"/>
                <w:szCs w:val="19"/>
                <w:color w:val="auto"/>
              </w:rPr>
            </w:pPr>
          </w:p>
        </w:tc>
        <w:tc>
          <w:tcPr>
            <w:tcW w:w="1340" w:type="dxa"/>
            <w:vAlign w:val="bottom"/>
          </w:tcPr>
          <w:p>
            <w:pPr>
              <w:jc w:val="right"/>
              <w:ind w:right="41"/>
              <w:spacing w:after="0"/>
              <w:rPr>
                <w:sz w:val="20"/>
                <w:szCs w:val="20"/>
                <w:color w:val="auto"/>
              </w:rPr>
            </w:pPr>
            <w:r>
              <w:rPr>
                <w:rFonts w:ascii="Arial" w:cs="Arial" w:eastAsia="Arial" w:hAnsi="Arial"/>
                <w:sz w:val="16"/>
                <w:szCs w:val="16"/>
                <w:b w:val="1"/>
                <w:bCs w:val="1"/>
                <w:color w:val="auto"/>
              </w:rPr>
              <w:t>55,189</w:t>
            </w:r>
          </w:p>
        </w:tc>
        <w:tc>
          <w:tcPr>
            <w:tcW w:w="300" w:type="dxa"/>
            <w:vAlign w:val="bottom"/>
          </w:tcPr>
          <w:p>
            <w:pPr>
              <w:spacing w:after="0"/>
              <w:rPr>
                <w:sz w:val="19"/>
                <w:szCs w:val="19"/>
                <w:color w:val="auto"/>
              </w:rPr>
            </w:pPr>
          </w:p>
        </w:tc>
        <w:tc>
          <w:tcPr>
            <w:tcW w:w="1340" w:type="dxa"/>
            <w:vAlign w:val="bottom"/>
          </w:tcPr>
          <w:p>
            <w:pPr>
              <w:jc w:val="right"/>
              <w:ind w:right="1"/>
              <w:spacing w:after="0"/>
              <w:rPr>
                <w:sz w:val="20"/>
                <w:szCs w:val="20"/>
                <w:color w:val="auto"/>
              </w:rPr>
            </w:pPr>
            <w:r>
              <w:rPr>
                <w:rFonts w:ascii="Arial" w:cs="Arial" w:eastAsia="Arial" w:hAnsi="Arial"/>
                <w:sz w:val="16"/>
                <w:szCs w:val="16"/>
                <w:color w:val="auto"/>
              </w:rPr>
              <w:t>56,770</w:t>
            </w:r>
          </w:p>
        </w:tc>
        <w:tc>
          <w:tcPr>
            <w:tcW w:w="0" w:type="dxa"/>
            <w:vAlign w:val="bottom"/>
          </w:tcPr>
          <w:p>
            <w:pPr>
              <w:spacing w:after="0"/>
              <w:rPr>
                <w:sz w:val="1"/>
                <w:szCs w:val="1"/>
                <w:color w:val="auto"/>
              </w:rPr>
            </w:pPr>
          </w:p>
        </w:tc>
      </w:tr>
      <w:tr>
        <w:trPr>
          <w:trHeight w:val="224"/>
        </w:trPr>
        <w:tc>
          <w:tcPr>
            <w:tcW w:w="2580" w:type="dxa"/>
            <w:vAlign w:val="bottom"/>
          </w:tcPr>
          <w:p>
            <w:pPr>
              <w:ind w:left="20"/>
              <w:spacing w:after="0"/>
              <w:rPr>
                <w:sz w:val="20"/>
                <w:szCs w:val="20"/>
                <w:color w:val="auto"/>
              </w:rPr>
            </w:pPr>
            <w:r>
              <w:rPr>
                <w:rFonts w:ascii="Arial" w:cs="Arial" w:eastAsia="Arial" w:hAnsi="Arial"/>
                <w:sz w:val="16"/>
                <w:szCs w:val="16"/>
                <w:color w:val="auto"/>
              </w:rPr>
              <w:t>Other indebtedness</w:t>
            </w:r>
          </w:p>
        </w:tc>
        <w:tc>
          <w:tcPr>
            <w:tcW w:w="1940" w:type="dxa"/>
            <w:vAlign w:val="bottom"/>
          </w:tcPr>
          <w:p>
            <w:pPr>
              <w:jc w:val="center"/>
              <w:ind w:left="520"/>
              <w:spacing w:after="0"/>
              <w:rPr>
                <w:sz w:val="20"/>
                <w:szCs w:val="20"/>
                <w:color w:val="auto"/>
              </w:rPr>
            </w:pPr>
            <w:r>
              <w:rPr>
                <w:rFonts w:ascii="Arial" w:cs="Arial" w:eastAsia="Arial" w:hAnsi="Arial"/>
                <w:sz w:val="16"/>
                <w:szCs w:val="16"/>
                <w:color w:val="auto"/>
              </w:rPr>
              <w:t>2025 - 2028</w:t>
            </w:r>
          </w:p>
        </w:tc>
        <w:tc>
          <w:tcPr>
            <w:tcW w:w="1680" w:type="dxa"/>
            <w:vAlign w:val="bottom"/>
          </w:tcPr>
          <w:p>
            <w:pPr>
              <w:jc w:val="center"/>
              <w:ind w:left="20"/>
              <w:spacing w:after="0"/>
              <w:rPr>
                <w:sz w:val="20"/>
                <w:szCs w:val="20"/>
                <w:color w:val="auto"/>
              </w:rPr>
            </w:pPr>
            <w:r>
              <w:rPr>
                <w:rFonts w:ascii="Arial" w:cs="Arial" w:eastAsia="Arial" w:hAnsi="Arial"/>
                <w:sz w:val="16"/>
                <w:szCs w:val="16"/>
                <w:color w:val="auto"/>
              </w:rPr>
              <w:t>2.50% - 8.00%</w:t>
            </w:r>
          </w:p>
        </w:tc>
        <w:tc>
          <w:tcPr>
            <w:tcW w:w="17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17,429</w:t>
            </w:r>
          </w:p>
        </w:tc>
        <w:tc>
          <w:tcPr>
            <w:tcW w:w="3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18,707</w:t>
            </w:r>
          </w:p>
        </w:tc>
        <w:tc>
          <w:tcPr>
            <w:tcW w:w="0" w:type="dxa"/>
            <w:vAlign w:val="bottom"/>
          </w:tcPr>
          <w:p>
            <w:pPr>
              <w:spacing w:after="0"/>
              <w:rPr>
                <w:sz w:val="1"/>
                <w:szCs w:val="1"/>
                <w:color w:val="auto"/>
              </w:rPr>
            </w:pPr>
          </w:p>
        </w:tc>
      </w:tr>
      <w:tr>
        <w:trPr>
          <w:trHeight w:val="223"/>
        </w:trPr>
        <w:tc>
          <w:tcPr>
            <w:tcW w:w="2580" w:type="dxa"/>
            <w:vAlign w:val="bottom"/>
          </w:tcPr>
          <w:p>
            <w:pPr>
              <w:ind w:left="20"/>
              <w:spacing w:after="0"/>
              <w:rPr>
                <w:sz w:val="20"/>
                <w:szCs w:val="20"/>
                <w:color w:val="auto"/>
              </w:rPr>
            </w:pPr>
            <w:r>
              <w:rPr>
                <w:rFonts w:ascii="Arial" w:cs="Arial" w:eastAsia="Arial" w:hAnsi="Arial"/>
                <w:sz w:val="16"/>
                <w:szCs w:val="16"/>
                <w:b w:val="1"/>
                <w:bCs w:val="1"/>
                <w:color w:val="auto"/>
              </w:rPr>
              <w:t>Total Debt</w:t>
            </w:r>
          </w:p>
        </w:tc>
        <w:tc>
          <w:tcPr>
            <w:tcW w:w="194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40" w:type="dxa"/>
            <w:vAlign w:val="bottom"/>
          </w:tcPr>
          <w:p>
            <w:pPr>
              <w:jc w:val="right"/>
              <w:ind w:right="41"/>
              <w:spacing w:after="0"/>
              <w:rPr>
                <w:sz w:val="20"/>
                <w:szCs w:val="20"/>
                <w:color w:val="auto"/>
              </w:rPr>
            </w:pPr>
            <w:r>
              <w:rPr>
                <w:rFonts w:ascii="Arial" w:cs="Arial" w:eastAsia="Arial" w:hAnsi="Arial"/>
                <w:sz w:val="16"/>
                <w:szCs w:val="16"/>
                <w:b w:val="1"/>
                <w:bCs w:val="1"/>
                <w:color w:val="auto"/>
              </w:rPr>
              <w:t>864,635</w:t>
            </w:r>
          </w:p>
        </w:tc>
        <w:tc>
          <w:tcPr>
            <w:tcW w:w="300" w:type="dxa"/>
            <w:vAlign w:val="bottom"/>
          </w:tcPr>
          <w:p>
            <w:pPr>
              <w:spacing w:after="0"/>
              <w:rPr>
                <w:sz w:val="19"/>
                <w:szCs w:val="19"/>
                <w:color w:val="auto"/>
              </w:rPr>
            </w:pPr>
          </w:p>
        </w:tc>
        <w:tc>
          <w:tcPr>
            <w:tcW w:w="1340" w:type="dxa"/>
            <w:vAlign w:val="bottom"/>
          </w:tcPr>
          <w:p>
            <w:pPr>
              <w:jc w:val="right"/>
              <w:ind w:right="1"/>
              <w:spacing w:after="0"/>
              <w:rPr>
                <w:sz w:val="20"/>
                <w:szCs w:val="20"/>
                <w:color w:val="auto"/>
              </w:rPr>
            </w:pPr>
            <w:r>
              <w:rPr>
                <w:rFonts w:ascii="Arial" w:cs="Arial" w:eastAsia="Arial" w:hAnsi="Arial"/>
                <w:sz w:val="16"/>
                <w:szCs w:val="16"/>
                <w:color w:val="auto"/>
              </w:rPr>
              <w:t>748,192</w:t>
            </w:r>
          </w:p>
        </w:tc>
        <w:tc>
          <w:tcPr>
            <w:tcW w:w="0" w:type="dxa"/>
            <w:vAlign w:val="bottom"/>
          </w:tcPr>
          <w:p>
            <w:pPr>
              <w:spacing w:after="0"/>
              <w:rPr>
                <w:sz w:val="1"/>
                <w:szCs w:val="1"/>
                <w:color w:val="auto"/>
              </w:rPr>
            </w:pPr>
          </w:p>
        </w:tc>
      </w:tr>
      <w:tr>
        <w:trPr>
          <w:trHeight w:val="233"/>
        </w:trPr>
        <w:tc>
          <w:tcPr>
            <w:tcW w:w="2580" w:type="dxa"/>
            <w:vAlign w:val="bottom"/>
          </w:tcPr>
          <w:p>
            <w:pPr>
              <w:ind w:left="20"/>
              <w:spacing w:after="0"/>
              <w:rPr>
                <w:sz w:val="20"/>
                <w:szCs w:val="20"/>
                <w:color w:val="auto"/>
              </w:rPr>
            </w:pPr>
            <w:r>
              <w:rPr>
                <w:rFonts w:ascii="Arial" w:cs="Arial" w:eastAsia="Arial" w:hAnsi="Arial"/>
                <w:sz w:val="16"/>
                <w:szCs w:val="16"/>
                <w:color w:val="auto"/>
              </w:rPr>
              <w:t>Less: current portion</w:t>
            </w:r>
          </w:p>
        </w:tc>
        <w:tc>
          <w:tcPr>
            <w:tcW w:w="19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(149,178)</w:t>
            </w:r>
          </w:p>
        </w:tc>
        <w:tc>
          <w:tcPr>
            <w:tcW w:w="3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(26,577)</w:t>
            </w:r>
          </w:p>
        </w:tc>
        <w:tc>
          <w:tcPr>
            <w:tcW w:w="0" w:type="dxa"/>
            <w:vAlign w:val="bottom"/>
          </w:tcPr>
          <w:p>
            <w:pPr>
              <w:spacing w:after="0"/>
              <w:rPr>
                <w:sz w:val="1"/>
                <w:szCs w:val="1"/>
                <w:color w:val="auto"/>
              </w:rPr>
            </w:pPr>
          </w:p>
        </w:tc>
      </w:tr>
      <w:tr>
        <w:trPr>
          <w:trHeight w:val="227"/>
        </w:trPr>
        <w:tc>
          <w:tcPr>
            <w:tcW w:w="2580" w:type="dxa"/>
            <w:vAlign w:val="bottom"/>
          </w:tcPr>
          <w:p>
            <w:pPr>
              <w:ind w:left="20"/>
              <w:spacing w:after="0"/>
              <w:rPr>
                <w:sz w:val="20"/>
                <w:szCs w:val="20"/>
                <w:color w:val="auto"/>
              </w:rPr>
            </w:pPr>
            <w:r>
              <w:rPr>
                <w:rFonts w:ascii="Arial" w:cs="Arial" w:eastAsia="Arial" w:hAnsi="Arial"/>
                <w:sz w:val="16"/>
                <w:szCs w:val="16"/>
                <w:b w:val="1"/>
                <w:bCs w:val="1"/>
                <w:color w:val="auto"/>
              </w:rPr>
              <w:t>Total Long-Term Debt</w:t>
            </w:r>
          </w:p>
        </w:tc>
        <w:tc>
          <w:tcPr>
            <w:tcW w:w="194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13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715,457</w:t>
            </w:r>
          </w:p>
        </w:tc>
        <w:tc>
          <w:tcPr>
            <w:tcW w:w="3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721,615</w:t>
            </w:r>
          </w:p>
        </w:tc>
        <w:tc>
          <w:tcPr>
            <w:tcW w:w="0" w:type="dxa"/>
            <w:vAlign w:val="bottom"/>
          </w:tcPr>
          <w:p>
            <w:pPr>
              <w:spacing w:after="0"/>
              <w:rPr>
                <w:sz w:val="1"/>
                <w:szCs w:val="1"/>
                <w:color w:val="auto"/>
              </w:rPr>
            </w:pPr>
          </w:p>
        </w:tc>
      </w:tr>
      <w:tr>
        <w:trPr>
          <w:trHeight w:val="21"/>
        </w:trPr>
        <w:tc>
          <w:tcPr>
            <w:tcW w:w="25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spacing w:after="0"/>
        <w:rPr>
          <w:sz w:val="20"/>
          <w:szCs w:val="20"/>
          <w:color w:val="auto"/>
        </w:rPr>
      </w:pPr>
      <w:r>
        <w:rPr>
          <w:rFonts w:ascii="Arial" w:cs="Arial" w:eastAsia="Arial" w:hAnsi="Arial"/>
          <w:sz w:val="14"/>
          <w:szCs w:val="14"/>
          <w:color w:val="auto"/>
        </w:rPr>
        <w:t>___________</w:t>
      </w:r>
      <w:r>
        <w:rPr>
          <w:rFonts w:ascii="Arial" w:cs="Arial" w:eastAsia="Arial" w:hAnsi="Arial"/>
          <w:sz w:val="10"/>
          <w:szCs w:val="10"/>
          <w:color w:val="auto"/>
        </w:rPr>
        <w:t>_</w:t>
      </w:r>
    </w:p>
    <w:p>
      <w:pPr>
        <w:spacing w:after="0" w:line="109" w:lineRule="exact"/>
        <w:rPr>
          <w:sz w:val="20"/>
          <w:szCs w:val="20"/>
          <w:color w:val="auto"/>
        </w:rPr>
      </w:pPr>
    </w:p>
    <w:p>
      <w:pPr>
        <w:ind w:left="380" w:hanging="372"/>
        <w:spacing w:after="0"/>
        <w:tabs>
          <w:tab w:leader="none" w:pos="380" w:val="left"/>
        </w:tabs>
        <w:numPr>
          <w:ilvl w:val="0"/>
          <w:numId w:val="9"/>
        </w:numPr>
        <w:rPr>
          <w:rFonts w:ascii="Arial" w:cs="Arial" w:eastAsia="Arial" w:hAnsi="Arial"/>
          <w:sz w:val="14"/>
          <w:szCs w:val="14"/>
          <w:color w:val="auto"/>
        </w:rPr>
      </w:pPr>
      <w:r>
        <w:rPr>
          <w:rFonts w:ascii="Arial" w:cs="Arial" w:eastAsia="Arial" w:hAnsi="Arial"/>
          <w:sz w:val="14"/>
          <w:szCs w:val="14"/>
          <w:color w:val="auto"/>
        </w:rPr>
        <w:t>The carrying value is net of $0.8 million and $1.0 million of unamortized debt issuance costs as of March 31, 2025 and December 31, 2024, respectively.</w:t>
      </w:r>
    </w:p>
    <w:p>
      <w:pPr>
        <w:spacing w:after="0" w:line="41" w:lineRule="exact"/>
        <w:rPr>
          <w:rFonts w:ascii="Arial" w:cs="Arial" w:eastAsia="Arial" w:hAnsi="Arial"/>
          <w:sz w:val="14"/>
          <w:szCs w:val="14"/>
          <w:color w:val="auto"/>
        </w:rPr>
      </w:pPr>
    </w:p>
    <w:p>
      <w:pPr>
        <w:ind w:left="380" w:hanging="372"/>
        <w:spacing w:after="0"/>
        <w:tabs>
          <w:tab w:leader="none" w:pos="380" w:val="left"/>
        </w:tabs>
        <w:numPr>
          <w:ilvl w:val="0"/>
          <w:numId w:val="9"/>
        </w:numPr>
        <w:rPr>
          <w:rFonts w:ascii="Arial" w:cs="Arial" w:eastAsia="Arial" w:hAnsi="Arial"/>
          <w:sz w:val="14"/>
          <w:szCs w:val="14"/>
          <w:color w:val="auto"/>
        </w:rPr>
      </w:pPr>
      <w:r>
        <w:rPr>
          <w:rFonts w:ascii="Arial" w:cs="Arial" w:eastAsia="Arial" w:hAnsi="Arial"/>
          <w:sz w:val="14"/>
          <w:szCs w:val="14"/>
          <w:color w:val="auto"/>
        </w:rPr>
        <w:t>The carrying value is net of $0.5 million of unamortized debt issuance costs as of March 31, 2025 and December 31, 2024.</w:t>
      </w:r>
    </w:p>
    <w:p>
      <w:pPr>
        <w:spacing w:after="0" w:line="68" w:lineRule="exact"/>
        <w:rPr>
          <w:rFonts w:ascii="Arial" w:cs="Arial" w:eastAsia="Arial" w:hAnsi="Arial"/>
          <w:sz w:val="14"/>
          <w:szCs w:val="14"/>
          <w:color w:val="auto"/>
        </w:rPr>
      </w:pPr>
    </w:p>
    <w:p>
      <w:pPr>
        <w:ind w:left="380" w:hanging="372"/>
        <w:spacing w:after="0"/>
        <w:tabs>
          <w:tab w:leader="none" w:pos="380" w:val="left"/>
        </w:tabs>
        <w:numPr>
          <w:ilvl w:val="0"/>
          <w:numId w:val="9"/>
        </w:numPr>
        <w:rPr>
          <w:rFonts w:ascii="Arial" w:cs="Arial" w:eastAsia="Arial" w:hAnsi="Arial"/>
          <w:sz w:val="14"/>
          <w:szCs w:val="14"/>
          <w:color w:val="auto"/>
        </w:rPr>
      </w:pPr>
      <w:r>
        <w:rPr>
          <w:rFonts w:ascii="Arial" w:cs="Arial" w:eastAsia="Arial" w:hAnsi="Arial"/>
          <w:sz w:val="14"/>
          <w:szCs w:val="14"/>
          <w:color w:val="auto"/>
        </w:rPr>
        <w:t>The carrying value is net of $0.1 million of unamortized debt issuance costs as of March 31, 2025 and December 31, 2024.</w:t>
      </w:r>
    </w:p>
    <w:p>
      <w:pPr>
        <w:spacing w:after="0" w:line="55" w:lineRule="exact"/>
        <w:rPr>
          <w:rFonts w:ascii="Arial" w:cs="Arial" w:eastAsia="Arial" w:hAnsi="Arial"/>
          <w:sz w:val="14"/>
          <w:szCs w:val="14"/>
          <w:color w:val="auto"/>
        </w:rPr>
      </w:pPr>
    </w:p>
    <w:p>
      <w:pPr>
        <w:ind w:left="380" w:hanging="372"/>
        <w:spacing w:after="0"/>
        <w:tabs>
          <w:tab w:leader="none" w:pos="380" w:val="left"/>
        </w:tabs>
        <w:numPr>
          <w:ilvl w:val="0"/>
          <w:numId w:val="9"/>
        </w:numPr>
        <w:rPr>
          <w:rFonts w:ascii="Arial" w:cs="Arial" w:eastAsia="Arial" w:hAnsi="Arial"/>
          <w:sz w:val="14"/>
          <w:szCs w:val="14"/>
          <w:color w:val="auto"/>
        </w:rPr>
      </w:pPr>
      <w:r>
        <w:rPr>
          <w:rFonts w:ascii="Arial" w:cs="Arial" w:eastAsia="Arial" w:hAnsi="Arial"/>
          <w:sz w:val="14"/>
          <w:szCs w:val="14"/>
          <w:color w:val="auto"/>
        </w:rPr>
        <w:t>The carrying value is net of $0.6 million of unamortized debt issuance costs as of March 31, 2025 and December 31, 2024.</w:t>
      </w:r>
    </w:p>
    <w:p>
      <w:pPr>
        <w:spacing w:after="0" w:line="140"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At March 31, 2025 and December 31, 2024, the fair value of the Company’s 5.75% unsecured notes, based on quoted market prices (Level 2 fair value assessment), totaled $401.0 million and $398.9 million, respectively.</w:t>
      </w:r>
    </w:p>
    <w:p>
      <w:pPr>
        <w:spacing w:after="0" w:line="100" w:lineRule="exact"/>
        <w:rPr>
          <w:sz w:val="20"/>
          <w:szCs w:val="20"/>
          <w:color w:val="auto"/>
        </w:rPr>
      </w:pPr>
    </w:p>
    <w:p>
      <w:pPr>
        <w:ind w:right="180"/>
        <w:spacing w:after="0" w:line="251" w:lineRule="auto"/>
        <w:rPr>
          <w:sz w:val="20"/>
          <w:szCs w:val="20"/>
          <w:color w:val="auto"/>
        </w:rPr>
      </w:pPr>
      <w:r>
        <w:rPr>
          <w:rFonts w:ascii="Arial" w:cs="Arial" w:eastAsia="Arial" w:hAnsi="Arial"/>
          <w:sz w:val="17"/>
          <w:szCs w:val="17"/>
          <w:color w:val="auto"/>
        </w:rPr>
        <w:t>The outstanding balance on the Company’s $300 million unsecured revolving credit facility was $184.7 million as of March 31, 2025, consisting of U.S. dollar borrowings of $120 million with interest payable at SOFR plus 1.375%, and British Pound (GBP) borrowings of £50</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million with interest payable at Daily Sterling Overnight Index Average (SONIA) plus 1.375%.</w:t>
      </w:r>
    </w:p>
    <w:p>
      <w:pPr>
        <w:spacing w:after="0" w:line="140" w:lineRule="exact"/>
        <w:rPr>
          <w:sz w:val="20"/>
          <w:szCs w:val="20"/>
          <w:color w:val="auto"/>
        </w:rPr>
      </w:pPr>
    </w:p>
    <w:p>
      <w:pPr>
        <w:ind w:right="80"/>
        <w:spacing w:after="0" w:line="251" w:lineRule="auto"/>
        <w:rPr>
          <w:sz w:val="20"/>
          <w:szCs w:val="20"/>
          <w:color w:val="auto"/>
        </w:rPr>
      </w:pPr>
      <w:r>
        <w:rPr>
          <w:rFonts w:ascii="Arial" w:cs="Arial" w:eastAsia="Arial" w:hAnsi="Arial"/>
          <w:sz w:val="17"/>
          <w:szCs w:val="17"/>
          <w:color w:val="auto"/>
        </w:rPr>
        <w:t>The fair value of the Company’s other debt, which is based on Level 2 inputs, approximates its carrying value as of March 31, 2025 and December 31, 2024. The Company is in compliance with all financial covenants of the revolving credit facility and term loans as of March 31,</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2025.</w:t>
      </w:r>
    </w:p>
    <w:p>
      <w:pPr>
        <w:spacing w:after="0" w:line="140" w:lineRule="exact"/>
        <w:rPr>
          <w:sz w:val="20"/>
          <w:szCs w:val="20"/>
          <w:color w:val="auto"/>
        </w:rPr>
      </w:pPr>
    </w:p>
    <w:p>
      <w:pPr>
        <w:ind w:right="480"/>
        <w:spacing w:after="0" w:line="251" w:lineRule="auto"/>
        <w:rPr>
          <w:sz w:val="20"/>
          <w:szCs w:val="20"/>
          <w:color w:val="auto"/>
        </w:rPr>
      </w:pPr>
      <w:r>
        <w:rPr>
          <w:rFonts w:ascii="Arial" w:cs="Arial" w:eastAsia="Arial" w:hAnsi="Arial"/>
          <w:sz w:val="17"/>
          <w:szCs w:val="17"/>
          <w:color w:val="auto"/>
        </w:rPr>
        <w:t>During the three months ended March 31, 2025 and 2024, the Company had average borrowings outstanding of approximately $789.1 million and $810.7 million, respectively, at average annual interest rates of approximately 6.0% and 6.4%, respectively. During the three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months ended March 31, 2025 and 2024, the Company incurred net interest expense of $79.8 million and $17.2 million, respectively.</w:t>
      </w:r>
    </w:p>
    <w:p>
      <w:pPr>
        <w:spacing w:after="0" w:line="140" w:lineRule="exact"/>
        <w:rPr>
          <w:sz w:val="20"/>
          <w:szCs w:val="20"/>
          <w:color w:val="auto"/>
        </w:rPr>
      </w:pPr>
    </w:p>
    <w:p>
      <w:pPr>
        <w:ind w:right="480"/>
        <w:spacing w:after="0" w:line="251" w:lineRule="auto"/>
        <w:rPr>
          <w:sz w:val="20"/>
          <w:szCs w:val="20"/>
          <w:color w:val="auto"/>
        </w:rPr>
      </w:pPr>
      <w:r>
        <w:rPr>
          <w:rFonts w:ascii="Arial" w:cs="Arial" w:eastAsia="Arial" w:hAnsi="Arial"/>
          <w:sz w:val="17"/>
          <w:szCs w:val="17"/>
          <w:color w:val="auto"/>
        </w:rPr>
        <w:t>During the three months ended March 31, 2025 and 2024, the Company recorded interest expense of $66.4 million and $1.9 million, respectively, to adjust the fair value of the mandatorily redeemable noncontrolling interest. The fair value of the mandatorily redeemable</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noncontrolling interest was based on the fair value of the underlying subsidiaries owned by GHC One and GHC Two, after taking into account</w:t>
      </w:r>
    </w:p>
    <w:p>
      <w:pPr>
        <w:spacing w:after="0" w:line="7"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any debt and other noncontrolling interests of its subsidiary investments. The fair value of the owned subsidiaries is determined by reference to either a discounted cash flow or EBITDA multiple, which approximates fair value (Level 3 fair value assessment) (See Note 2 and 8).</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8. FAIR VALUE MEASUREMENTS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Company’s financial assets and liabilities measured at fair value on a recurring basis were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0" w:type="dxa"/>
            <w:vAlign w:val="bottom"/>
          </w:tcPr>
          <w:p>
            <w:pPr>
              <w:spacing w:after="0"/>
              <w:rPr>
                <w:sz w:val="17"/>
                <w:szCs w:val="17"/>
                <w:color w:val="auto"/>
              </w:rPr>
            </w:pPr>
          </w:p>
        </w:tc>
        <w:tc>
          <w:tcPr>
            <w:tcW w:w="63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160" w:type="dxa"/>
            <w:vAlign w:val="bottom"/>
            <w:tcBorders>
              <w:bottom w:val="single" w:sz="8" w:color="auto"/>
            </w:tcBorders>
            <w:gridSpan w:val="3"/>
          </w:tcPr>
          <w:p>
            <w:pPr>
              <w:jc w:val="right"/>
              <w:ind w:right="420"/>
              <w:spacing w:after="0"/>
              <w:rPr>
                <w:sz w:val="20"/>
                <w:szCs w:val="20"/>
                <w:color w:val="auto"/>
              </w:rPr>
            </w:pPr>
            <w:r>
              <w:rPr>
                <w:rFonts w:ascii="Arial" w:cs="Arial" w:eastAsia="Arial" w:hAnsi="Arial"/>
                <w:sz w:val="14"/>
                <w:szCs w:val="14"/>
                <w:b w:val="1"/>
                <w:bCs w:val="1"/>
                <w:color w:val="auto"/>
              </w:rPr>
              <w:t>As of March 31, 2025</w:t>
            </w:r>
          </w:p>
        </w:tc>
        <w:tc>
          <w:tcPr>
            <w:tcW w:w="3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Borders>
              <w:bottom w:val="single" w:sz="8" w:color="auto"/>
            </w:tcBorders>
          </w:tcPr>
          <w:p>
            <w:pPr>
              <w:spacing w:after="0"/>
              <w:rPr>
                <w:sz w:val="18"/>
                <w:szCs w:val="18"/>
                <w:color w:val="auto"/>
              </w:rPr>
            </w:pPr>
          </w:p>
        </w:tc>
        <w:tc>
          <w:tcPr>
            <w:tcW w:w="63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thousands)</w:t>
            </w: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60"/>
              <w:spacing w:after="0"/>
              <w:rPr>
                <w:sz w:val="20"/>
                <w:szCs w:val="20"/>
                <w:color w:val="auto"/>
              </w:rPr>
            </w:pPr>
            <w:r>
              <w:rPr>
                <w:rFonts w:ascii="Arial" w:cs="Arial" w:eastAsia="Arial" w:hAnsi="Arial"/>
                <w:sz w:val="14"/>
                <w:szCs w:val="14"/>
                <w:b w:val="1"/>
                <w:bCs w:val="1"/>
                <w:color w:val="auto"/>
              </w:rPr>
              <w:t>Level 1</w:t>
            </w:r>
          </w:p>
        </w:tc>
        <w:tc>
          <w:tcPr>
            <w:tcW w:w="3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61"/>
              <w:spacing w:after="0"/>
              <w:rPr>
                <w:sz w:val="20"/>
                <w:szCs w:val="20"/>
                <w:color w:val="auto"/>
              </w:rPr>
            </w:pPr>
            <w:r>
              <w:rPr>
                <w:rFonts w:ascii="Arial" w:cs="Arial" w:eastAsia="Arial" w:hAnsi="Arial"/>
                <w:sz w:val="14"/>
                <w:szCs w:val="14"/>
                <w:b w:val="1"/>
                <w:bCs w:val="1"/>
                <w:color w:val="auto"/>
              </w:rPr>
              <w:t>Level 2</w:t>
            </w: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Level 3</w:t>
            </w:r>
          </w:p>
        </w:tc>
        <w:tc>
          <w:tcPr>
            <w:tcW w:w="3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80" w:type="dxa"/>
            <w:vAlign w:val="bottom"/>
          </w:tcPr>
          <w:p>
            <w:pPr>
              <w:spacing w:after="0"/>
              <w:rPr>
                <w:sz w:val="20"/>
                <w:szCs w:val="20"/>
                <w:color w:val="auto"/>
              </w:rPr>
            </w:pPr>
            <w:r>
              <w:rPr>
                <w:rFonts w:ascii="Arial" w:cs="Arial" w:eastAsia="Arial" w:hAnsi="Arial"/>
                <w:sz w:val="16"/>
                <w:szCs w:val="16"/>
                <w:b w:val="1"/>
                <w:bCs w:val="1"/>
                <w:color w:val="auto"/>
              </w:rPr>
              <w:t>Assets</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6380" w:type="dxa"/>
            <w:vAlign w:val="bottom"/>
          </w:tcPr>
          <w:p>
            <w:pPr>
              <w:spacing w:after="0" w:line="236" w:lineRule="exact"/>
              <w:rPr>
                <w:sz w:val="20"/>
                <w:szCs w:val="20"/>
                <w:color w:val="auto"/>
              </w:rPr>
            </w:pPr>
            <w:r>
              <w:rPr>
                <w:rFonts w:ascii="Arial" w:cs="Arial" w:eastAsia="Arial" w:hAnsi="Arial"/>
                <w:sz w:val="16"/>
                <w:szCs w:val="16"/>
                <w:b w:val="1"/>
                <w:bCs w:val="1"/>
                <w:color w:val="auto"/>
              </w:rPr>
              <w:t xml:space="preserve">Money market investments </w:t>
            </w:r>
            <w:r>
              <w:rPr>
                <w:rFonts w:ascii="Arial" w:cs="Arial" w:eastAsia="Arial" w:hAnsi="Arial"/>
                <w:sz w:val="21"/>
                <w:szCs w:val="21"/>
                <w:b w:val="1"/>
                <w:bCs w:val="1"/>
                <w:color w:val="auto"/>
                <w:vertAlign w:val="superscript"/>
              </w:rPr>
              <w:t>(1)</w:t>
            </w:r>
          </w:p>
        </w:tc>
        <w:tc>
          <w:tcPr>
            <w:tcW w:w="220" w:type="dxa"/>
            <w:vAlign w:val="bottom"/>
            <w:gridSpan w:val="2"/>
          </w:tcPr>
          <w:p>
            <w:pPr>
              <w:jc w:val="right"/>
              <w:ind w:right="19"/>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20"/>
              <w:spacing w:after="0"/>
              <w:rPr>
                <w:sz w:val="20"/>
                <w:szCs w:val="20"/>
                <w:color w:val="auto"/>
              </w:rPr>
            </w:pPr>
            <w:r>
              <w:rPr>
                <w:rFonts w:ascii="Arial" w:cs="Arial" w:eastAsia="Arial" w:hAnsi="Arial"/>
                <w:sz w:val="16"/>
                <w:szCs w:val="16"/>
                <w:b w:val="1"/>
                <w:bCs w:val="1"/>
                <w:color w:val="auto"/>
              </w:rPr>
              <w:t>—</w:t>
            </w:r>
          </w:p>
        </w:tc>
        <w:tc>
          <w:tcPr>
            <w:tcW w:w="30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ind w:right="21"/>
              <w:spacing w:after="0"/>
              <w:rPr>
                <w:sz w:val="20"/>
                <w:szCs w:val="20"/>
                <w:color w:val="auto"/>
              </w:rPr>
            </w:pPr>
            <w:r>
              <w:rPr>
                <w:rFonts w:ascii="Arial" w:cs="Arial" w:eastAsia="Arial" w:hAnsi="Arial"/>
                <w:sz w:val="16"/>
                <w:szCs w:val="16"/>
                <w:b w:val="1"/>
                <w:bCs w:val="1"/>
                <w:color w:val="auto"/>
              </w:rPr>
              <w:t>6,212</w:t>
            </w:r>
          </w:p>
        </w:tc>
        <w:tc>
          <w:tcPr>
            <w:tcW w:w="30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20"/>
              <w:spacing w:after="0"/>
              <w:rPr>
                <w:sz w:val="20"/>
                <w:szCs w:val="20"/>
                <w:color w:val="auto"/>
              </w:rPr>
            </w:pPr>
            <w:r>
              <w:rPr>
                <w:rFonts w:ascii="Arial" w:cs="Arial" w:eastAsia="Arial" w:hAnsi="Arial"/>
                <w:sz w:val="16"/>
                <w:szCs w:val="16"/>
                <w:b w:val="1"/>
                <w:bCs w:val="1"/>
                <w:color w:val="auto"/>
              </w:rPr>
              <w:t>—</w:t>
            </w:r>
          </w:p>
        </w:tc>
        <w:tc>
          <w:tcPr>
            <w:tcW w:w="34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6,212</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380" w:type="dxa"/>
            <w:vAlign w:val="bottom"/>
          </w:tcPr>
          <w:p>
            <w:pPr>
              <w:spacing w:after="0" w:line="230" w:lineRule="exact"/>
              <w:rPr>
                <w:sz w:val="20"/>
                <w:szCs w:val="20"/>
                <w:color w:val="auto"/>
              </w:rPr>
            </w:pPr>
            <w:r>
              <w:rPr>
                <w:rFonts w:ascii="Arial" w:cs="Arial" w:eastAsia="Arial" w:hAnsi="Arial"/>
                <w:sz w:val="16"/>
                <w:szCs w:val="16"/>
                <w:b w:val="1"/>
                <w:bCs w:val="1"/>
                <w:color w:val="auto"/>
              </w:rPr>
              <w:t xml:space="preserve">Marketable equity securities </w:t>
            </w:r>
            <w:r>
              <w:rPr>
                <w:rFonts w:ascii="Arial" w:cs="Arial" w:eastAsia="Arial" w:hAnsi="Arial"/>
                <w:sz w:val="21"/>
                <w:szCs w:val="21"/>
                <w:b w:val="1"/>
                <w:bCs w:val="1"/>
                <w:color w:val="auto"/>
                <w:vertAlign w:val="superscript"/>
              </w:rPr>
              <w:t>(2)</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b w:val="1"/>
                <w:bCs w:val="1"/>
                <w:color w:val="auto"/>
              </w:rPr>
              <w:t>901,059</w:t>
            </w:r>
          </w:p>
        </w:tc>
        <w:tc>
          <w:tcPr>
            <w:tcW w:w="300" w:type="dxa"/>
            <w:vAlign w:val="bottom"/>
          </w:tcPr>
          <w:p>
            <w:pPr>
              <w:spacing w:after="0"/>
              <w:rPr>
                <w:sz w:val="19"/>
                <w:szCs w:val="19"/>
                <w:color w:val="auto"/>
              </w:rPr>
            </w:pPr>
          </w:p>
        </w:tc>
        <w:tc>
          <w:tcPr>
            <w:tcW w:w="920" w:type="dxa"/>
            <w:vAlign w:val="bottom"/>
          </w:tcPr>
          <w:p>
            <w:pPr>
              <w:jc w:val="right"/>
              <w:ind w:right="21"/>
              <w:spacing w:after="0"/>
              <w:rPr>
                <w:sz w:val="20"/>
                <w:szCs w:val="20"/>
                <w:color w:val="auto"/>
              </w:rPr>
            </w:pPr>
            <w:r>
              <w:rPr>
                <w:rFonts w:ascii="Arial" w:cs="Arial" w:eastAsia="Arial" w:hAnsi="Arial"/>
                <w:sz w:val="16"/>
                <w:szCs w:val="16"/>
                <w:b w:val="1"/>
                <w:bCs w:val="1"/>
                <w:color w:val="auto"/>
              </w:rPr>
              <w:t>—</w:t>
            </w:r>
          </w:p>
        </w:tc>
        <w:tc>
          <w:tcPr>
            <w:tcW w:w="300" w:type="dxa"/>
            <w:vAlign w:val="bottom"/>
          </w:tcPr>
          <w:p>
            <w:pPr>
              <w:spacing w:after="0"/>
              <w:rPr>
                <w:sz w:val="19"/>
                <w:szCs w:val="19"/>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b w:val="1"/>
                <w:bCs w:val="1"/>
                <w:color w:val="auto"/>
              </w:rPr>
              <w:t>—</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901,059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380" w:type="dxa"/>
            <w:vAlign w:val="bottom"/>
          </w:tcPr>
          <w:p>
            <w:pPr>
              <w:spacing w:after="0" w:line="230" w:lineRule="exact"/>
              <w:rPr>
                <w:sz w:val="20"/>
                <w:szCs w:val="20"/>
                <w:color w:val="auto"/>
              </w:rPr>
            </w:pPr>
            <w:r>
              <w:rPr>
                <w:rFonts w:ascii="Arial" w:cs="Arial" w:eastAsia="Arial" w:hAnsi="Arial"/>
                <w:sz w:val="16"/>
                <w:szCs w:val="16"/>
                <w:b w:val="1"/>
                <w:bCs w:val="1"/>
                <w:color w:val="auto"/>
              </w:rPr>
              <w:t xml:space="preserve">Other current investments </w:t>
            </w:r>
            <w:r>
              <w:rPr>
                <w:rFonts w:ascii="Arial" w:cs="Arial" w:eastAsia="Arial" w:hAnsi="Arial"/>
                <w:sz w:val="21"/>
                <w:szCs w:val="21"/>
                <w:b w:val="1"/>
                <w:bCs w:val="1"/>
                <w:color w:val="auto"/>
                <w:vertAlign w:val="superscript"/>
              </w:rPr>
              <w:t>(3)</w:t>
            </w:r>
          </w:p>
        </w:tc>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w:t>
            </w:r>
          </w:p>
        </w:tc>
        <w:tc>
          <w:tcPr>
            <w:tcW w:w="3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7,980</w:t>
            </w:r>
          </w:p>
        </w:tc>
        <w:tc>
          <w:tcPr>
            <w:tcW w:w="3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w:t>
            </w:r>
          </w:p>
        </w:tc>
        <w:tc>
          <w:tcPr>
            <w:tcW w:w="3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7,980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80" w:type="dxa"/>
            <w:vAlign w:val="bottom"/>
          </w:tcPr>
          <w:p>
            <w:pPr>
              <w:ind w:left="200"/>
              <w:spacing w:after="0"/>
              <w:rPr>
                <w:sz w:val="20"/>
                <w:szCs w:val="20"/>
                <w:color w:val="auto"/>
              </w:rPr>
            </w:pPr>
            <w:r>
              <w:rPr>
                <w:rFonts w:ascii="Arial" w:cs="Arial" w:eastAsia="Arial" w:hAnsi="Arial"/>
                <w:sz w:val="16"/>
                <w:szCs w:val="16"/>
                <w:b w:val="1"/>
                <w:bCs w:val="1"/>
                <w:color w:val="auto"/>
              </w:rPr>
              <w:t>Total Financial Assets</w:t>
            </w:r>
          </w:p>
        </w:tc>
        <w:tc>
          <w:tcPr>
            <w:tcW w:w="220" w:type="dxa"/>
            <w:vAlign w:val="bottom"/>
            <w:tcBorders>
              <w:bottom w:val="single" w:sz="8" w:color="auto"/>
            </w:tcBorders>
            <w:gridSpan w:val="2"/>
          </w:tcPr>
          <w:p>
            <w:pPr>
              <w:jc w:val="right"/>
              <w:ind w:right="19"/>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901,059</w:t>
            </w:r>
          </w:p>
        </w:tc>
        <w:tc>
          <w:tcPr>
            <w:tcW w:w="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14,192</w:t>
            </w:r>
          </w:p>
        </w:tc>
        <w:tc>
          <w:tcPr>
            <w:tcW w:w="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915,251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vMerge w:val="restart"/>
          </w:tcPr>
          <w:p>
            <w:pPr>
              <w:spacing w:after="0"/>
              <w:rPr>
                <w:sz w:val="20"/>
                <w:szCs w:val="20"/>
                <w:color w:val="auto"/>
              </w:rPr>
            </w:pPr>
            <w:r>
              <w:rPr>
                <w:rFonts w:ascii="Arial" w:cs="Arial" w:eastAsia="Arial" w:hAnsi="Arial"/>
                <w:sz w:val="16"/>
                <w:szCs w:val="16"/>
                <w:b w:val="1"/>
                <w:bCs w:val="1"/>
                <w:color w:val="auto"/>
              </w:rPr>
              <w:t>Liabilities</w:t>
            </w: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vMerge w:val="continue"/>
          </w:tcPr>
          <w:p>
            <w:pPr>
              <w:spacing w:after="0"/>
              <w:rPr>
                <w:sz w:val="18"/>
                <w:szCs w:val="18"/>
                <w:color w:val="auto"/>
              </w:rPr>
            </w:pPr>
          </w:p>
        </w:tc>
        <w:tc>
          <w:tcPr>
            <w:tcW w:w="220" w:type="dxa"/>
            <w:vAlign w:val="bottom"/>
            <w:gridSpan w:val="2"/>
            <w:vMerge w:val="restart"/>
          </w:tcPr>
          <w:p>
            <w:pPr>
              <w:jc w:val="right"/>
              <w:ind w:right="19"/>
              <w:spacing w:after="0"/>
              <w:rPr>
                <w:sz w:val="20"/>
                <w:szCs w:val="20"/>
                <w:color w:val="auto"/>
              </w:rPr>
            </w:pPr>
            <w:r>
              <w:rPr>
                <w:rFonts w:ascii="Arial" w:cs="Arial" w:eastAsia="Arial" w:hAnsi="Arial"/>
                <w:sz w:val="16"/>
                <w:szCs w:val="16"/>
                <w:b w:val="1"/>
                <w:bCs w:val="1"/>
                <w:color w:val="auto"/>
              </w:rPr>
              <w:t>$</w:t>
            </w:r>
          </w:p>
        </w:tc>
        <w:tc>
          <w:tcPr>
            <w:tcW w:w="940" w:type="dxa"/>
            <w:vAlign w:val="bottom"/>
            <w:vMerge w:val="restart"/>
          </w:tcPr>
          <w:p>
            <w:pPr>
              <w:jc w:val="right"/>
              <w:ind w:right="20"/>
              <w:spacing w:after="0"/>
              <w:rPr>
                <w:sz w:val="20"/>
                <w:szCs w:val="20"/>
                <w:color w:val="auto"/>
              </w:rPr>
            </w:pPr>
            <w:r>
              <w:rPr>
                <w:rFonts w:ascii="Arial" w:cs="Arial" w:eastAsia="Arial" w:hAnsi="Arial"/>
                <w:sz w:val="16"/>
                <w:szCs w:val="16"/>
                <w:b w:val="1"/>
                <w:bCs w:val="1"/>
                <w:color w:val="auto"/>
              </w:rPr>
              <w:t>—</w:t>
            </w:r>
          </w:p>
        </w:tc>
        <w:tc>
          <w:tcPr>
            <w:tcW w:w="300" w:type="dxa"/>
            <w:vAlign w:val="bottom"/>
            <w:vMerge w:val="restart"/>
          </w:tcPr>
          <w:p>
            <w:pPr>
              <w:jc w:val="right"/>
              <w:ind w:right="39"/>
              <w:spacing w:after="0"/>
              <w:rPr>
                <w:sz w:val="20"/>
                <w:szCs w:val="20"/>
                <w:color w:val="auto"/>
              </w:rPr>
            </w:pPr>
            <w:r>
              <w:rPr>
                <w:rFonts w:ascii="Arial" w:cs="Arial" w:eastAsia="Arial" w:hAnsi="Arial"/>
                <w:sz w:val="16"/>
                <w:szCs w:val="16"/>
                <w:b w:val="1"/>
                <w:bCs w:val="1"/>
                <w:color w:val="auto"/>
              </w:rPr>
              <w:t>$</w:t>
            </w:r>
          </w:p>
        </w:tc>
        <w:tc>
          <w:tcPr>
            <w:tcW w:w="920" w:type="dxa"/>
            <w:vAlign w:val="bottom"/>
            <w:vMerge w:val="restart"/>
          </w:tcPr>
          <w:p>
            <w:pPr>
              <w:jc w:val="right"/>
              <w:ind w:right="21"/>
              <w:spacing w:after="0"/>
              <w:rPr>
                <w:sz w:val="20"/>
                <w:szCs w:val="20"/>
                <w:color w:val="auto"/>
              </w:rPr>
            </w:pPr>
            <w:r>
              <w:rPr>
                <w:rFonts w:ascii="Arial" w:cs="Arial" w:eastAsia="Arial" w:hAnsi="Arial"/>
                <w:sz w:val="16"/>
                <w:szCs w:val="16"/>
                <w:b w:val="1"/>
                <w:bCs w:val="1"/>
                <w:color w:val="auto"/>
              </w:rPr>
              <w:t>—</w:t>
            </w:r>
          </w:p>
        </w:tc>
        <w:tc>
          <w:tcPr>
            <w:tcW w:w="300" w:type="dxa"/>
            <w:vAlign w:val="bottom"/>
            <w:vMerge w:val="restart"/>
          </w:tcPr>
          <w:p>
            <w:pPr>
              <w:jc w:val="right"/>
              <w:ind w:right="19"/>
              <w:spacing w:after="0"/>
              <w:rPr>
                <w:sz w:val="20"/>
                <w:szCs w:val="20"/>
                <w:color w:val="auto"/>
              </w:rPr>
            </w:pPr>
            <w:r>
              <w:rPr>
                <w:rFonts w:ascii="Arial" w:cs="Arial" w:eastAsia="Arial" w:hAnsi="Arial"/>
                <w:sz w:val="16"/>
                <w:szCs w:val="16"/>
                <w:b w:val="1"/>
                <w:bCs w:val="1"/>
                <w:color w:val="auto"/>
              </w:rPr>
              <w:t>$</w:t>
            </w:r>
          </w:p>
        </w:tc>
        <w:tc>
          <w:tcPr>
            <w:tcW w:w="940" w:type="dxa"/>
            <w:vAlign w:val="bottom"/>
            <w:vMerge w:val="restart"/>
          </w:tcPr>
          <w:p>
            <w:pPr>
              <w:jc w:val="right"/>
              <w:ind w:right="20"/>
              <w:spacing w:after="0"/>
              <w:rPr>
                <w:sz w:val="20"/>
                <w:szCs w:val="20"/>
                <w:color w:val="auto"/>
              </w:rPr>
            </w:pPr>
            <w:r>
              <w:rPr>
                <w:rFonts w:ascii="Arial" w:cs="Arial" w:eastAsia="Arial" w:hAnsi="Arial"/>
                <w:sz w:val="16"/>
                <w:szCs w:val="16"/>
                <w:b w:val="1"/>
                <w:bCs w:val="1"/>
                <w:color w:val="auto"/>
              </w:rPr>
              <w:t>1,485</w:t>
            </w:r>
          </w:p>
        </w:tc>
        <w:tc>
          <w:tcPr>
            <w:tcW w:w="340" w:type="dxa"/>
            <w:vAlign w:val="bottom"/>
            <w:vMerge w:val="restart"/>
          </w:tcPr>
          <w:p>
            <w:pPr>
              <w:jc w:val="right"/>
              <w:ind w:right="79"/>
              <w:spacing w:after="0"/>
              <w:rPr>
                <w:sz w:val="20"/>
                <w:szCs w:val="20"/>
                <w:color w:val="auto"/>
              </w:rPr>
            </w:pPr>
            <w:r>
              <w:rPr>
                <w:rFonts w:ascii="Arial" w:cs="Arial" w:eastAsia="Arial" w:hAnsi="Arial"/>
                <w:sz w:val="16"/>
                <w:szCs w:val="16"/>
                <w:b w:val="1"/>
                <w:bCs w:val="1"/>
                <w:color w:val="auto"/>
              </w:rPr>
              <w:t>$</w:t>
            </w:r>
          </w:p>
        </w:tc>
        <w:tc>
          <w:tcPr>
            <w:tcW w:w="8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1,485</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6380" w:type="dxa"/>
            <w:vAlign w:val="bottom"/>
          </w:tcPr>
          <w:p>
            <w:pPr>
              <w:spacing w:after="0" w:line="236" w:lineRule="exact"/>
              <w:rPr>
                <w:sz w:val="20"/>
                <w:szCs w:val="20"/>
                <w:color w:val="auto"/>
              </w:rPr>
            </w:pPr>
            <w:r>
              <w:rPr>
                <w:rFonts w:ascii="Arial" w:cs="Arial" w:eastAsia="Arial" w:hAnsi="Arial"/>
                <w:sz w:val="16"/>
                <w:szCs w:val="16"/>
                <w:b w:val="1"/>
                <w:bCs w:val="1"/>
                <w:color w:val="auto"/>
              </w:rPr>
              <w:t xml:space="preserve">Contingent consideration liabilities </w:t>
            </w:r>
            <w:r>
              <w:rPr>
                <w:rFonts w:ascii="Arial" w:cs="Arial" w:eastAsia="Arial" w:hAnsi="Arial"/>
                <w:sz w:val="21"/>
                <w:szCs w:val="21"/>
                <w:b w:val="1"/>
                <w:bCs w:val="1"/>
                <w:color w:val="auto"/>
                <w:vertAlign w:val="superscript"/>
              </w:rPr>
              <w:t>(4)</w:t>
            </w:r>
          </w:p>
        </w:tc>
        <w:tc>
          <w:tcPr>
            <w:tcW w:w="220" w:type="dxa"/>
            <w:vAlign w:val="bottom"/>
            <w:gridSpan w:val="2"/>
            <w:vMerge w:val="continue"/>
          </w:tcPr>
          <w:p>
            <w:pPr>
              <w:spacing w:after="0"/>
              <w:rPr>
                <w:sz w:val="20"/>
                <w:szCs w:val="20"/>
                <w:color w:val="auto"/>
              </w:rPr>
            </w:pPr>
          </w:p>
        </w:tc>
        <w:tc>
          <w:tcPr>
            <w:tcW w:w="940" w:type="dxa"/>
            <w:vAlign w:val="bottom"/>
            <w:vMerge w:val="continue"/>
          </w:tcPr>
          <w:p>
            <w:pPr>
              <w:spacing w:after="0"/>
              <w:rPr>
                <w:sz w:val="20"/>
                <w:szCs w:val="20"/>
                <w:color w:val="auto"/>
              </w:rPr>
            </w:pPr>
          </w:p>
        </w:tc>
        <w:tc>
          <w:tcPr>
            <w:tcW w:w="300" w:type="dxa"/>
            <w:vAlign w:val="bottom"/>
            <w:vMerge w:val="continue"/>
          </w:tcPr>
          <w:p>
            <w:pPr>
              <w:spacing w:after="0"/>
              <w:rPr>
                <w:sz w:val="20"/>
                <w:szCs w:val="20"/>
                <w:color w:val="auto"/>
              </w:rPr>
            </w:pPr>
          </w:p>
        </w:tc>
        <w:tc>
          <w:tcPr>
            <w:tcW w:w="920" w:type="dxa"/>
            <w:vAlign w:val="bottom"/>
            <w:vMerge w:val="continue"/>
          </w:tcPr>
          <w:p>
            <w:pPr>
              <w:spacing w:after="0"/>
              <w:rPr>
                <w:sz w:val="20"/>
                <w:szCs w:val="20"/>
                <w:color w:val="auto"/>
              </w:rPr>
            </w:pPr>
          </w:p>
        </w:tc>
        <w:tc>
          <w:tcPr>
            <w:tcW w:w="300" w:type="dxa"/>
            <w:vAlign w:val="bottom"/>
            <w:vMerge w:val="continue"/>
          </w:tcPr>
          <w:p>
            <w:pPr>
              <w:spacing w:after="0"/>
              <w:rPr>
                <w:sz w:val="20"/>
                <w:szCs w:val="20"/>
                <w:color w:val="auto"/>
              </w:rPr>
            </w:pPr>
          </w:p>
        </w:tc>
        <w:tc>
          <w:tcPr>
            <w:tcW w:w="940" w:type="dxa"/>
            <w:vAlign w:val="bottom"/>
            <w:vMerge w:val="continue"/>
          </w:tcPr>
          <w:p>
            <w:pPr>
              <w:spacing w:after="0"/>
              <w:rPr>
                <w:sz w:val="20"/>
                <w:szCs w:val="20"/>
                <w:color w:val="auto"/>
              </w:rPr>
            </w:pPr>
          </w:p>
        </w:tc>
        <w:tc>
          <w:tcPr>
            <w:tcW w:w="340" w:type="dxa"/>
            <w:vAlign w:val="bottom"/>
            <w:vMerge w:val="continue"/>
          </w:tcPr>
          <w:p>
            <w:pPr>
              <w:spacing w:after="0"/>
              <w:rPr>
                <w:sz w:val="20"/>
                <w:szCs w:val="20"/>
                <w:color w:val="auto"/>
              </w:rPr>
            </w:pPr>
          </w:p>
        </w:tc>
        <w:tc>
          <w:tcPr>
            <w:tcW w:w="8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380" w:type="dxa"/>
            <w:vAlign w:val="bottom"/>
          </w:tcPr>
          <w:p>
            <w:pPr>
              <w:spacing w:after="0" w:line="230" w:lineRule="exact"/>
              <w:rPr>
                <w:sz w:val="20"/>
                <w:szCs w:val="20"/>
                <w:color w:val="auto"/>
              </w:rPr>
            </w:pPr>
            <w:r>
              <w:rPr>
                <w:rFonts w:ascii="Arial" w:cs="Arial" w:eastAsia="Arial" w:hAnsi="Arial"/>
                <w:sz w:val="16"/>
                <w:szCs w:val="16"/>
                <w:b w:val="1"/>
                <w:bCs w:val="1"/>
                <w:color w:val="auto"/>
              </w:rPr>
              <w:t xml:space="preserve">Interest rate swaps </w:t>
            </w:r>
            <w:r>
              <w:rPr>
                <w:rFonts w:ascii="Arial" w:cs="Arial" w:eastAsia="Arial" w:hAnsi="Arial"/>
                <w:sz w:val="21"/>
                <w:szCs w:val="21"/>
                <w:b w:val="1"/>
                <w:bCs w:val="1"/>
                <w:color w:val="auto"/>
                <w:vertAlign w:val="superscript"/>
              </w:rPr>
              <w:t>(5)</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b w:val="1"/>
                <w:bCs w:val="1"/>
                <w:color w:val="auto"/>
              </w:rPr>
              <w:t>—</w:t>
            </w:r>
          </w:p>
        </w:tc>
        <w:tc>
          <w:tcPr>
            <w:tcW w:w="300" w:type="dxa"/>
            <w:vAlign w:val="bottom"/>
          </w:tcPr>
          <w:p>
            <w:pPr>
              <w:spacing w:after="0"/>
              <w:rPr>
                <w:sz w:val="19"/>
                <w:szCs w:val="19"/>
                <w:color w:val="auto"/>
              </w:rPr>
            </w:pPr>
          </w:p>
        </w:tc>
        <w:tc>
          <w:tcPr>
            <w:tcW w:w="920" w:type="dxa"/>
            <w:vAlign w:val="bottom"/>
          </w:tcPr>
          <w:p>
            <w:pPr>
              <w:jc w:val="right"/>
              <w:ind w:right="21"/>
              <w:spacing w:after="0"/>
              <w:rPr>
                <w:sz w:val="20"/>
                <w:szCs w:val="20"/>
                <w:color w:val="auto"/>
              </w:rPr>
            </w:pPr>
            <w:r>
              <w:rPr>
                <w:rFonts w:ascii="Arial" w:cs="Arial" w:eastAsia="Arial" w:hAnsi="Arial"/>
                <w:sz w:val="16"/>
                <w:szCs w:val="16"/>
                <w:b w:val="1"/>
                <w:bCs w:val="1"/>
                <w:color w:val="auto"/>
              </w:rPr>
              <w:t>2,112</w:t>
            </w:r>
          </w:p>
        </w:tc>
        <w:tc>
          <w:tcPr>
            <w:tcW w:w="300" w:type="dxa"/>
            <w:vAlign w:val="bottom"/>
          </w:tcPr>
          <w:p>
            <w:pPr>
              <w:spacing w:after="0"/>
              <w:rPr>
                <w:sz w:val="19"/>
                <w:szCs w:val="19"/>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b w:val="1"/>
                <w:bCs w:val="1"/>
                <w:color w:val="auto"/>
              </w:rPr>
              <w:t>—</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2,112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380" w:type="dxa"/>
            <w:vAlign w:val="bottom"/>
          </w:tcPr>
          <w:p>
            <w:pPr>
              <w:spacing w:after="0" w:line="230" w:lineRule="exact"/>
              <w:rPr>
                <w:sz w:val="20"/>
                <w:szCs w:val="20"/>
                <w:color w:val="auto"/>
              </w:rPr>
            </w:pPr>
            <w:r>
              <w:rPr>
                <w:rFonts w:ascii="Arial" w:cs="Arial" w:eastAsia="Arial" w:hAnsi="Arial"/>
                <w:sz w:val="16"/>
                <w:szCs w:val="16"/>
                <w:b w:val="1"/>
                <w:bCs w:val="1"/>
                <w:color w:val="auto"/>
              </w:rPr>
              <w:t xml:space="preserve">Mandatorily redeemable noncontrolling interest </w:t>
            </w:r>
            <w:r>
              <w:rPr>
                <w:rFonts w:ascii="Arial" w:cs="Arial" w:eastAsia="Arial" w:hAnsi="Arial"/>
                <w:sz w:val="21"/>
                <w:szCs w:val="21"/>
                <w:b w:val="1"/>
                <w:bCs w:val="1"/>
                <w:color w:val="auto"/>
                <w:vertAlign w:val="superscript"/>
              </w:rPr>
              <w:t>(6)</w:t>
            </w:r>
          </w:p>
        </w:tc>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w:t>
            </w:r>
          </w:p>
        </w:tc>
        <w:tc>
          <w:tcPr>
            <w:tcW w:w="3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w:t>
            </w:r>
          </w:p>
        </w:tc>
        <w:tc>
          <w:tcPr>
            <w:tcW w:w="3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20,720</w:t>
            </w:r>
          </w:p>
        </w:tc>
        <w:tc>
          <w:tcPr>
            <w:tcW w:w="3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20,720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80" w:type="dxa"/>
            <w:vAlign w:val="bottom"/>
          </w:tcPr>
          <w:p>
            <w:pPr>
              <w:ind w:left="200"/>
              <w:spacing w:after="0"/>
              <w:rPr>
                <w:sz w:val="20"/>
                <w:szCs w:val="20"/>
                <w:color w:val="auto"/>
              </w:rPr>
            </w:pPr>
            <w:r>
              <w:rPr>
                <w:rFonts w:ascii="Arial" w:cs="Arial" w:eastAsia="Arial" w:hAnsi="Arial"/>
                <w:sz w:val="16"/>
                <w:szCs w:val="16"/>
                <w:b w:val="1"/>
                <w:bCs w:val="1"/>
                <w:color w:val="auto"/>
              </w:rPr>
              <w:t>Total Financial Liabilities</w:t>
            </w:r>
          </w:p>
        </w:tc>
        <w:tc>
          <w:tcPr>
            <w:tcW w:w="220" w:type="dxa"/>
            <w:vAlign w:val="bottom"/>
            <w:tcBorders>
              <w:bottom w:val="single" w:sz="8" w:color="auto"/>
            </w:tcBorders>
            <w:gridSpan w:val="2"/>
          </w:tcPr>
          <w:p>
            <w:pPr>
              <w:jc w:val="right"/>
              <w:ind w:right="19"/>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w:t>
            </w:r>
          </w:p>
        </w:tc>
        <w:tc>
          <w:tcPr>
            <w:tcW w:w="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2,112</w:t>
            </w:r>
          </w:p>
        </w:tc>
        <w:tc>
          <w:tcPr>
            <w:tcW w:w="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22,205</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24,317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160" w:type="dxa"/>
            <w:vAlign w:val="bottom"/>
            <w:tcBorders>
              <w:bottom w:val="single" w:sz="8" w:color="auto"/>
            </w:tcBorders>
            <w:gridSpan w:val="3"/>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7"/>
        </w:trPr>
        <w:tc>
          <w:tcPr>
            <w:tcW w:w="20" w:type="dxa"/>
            <w:vAlign w:val="bottom"/>
          </w:tcPr>
          <w:p>
            <w:pPr>
              <w:spacing w:after="0"/>
              <w:rPr>
                <w:sz w:val="24"/>
                <w:szCs w:val="24"/>
                <w:color w:val="auto"/>
              </w:rPr>
            </w:pPr>
          </w:p>
        </w:tc>
        <w:tc>
          <w:tcPr>
            <w:tcW w:w="6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gridSpan w:val="3"/>
          </w:tcPr>
          <w:p>
            <w:pPr>
              <w:jc w:val="right"/>
              <w:ind w:right="260"/>
              <w:spacing w:after="0"/>
              <w:rPr>
                <w:sz w:val="20"/>
                <w:szCs w:val="20"/>
                <w:color w:val="auto"/>
              </w:rPr>
            </w:pPr>
            <w:r>
              <w:rPr>
                <w:rFonts w:ascii="Arial" w:cs="Arial" w:eastAsia="Arial" w:hAnsi="Arial"/>
                <w:sz w:val="14"/>
                <w:szCs w:val="14"/>
                <w:b w:val="1"/>
                <w:bCs w:val="1"/>
                <w:color w:val="auto"/>
              </w:rPr>
              <w:t>As of December 31, 2024</w:t>
            </w:r>
          </w:p>
        </w:tc>
        <w:tc>
          <w:tcPr>
            <w:tcW w:w="3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60"/>
              <w:spacing w:after="0"/>
              <w:rPr>
                <w:sz w:val="20"/>
                <w:szCs w:val="20"/>
                <w:color w:val="auto"/>
              </w:rPr>
            </w:pPr>
            <w:r>
              <w:rPr>
                <w:rFonts w:ascii="Arial" w:cs="Arial" w:eastAsia="Arial" w:hAnsi="Arial"/>
                <w:sz w:val="14"/>
                <w:szCs w:val="14"/>
                <w:b w:val="1"/>
                <w:bCs w:val="1"/>
                <w:color w:val="auto"/>
              </w:rPr>
              <w:t>Level 1</w:t>
            </w:r>
          </w:p>
        </w:tc>
        <w:tc>
          <w:tcPr>
            <w:tcW w:w="3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41"/>
              <w:spacing w:after="0"/>
              <w:rPr>
                <w:sz w:val="20"/>
                <w:szCs w:val="20"/>
                <w:color w:val="auto"/>
              </w:rPr>
            </w:pPr>
            <w:r>
              <w:rPr>
                <w:rFonts w:ascii="Arial" w:cs="Arial" w:eastAsia="Arial" w:hAnsi="Arial"/>
                <w:sz w:val="14"/>
                <w:szCs w:val="14"/>
                <w:b w:val="1"/>
                <w:bCs w:val="1"/>
                <w:color w:val="auto"/>
              </w:rPr>
              <w:t>Level 2</w:t>
            </w: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60"/>
              <w:spacing w:after="0"/>
              <w:rPr>
                <w:sz w:val="20"/>
                <w:szCs w:val="20"/>
                <w:color w:val="auto"/>
              </w:rPr>
            </w:pPr>
            <w:r>
              <w:rPr>
                <w:rFonts w:ascii="Arial" w:cs="Arial" w:eastAsia="Arial" w:hAnsi="Arial"/>
                <w:sz w:val="14"/>
                <w:szCs w:val="14"/>
                <w:b w:val="1"/>
                <w:bCs w:val="1"/>
                <w:color w:val="auto"/>
              </w:rPr>
              <w:t>Level 3</w:t>
            </w:r>
          </w:p>
        </w:tc>
        <w:tc>
          <w:tcPr>
            <w:tcW w:w="3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6380" w:type="dxa"/>
            <w:vAlign w:val="bottom"/>
          </w:tcPr>
          <w:p>
            <w:pPr>
              <w:ind w:left="20"/>
              <w:spacing w:after="0"/>
              <w:rPr>
                <w:sz w:val="20"/>
                <w:szCs w:val="20"/>
                <w:color w:val="auto"/>
              </w:rPr>
            </w:pPr>
            <w:r>
              <w:rPr>
                <w:rFonts w:ascii="Arial" w:cs="Arial" w:eastAsia="Arial" w:hAnsi="Arial"/>
                <w:sz w:val="16"/>
                <w:szCs w:val="16"/>
                <w:b w:val="1"/>
                <w:bCs w:val="1"/>
                <w:color w:val="auto"/>
              </w:rPr>
              <w:t>Assets</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6380" w:type="dxa"/>
            <w:vAlign w:val="bottom"/>
          </w:tcPr>
          <w:p>
            <w:pPr>
              <w:ind w:left="20"/>
              <w:spacing w:after="0" w:line="236" w:lineRule="exact"/>
              <w:rPr>
                <w:sz w:val="20"/>
                <w:szCs w:val="20"/>
                <w:color w:val="auto"/>
              </w:rPr>
            </w:pPr>
            <w:r>
              <w:rPr>
                <w:rFonts w:ascii="Arial" w:cs="Arial" w:eastAsia="Arial" w:hAnsi="Arial"/>
                <w:sz w:val="16"/>
                <w:szCs w:val="16"/>
                <w:color w:val="auto"/>
              </w:rPr>
              <w:t xml:space="preserve">Money market investments </w:t>
            </w:r>
            <w:r>
              <w:rPr>
                <w:rFonts w:ascii="Arial" w:cs="Arial" w:eastAsia="Arial" w:hAnsi="Arial"/>
                <w:sz w:val="21"/>
                <w:szCs w:val="21"/>
                <w:color w:val="auto"/>
                <w:vertAlign w:val="superscript"/>
              </w:rPr>
              <w:t>(1)</w:t>
            </w:r>
          </w:p>
        </w:tc>
        <w:tc>
          <w:tcPr>
            <w:tcW w:w="220" w:type="dxa"/>
            <w:vAlign w:val="bottom"/>
            <w:gridSpan w:val="2"/>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3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
              <w:spacing w:after="0"/>
              <w:rPr>
                <w:sz w:val="20"/>
                <w:szCs w:val="20"/>
                <w:color w:val="auto"/>
              </w:rPr>
            </w:pPr>
            <w:r>
              <w:rPr>
                <w:rFonts w:ascii="Arial" w:cs="Arial" w:eastAsia="Arial" w:hAnsi="Arial"/>
                <w:sz w:val="16"/>
                <w:szCs w:val="16"/>
                <w:color w:val="auto"/>
              </w:rPr>
              <w:t>3,908</w:t>
            </w:r>
          </w:p>
        </w:tc>
        <w:tc>
          <w:tcPr>
            <w:tcW w:w="3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3,908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380" w:type="dxa"/>
            <w:vAlign w:val="bottom"/>
          </w:tcPr>
          <w:p>
            <w:pPr>
              <w:ind w:left="20"/>
              <w:spacing w:after="0" w:line="230" w:lineRule="exact"/>
              <w:rPr>
                <w:sz w:val="20"/>
                <w:szCs w:val="20"/>
                <w:color w:val="auto"/>
              </w:rPr>
            </w:pPr>
            <w:r>
              <w:rPr>
                <w:rFonts w:ascii="Arial" w:cs="Arial" w:eastAsia="Arial" w:hAnsi="Arial"/>
                <w:sz w:val="16"/>
                <w:szCs w:val="16"/>
                <w:color w:val="auto"/>
              </w:rPr>
              <w:t xml:space="preserve">Marketable equity securities </w:t>
            </w:r>
            <w:r>
              <w:rPr>
                <w:rFonts w:ascii="Arial" w:cs="Arial" w:eastAsia="Arial" w:hAnsi="Arial"/>
                <w:sz w:val="21"/>
                <w:szCs w:val="21"/>
                <w:color w:val="auto"/>
                <w:vertAlign w:val="superscript"/>
              </w:rPr>
              <w:t>(2)</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852,434</w:t>
            </w:r>
          </w:p>
        </w:tc>
        <w:tc>
          <w:tcPr>
            <w:tcW w:w="300" w:type="dxa"/>
            <w:vAlign w:val="bottom"/>
          </w:tcPr>
          <w:p>
            <w:pPr>
              <w:spacing w:after="0"/>
              <w:rPr>
                <w:sz w:val="19"/>
                <w:szCs w:val="19"/>
                <w:color w:val="auto"/>
              </w:rPr>
            </w:pPr>
          </w:p>
        </w:tc>
        <w:tc>
          <w:tcPr>
            <w:tcW w:w="92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9"/>
                <w:szCs w:val="19"/>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852,434</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380" w:type="dxa"/>
            <w:vAlign w:val="bottom"/>
          </w:tcPr>
          <w:p>
            <w:pPr>
              <w:ind w:left="20"/>
              <w:spacing w:after="0" w:line="230" w:lineRule="exact"/>
              <w:rPr>
                <w:sz w:val="20"/>
                <w:szCs w:val="20"/>
                <w:color w:val="auto"/>
              </w:rPr>
            </w:pPr>
            <w:r>
              <w:rPr>
                <w:rFonts w:ascii="Arial" w:cs="Arial" w:eastAsia="Arial" w:hAnsi="Arial"/>
                <w:sz w:val="16"/>
                <w:szCs w:val="16"/>
                <w:color w:val="auto"/>
              </w:rPr>
              <w:t xml:space="preserve">Other current investments </w:t>
            </w:r>
            <w:r>
              <w:rPr>
                <w:rFonts w:ascii="Arial" w:cs="Arial" w:eastAsia="Arial" w:hAnsi="Arial"/>
                <w:sz w:val="21"/>
                <w:szCs w:val="21"/>
                <w:color w:val="auto"/>
                <w:vertAlign w:val="superscript"/>
              </w:rPr>
              <w:t>(3)</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9"/>
                <w:szCs w:val="19"/>
                <w:color w:val="auto"/>
              </w:rPr>
            </w:pPr>
          </w:p>
        </w:tc>
        <w:tc>
          <w:tcPr>
            <w:tcW w:w="920" w:type="dxa"/>
            <w:vAlign w:val="bottom"/>
          </w:tcPr>
          <w:p>
            <w:pPr>
              <w:jc w:val="right"/>
              <w:ind w:right="1"/>
              <w:spacing w:after="0"/>
              <w:rPr>
                <w:sz w:val="20"/>
                <w:szCs w:val="20"/>
                <w:color w:val="auto"/>
              </w:rPr>
            </w:pPr>
            <w:r>
              <w:rPr>
                <w:rFonts w:ascii="Arial" w:cs="Arial" w:eastAsia="Arial" w:hAnsi="Arial"/>
                <w:sz w:val="16"/>
                <w:szCs w:val="16"/>
                <w:color w:val="auto"/>
              </w:rPr>
              <w:t>6,309</w:t>
            </w:r>
          </w:p>
        </w:tc>
        <w:tc>
          <w:tcPr>
            <w:tcW w:w="300" w:type="dxa"/>
            <w:vAlign w:val="bottom"/>
          </w:tcPr>
          <w:p>
            <w:pPr>
              <w:spacing w:after="0"/>
              <w:rPr>
                <w:sz w:val="19"/>
                <w:szCs w:val="19"/>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6,309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380" w:type="dxa"/>
            <w:vAlign w:val="bottom"/>
          </w:tcPr>
          <w:p>
            <w:pPr>
              <w:ind w:left="20"/>
              <w:spacing w:after="0" w:line="230" w:lineRule="exact"/>
              <w:rPr>
                <w:sz w:val="20"/>
                <w:szCs w:val="20"/>
                <w:color w:val="auto"/>
              </w:rPr>
            </w:pPr>
            <w:r>
              <w:rPr>
                <w:rFonts w:ascii="Arial" w:cs="Arial" w:eastAsia="Arial" w:hAnsi="Arial"/>
                <w:sz w:val="16"/>
                <w:szCs w:val="16"/>
                <w:color w:val="auto"/>
              </w:rPr>
              <w:t xml:space="preserve">Foreign exchange swap </w:t>
            </w:r>
            <w:r>
              <w:rPr>
                <w:rFonts w:ascii="Arial" w:cs="Arial" w:eastAsia="Arial" w:hAnsi="Arial"/>
                <w:sz w:val="21"/>
                <w:szCs w:val="21"/>
                <w:color w:val="auto"/>
                <w:vertAlign w:val="superscript"/>
              </w:rPr>
              <w:t>(7)</w:t>
            </w:r>
          </w:p>
        </w:tc>
        <w:tc>
          <w:tcPr>
            <w:tcW w:w="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710</w:t>
            </w:r>
          </w:p>
        </w:tc>
        <w:tc>
          <w:tcPr>
            <w:tcW w:w="3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80" w:type="dxa"/>
            <w:vAlign w:val="bottom"/>
          </w:tcPr>
          <w:p>
            <w:pPr>
              <w:ind w:left="220"/>
              <w:spacing w:after="0"/>
              <w:rPr>
                <w:sz w:val="20"/>
                <w:szCs w:val="20"/>
                <w:color w:val="auto"/>
              </w:rPr>
            </w:pPr>
            <w:r>
              <w:rPr>
                <w:rFonts w:ascii="Arial" w:cs="Arial" w:eastAsia="Arial" w:hAnsi="Arial"/>
                <w:sz w:val="16"/>
                <w:szCs w:val="16"/>
                <w:b w:val="1"/>
                <w:bCs w:val="1"/>
                <w:color w:val="auto"/>
              </w:rPr>
              <w:t>Total Financial Assets</w:t>
            </w:r>
          </w:p>
        </w:tc>
        <w:tc>
          <w:tcPr>
            <w:tcW w:w="20" w:type="dxa"/>
            <w:vAlign w:val="bottom"/>
          </w:tcPr>
          <w:p>
            <w:pPr>
              <w:spacing w:after="0"/>
              <w:rPr>
                <w:sz w:val="19"/>
                <w:szCs w:val="19"/>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852,434</w:t>
            </w:r>
          </w:p>
        </w:tc>
        <w:tc>
          <w:tcPr>
            <w:tcW w:w="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10,927</w:t>
            </w:r>
          </w:p>
        </w:tc>
        <w:tc>
          <w:tcPr>
            <w:tcW w:w="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863,361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Liabilities</w:t>
            </w: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38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6380" w:type="dxa"/>
            <w:vAlign w:val="bottom"/>
          </w:tcPr>
          <w:p>
            <w:pPr>
              <w:ind w:left="20"/>
              <w:spacing w:after="0" w:line="236" w:lineRule="exact"/>
              <w:rPr>
                <w:sz w:val="20"/>
                <w:szCs w:val="20"/>
                <w:color w:val="auto"/>
              </w:rPr>
            </w:pPr>
            <w:r>
              <w:rPr>
                <w:rFonts w:ascii="Arial" w:cs="Arial" w:eastAsia="Arial" w:hAnsi="Arial"/>
                <w:sz w:val="16"/>
                <w:szCs w:val="16"/>
                <w:color w:val="auto"/>
              </w:rPr>
              <w:t xml:space="preserve">Contingent consideration liabilities </w:t>
            </w:r>
            <w:r>
              <w:rPr>
                <w:rFonts w:ascii="Arial" w:cs="Arial" w:eastAsia="Arial" w:hAnsi="Arial"/>
                <w:sz w:val="21"/>
                <w:szCs w:val="21"/>
                <w:color w:val="auto"/>
                <w:vertAlign w:val="superscript"/>
              </w:rPr>
              <w:t>(4)</w:t>
            </w:r>
          </w:p>
        </w:tc>
        <w:tc>
          <w:tcPr>
            <w:tcW w:w="220" w:type="dxa"/>
            <w:vAlign w:val="bottom"/>
            <w:gridSpan w:val="2"/>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3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3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1,419</w:t>
            </w:r>
          </w:p>
        </w:tc>
        <w:tc>
          <w:tcPr>
            <w:tcW w:w="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1,419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380" w:type="dxa"/>
            <w:vAlign w:val="bottom"/>
          </w:tcPr>
          <w:p>
            <w:pPr>
              <w:ind w:left="20"/>
              <w:spacing w:after="0" w:line="230" w:lineRule="exact"/>
              <w:rPr>
                <w:sz w:val="20"/>
                <w:szCs w:val="20"/>
                <w:color w:val="auto"/>
              </w:rPr>
            </w:pPr>
            <w:r>
              <w:rPr>
                <w:rFonts w:ascii="Arial" w:cs="Arial" w:eastAsia="Arial" w:hAnsi="Arial"/>
                <w:sz w:val="16"/>
                <w:szCs w:val="16"/>
                <w:color w:val="auto"/>
              </w:rPr>
              <w:t xml:space="preserve">Interest rate swaps </w:t>
            </w:r>
            <w:r>
              <w:rPr>
                <w:rFonts w:ascii="Arial" w:cs="Arial" w:eastAsia="Arial" w:hAnsi="Arial"/>
                <w:sz w:val="21"/>
                <w:szCs w:val="21"/>
                <w:color w:val="auto"/>
                <w:vertAlign w:val="superscript"/>
              </w:rPr>
              <w:t>(5)</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9"/>
                <w:szCs w:val="19"/>
                <w:color w:val="auto"/>
              </w:rPr>
            </w:pPr>
          </w:p>
        </w:tc>
        <w:tc>
          <w:tcPr>
            <w:tcW w:w="920" w:type="dxa"/>
            <w:vAlign w:val="bottom"/>
          </w:tcPr>
          <w:p>
            <w:pPr>
              <w:jc w:val="right"/>
              <w:ind w:right="1"/>
              <w:spacing w:after="0"/>
              <w:rPr>
                <w:sz w:val="20"/>
                <w:szCs w:val="20"/>
                <w:color w:val="auto"/>
              </w:rPr>
            </w:pPr>
            <w:r>
              <w:rPr>
                <w:rFonts w:ascii="Arial" w:cs="Arial" w:eastAsia="Arial" w:hAnsi="Arial"/>
                <w:sz w:val="16"/>
                <w:szCs w:val="16"/>
                <w:color w:val="auto"/>
              </w:rPr>
              <w:t>1,419</w:t>
            </w:r>
          </w:p>
        </w:tc>
        <w:tc>
          <w:tcPr>
            <w:tcW w:w="300" w:type="dxa"/>
            <w:vAlign w:val="bottom"/>
          </w:tcPr>
          <w:p>
            <w:pPr>
              <w:spacing w:after="0"/>
              <w:rPr>
                <w:sz w:val="19"/>
                <w:szCs w:val="19"/>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1,419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380" w:type="dxa"/>
            <w:vAlign w:val="bottom"/>
          </w:tcPr>
          <w:p>
            <w:pPr>
              <w:ind w:left="20"/>
              <w:spacing w:after="0" w:line="230" w:lineRule="exact"/>
              <w:rPr>
                <w:sz w:val="20"/>
                <w:szCs w:val="20"/>
                <w:color w:val="auto"/>
              </w:rPr>
            </w:pPr>
            <w:r>
              <w:rPr>
                <w:rFonts w:ascii="Arial" w:cs="Arial" w:eastAsia="Arial" w:hAnsi="Arial"/>
                <w:sz w:val="16"/>
                <w:szCs w:val="16"/>
                <w:color w:val="auto"/>
              </w:rPr>
              <w:t xml:space="preserve">Mandatorily redeemable noncontrolling interest </w:t>
            </w:r>
            <w:r>
              <w:rPr>
                <w:rFonts w:ascii="Arial" w:cs="Arial" w:eastAsia="Arial" w:hAnsi="Arial"/>
                <w:sz w:val="21"/>
                <w:szCs w:val="21"/>
                <w:color w:val="auto"/>
                <w:vertAlign w:val="superscript"/>
              </w:rPr>
              <w:t>(6)</w:t>
            </w:r>
          </w:p>
        </w:tc>
        <w:tc>
          <w:tcPr>
            <w:tcW w:w="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159,548</w:t>
            </w:r>
          </w:p>
        </w:tc>
        <w:tc>
          <w:tcPr>
            <w:tcW w:w="3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159,548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80" w:type="dxa"/>
            <w:vAlign w:val="bottom"/>
          </w:tcPr>
          <w:p>
            <w:pPr>
              <w:ind w:left="220"/>
              <w:spacing w:after="0"/>
              <w:rPr>
                <w:sz w:val="20"/>
                <w:szCs w:val="20"/>
                <w:color w:val="auto"/>
              </w:rPr>
            </w:pPr>
            <w:r>
              <w:rPr>
                <w:rFonts w:ascii="Arial" w:cs="Arial" w:eastAsia="Arial" w:hAnsi="Arial"/>
                <w:sz w:val="16"/>
                <w:szCs w:val="16"/>
                <w:b w:val="1"/>
                <w:bCs w:val="1"/>
                <w:color w:val="auto"/>
              </w:rPr>
              <w:t>Total Financial Liabilities</w:t>
            </w:r>
          </w:p>
        </w:tc>
        <w:tc>
          <w:tcPr>
            <w:tcW w:w="20" w:type="dxa"/>
            <w:vAlign w:val="bottom"/>
          </w:tcPr>
          <w:p>
            <w:pPr>
              <w:spacing w:after="0"/>
              <w:rPr>
                <w:sz w:val="19"/>
                <w:szCs w:val="19"/>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1,419</w:t>
            </w:r>
          </w:p>
        </w:tc>
        <w:tc>
          <w:tcPr>
            <w:tcW w:w="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160,967</w:t>
            </w:r>
          </w:p>
        </w:tc>
        <w:tc>
          <w:tcPr>
            <w:tcW w:w="3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162,386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spacing w:after="0"/>
        <w:rPr>
          <w:sz w:val="20"/>
          <w:szCs w:val="20"/>
          <w:color w:val="auto"/>
        </w:rPr>
      </w:pPr>
      <w:r>
        <w:rPr>
          <w:rFonts w:ascii="Arial" w:cs="Arial" w:eastAsia="Arial" w:hAnsi="Arial"/>
          <w:sz w:val="14"/>
          <w:szCs w:val="14"/>
          <w:color w:val="auto"/>
        </w:rPr>
        <w:t>____________</w:t>
      </w:r>
    </w:p>
    <w:p>
      <w:pPr>
        <w:spacing w:after="0" w:line="109" w:lineRule="exact"/>
        <w:rPr>
          <w:sz w:val="20"/>
          <w:szCs w:val="20"/>
          <w:color w:val="auto"/>
        </w:rPr>
      </w:pPr>
    </w:p>
    <w:p>
      <w:pPr>
        <w:ind w:left="480" w:hanging="454"/>
        <w:spacing w:after="0"/>
        <w:tabs>
          <w:tab w:leader="none" w:pos="480" w:val="left"/>
        </w:tabs>
        <w:numPr>
          <w:ilvl w:val="0"/>
          <w:numId w:val="10"/>
        </w:numPr>
        <w:rPr>
          <w:rFonts w:ascii="Arial" w:cs="Arial" w:eastAsia="Arial" w:hAnsi="Arial"/>
          <w:sz w:val="14"/>
          <w:szCs w:val="14"/>
          <w:color w:val="auto"/>
        </w:rPr>
      </w:pPr>
      <w:r>
        <w:rPr>
          <w:rFonts w:ascii="Arial" w:cs="Arial" w:eastAsia="Arial" w:hAnsi="Arial"/>
          <w:sz w:val="14"/>
          <w:szCs w:val="14"/>
          <w:color w:val="auto"/>
        </w:rPr>
        <w:t>The Company’s money market investments are included in cash and cash equivalents and the value considers the liquidity of the counterparty.</w:t>
      </w:r>
    </w:p>
    <w:p>
      <w:pPr>
        <w:spacing w:after="0" w:line="41" w:lineRule="exact"/>
        <w:rPr>
          <w:rFonts w:ascii="Arial" w:cs="Arial" w:eastAsia="Arial" w:hAnsi="Arial"/>
          <w:sz w:val="14"/>
          <w:szCs w:val="14"/>
          <w:color w:val="auto"/>
        </w:rPr>
      </w:pPr>
    </w:p>
    <w:p>
      <w:pPr>
        <w:ind w:left="480" w:right="340" w:hanging="454"/>
        <w:spacing w:after="0" w:line="261" w:lineRule="auto"/>
        <w:tabs>
          <w:tab w:leader="none" w:pos="480" w:val="left"/>
        </w:tabs>
        <w:numPr>
          <w:ilvl w:val="0"/>
          <w:numId w:val="10"/>
        </w:numPr>
        <w:rPr>
          <w:rFonts w:ascii="Arial" w:cs="Arial" w:eastAsia="Arial" w:hAnsi="Arial"/>
          <w:sz w:val="14"/>
          <w:szCs w:val="14"/>
          <w:color w:val="auto"/>
        </w:rPr>
      </w:pPr>
      <w:r>
        <w:rPr>
          <w:rFonts w:ascii="Arial" w:cs="Arial" w:eastAsia="Arial" w:hAnsi="Arial"/>
          <w:sz w:val="14"/>
          <w:szCs w:val="14"/>
          <w:color w:val="auto"/>
        </w:rPr>
        <w:t>The Company’s investments in marketable equity securities are held in common shares of U.S. corporations that are actively traded on U.S. stock exchanges. Price quotes for these shares are readily available.</w:t>
      </w:r>
    </w:p>
    <w:p>
      <w:pPr>
        <w:ind w:left="480" w:right="420" w:hanging="454"/>
        <w:spacing w:after="0" w:line="264" w:lineRule="auto"/>
        <w:tabs>
          <w:tab w:leader="none" w:pos="480" w:val="left"/>
        </w:tabs>
        <w:numPr>
          <w:ilvl w:val="0"/>
          <w:numId w:val="10"/>
        </w:numPr>
        <w:rPr>
          <w:rFonts w:ascii="Arial" w:cs="Arial" w:eastAsia="Arial" w:hAnsi="Arial"/>
          <w:sz w:val="14"/>
          <w:szCs w:val="14"/>
          <w:color w:val="auto"/>
        </w:rPr>
      </w:pPr>
      <w:r>
        <w:rPr>
          <w:rFonts w:ascii="Arial" w:cs="Arial" w:eastAsia="Arial" w:hAnsi="Arial"/>
          <w:sz w:val="14"/>
          <w:szCs w:val="14"/>
          <w:color w:val="auto"/>
        </w:rPr>
        <w:t>Includes mutual funds, which are valued using a market approach based on the quoted market prices of the security or inputs that include quoted market prices for similar instruments.</w:t>
      </w:r>
    </w:p>
    <w:p>
      <w:pPr>
        <w:spacing w:after="0" w:line="10" w:lineRule="exact"/>
        <w:rPr>
          <w:rFonts w:ascii="Arial" w:cs="Arial" w:eastAsia="Arial" w:hAnsi="Arial"/>
          <w:sz w:val="14"/>
          <w:szCs w:val="14"/>
          <w:color w:val="auto"/>
        </w:rPr>
      </w:pPr>
    </w:p>
    <w:p>
      <w:pPr>
        <w:ind w:left="480" w:right="380" w:hanging="454"/>
        <w:spacing w:after="0" w:line="249" w:lineRule="auto"/>
        <w:tabs>
          <w:tab w:leader="none" w:pos="480" w:val="left"/>
        </w:tabs>
        <w:numPr>
          <w:ilvl w:val="0"/>
          <w:numId w:val="10"/>
        </w:numPr>
        <w:rPr>
          <w:rFonts w:ascii="Arial" w:cs="Arial" w:eastAsia="Arial" w:hAnsi="Arial"/>
          <w:sz w:val="14"/>
          <w:szCs w:val="14"/>
          <w:color w:val="auto"/>
        </w:rPr>
      </w:pPr>
      <w:r>
        <w:rPr>
          <w:rFonts w:ascii="Arial" w:cs="Arial" w:eastAsia="Arial" w:hAnsi="Arial"/>
          <w:sz w:val="14"/>
          <w:szCs w:val="14"/>
          <w:color w:val="auto"/>
        </w:rPr>
        <w:t>Included in Accounts payable, vehicle floor plan payable and accrued liabilities and Other Liabilities. The Company determined the fair value of the contingent consideration liabilities using either a Monte Carlo simulation, Black-Scholes model, or probability-weighted analysis depending on the type of target included in the contingent consideration requirements (revenue, EBITDA, client retention). All analyses included estimated financial projections for the acquired businesses and acquisition-specific discount rates.</w:t>
      </w:r>
    </w:p>
    <w:p>
      <w:pPr>
        <w:spacing w:after="0" w:line="20" w:lineRule="exact"/>
        <w:rPr>
          <w:rFonts w:ascii="Arial" w:cs="Arial" w:eastAsia="Arial" w:hAnsi="Arial"/>
          <w:sz w:val="14"/>
          <w:szCs w:val="14"/>
          <w:color w:val="auto"/>
        </w:rPr>
      </w:pPr>
    </w:p>
    <w:p>
      <w:pPr>
        <w:ind w:left="480" w:right="140" w:hanging="454"/>
        <w:spacing w:after="0" w:line="264" w:lineRule="auto"/>
        <w:tabs>
          <w:tab w:leader="none" w:pos="480" w:val="left"/>
        </w:tabs>
        <w:numPr>
          <w:ilvl w:val="0"/>
          <w:numId w:val="10"/>
        </w:numPr>
        <w:rPr>
          <w:rFonts w:ascii="Arial" w:cs="Arial" w:eastAsia="Arial" w:hAnsi="Arial"/>
          <w:sz w:val="14"/>
          <w:szCs w:val="14"/>
          <w:color w:val="auto"/>
        </w:rPr>
      </w:pPr>
      <w:r>
        <w:rPr>
          <w:rFonts w:ascii="Arial" w:cs="Arial" w:eastAsia="Arial" w:hAnsi="Arial"/>
          <w:sz w:val="14"/>
          <w:szCs w:val="14"/>
          <w:color w:val="auto"/>
        </w:rPr>
        <w:t>Included in Other Liabilities. The Company utilized a market approach model using the notional amount of the interest rate swaps multiplied by the observable inputs of time to maturity and market interest rates.</w:t>
      </w:r>
    </w:p>
    <w:p>
      <w:pPr>
        <w:spacing w:after="0" w:line="10" w:lineRule="exact"/>
        <w:rPr>
          <w:rFonts w:ascii="Arial" w:cs="Arial" w:eastAsia="Arial" w:hAnsi="Arial"/>
          <w:sz w:val="14"/>
          <w:szCs w:val="14"/>
          <w:color w:val="auto"/>
        </w:rPr>
      </w:pPr>
    </w:p>
    <w:p>
      <w:pPr>
        <w:ind w:left="480" w:right="260" w:hanging="454"/>
        <w:spacing w:after="0" w:line="253" w:lineRule="auto"/>
        <w:tabs>
          <w:tab w:leader="none" w:pos="480" w:val="left"/>
        </w:tabs>
        <w:numPr>
          <w:ilvl w:val="0"/>
          <w:numId w:val="10"/>
        </w:numPr>
        <w:rPr>
          <w:rFonts w:ascii="Arial" w:cs="Arial" w:eastAsia="Arial" w:hAnsi="Arial"/>
          <w:sz w:val="14"/>
          <w:szCs w:val="14"/>
          <w:color w:val="auto"/>
        </w:rPr>
      </w:pPr>
      <w:r>
        <w:rPr>
          <w:rFonts w:ascii="Arial" w:cs="Arial" w:eastAsia="Arial" w:hAnsi="Arial"/>
          <w:sz w:val="14"/>
          <w:szCs w:val="14"/>
          <w:color w:val="auto"/>
        </w:rPr>
        <w:t>The fair value of the mandatorily redeemable noncontrolling interest is based on the fair value of the underlying subsidiaries owned by GHC One and GHC Two, after taking into account any debt and other noncontrolling interests of its subsidiary investments. The fair value of the owned subsidiaries is determined using enterprise value analyses which include an equal weighing between guideline public company and discounted cash flow analyses.</w:t>
      </w:r>
    </w:p>
    <w:p>
      <w:pPr>
        <w:spacing w:after="0" w:line="17" w:lineRule="exact"/>
        <w:rPr>
          <w:rFonts w:ascii="Arial" w:cs="Arial" w:eastAsia="Arial" w:hAnsi="Arial"/>
          <w:sz w:val="14"/>
          <w:szCs w:val="14"/>
          <w:color w:val="auto"/>
        </w:rPr>
      </w:pPr>
    </w:p>
    <w:p>
      <w:pPr>
        <w:ind w:left="480" w:hanging="454"/>
        <w:spacing w:after="0"/>
        <w:tabs>
          <w:tab w:leader="none" w:pos="480" w:val="left"/>
        </w:tabs>
        <w:numPr>
          <w:ilvl w:val="0"/>
          <w:numId w:val="10"/>
        </w:numPr>
        <w:rPr>
          <w:rFonts w:ascii="Arial" w:cs="Arial" w:eastAsia="Arial" w:hAnsi="Arial"/>
          <w:sz w:val="14"/>
          <w:szCs w:val="14"/>
          <w:color w:val="auto"/>
        </w:rPr>
      </w:pPr>
      <w:r>
        <w:rPr>
          <w:rFonts w:ascii="Arial" w:cs="Arial" w:eastAsia="Arial" w:hAnsi="Arial"/>
          <w:sz w:val="14"/>
          <w:szCs w:val="14"/>
          <w:color w:val="auto"/>
        </w:rPr>
        <w:t>Included in Other current assets and valued based on a valuation model that calculates the differential between the contract price and the market-based forward 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39" w:right="359" w:bottom="1440" w:gutter="0" w:footer="0" w:header="0"/>
        </w:sectPr>
      </w:pPr>
    </w:p>
    <w:bookmarkStart w:id="14" w:name="page15"/>
    <w:bookmarkEnd w:id="14"/>
    <w:p>
      <w:pPr>
        <w:ind w:right="440"/>
        <w:spacing w:after="0" w:line="271" w:lineRule="auto"/>
        <w:rPr>
          <w:sz w:val="20"/>
          <w:szCs w:val="20"/>
          <w:color w:val="auto"/>
        </w:rPr>
      </w:pPr>
      <w:r>
        <w:rPr>
          <w:rFonts w:ascii="Arial" w:cs="Arial" w:eastAsia="Arial" w:hAnsi="Arial"/>
          <w:sz w:val="18"/>
          <w:szCs w:val="18"/>
          <w:color w:val="auto"/>
        </w:rPr>
        <w:t>The following tables provide a reconciliation of changes in the Company’s financial liabilities measured at fair value on a recurring basis, using Level 3 inputs: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540" w:type="dxa"/>
            <w:vAlign w:val="bottom"/>
            <w:vMerge w:val="restart"/>
          </w:tcPr>
          <w:p>
            <w:pPr>
              <w:ind w:left="20"/>
              <w:spacing w:after="0"/>
              <w:rPr>
                <w:sz w:val="20"/>
                <w:szCs w:val="20"/>
                <w:color w:val="auto"/>
              </w:rPr>
            </w:pPr>
            <w:r>
              <w:rPr>
                <w:rFonts w:ascii="Arial" w:cs="Arial" w:eastAsia="Arial" w:hAnsi="Arial"/>
                <w:sz w:val="14"/>
                <w:szCs w:val="14"/>
                <w:color w:val="auto"/>
              </w:rPr>
              <w:t>(in thousands)</w:t>
            </w:r>
          </w:p>
        </w:tc>
        <w:tc>
          <w:tcPr>
            <w:tcW w:w="200" w:type="dxa"/>
            <w:vAlign w:val="bottom"/>
          </w:tcPr>
          <w:p>
            <w:pPr>
              <w:spacing w:after="0"/>
              <w:rPr>
                <w:sz w:val="14"/>
                <w:szCs w:val="14"/>
                <w:color w:val="auto"/>
              </w:rPr>
            </w:pPr>
          </w:p>
        </w:tc>
        <w:tc>
          <w:tcPr>
            <w:tcW w:w="2120" w:type="dxa"/>
            <w:vAlign w:val="bottom"/>
          </w:tcPr>
          <w:p>
            <w:pPr>
              <w:jc w:val="center"/>
              <w:ind w:right="142"/>
              <w:spacing w:after="0"/>
              <w:rPr>
                <w:sz w:val="20"/>
                <w:szCs w:val="20"/>
                <w:color w:val="auto"/>
              </w:rPr>
            </w:pPr>
            <w:r>
              <w:rPr>
                <w:rFonts w:ascii="Arial" w:cs="Arial" w:eastAsia="Arial" w:hAnsi="Arial"/>
                <w:sz w:val="14"/>
                <w:szCs w:val="14"/>
                <w:b w:val="1"/>
                <w:bCs w:val="1"/>
                <w:color w:val="auto"/>
              </w:rPr>
              <w:t>Contingent consideration</w:t>
            </w:r>
          </w:p>
        </w:tc>
        <w:tc>
          <w:tcPr>
            <w:tcW w:w="300" w:type="dxa"/>
            <w:vAlign w:val="bottom"/>
          </w:tcPr>
          <w:p>
            <w:pPr>
              <w:spacing w:after="0"/>
              <w:rPr>
                <w:sz w:val="14"/>
                <w:szCs w:val="14"/>
                <w:color w:val="auto"/>
              </w:rPr>
            </w:pPr>
          </w:p>
        </w:tc>
        <w:tc>
          <w:tcPr>
            <w:tcW w:w="2080" w:type="dxa"/>
            <w:vAlign w:val="bottom"/>
          </w:tcPr>
          <w:p>
            <w:pPr>
              <w:jc w:val="center"/>
              <w:ind w:right="142"/>
              <w:spacing w:after="0"/>
              <w:rPr>
                <w:sz w:val="20"/>
                <w:szCs w:val="20"/>
                <w:color w:val="auto"/>
              </w:rPr>
            </w:pPr>
            <w:r>
              <w:rPr>
                <w:rFonts w:ascii="Arial" w:cs="Arial" w:eastAsia="Arial" w:hAnsi="Arial"/>
                <w:sz w:val="14"/>
                <w:szCs w:val="14"/>
                <w:b w:val="1"/>
                <w:bCs w:val="1"/>
                <w:color w:val="auto"/>
              </w:rPr>
              <w:t>Mandatorily redeemable</w:t>
            </w:r>
          </w:p>
        </w:tc>
        <w:tc>
          <w:tcPr>
            <w:tcW w:w="0" w:type="dxa"/>
            <w:vAlign w:val="bottom"/>
          </w:tcPr>
          <w:p>
            <w:pPr>
              <w:spacing w:after="0"/>
              <w:rPr>
                <w:sz w:val="1"/>
                <w:szCs w:val="1"/>
                <w:color w:val="auto"/>
              </w:rPr>
            </w:pPr>
          </w:p>
        </w:tc>
      </w:tr>
      <w:tr>
        <w:trPr>
          <w:trHeight w:val="197"/>
        </w:trPr>
        <w:tc>
          <w:tcPr>
            <w:tcW w:w="6540" w:type="dxa"/>
            <w:vAlign w:val="bottom"/>
            <w:tcBorders>
              <w:bottom w:val="single" w:sz="8" w:color="auto"/>
            </w:tcBorders>
            <w:vMerge w:val="continue"/>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120" w:type="dxa"/>
            <w:vAlign w:val="bottom"/>
            <w:tcBorders>
              <w:bottom w:val="single" w:sz="8" w:color="auto"/>
            </w:tcBorders>
          </w:tcPr>
          <w:p>
            <w:pPr>
              <w:jc w:val="center"/>
              <w:ind w:right="142"/>
              <w:spacing w:after="0"/>
              <w:rPr>
                <w:sz w:val="20"/>
                <w:szCs w:val="20"/>
                <w:color w:val="auto"/>
              </w:rPr>
            </w:pPr>
            <w:r>
              <w:rPr>
                <w:rFonts w:ascii="Arial" w:cs="Arial" w:eastAsia="Arial" w:hAnsi="Arial"/>
                <w:sz w:val="14"/>
                <w:szCs w:val="14"/>
                <w:b w:val="1"/>
                <w:bCs w:val="1"/>
                <w:color w:val="auto"/>
              </w:rPr>
              <w:t>liabilities</w:t>
            </w:r>
          </w:p>
        </w:tc>
        <w:tc>
          <w:tcPr>
            <w:tcW w:w="300" w:type="dxa"/>
            <w:vAlign w:val="bottom"/>
            <w:tcBorders>
              <w:bottom w:val="single" w:sz="8" w:color="auto"/>
            </w:tcBorders>
          </w:tcPr>
          <w:p>
            <w:pPr>
              <w:spacing w:after="0"/>
              <w:rPr>
                <w:sz w:val="17"/>
                <w:szCs w:val="17"/>
                <w:color w:val="auto"/>
              </w:rPr>
            </w:pPr>
          </w:p>
        </w:tc>
        <w:tc>
          <w:tcPr>
            <w:tcW w:w="2080" w:type="dxa"/>
            <w:vAlign w:val="bottom"/>
            <w:tcBorders>
              <w:bottom w:val="single" w:sz="8" w:color="auto"/>
            </w:tcBorders>
          </w:tcPr>
          <w:p>
            <w:pPr>
              <w:jc w:val="center"/>
              <w:ind w:right="142"/>
              <w:spacing w:after="0"/>
              <w:rPr>
                <w:sz w:val="20"/>
                <w:szCs w:val="20"/>
                <w:color w:val="auto"/>
              </w:rPr>
            </w:pPr>
            <w:r>
              <w:rPr>
                <w:rFonts w:ascii="Arial" w:cs="Arial" w:eastAsia="Arial" w:hAnsi="Arial"/>
                <w:sz w:val="14"/>
                <w:szCs w:val="14"/>
                <w:b w:val="1"/>
                <w:bCs w:val="1"/>
                <w:color w:val="auto"/>
              </w:rPr>
              <w:t>noncontrolling interest</w:t>
            </w:r>
          </w:p>
        </w:tc>
        <w:tc>
          <w:tcPr>
            <w:tcW w:w="0" w:type="dxa"/>
            <w:vAlign w:val="bottom"/>
          </w:tcPr>
          <w:p>
            <w:pPr>
              <w:spacing w:after="0"/>
              <w:rPr>
                <w:sz w:val="1"/>
                <w:szCs w:val="1"/>
                <w:color w:val="auto"/>
              </w:rPr>
            </w:pPr>
          </w:p>
        </w:tc>
      </w:tr>
      <w:tr>
        <w:trPr>
          <w:trHeight w:val="209"/>
        </w:trPr>
        <w:tc>
          <w:tcPr>
            <w:tcW w:w="6540" w:type="dxa"/>
            <w:vAlign w:val="bottom"/>
          </w:tcPr>
          <w:p>
            <w:pPr>
              <w:ind w:left="20"/>
              <w:spacing w:after="0"/>
              <w:rPr>
                <w:sz w:val="20"/>
                <w:szCs w:val="20"/>
                <w:color w:val="auto"/>
              </w:rPr>
            </w:pPr>
            <w:r>
              <w:rPr>
                <w:rFonts w:ascii="Arial" w:cs="Arial" w:eastAsia="Arial" w:hAnsi="Arial"/>
                <w:sz w:val="16"/>
                <w:szCs w:val="16"/>
                <w:color w:val="auto"/>
              </w:rPr>
              <w:t>As of December 31, 2024</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2120" w:type="dxa"/>
            <w:vAlign w:val="bottom"/>
          </w:tcPr>
          <w:p>
            <w:pPr>
              <w:jc w:val="right"/>
              <w:ind w:right="22"/>
              <w:spacing w:after="0"/>
              <w:rPr>
                <w:sz w:val="20"/>
                <w:szCs w:val="20"/>
                <w:color w:val="auto"/>
              </w:rPr>
            </w:pPr>
            <w:r>
              <w:rPr>
                <w:rFonts w:ascii="Arial" w:cs="Arial" w:eastAsia="Arial" w:hAnsi="Arial"/>
                <w:sz w:val="16"/>
                <w:szCs w:val="16"/>
                <w:color w:val="auto"/>
              </w:rPr>
              <w:t>1,419</w:t>
            </w:r>
          </w:p>
        </w:tc>
        <w:tc>
          <w:tcPr>
            <w:tcW w:w="3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080" w:type="dxa"/>
            <w:vAlign w:val="bottom"/>
          </w:tcPr>
          <w:p>
            <w:pPr>
              <w:jc w:val="right"/>
              <w:ind w:right="2"/>
              <w:spacing w:after="0"/>
              <w:rPr>
                <w:sz w:val="20"/>
                <w:szCs w:val="20"/>
                <w:color w:val="auto"/>
              </w:rPr>
            </w:pPr>
            <w:r>
              <w:rPr>
                <w:rFonts w:ascii="Arial" w:cs="Arial" w:eastAsia="Arial" w:hAnsi="Arial"/>
                <w:sz w:val="16"/>
                <w:szCs w:val="16"/>
                <w:color w:val="auto"/>
              </w:rPr>
              <w:t>159,548</w:t>
            </w:r>
          </w:p>
        </w:tc>
        <w:tc>
          <w:tcPr>
            <w:tcW w:w="0" w:type="dxa"/>
            <w:vAlign w:val="bottom"/>
          </w:tcPr>
          <w:p>
            <w:pPr>
              <w:spacing w:after="0"/>
              <w:rPr>
                <w:sz w:val="1"/>
                <w:szCs w:val="1"/>
                <w:color w:val="auto"/>
              </w:rPr>
            </w:pPr>
          </w:p>
        </w:tc>
      </w:tr>
      <w:tr>
        <w:trPr>
          <w:trHeight w:val="244"/>
        </w:trPr>
        <w:tc>
          <w:tcPr>
            <w:tcW w:w="6540" w:type="dxa"/>
            <w:vAlign w:val="bottom"/>
          </w:tcPr>
          <w:p>
            <w:pPr>
              <w:ind w:left="20"/>
              <w:spacing w:after="0"/>
              <w:rPr>
                <w:sz w:val="20"/>
                <w:szCs w:val="20"/>
                <w:color w:val="auto"/>
              </w:rPr>
            </w:pPr>
            <w:r>
              <w:rPr>
                <w:rFonts w:ascii="Arial" w:cs="Arial" w:eastAsia="Arial" w:hAnsi="Arial"/>
                <w:sz w:val="16"/>
                <w:szCs w:val="16"/>
                <w:b w:val="1"/>
                <w:bCs w:val="1"/>
                <w:color w:val="auto"/>
              </w:rPr>
              <w:t xml:space="preserve">Changes in fair value </w:t>
            </w:r>
            <w:r>
              <w:rPr>
                <w:rFonts w:ascii="Arial" w:cs="Arial" w:eastAsia="Arial" w:hAnsi="Arial"/>
                <w:sz w:val="21"/>
                <w:szCs w:val="21"/>
                <w:b w:val="1"/>
                <w:bCs w:val="1"/>
                <w:color w:val="auto"/>
                <w:vertAlign w:val="superscript"/>
              </w:rPr>
              <w:t>(1)</w:t>
            </w:r>
          </w:p>
        </w:tc>
        <w:tc>
          <w:tcPr>
            <w:tcW w:w="200" w:type="dxa"/>
            <w:vAlign w:val="bottom"/>
          </w:tcPr>
          <w:p>
            <w:pPr>
              <w:spacing w:after="0"/>
              <w:rPr>
                <w:sz w:val="21"/>
                <w:szCs w:val="21"/>
                <w:color w:val="auto"/>
              </w:rPr>
            </w:pPr>
          </w:p>
        </w:tc>
        <w:tc>
          <w:tcPr>
            <w:tcW w:w="2120" w:type="dxa"/>
            <w:vAlign w:val="bottom"/>
          </w:tcPr>
          <w:p>
            <w:pPr>
              <w:jc w:val="right"/>
              <w:ind w:right="22"/>
              <w:spacing w:after="0"/>
              <w:rPr>
                <w:sz w:val="20"/>
                <w:szCs w:val="20"/>
                <w:color w:val="auto"/>
              </w:rPr>
            </w:pPr>
            <w:r>
              <w:rPr>
                <w:rFonts w:ascii="Arial" w:cs="Arial" w:eastAsia="Arial" w:hAnsi="Arial"/>
                <w:sz w:val="16"/>
                <w:szCs w:val="16"/>
                <w:b w:val="1"/>
                <w:bCs w:val="1"/>
                <w:color w:val="auto"/>
              </w:rPr>
              <w:t>—</w:t>
            </w:r>
          </w:p>
        </w:tc>
        <w:tc>
          <w:tcPr>
            <w:tcW w:w="300" w:type="dxa"/>
            <w:vAlign w:val="bottom"/>
          </w:tcPr>
          <w:p>
            <w:pPr>
              <w:spacing w:after="0"/>
              <w:rPr>
                <w:sz w:val="21"/>
                <w:szCs w:val="21"/>
                <w:color w:val="auto"/>
              </w:rPr>
            </w:pPr>
          </w:p>
        </w:tc>
        <w:tc>
          <w:tcPr>
            <w:tcW w:w="2080" w:type="dxa"/>
            <w:vAlign w:val="bottom"/>
          </w:tcPr>
          <w:p>
            <w:pPr>
              <w:jc w:val="right"/>
              <w:ind w:right="2"/>
              <w:spacing w:after="0"/>
              <w:rPr>
                <w:sz w:val="20"/>
                <w:szCs w:val="20"/>
                <w:color w:val="auto"/>
              </w:rPr>
            </w:pPr>
            <w:r>
              <w:rPr>
                <w:rFonts w:ascii="Arial" w:cs="Arial" w:eastAsia="Arial" w:hAnsi="Arial"/>
                <w:sz w:val="16"/>
                <w:szCs w:val="16"/>
                <w:b w:val="1"/>
                <w:bCs w:val="1"/>
                <w:color w:val="auto"/>
              </w:rPr>
              <w:t>66,407</w:t>
            </w:r>
          </w:p>
        </w:tc>
        <w:tc>
          <w:tcPr>
            <w:tcW w:w="0" w:type="dxa"/>
            <w:vAlign w:val="bottom"/>
          </w:tcPr>
          <w:p>
            <w:pPr>
              <w:spacing w:after="0"/>
              <w:rPr>
                <w:sz w:val="1"/>
                <w:szCs w:val="1"/>
                <w:color w:val="auto"/>
              </w:rPr>
            </w:pPr>
          </w:p>
        </w:tc>
      </w:tr>
      <w:tr>
        <w:trPr>
          <w:trHeight w:val="223"/>
        </w:trPr>
        <w:tc>
          <w:tcPr>
            <w:tcW w:w="6540" w:type="dxa"/>
            <w:vAlign w:val="bottom"/>
          </w:tcPr>
          <w:p>
            <w:pPr>
              <w:ind w:left="20"/>
              <w:spacing w:after="0"/>
              <w:rPr>
                <w:sz w:val="20"/>
                <w:szCs w:val="20"/>
                <w:color w:val="auto"/>
              </w:rPr>
            </w:pPr>
            <w:r>
              <w:rPr>
                <w:rFonts w:ascii="Arial" w:cs="Arial" w:eastAsia="Arial" w:hAnsi="Arial"/>
                <w:sz w:val="16"/>
                <w:szCs w:val="16"/>
                <w:b w:val="1"/>
                <w:bCs w:val="1"/>
                <w:color w:val="auto"/>
              </w:rPr>
              <w:t>Capital contributions</w:t>
            </w:r>
          </w:p>
        </w:tc>
        <w:tc>
          <w:tcPr>
            <w:tcW w:w="200" w:type="dxa"/>
            <w:vAlign w:val="bottom"/>
          </w:tcPr>
          <w:p>
            <w:pPr>
              <w:spacing w:after="0"/>
              <w:rPr>
                <w:sz w:val="19"/>
                <w:szCs w:val="19"/>
                <w:color w:val="auto"/>
              </w:rPr>
            </w:pPr>
          </w:p>
        </w:tc>
        <w:tc>
          <w:tcPr>
            <w:tcW w:w="2120" w:type="dxa"/>
            <w:vAlign w:val="bottom"/>
          </w:tcPr>
          <w:p>
            <w:pPr>
              <w:jc w:val="right"/>
              <w:ind w:right="22"/>
              <w:spacing w:after="0"/>
              <w:rPr>
                <w:sz w:val="20"/>
                <w:szCs w:val="20"/>
                <w:color w:val="auto"/>
              </w:rPr>
            </w:pPr>
            <w:r>
              <w:rPr>
                <w:rFonts w:ascii="Arial" w:cs="Arial" w:eastAsia="Arial" w:hAnsi="Arial"/>
                <w:sz w:val="16"/>
                <w:szCs w:val="16"/>
                <w:b w:val="1"/>
                <w:bCs w:val="1"/>
                <w:color w:val="auto"/>
              </w:rPr>
              <w:t>—</w:t>
            </w:r>
          </w:p>
        </w:tc>
        <w:tc>
          <w:tcPr>
            <w:tcW w:w="300" w:type="dxa"/>
            <w:vAlign w:val="bottom"/>
          </w:tcPr>
          <w:p>
            <w:pPr>
              <w:spacing w:after="0"/>
              <w:rPr>
                <w:sz w:val="19"/>
                <w:szCs w:val="19"/>
                <w:color w:val="auto"/>
              </w:rPr>
            </w:pPr>
          </w:p>
        </w:tc>
        <w:tc>
          <w:tcPr>
            <w:tcW w:w="2080" w:type="dxa"/>
            <w:vAlign w:val="bottom"/>
          </w:tcPr>
          <w:p>
            <w:pPr>
              <w:jc w:val="right"/>
              <w:ind w:right="2"/>
              <w:spacing w:after="0"/>
              <w:rPr>
                <w:sz w:val="20"/>
                <w:szCs w:val="20"/>
                <w:color w:val="auto"/>
              </w:rPr>
            </w:pPr>
            <w:r>
              <w:rPr>
                <w:rFonts w:ascii="Arial" w:cs="Arial" w:eastAsia="Arial" w:hAnsi="Arial"/>
                <w:sz w:val="16"/>
                <w:szCs w:val="16"/>
                <w:b w:val="1"/>
                <w:bCs w:val="1"/>
                <w:color w:val="auto"/>
              </w:rPr>
              <w:t>80</w:t>
            </w:r>
          </w:p>
        </w:tc>
        <w:tc>
          <w:tcPr>
            <w:tcW w:w="0" w:type="dxa"/>
            <w:vAlign w:val="bottom"/>
          </w:tcPr>
          <w:p>
            <w:pPr>
              <w:spacing w:after="0"/>
              <w:rPr>
                <w:sz w:val="1"/>
                <w:szCs w:val="1"/>
                <w:color w:val="auto"/>
              </w:rPr>
            </w:pPr>
          </w:p>
        </w:tc>
      </w:tr>
      <w:tr>
        <w:trPr>
          <w:trHeight w:val="236"/>
        </w:trPr>
        <w:tc>
          <w:tcPr>
            <w:tcW w:w="6540" w:type="dxa"/>
            <w:vAlign w:val="bottom"/>
          </w:tcPr>
          <w:p>
            <w:pPr>
              <w:ind w:left="20"/>
              <w:spacing w:after="0" w:line="236" w:lineRule="exact"/>
              <w:rPr>
                <w:sz w:val="20"/>
                <w:szCs w:val="20"/>
                <w:color w:val="auto"/>
              </w:rPr>
            </w:pPr>
            <w:r>
              <w:rPr>
                <w:rFonts w:ascii="Arial" w:cs="Arial" w:eastAsia="Arial" w:hAnsi="Arial"/>
                <w:sz w:val="16"/>
                <w:szCs w:val="16"/>
                <w:b w:val="1"/>
                <w:bCs w:val="1"/>
                <w:color w:val="auto"/>
              </w:rPr>
              <w:t xml:space="preserve">Accretion of value included in net income </w:t>
            </w:r>
            <w:r>
              <w:rPr>
                <w:rFonts w:ascii="Arial" w:cs="Arial" w:eastAsia="Arial" w:hAnsi="Arial"/>
                <w:sz w:val="21"/>
                <w:szCs w:val="21"/>
                <w:b w:val="1"/>
                <w:bCs w:val="1"/>
                <w:color w:val="auto"/>
                <w:vertAlign w:val="superscript"/>
              </w:rPr>
              <w:t>(1)</w:t>
            </w:r>
          </w:p>
        </w:tc>
        <w:tc>
          <w:tcPr>
            <w:tcW w:w="200" w:type="dxa"/>
            <w:vAlign w:val="bottom"/>
          </w:tcPr>
          <w:p>
            <w:pPr>
              <w:spacing w:after="0"/>
              <w:rPr>
                <w:sz w:val="20"/>
                <w:szCs w:val="20"/>
                <w:color w:val="auto"/>
              </w:rPr>
            </w:pPr>
          </w:p>
        </w:tc>
        <w:tc>
          <w:tcPr>
            <w:tcW w:w="2120" w:type="dxa"/>
            <w:vAlign w:val="bottom"/>
          </w:tcPr>
          <w:p>
            <w:pPr>
              <w:jc w:val="right"/>
              <w:ind w:right="22"/>
              <w:spacing w:after="0"/>
              <w:rPr>
                <w:sz w:val="20"/>
                <w:szCs w:val="20"/>
                <w:color w:val="auto"/>
              </w:rPr>
            </w:pPr>
            <w:r>
              <w:rPr>
                <w:rFonts w:ascii="Arial" w:cs="Arial" w:eastAsia="Arial" w:hAnsi="Arial"/>
                <w:sz w:val="16"/>
                <w:szCs w:val="16"/>
                <w:b w:val="1"/>
                <w:bCs w:val="1"/>
                <w:color w:val="auto"/>
              </w:rPr>
              <w:t>46</w:t>
            </w:r>
          </w:p>
        </w:tc>
        <w:tc>
          <w:tcPr>
            <w:tcW w:w="300" w:type="dxa"/>
            <w:vAlign w:val="bottom"/>
          </w:tcPr>
          <w:p>
            <w:pPr>
              <w:spacing w:after="0"/>
              <w:rPr>
                <w:sz w:val="20"/>
                <w:szCs w:val="20"/>
                <w:color w:val="auto"/>
              </w:rPr>
            </w:pPr>
          </w:p>
        </w:tc>
        <w:tc>
          <w:tcPr>
            <w:tcW w:w="2080" w:type="dxa"/>
            <w:vAlign w:val="bottom"/>
          </w:tcPr>
          <w:p>
            <w:pPr>
              <w:jc w:val="right"/>
              <w:ind w:right="2"/>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23"/>
        </w:trPr>
        <w:tc>
          <w:tcPr>
            <w:tcW w:w="6540" w:type="dxa"/>
            <w:vAlign w:val="bottom"/>
          </w:tcPr>
          <w:p>
            <w:pPr>
              <w:ind w:left="20"/>
              <w:spacing w:after="0"/>
              <w:rPr>
                <w:sz w:val="20"/>
                <w:szCs w:val="20"/>
                <w:color w:val="auto"/>
              </w:rPr>
            </w:pPr>
            <w:r>
              <w:rPr>
                <w:rFonts w:ascii="Arial" w:cs="Arial" w:eastAsia="Arial" w:hAnsi="Arial"/>
                <w:sz w:val="16"/>
                <w:szCs w:val="16"/>
                <w:b w:val="1"/>
                <w:bCs w:val="1"/>
                <w:color w:val="auto"/>
              </w:rPr>
              <w:t>Settlements or distributions</w:t>
            </w:r>
          </w:p>
        </w:tc>
        <w:tc>
          <w:tcPr>
            <w:tcW w:w="200" w:type="dxa"/>
            <w:vAlign w:val="bottom"/>
          </w:tcPr>
          <w:p>
            <w:pPr>
              <w:spacing w:after="0"/>
              <w:rPr>
                <w:sz w:val="19"/>
                <w:szCs w:val="19"/>
                <w:color w:val="auto"/>
              </w:rPr>
            </w:pPr>
          </w:p>
        </w:tc>
        <w:tc>
          <w:tcPr>
            <w:tcW w:w="2120" w:type="dxa"/>
            <w:vAlign w:val="bottom"/>
          </w:tcPr>
          <w:p>
            <w:pPr>
              <w:jc w:val="right"/>
              <w:ind w:right="22"/>
              <w:spacing w:after="0"/>
              <w:rPr>
                <w:sz w:val="20"/>
                <w:szCs w:val="20"/>
                <w:color w:val="auto"/>
              </w:rPr>
            </w:pPr>
            <w:r>
              <w:rPr>
                <w:rFonts w:ascii="Arial" w:cs="Arial" w:eastAsia="Arial" w:hAnsi="Arial"/>
                <w:sz w:val="16"/>
                <w:szCs w:val="16"/>
                <w:b w:val="1"/>
                <w:bCs w:val="1"/>
                <w:color w:val="auto"/>
              </w:rPr>
              <w:t>—</w:t>
            </w:r>
          </w:p>
        </w:tc>
        <w:tc>
          <w:tcPr>
            <w:tcW w:w="300" w:type="dxa"/>
            <w:vAlign w:val="bottom"/>
          </w:tcPr>
          <w:p>
            <w:pPr>
              <w:spacing w:after="0"/>
              <w:rPr>
                <w:sz w:val="19"/>
                <w:szCs w:val="19"/>
                <w:color w:val="auto"/>
              </w:rPr>
            </w:pPr>
          </w:p>
        </w:tc>
        <w:tc>
          <w:tcPr>
            <w:tcW w:w="2080" w:type="dxa"/>
            <w:vAlign w:val="bottom"/>
          </w:tcPr>
          <w:p>
            <w:pPr>
              <w:jc w:val="right"/>
              <w:spacing w:after="0"/>
              <w:rPr>
                <w:sz w:val="20"/>
                <w:szCs w:val="20"/>
                <w:color w:val="auto"/>
              </w:rPr>
            </w:pPr>
            <w:r>
              <w:rPr>
                <w:rFonts w:ascii="Arial" w:cs="Arial" w:eastAsia="Arial" w:hAnsi="Arial"/>
                <w:sz w:val="16"/>
                <w:szCs w:val="16"/>
                <w:b w:val="1"/>
                <w:bCs w:val="1"/>
                <w:color w:val="auto"/>
              </w:rPr>
              <w:t>(205,315)</w:t>
            </w:r>
          </w:p>
        </w:tc>
        <w:tc>
          <w:tcPr>
            <w:tcW w:w="0" w:type="dxa"/>
            <w:vAlign w:val="bottom"/>
          </w:tcPr>
          <w:p>
            <w:pPr>
              <w:spacing w:after="0"/>
              <w:rPr>
                <w:sz w:val="1"/>
                <w:szCs w:val="1"/>
                <w:color w:val="auto"/>
              </w:rPr>
            </w:pPr>
          </w:p>
        </w:tc>
      </w:tr>
      <w:tr>
        <w:trPr>
          <w:trHeight w:val="233"/>
        </w:trPr>
        <w:tc>
          <w:tcPr>
            <w:tcW w:w="6540" w:type="dxa"/>
            <w:vAlign w:val="bottom"/>
          </w:tcPr>
          <w:p>
            <w:pPr>
              <w:ind w:left="20"/>
              <w:spacing w:after="0"/>
              <w:rPr>
                <w:sz w:val="20"/>
                <w:szCs w:val="20"/>
                <w:color w:val="auto"/>
              </w:rPr>
            </w:pPr>
            <w:r>
              <w:rPr>
                <w:rFonts w:ascii="Arial" w:cs="Arial" w:eastAsia="Arial" w:hAnsi="Arial"/>
                <w:sz w:val="16"/>
                <w:szCs w:val="16"/>
                <w:b w:val="1"/>
                <w:bCs w:val="1"/>
                <w:color w:val="auto"/>
              </w:rPr>
              <w:t>Foreign currency exchange rate changes</w:t>
            </w:r>
          </w:p>
        </w:tc>
        <w:tc>
          <w:tcPr>
            <w:tcW w:w="20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b w:val="1"/>
                <w:bCs w:val="1"/>
                <w:color w:val="auto"/>
              </w:rPr>
              <w:t>20</w:t>
            </w:r>
          </w:p>
        </w:tc>
        <w:tc>
          <w:tcPr>
            <w:tcW w:w="30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27"/>
        </w:trPr>
        <w:tc>
          <w:tcPr>
            <w:tcW w:w="6540" w:type="dxa"/>
            <w:vAlign w:val="bottom"/>
          </w:tcPr>
          <w:p>
            <w:pPr>
              <w:ind w:left="20"/>
              <w:spacing w:after="0"/>
              <w:rPr>
                <w:sz w:val="20"/>
                <w:szCs w:val="20"/>
                <w:color w:val="auto"/>
              </w:rPr>
            </w:pPr>
            <w:r>
              <w:rPr>
                <w:rFonts w:ascii="Arial" w:cs="Arial" w:eastAsia="Arial" w:hAnsi="Arial"/>
                <w:sz w:val="16"/>
                <w:szCs w:val="16"/>
                <w:b w:val="1"/>
                <w:bCs w:val="1"/>
                <w:color w:val="auto"/>
              </w:rPr>
              <w:t>As of March 31, 2025</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212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b w:val="1"/>
                <w:bCs w:val="1"/>
                <w:color w:val="auto"/>
              </w:rPr>
              <w:t>1,485</w:t>
            </w:r>
          </w:p>
        </w:tc>
        <w:tc>
          <w:tcPr>
            <w:tcW w:w="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20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20,720</w:t>
            </w: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43"/>
        </w:trPr>
        <w:tc>
          <w:tcPr>
            <w:tcW w:w="6540" w:type="dxa"/>
            <w:vAlign w:val="bottom"/>
            <w:vMerge w:val="restart"/>
          </w:tcPr>
          <w:p>
            <w:pPr>
              <w:ind w:left="20"/>
              <w:spacing w:after="0"/>
              <w:rPr>
                <w:sz w:val="20"/>
                <w:szCs w:val="20"/>
                <w:color w:val="auto"/>
              </w:rPr>
            </w:pPr>
            <w:r>
              <w:rPr>
                <w:rFonts w:ascii="Arial" w:cs="Arial" w:eastAsia="Arial" w:hAnsi="Arial"/>
                <w:sz w:val="14"/>
                <w:szCs w:val="14"/>
                <w:color w:val="auto"/>
              </w:rPr>
              <w:t>(in thousands)</w:t>
            </w:r>
          </w:p>
        </w:tc>
        <w:tc>
          <w:tcPr>
            <w:tcW w:w="200" w:type="dxa"/>
            <w:vAlign w:val="bottom"/>
          </w:tcPr>
          <w:p>
            <w:pPr>
              <w:spacing w:after="0"/>
              <w:rPr>
                <w:sz w:val="24"/>
                <w:szCs w:val="24"/>
                <w:color w:val="auto"/>
              </w:rPr>
            </w:pPr>
          </w:p>
        </w:tc>
        <w:tc>
          <w:tcPr>
            <w:tcW w:w="2120" w:type="dxa"/>
            <w:vAlign w:val="bottom"/>
          </w:tcPr>
          <w:p>
            <w:pPr>
              <w:jc w:val="center"/>
              <w:ind w:right="142"/>
              <w:spacing w:after="0"/>
              <w:rPr>
                <w:sz w:val="20"/>
                <w:szCs w:val="20"/>
                <w:color w:val="auto"/>
              </w:rPr>
            </w:pPr>
            <w:r>
              <w:rPr>
                <w:rFonts w:ascii="Arial" w:cs="Arial" w:eastAsia="Arial" w:hAnsi="Arial"/>
                <w:sz w:val="14"/>
                <w:szCs w:val="14"/>
                <w:b w:val="1"/>
                <w:bCs w:val="1"/>
                <w:color w:val="auto"/>
              </w:rPr>
              <w:t>Contingent consideration</w:t>
            </w:r>
          </w:p>
        </w:tc>
        <w:tc>
          <w:tcPr>
            <w:tcW w:w="300" w:type="dxa"/>
            <w:vAlign w:val="bottom"/>
          </w:tcPr>
          <w:p>
            <w:pPr>
              <w:spacing w:after="0"/>
              <w:rPr>
                <w:sz w:val="24"/>
                <w:szCs w:val="24"/>
                <w:color w:val="auto"/>
              </w:rPr>
            </w:pPr>
          </w:p>
        </w:tc>
        <w:tc>
          <w:tcPr>
            <w:tcW w:w="2080" w:type="dxa"/>
            <w:vAlign w:val="bottom"/>
          </w:tcPr>
          <w:p>
            <w:pPr>
              <w:jc w:val="center"/>
              <w:ind w:right="142"/>
              <w:spacing w:after="0"/>
              <w:rPr>
                <w:sz w:val="20"/>
                <w:szCs w:val="20"/>
                <w:color w:val="auto"/>
              </w:rPr>
            </w:pPr>
            <w:r>
              <w:rPr>
                <w:rFonts w:ascii="Arial" w:cs="Arial" w:eastAsia="Arial" w:hAnsi="Arial"/>
                <w:sz w:val="14"/>
                <w:szCs w:val="14"/>
                <w:b w:val="1"/>
                <w:bCs w:val="1"/>
                <w:color w:val="auto"/>
              </w:rPr>
              <w:t>Mandatorily redeemable</w:t>
            </w:r>
          </w:p>
        </w:tc>
        <w:tc>
          <w:tcPr>
            <w:tcW w:w="0" w:type="dxa"/>
            <w:vAlign w:val="bottom"/>
          </w:tcPr>
          <w:p>
            <w:pPr>
              <w:spacing w:after="0"/>
              <w:rPr>
                <w:sz w:val="1"/>
                <w:szCs w:val="1"/>
                <w:color w:val="auto"/>
              </w:rPr>
            </w:pPr>
          </w:p>
        </w:tc>
      </w:tr>
      <w:tr>
        <w:trPr>
          <w:trHeight w:val="196"/>
        </w:trPr>
        <w:tc>
          <w:tcPr>
            <w:tcW w:w="654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2120" w:type="dxa"/>
            <w:vAlign w:val="bottom"/>
          </w:tcPr>
          <w:p>
            <w:pPr>
              <w:jc w:val="center"/>
              <w:ind w:right="142"/>
              <w:spacing w:after="0"/>
              <w:rPr>
                <w:sz w:val="20"/>
                <w:szCs w:val="20"/>
                <w:color w:val="auto"/>
              </w:rPr>
            </w:pPr>
            <w:r>
              <w:rPr>
                <w:rFonts w:ascii="Arial" w:cs="Arial" w:eastAsia="Arial" w:hAnsi="Arial"/>
                <w:sz w:val="14"/>
                <w:szCs w:val="14"/>
                <w:b w:val="1"/>
                <w:bCs w:val="1"/>
                <w:color w:val="auto"/>
              </w:rPr>
              <w:t>liabilities</w:t>
            </w:r>
          </w:p>
        </w:tc>
        <w:tc>
          <w:tcPr>
            <w:tcW w:w="300" w:type="dxa"/>
            <w:vAlign w:val="bottom"/>
          </w:tcPr>
          <w:p>
            <w:pPr>
              <w:spacing w:after="0"/>
              <w:rPr>
                <w:sz w:val="17"/>
                <w:szCs w:val="17"/>
                <w:color w:val="auto"/>
              </w:rPr>
            </w:pPr>
          </w:p>
        </w:tc>
        <w:tc>
          <w:tcPr>
            <w:tcW w:w="2080" w:type="dxa"/>
            <w:vAlign w:val="bottom"/>
          </w:tcPr>
          <w:p>
            <w:pPr>
              <w:jc w:val="center"/>
              <w:ind w:right="142"/>
              <w:spacing w:after="0"/>
              <w:rPr>
                <w:sz w:val="20"/>
                <w:szCs w:val="20"/>
                <w:color w:val="auto"/>
              </w:rPr>
            </w:pPr>
            <w:r>
              <w:rPr>
                <w:rFonts w:ascii="Arial" w:cs="Arial" w:eastAsia="Arial" w:hAnsi="Arial"/>
                <w:sz w:val="14"/>
                <w:szCs w:val="14"/>
                <w:b w:val="1"/>
                <w:bCs w:val="1"/>
                <w:color w:val="auto"/>
              </w:rPr>
              <w:t>noncontrolling interest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p>
      <w:pPr>
        <w:spacing w:after="0" w:line="15" w:lineRule="exact"/>
        <w:rPr>
          <w:sz w:val="20"/>
          <w:szCs w:val="20"/>
          <w:color w:val="auto"/>
        </w:rPr>
      </w:pPr>
    </w:p>
    <w:p>
      <w:pPr>
        <w:ind w:left="20"/>
        <w:spacing w:after="0"/>
        <w:rPr>
          <w:sz w:val="20"/>
          <w:szCs w:val="20"/>
          <w:color w:val="auto"/>
        </w:rPr>
      </w:pPr>
      <w:r>
        <w:rPr>
          <w:rFonts w:ascii="Arial" w:cs="Arial" w:eastAsia="Arial" w:hAnsi="Arial"/>
          <w:sz w:val="16"/>
          <w:szCs w:val="16"/>
          <w:color w:val="auto"/>
        </w:rPr>
        <w:t>As of December 31, 2023</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 xml:space="preserve">Changes in fair value </w:t>
      </w:r>
      <w:r>
        <w:rPr>
          <w:rFonts w:ascii="Arial" w:cs="Arial" w:eastAsia="Arial" w:hAnsi="Arial"/>
          <w:sz w:val="21"/>
          <w:szCs w:val="21"/>
          <w:color w:val="auto"/>
          <w:vertAlign w:val="superscript"/>
        </w:rPr>
        <w:t>(1)</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5"/>
          <w:szCs w:val="15"/>
          <w:color w:val="auto"/>
        </w:rPr>
        <w:t xml:space="preserve">Accretion of value included in net income </w:t>
      </w:r>
      <w:r>
        <w:rPr>
          <w:rFonts w:ascii="Arial" w:cs="Arial" w:eastAsia="Arial" w:hAnsi="Arial"/>
          <w:sz w:val="20"/>
          <w:szCs w:val="20"/>
          <w:color w:val="auto"/>
          <w:vertAlign w:val="superscript"/>
        </w:rPr>
        <w:t>(1)</w:t>
      </w:r>
    </w:p>
    <w:p>
      <w:pPr>
        <w:spacing w:after="0" w:line="2" w:lineRule="exact"/>
        <w:rPr>
          <w:sz w:val="20"/>
          <w:szCs w:val="20"/>
          <w:color w:val="auto"/>
        </w:rPr>
      </w:pPr>
    </w:p>
    <w:p>
      <w:pPr>
        <w:ind w:left="20"/>
        <w:spacing w:after="0"/>
        <w:rPr>
          <w:sz w:val="20"/>
          <w:szCs w:val="20"/>
          <w:color w:val="auto"/>
        </w:rPr>
      </w:pPr>
      <w:r>
        <w:rPr>
          <w:rFonts w:ascii="Arial" w:cs="Arial" w:eastAsia="Arial" w:hAnsi="Arial"/>
          <w:sz w:val="16"/>
          <w:szCs w:val="16"/>
          <w:color w:val="auto"/>
        </w:rPr>
        <w:t>Settlements or distributions</w:t>
      </w:r>
    </w:p>
    <w:p>
      <w:pPr>
        <w:spacing w:after="0" w:line="70" w:lineRule="exact"/>
        <w:rPr>
          <w:sz w:val="20"/>
          <w:szCs w:val="20"/>
          <w:color w:val="auto"/>
        </w:rPr>
      </w:pPr>
    </w:p>
    <w:p>
      <w:pPr>
        <w:ind w:left="20"/>
        <w:spacing w:after="0"/>
        <w:rPr>
          <w:sz w:val="20"/>
          <w:szCs w:val="20"/>
          <w:color w:val="auto"/>
        </w:rPr>
      </w:pPr>
      <w:r>
        <w:rPr>
          <w:rFonts w:ascii="Arial" w:cs="Arial" w:eastAsia="Arial" w:hAnsi="Arial"/>
          <w:sz w:val="16"/>
          <w:szCs w:val="16"/>
          <w:color w:val="auto"/>
        </w:rPr>
        <w:t>As of March 31, 2024</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5"/>
        </w:trPr>
        <w:tc>
          <w:tcPr>
            <w:tcW w:w="1000" w:type="dxa"/>
            <w:vAlign w:val="bottom"/>
          </w:tcPr>
          <w:p>
            <w:pPr>
              <w:jc w:val="right"/>
              <w:ind w:right="799"/>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788</w:t>
            </w:r>
          </w:p>
        </w:tc>
        <w:tc>
          <w:tcPr>
            <w:tcW w:w="980" w:type="dxa"/>
            <w:vAlign w:val="bottom"/>
          </w:tcPr>
          <w:p>
            <w:pPr>
              <w:jc w:val="right"/>
              <w:ind w:right="719"/>
              <w:spacing w:after="0"/>
              <w:rPr>
                <w:sz w:val="20"/>
                <w:szCs w:val="20"/>
                <w:color w:val="auto"/>
              </w:rPr>
            </w:pPr>
            <w:r>
              <w:rPr>
                <w:rFonts w:ascii="Arial" w:cs="Arial" w:eastAsia="Arial" w:hAnsi="Arial"/>
                <w:sz w:val="16"/>
                <w:szCs w:val="16"/>
                <w:color w:val="auto"/>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40,764</w:t>
            </w:r>
          </w:p>
        </w:tc>
      </w:tr>
      <w:tr>
        <w:trPr>
          <w:trHeight w:val="230"/>
        </w:trPr>
        <w:tc>
          <w:tcPr>
            <w:tcW w:w="1000" w:type="dxa"/>
            <w:vAlign w:val="bottom"/>
          </w:tcPr>
          <w:p>
            <w:pPr>
              <w:spacing w:after="0"/>
              <w:rPr>
                <w:sz w:val="19"/>
                <w:szCs w:val="19"/>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1,876</w:t>
            </w:r>
          </w:p>
        </w:tc>
      </w:tr>
      <w:tr>
        <w:trPr>
          <w:trHeight w:val="229"/>
        </w:trPr>
        <w:tc>
          <w:tcPr>
            <w:tcW w:w="1000" w:type="dxa"/>
            <w:vAlign w:val="bottom"/>
          </w:tcPr>
          <w:p>
            <w:pPr>
              <w:spacing w:after="0"/>
              <w:rPr>
                <w:sz w:val="19"/>
                <w:szCs w:val="19"/>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6</w:t>
            </w:r>
          </w:p>
        </w:tc>
        <w:tc>
          <w:tcPr>
            <w:tcW w:w="9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39"/>
        </w:trPr>
        <w:tc>
          <w:tcPr>
            <w:tcW w:w="10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(719)</w:t>
            </w:r>
          </w:p>
        </w:tc>
        <w:tc>
          <w:tcPr>
            <w:tcW w:w="9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w:t>
            </w:r>
          </w:p>
        </w:tc>
      </w:tr>
      <w:tr>
        <w:trPr>
          <w:trHeight w:val="223"/>
        </w:trPr>
        <w:tc>
          <w:tcPr>
            <w:tcW w:w="1000" w:type="dxa"/>
            <w:vAlign w:val="bottom"/>
            <w:tcBorders>
              <w:bottom w:val="single" w:sz="8" w:color="auto"/>
            </w:tcBorders>
          </w:tcPr>
          <w:p>
            <w:pPr>
              <w:jc w:val="right"/>
              <w:ind w:right="79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75</w:t>
            </w:r>
          </w:p>
        </w:tc>
        <w:tc>
          <w:tcPr>
            <w:tcW w:w="980" w:type="dxa"/>
            <w:vAlign w:val="bottom"/>
            <w:tcBorders>
              <w:bottom w:val="single" w:sz="8" w:color="auto"/>
            </w:tcBorders>
          </w:tcPr>
          <w:p>
            <w:pPr>
              <w:jc w:val="right"/>
              <w:ind w:right="71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42,549</w:t>
            </w:r>
          </w:p>
        </w:tc>
      </w:tr>
      <w:tr>
        <w:trPr>
          <w:trHeight w:val="27"/>
        </w:trPr>
        <w:tc>
          <w:tcPr>
            <w:tcW w:w="10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bl>
    <w:p>
      <w:pPr>
        <w:spacing w:after="0" w:line="72" w:lineRule="exact"/>
        <w:rPr>
          <w:sz w:val="20"/>
          <w:szCs w:val="20"/>
          <w:color w:val="auto"/>
        </w:rPr>
      </w:pPr>
    </w:p>
    <w:p>
      <w:pPr>
        <w:sectPr>
          <w:pgSz w:w="11900" w:h="16838" w:orient="portrait"/>
          <w:cols w:equalWidth="0" w:num="2">
            <w:col w:w="5820" w:space="720"/>
            <w:col w:w="4700"/>
          </w:cols>
          <w:pgMar w:left="320" w:top="931" w:right="339" w:bottom="1440" w:gutter="0" w:footer="0" w:header="0"/>
          <w:type w:val="continuous"/>
        </w:sectPr>
      </w:pPr>
    </w:p>
    <w:p>
      <w:pPr>
        <w:spacing w:after="0"/>
        <w:rPr>
          <w:sz w:val="20"/>
          <w:szCs w:val="20"/>
          <w:color w:val="auto"/>
        </w:rPr>
      </w:pPr>
      <w:r>
        <w:rPr>
          <w:rFonts w:ascii="Arial" w:cs="Arial" w:eastAsia="Arial" w:hAnsi="Arial"/>
          <w:sz w:val="14"/>
          <w:szCs w:val="14"/>
          <w:color w:val="auto"/>
        </w:rPr>
        <w:t>____________</w:t>
      </w:r>
    </w:p>
    <w:p>
      <w:pPr>
        <w:spacing w:after="0" w:line="96" w:lineRule="exact"/>
        <w:rPr>
          <w:sz w:val="20"/>
          <w:szCs w:val="20"/>
          <w:color w:val="auto"/>
        </w:rPr>
      </w:pPr>
    </w:p>
    <w:p>
      <w:pPr>
        <w:ind w:left="360" w:right="360" w:hanging="334"/>
        <w:spacing w:after="0" w:line="285" w:lineRule="auto"/>
        <w:tabs>
          <w:tab w:leader="none" w:pos="360" w:val="left"/>
        </w:tabs>
        <w:numPr>
          <w:ilvl w:val="0"/>
          <w:numId w:val="11"/>
        </w:numPr>
        <w:rPr>
          <w:rFonts w:ascii="Arial" w:cs="Arial" w:eastAsia="Arial" w:hAnsi="Arial"/>
          <w:sz w:val="14"/>
          <w:szCs w:val="14"/>
          <w:color w:val="auto"/>
        </w:rPr>
      </w:pPr>
      <w:r>
        <w:rPr>
          <w:rFonts w:ascii="Arial" w:cs="Arial" w:eastAsia="Arial" w:hAnsi="Arial"/>
          <w:sz w:val="14"/>
          <w:szCs w:val="14"/>
          <w:color w:val="auto"/>
        </w:rPr>
        <w:t>Changes in fair value and accretion of value of contingent consideration liabilities are included in Selling, general and administrative expenses and the changes in fair value of mandatorily redeemable noncontrolling interest is included in Interest expense in the Company’s Condensed Consolidated Statements of Operations.</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Mandatorily Redeemable Noncontrolling Interest. </w:t>
      </w:r>
      <w:r>
        <w:rPr>
          <w:rFonts w:ascii="Arial" w:cs="Arial" w:eastAsia="Arial" w:hAnsi="Arial"/>
          <w:sz w:val="17"/>
          <w:szCs w:val="17"/>
          <w:color w:val="auto"/>
        </w:rPr>
        <w:t>The mandatorily redeemable noncontrolling interest represents the ownership portion of</w:t>
      </w:r>
    </w:p>
    <w:p>
      <w:pPr>
        <w:spacing w:after="0" w:line="25" w:lineRule="exact"/>
        <w:rPr>
          <w:sz w:val="20"/>
          <w:szCs w:val="20"/>
          <w:color w:val="auto"/>
        </w:rPr>
      </w:pPr>
    </w:p>
    <w:p>
      <w:pPr>
        <w:ind w:right="20"/>
        <w:spacing w:after="0" w:line="226" w:lineRule="auto"/>
        <w:rPr>
          <w:sz w:val="20"/>
          <w:szCs w:val="20"/>
          <w:color w:val="auto"/>
        </w:rPr>
      </w:pPr>
      <w:r>
        <w:rPr>
          <w:rFonts w:ascii="Arial" w:cs="Arial" w:eastAsia="Arial" w:hAnsi="Arial"/>
          <w:sz w:val="18"/>
          <w:szCs w:val="18"/>
          <w:color w:val="auto"/>
        </w:rPr>
        <w:t>a group of minority shareholders, consisting of a group of senior managers of the healthcare business, in subsidiaries of GHG. The Company established GHC One and GHC Two as vehicles to invest in a portfolio of healthcare businesses together with the group of senior managers</w:t>
      </w:r>
    </w:p>
    <w:p>
      <w:pPr>
        <w:spacing w:after="0" w:line="236" w:lineRule="auto"/>
        <w:rPr>
          <w:sz w:val="20"/>
          <w:szCs w:val="20"/>
          <w:color w:val="auto"/>
        </w:rPr>
      </w:pPr>
      <w:r>
        <w:rPr>
          <w:rFonts w:ascii="Arial" w:cs="Arial" w:eastAsia="Arial" w:hAnsi="Arial"/>
          <w:sz w:val="18"/>
          <w:szCs w:val="18"/>
          <w:color w:val="auto"/>
        </w:rPr>
        <w:t>of GHG. As the holder of preferred units, the Company is obligated to contribute 95% of the capital required for the acquisition of portfolio</w:t>
      </w:r>
    </w:p>
    <w:p>
      <w:pPr>
        <w:spacing w:after="0" w:line="1" w:lineRule="exact"/>
        <w:rPr>
          <w:sz w:val="20"/>
          <w:szCs w:val="20"/>
          <w:color w:val="auto"/>
        </w:rPr>
      </w:pPr>
    </w:p>
    <w:p>
      <w:pPr>
        <w:ind w:right="340"/>
        <w:spacing w:after="0" w:line="226" w:lineRule="auto"/>
        <w:rPr>
          <w:sz w:val="20"/>
          <w:szCs w:val="20"/>
          <w:color w:val="auto"/>
        </w:rPr>
      </w:pPr>
      <w:r>
        <w:rPr>
          <w:rFonts w:ascii="Arial" w:cs="Arial" w:eastAsia="Arial" w:hAnsi="Arial"/>
          <w:sz w:val="18"/>
          <w:szCs w:val="18"/>
          <w:color w:val="auto"/>
        </w:rPr>
        <w:t>investments with the remaining 5% of the capital coming from the group of senior managers. The operating agreements of GHC One and GHC Two require the dissolution of the entities on March 31, 2026, and March 31, 2029, respectively, at which time the net assets will be</w:t>
      </w:r>
    </w:p>
    <w:p>
      <w:pPr>
        <w:spacing w:after="0" w:line="236" w:lineRule="auto"/>
        <w:rPr>
          <w:sz w:val="20"/>
          <w:szCs w:val="20"/>
          <w:color w:val="auto"/>
        </w:rPr>
      </w:pPr>
      <w:r>
        <w:rPr>
          <w:rFonts w:ascii="Arial" w:cs="Arial" w:eastAsia="Arial" w:hAnsi="Arial"/>
          <w:sz w:val="18"/>
          <w:szCs w:val="18"/>
          <w:color w:val="auto"/>
        </w:rPr>
        <w:t>distributed to its members. As a preferred unit holder, the Company will receive an amount up to its contributed capital plus a preferred</w:t>
      </w:r>
    </w:p>
    <w:p>
      <w:pPr>
        <w:spacing w:after="0" w:line="1" w:lineRule="exact"/>
        <w:rPr>
          <w:sz w:val="20"/>
          <w:szCs w:val="20"/>
          <w:color w:val="auto"/>
        </w:rPr>
      </w:pPr>
    </w:p>
    <w:p>
      <w:pPr>
        <w:ind w:right="320"/>
        <w:spacing w:after="0" w:line="226" w:lineRule="auto"/>
        <w:rPr>
          <w:sz w:val="20"/>
          <w:szCs w:val="20"/>
          <w:color w:val="auto"/>
        </w:rPr>
      </w:pPr>
      <w:r>
        <w:rPr>
          <w:rFonts w:ascii="Arial" w:cs="Arial" w:eastAsia="Arial" w:hAnsi="Arial"/>
          <w:sz w:val="18"/>
          <w:szCs w:val="18"/>
          <w:color w:val="auto"/>
        </w:rPr>
        <w:t>annual return of 8% (guaranteed return) after the group of senior managers has received the redemption of their 5% interest in net assets (manager return). All distributions in excess of the manager and guaranteed return will be paid to common unit holders, which currently</w:t>
      </w:r>
    </w:p>
    <w:p>
      <w:pPr>
        <w:spacing w:after="0" w:line="236" w:lineRule="auto"/>
        <w:rPr>
          <w:sz w:val="20"/>
          <w:szCs w:val="20"/>
          <w:color w:val="auto"/>
        </w:rPr>
      </w:pPr>
      <w:r>
        <w:rPr>
          <w:rFonts w:ascii="Arial" w:cs="Arial" w:eastAsia="Arial" w:hAnsi="Arial"/>
          <w:sz w:val="18"/>
          <w:szCs w:val="18"/>
          <w:color w:val="auto"/>
        </w:rPr>
        <w:t>comprise the group of senior managers of GHG. The Company may convert its preferred units to common units at any time after which it will</w:t>
      </w:r>
    </w:p>
    <w:p>
      <w:pPr>
        <w:spacing w:after="0" w:line="1" w:lineRule="exact"/>
        <w:rPr>
          <w:sz w:val="20"/>
          <w:szCs w:val="20"/>
          <w:color w:val="auto"/>
        </w:rPr>
      </w:pPr>
    </w:p>
    <w:p>
      <w:pPr>
        <w:ind w:right="60"/>
        <w:spacing w:after="0" w:line="226" w:lineRule="auto"/>
        <w:rPr>
          <w:sz w:val="20"/>
          <w:szCs w:val="20"/>
          <w:color w:val="auto"/>
        </w:rPr>
      </w:pPr>
      <w:r>
        <w:rPr>
          <w:rFonts w:ascii="Arial" w:cs="Arial" w:eastAsia="Arial" w:hAnsi="Arial"/>
          <w:sz w:val="18"/>
          <w:szCs w:val="18"/>
          <w:color w:val="auto"/>
        </w:rPr>
        <w:t>receive 80% of all distributions in excess of the manager return, with the remaining 20% of excess distributions going to the group of senior managers as holders of the other common units. The mandatorily redeemable noncontrolling interest is reported as a current and noncurrent</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liability at March 31, 2025 and a noncurrent liability at December 31, 2024 in the Condensed Consolidated Balance Sheets.</w:t>
      </w:r>
    </w:p>
    <w:p>
      <w:pPr>
        <w:spacing w:after="0" w:line="140"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b w:val="1"/>
          <w:bCs w:val="1"/>
          <w:color w:val="auto"/>
        </w:rPr>
        <w:t xml:space="preserve">Other. </w:t>
      </w:r>
      <w:r>
        <w:rPr>
          <w:rFonts w:ascii="Arial" w:cs="Arial" w:eastAsia="Arial" w:hAnsi="Arial"/>
          <w:sz w:val="18"/>
          <w:szCs w:val="18"/>
          <w:color w:val="auto"/>
        </w:rPr>
        <w:t>During the three months ended March 31, 2024, the Company recorded impairment losses of $0.4 million to equity securities that are</w:t>
      </w:r>
      <w:r>
        <w:rPr>
          <w:rFonts w:ascii="Arial" w:cs="Arial" w:eastAsia="Arial" w:hAnsi="Arial"/>
          <w:sz w:val="18"/>
          <w:szCs w:val="18"/>
          <w:b w:val="1"/>
          <w:bCs w:val="1"/>
          <w:color w:val="auto"/>
        </w:rPr>
        <w:t xml:space="preserve"> </w:t>
      </w:r>
      <w:r>
        <w:rPr>
          <w:rFonts w:ascii="Arial" w:cs="Arial" w:eastAsia="Arial" w:hAnsi="Arial"/>
          <w:sz w:val="18"/>
          <w:szCs w:val="18"/>
          <w:color w:val="auto"/>
        </w:rPr>
        <w:t>accounted for as cost method investments.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REVENUE FROM CONTRACTS WITH CUSTOMERS</w:t>
      </w:r>
    </w:p>
    <w:p>
      <w:pPr>
        <w:spacing w:after="0" w:line="158" w:lineRule="exact"/>
        <w:rPr>
          <w:sz w:val="20"/>
          <w:szCs w:val="20"/>
          <w:color w:val="auto"/>
        </w:rPr>
      </w:pPr>
    </w:p>
    <w:p>
      <w:pPr>
        <w:ind w:right="280"/>
        <w:spacing w:after="0" w:line="256" w:lineRule="auto"/>
        <w:rPr>
          <w:sz w:val="20"/>
          <w:szCs w:val="20"/>
          <w:color w:val="auto"/>
        </w:rPr>
      </w:pPr>
      <w:r>
        <w:rPr>
          <w:rFonts w:ascii="Arial" w:cs="Arial" w:eastAsia="Arial" w:hAnsi="Arial"/>
          <w:sz w:val="18"/>
          <w:szCs w:val="18"/>
          <w:color w:val="auto"/>
        </w:rPr>
        <w:t>The Company generated 78% of its revenue from U.S. domestic sales for each of the three months ended March 31, 2025 and 2024. The remaining 22% of revenue was generated from non-U.S. sales for each of the three months ended March 31, 2025 and 2024.</w:t>
      </w:r>
    </w:p>
    <w:p>
      <w:pPr>
        <w:spacing w:after="0" w:line="112" w:lineRule="exact"/>
        <w:rPr>
          <w:sz w:val="20"/>
          <w:szCs w:val="20"/>
          <w:color w:val="auto"/>
        </w:rPr>
      </w:pPr>
    </w:p>
    <w:p>
      <w:pPr>
        <w:ind w:right="500"/>
        <w:spacing w:after="0" w:line="237" w:lineRule="auto"/>
        <w:rPr>
          <w:sz w:val="20"/>
          <w:szCs w:val="20"/>
          <w:color w:val="auto"/>
        </w:rPr>
      </w:pPr>
      <w:r>
        <w:rPr>
          <w:rFonts w:ascii="Arial" w:cs="Arial" w:eastAsia="Arial" w:hAnsi="Arial"/>
          <w:sz w:val="18"/>
          <w:szCs w:val="18"/>
          <w:color w:val="auto"/>
        </w:rPr>
        <w:t>For each of the three months ended March 31, 2025 and 2024, the Company recognized 54% of its revenue over time as control of the services and goods transferred to the customer, and the remaining 46% at a point in time, when the customer obtained control of the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promised goods.</w:t>
      </w:r>
    </w:p>
    <w:p>
      <w:pPr>
        <w:spacing w:after="0" w:line="140" w:lineRule="exact"/>
        <w:rPr>
          <w:sz w:val="20"/>
          <w:szCs w:val="20"/>
          <w:color w:val="auto"/>
        </w:rPr>
      </w:pPr>
    </w:p>
    <w:p>
      <w:pPr>
        <w:ind w:right="160"/>
        <w:spacing w:after="0" w:line="237" w:lineRule="auto"/>
        <w:rPr>
          <w:sz w:val="20"/>
          <w:szCs w:val="20"/>
          <w:color w:val="auto"/>
        </w:rPr>
      </w:pPr>
      <w:r>
        <w:rPr>
          <w:rFonts w:ascii="Arial" w:cs="Arial" w:eastAsia="Arial" w:hAnsi="Arial"/>
          <w:sz w:val="18"/>
          <w:szCs w:val="18"/>
          <w:b w:val="1"/>
          <w:bCs w:val="1"/>
          <w:color w:val="auto"/>
        </w:rPr>
        <w:t xml:space="preserve">Contract Assets. </w:t>
      </w:r>
      <w:r>
        <w:rPr>
          <w:rFonts w:ascii="Arial" w:cs="Arial" w:eastAsia="Arial" w:hAnsi="Arial"/>
          <w:sz w:val="18"/>
          <w:szCs w:val="18"/>
          <w:color w:val="auto"/>
        </w:rPr>
        <w:t>As of March 31, 2025, the Company recognized a contract asset of $36.1 million related to a contract at a Kaplan</w:t>
      </w:r>
      <w:r>
        <w:rPr>
          <w:rFonts w:ascii="Arial" w:cs="Arial" w:eastAsia="Arial" w:hAnsi="Arial"/>
          <w:sz w:val="18"/>
          <w:szCs w:val="18"/>
          <w:b w:val="1"/>
          <w:bCs w:val="1"/>
          <w:color w:val="auto"/>
        </w:rPr>
        <w:t xml:space="preserve"> </w:t>
      </w:r>
      <w:r>
        <w:rPr>
          <w:rFonts w:ascii="Arial" w:cs="Arial" w:eastAsia="Arial" w:hAnsi="Arial"/>
          <w:sz w:val="18"/>
          <w:szCs w:val="18"/>
          <w:color w:val="auto"/>
        </w:rPr>
        <w:t>International business, of which $3.8 million is included in Other current assets and $32.3 million is included in Deferred Charges and Other</w:t>
      </w:r>
    </w:p>
    <w:p>
      <w:pPr>
        <w:spacing w:after="0" w:line="235" w:lineRule="auto"/>
        <w:rPr>
          <w:sz w:val="20"/>
          <w:szCs w:val="20"/>
          <w:color w:val="auto"/>
        </w:rPr>
      </w:pPr>
      <w:r>
        <w:rPr>
          <w:rFonts w:ascii="Arial" w:cs="Arial" w:eastAsia="Arial" w:hAnsi="Arial"/>
          <w:sz w:val="18"/>
          <w:szCs w:val="18"/>
          <w:color w:val="auto"/>
        </w:rPr>
        <w:t>Assets. The Company expects to recognize an additional $256.9 million related to the remaining performance obligation in the contract over</w:t>
      </w:r>
    </w:p>
    <w:p>
      <w:pPr>
        <w:spacing w:after="0" w:line="1" w:lineRule="exact"/>
        <w:rPr>
          <w:sz w:val="20"/>
          <w:szCs w:val="20"/>
          <w:color w:val="auto"/>
        </w:rPr>
      </w:pPr>
    </w:p>
    <w:p>
      <w:pPr>
        <w:ind w:right="180"/>
        <w:spacing w:after="0"/>
        <w:rPr>
          <w:sz w:val="20"/>
          <w:szCs w:val="20"/>
          <w:color w:val="auto"/>
        </w:rPr>
      </w:pPr>
      <w:r>
        <w:rPr>
          <w:rFonts w:ascii="Arial" w:cs="Arial" w:eastAsia="Arial" w:hAnsi="Arial"/>
          <w:sz w:val="17"/>
          <w:szCs w:val="17"/>
          <w:color w:val="auto"/>
        </w:rPr>
        <w:t>the next four years. As of December 31, 2024, the contract asset was $36.6 million, of which $1.9 million was included in Other current assets and $34.7 million was included in Deferred Charges and Other Assets. Additional contract assets of $2.7 million and $3.1 million are</w:t>
      </w:r>
    </w:p>
    <w:p>
      <w:pPr>
        <w:spacing w:after="0" w:line="1" w:lineRule="exact"/>
        <w:rPr>
          <w:sz w:val="20"/>
          <w:szCs w:val="20"/>
          <w:color w:val="auto"/>
        </w:rPr>
      </w:pPr>
    </w:p>
    <w:p>
      <w:pPr>
        <w:ind w:right="40"/>
        <w:spacing w:after="0" w:line="250" w:lineRule="auto"/>
        <w:rPr>
          <w:sz w:val="20"/>
          <w:szCs w:val="20"/>
          <w:color w:val="auto"/>
        </w:rPr>
      </w:pPr>
      <w:r>
        <w:rPr>
          <w:rFonts w:ascii="Arial" w:cs="Arial" w:eastAsia="Arial" w:hAnsi="Arial"/>
          <w:sz w:val="18"/>
          <w:szCs w:val="18"/>
          <w:color w:val="auto"/>
        </w:rPr>
        <w:t>included in Other current assets on the Company’s Condensed Consolidated Balance Sheets as of March 31, 2025 and December 31, 2024, respectively.</w:t>
      </w:r>
    </w:p>
    <w:p>
      <w:pPr>
        <w:sectPr>
          <w:pgSz w:w="11900" w:h="16838" w:orient="portrait"/>
          <w:cols w:equalWidth="0" w:num="1">
            <w:col w:w="11240"/>
          </w:cols>
          <w:pgMar w:left="320" w:top="931" w:right="339" w:bottom="1440" w:gutter="0" w:footer="0" w:header="0"/>
          <w:type w:val="continuous"/>
        </w:sect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175260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type w:val="continuous"/>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 xml:space="preserve">Deferred Revenue. </w:t>
      </w:r>
      <w:r>
        <w:rPr>
          <w:rFonts w:ascii="Arial" w:cs="Arial" w:eastAsia="Arial" w:hAnsi="Arial"/>
          <w:sz w:val="18"/>
          <w:szCs w:val="18"/>
          <w:color w:val="auto"/>
        </w:rPr>
        <w:t>The Company records deferred revenue when cash payments are received or due in advance of the Company’s</w:t>
      </w:r>
    </w:p>
    <w:p>
      <w:pPr>
        <w:spacing w:after="0" w:line="14" w:lineRule="exact"/>
        <w:rPr>
          <w:sz w:val="20"/>
          <w:szCs w:val="20"/>
          <w:color w:val="auto"/>
        </w:rPr>
      </w:pPr>
    </w:p>
    <w:p>
      <w:pPr>
        <w:ind w:right="140"/>
        <w:spacing w:after="0" w:line="226" w:lineRule="auto"/>
        <w:rPr>
          <w:sz w:val="20"/>
          <w:szCs w:val="20"/>
          <w:color w:val="auto"/>
        </w:rPr>
      </w:pPr>
      <w:r>
        <w:rPr>
          <w:rFonts w:ascii="Arial" w:cs="Arial" w:eastAsia="Arial" w:hAnsi="Arial"/>
          <w:sz w:val="18"/>
          <w:szCs w:val="18"/>
          <w:color w:val="auto"/>
        </w:rPr>
        <w:t>performance which includes some payments that are refundable due to the contractual right of the customer to cancel the agreement. As of March 31, 2025 and December 31, 2024, 17% and 19%, respectively, of the Company’s deferred revenue consisted of prepaid amounts</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which are refundable. The following table presents the change in the Company’s deferred revenue balance:</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0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As of</w:t>
            </w:r>
          </w:p>
        </w:tc>
        <w:tc>
          <w:tcPr>
            <w:tcW w:w="1180" w:type="dxa"/>
            <w:vAlign w:val="bottom"/>
            <w:tcBorders>
              <w:bottom w:val="single" w:sz="8" w:color="auto"/>
            </w:tcBorders>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70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vMerge w:val="restart"/>
          </w:tcPr>
          <w:p>
            <w:pPr>
              <w:jc w:val="center"/>
              <w:ind w:right="166"/>
              <w:spacing w:after="0"/>
              <w:rPr>
                <w:sz w:val="20"/>
                <w:szCs w:val="20"/>
                <w:color w:val="auto"/>
              </w:rPr>
            </w:pPr>
            <w:r>
              <w:rPr>
                <w:rFonts w:ascii="Arial" w:cs="Arial" w:eastAsia="Arial" w:hAnsi="Arial"/>
                <w:sz w:val="14"/>
                <w:szCs w:val="14"/>
                <w:b w:val="1"/>
                <w:bCs w:val="1"/>
                <w:color w:val="auto"/>
              </w:rPr>
              <w:t>March 31,</w:t>
            </w:r>
          </w:p>
        </w:tc>
        <w:tc>
          <w:tcPr>
            <w:tcW w:w="260" w:type="dxa"/>
            <w:vAlign w:val="bottom"/>
          </w:tcPr>
          <w:p>
            <w:pPr>
              <w:spacing w:after="0"/>
              <w:rPr>
                <w:sz w:val="15"/>
                <w:szCs w:val="15"/>
                <w:color w:val="auto"/>
              </w:rPr>
            </w:pPr>
          </w:p>
        </w:tc>
        <w:tc>
          <w:tcPr>
            <w:tcW w:w="1180" w:type="dxa"/>
            <w:vAlign w:val="bottom"/>
            <w:vMerge w:val="restart"/>
          </w:tcPr>
          <w:p>
            <w:pPr>
              <w:jc w:val="center"/>
              <w:ind w:right="105"/>
              <w:spacing w:after="0"/>
              <w:rPr>
                <w:sz w:val="20"/>
                <w:szCs w:val="20"/>
                <w:color w:val="auto"/>
              </w:rPr>
            </w:pPr>
            <w:r>
              <w:rPr>
                <w:rFonts w:ascii="Arial" w:cs="Arial" w:eastAsia="Arial" w:hAnsi="Arial"/>
                <w:sz w:val="14"/>
                <w:szCs w:val="14"/>
                <w:color w:val="auto"/>
              </w:rPr>
              <w:t>December 31,</w:t>
            </w:r>
          </w:p>
        </w:tc>
        <w:tc>
          <w:tcPr>
            <w:tcW w:w="1320" w:type="dxa"/>
            <w:vAlign w:val="bottom"/>
          </w:tcPr>
          <w:p>
            <w:pPr>
              <w:jc w:val="right"/>
              <w:ind w:right="525"/>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
        </w:trPr>
        <w:tc>
          <w:tcPr>
            <w:tcW w:w="7060" w:type="dxa"/>
            <w:vAlign w:val="bottom"/>
            <w:vMerge w:val="restart"/>
          </w:tcPr>
          <w:p>
            <w:pPr>
              <w:ind w:left="20"/>
              <w:spacing w:after="0"/>
              <w:rPr>
                <w:sz w:val="20"/>
                <w:szCs w:val="20"/>
                <w:color w:val="auto"/>
              </w:rPr>
            </w:pPr>
            <w:r>
              <w:rPr>
                <w:rFonts w:ascii="Arial" w:cs="Arial" w:eastAsia="Arial" w:hAnsi="Arial"/>
                <w:sz w:val="14"/>
                <w:szCs w:val="14"/>
                <w:color w:val="auto"/>
              </w:rPr>
              <w:t>(in thousands)</w:t>
            </w:r>
          </w:p>
        </w:tc>
        <w:tc>
          <w:tcPr>
            <w:tcW w:w="240" w:type="dxa"/>
            <w:vAlign w:val="bottom"/>
          </w:tcPr>
          <w:p>
            <w:pPr>
              <w:spacing w:after="0"/>
              <w:rPr>
                <w:sz w:val="2"/>
                <w:szCs w:val="2"/>
                <w:color w:val="auto"/>
              </w:rPr>
            </w:pPr>
          </w:p>
        </w:tc>
        <w:tc>
          <w:tcPr>
            <w:tcW w:w="1140" w:type="dxa"/>
            <w:vAlign w:val="bottom"/>
            <w:vMerge w:val="continue"/>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vMerge w:val="continue"/>
          </w:tcPr>
          <w:p>
            <w:pPr>
              <w:spacing w:after="0"/>
              <w:rPr>
                <w:sz w:val="2"/>
                <w:szCs w:val="2"/>
                <w:color w:val="auto"/>
              </w:rPr>
            </w:pPr>
          </w:p>
        </w:tc>
        <w:tc>
          <w:tcPr>
            <w:tcW w:w="1320" w:type="dxa"/>
            <w:vAlign w:val="bottom"/>
            <w:vMerge w:val="restart"/>
          </w:tcPr>
          <w:p>
            <w:pPr>
              <w:ind w:left="400"/>
              <w:spacing w:after="0"/>
              <w:rPr>
                <w:sz w:val="20"/>
                <w:szCs w:val="20"/>
                <w:color w:val="auto"/>
              </w:rPr>
            </w:pPr>
            <w:r>
              <w:rPr>
                <w:rFonts w:ascii="Arial" w:cs="Arial" w:eastAsia="Arial" w:hAnsi="Arial"/>
                <w:sz w:val="14"/>
                <w:szCs w:val="14"/>
                <w:color w:val="auto"/>
              </w:rPr>
              <w:t>Change</w:t>
            </w:r>
          </w:p>
        </w:tc>
        <w:tc>
          <w:tcPr>
            <w:tcW w:w="0" w:type="dxa"/>
            <w:vAlign w:val="bottom"/>
          </w:tcPr>
          <w:p>
            <w:pPr>
              <w:spacing w:after="0" w:line="20" w:lineRule="exact"/>
              <w:rPr>
                <w:sz w:val="1"/>
                <w:szCs w:val="1"/>
                <w:color w:val="auto"/>
              </w:rPr>
            </w:pPr>
          </w:p>
        </w:tc>
      </w:tr>
      <w:tr>
        <w:trPr>
          <w:trHeight w:val="205"/>
        </w:trPr>
        <w:tc>
          <w:tcPr>
            <w:tcW w:w="7060" w:type="dxa"/>
            <w:vAlign w:val="bottom"/>
            <w:tcBorders>
              <w:bottom w:val="single" w:sz="8" w:color="auto"/>
            </w:tcBorders>
            <w:vMerge w:val="continue"/>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66"/>
              <w:spacing w:after="0"/>
              <w:rPr>
                <w:sz w:val="20"/>
                <w:szCs w:val="20"/>
                <w:color w:val="auto"/>
              </w:rPr>
            </w:pPr>
            <w:r>
              <w:rPr>
                <w:rFonts w:ascii="Arial" w:cs="Arial" w:eastAsia="Arial" w:hAnsi="Arial"/>
                <w:sz w:val="14"/>
                <w:szCs w:val="14"/>
                <w:b w:val="1"/>
                <w:bCs w:val="1"/>
                <w:color w:val="auto"/>
              </w:rPr>
              <w:t>2025</w:t>
            </w:r>
          </w:p>
        </w:tc>
        <w:tc>
          <w:tcPr>
            <w:tcW w:w="2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45"/>
              <w:spacing w:after="0"/>
              <w:rPr>
                <w:sz w:val="20"/>
                <w:szCs w:val="20"/>
                <w:color w:val="auto"/>
              </w:rPr>
            </w:pPr>
            <w:r>
              <w:rPr>
                <w:rFonts w:ascii="Arial" w:cs="Arial" w:eastAsia="Arial" w:hAnsi="Arial"/>
                <w:sz w:val="14"/>
                <w:szCs w:val="14"/>
                <w:color w:val="auto"/>
              </w:rPr>
              <w:t>2024</w:t>
            </w:r>
          </w:p>
        </w:tc>
        <w:tc>
          <w:tcPr>
            <w:tcW w:w="13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7060" w:type="dxa"/>
            <w:vAlign w:val="bottom"/>
          </w:tcPr>
          <w:p>
            <w:pPr>
              <w:ind w:left="20"/>
              <w:spacing w:after="0"/>
              <w:rPr>
                <w:sz w:val="20"/>
                <w:szCs w:val="20"/>
                <w:color w:val="auto"/>
              </w:rPr>
            </w:pPr>
            <w:r>
              <w:rPr>
                <w:rFonts w:ascii="Arial" w:cs="Arial" w:eastAsia="Arial" w:hAnsi="Arial"/>
                <w:sz w:val="16"/>
                <w:szCs w:val="16"/>
                <w:color w:val="auto"/>
              </w:rPr>
              <w:t>Deferred revenue</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1140" w:type="dxa"/>
            <w:vAlign w:val="bottom"/>
          </w:tcPr>
          <w:p>
            <w:pPr>
              <w:jc w:val="right"/>
              <w:ind w:right="26"/>
              <w:spacing w:after="0"/>
              <w:rPr>
                <w:sz w:val="20"/>
                <w:szCs w:val="20"/>
                <w:color w:val="auto"/>
              </w:rPr>
            </w:pPr>
            <w:r>
              <w:rPr>
                <w:rFonts w:ascii="Arial" w:cs="Arial" w:eastAsia="Arial" w:hAnsi="Arial"/>
                <w:sz w:val="16"/>
                <w:szCs w:val="16"/>
                <w:b w:val="1"/>
                <w:bCs w:val="1"/>
                <w:color w:val="auto"/>
              </w:rPr>
              <w:t>408,272</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5"/>
              <w:spacing w:after="0"/>
              <w:rPr>
                <w:sz w:val="20"/>
                <w:szCs w:val="20"/>
                <w:color w:val="auto"/>
              </w:rPr>
            </w:pPr>
            <w:r>
              <w:rPr>
                <w:rFonts w:ascii="Arial" w:cs="Arial" w:eastAsia="Arial" w:hAnsi="Arial"/>
                <w:sz w:val="16"/>
                <w:szCs w:val="16"/>
                <w:color w:val="auto"/>
              </w:rPr>
              <w:t>397,435</w:t>
            </w:r>
          </w:p>
        </w:tc>
        <w:tc>
          <w:tcPr>
            <w:tcW w:w="1320" w:type="dxa"/>
            <w:vAlign w:val="bottom"/>
          </w:tcPr>
          <w:p>
            <w:pPr>
              <w:jc w:val="right"/>
              <w:ind w:right="545"/>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bl>
    <w:p>
      <w:pPr>
        <w:spacing w:after="0" w:line="218" w:lineRule="exact"/>
        <w:rPr>
          <w:sz w:val="20"/>
          <w:szCs w:val="20"/>
          <w:color w:val="auto"/>
        </w:rPr>
      </w:pPr>
    </w:p>
    <w:p>
      <w:pPr>
        <w:ind w:right="460"/>
        <w:spacing w:after="0" w:line="259" w:lineRule="auto"/>
        <w:rPr>
          <w:sz w:val="20"/>
          <w:szCs w:val="20"/>
          <w:color w:val="auto"/>
        </w:rPr>
      </w:pPr>
      <w:r>
        <w:rPr>
          <w:rFonts w:ascii="Arial" w:cs="Arial" w:eastAsia="Arial" w:hAnsi="Arial"/>
          <w:sz w:val="17"/>
          <w:szCs w:val="17"/>
          <w:color w:val="auto"/>
        </w:rPr>
        <w:t>The majority of the change in the deferred revenue balance is related to increases within the Supplemental Education division, offset by changes due to the cyclical nature of services in the Kaplan international division. During the three months ended March 31, 2025, the</w:t>
      </w:r>
    </w:p>
    <w:p>
      <w:pPr>
        <w:spacing w:after="0" w:line="1"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Company recognized $206.0 million related to the Company’s deferred revenue balance as of December 31, 2024, including $27.5 million of prepaid amounts which were refundable at the prior year-end.</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Revenue allocated to remaining performance obligations represents deferred revenue amounts that will be recognized as revenue in future</w:t>
      </w:r>
    </w:p>
    <w:p>
      <w:pPr>
        <w:spacing w:after="0" w:line="14"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periods. As of March 31, 2025, the deferred revenue balance related to certain medical and nursing qualifications with an original contract length greater than twelve months at Kaplan Supplemental Education was $6.0 million. Kaplan Supplemental Education expects to recognize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67% of this revenue over the next twelve months and the remainder thereafter.</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Costs to Obtain a Contract. </w:t>
      </w:r>
      <w:r>
        <w:rPr>
          <w:rFonts w:ascii="Arial" w:cs="Arial" w:eastAsia="Arial" w:hAnsi="Arial"/>
          <w:sz w:val="18"/>
          <w:szCs w:val="18"/>
          <w:color w:val="auto"/>
        </w:rPr>
        <w:t>The following table presents changes in the Company’s costs to obtain a contract asset:</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08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center"/>
              <w:ind w:right="126"/>
              <w:spacing w:after="0"/>
              <w:rPr>
                <w:sz w:val="20"/>
                <w:szCs w:val="20"/>
                <w:color w:val="auto"/>
              </w:rPr>
            </w:pPr>
            <w:r>
              <w:rPr>
                <w:rFonts w:ascii="Arial" w:cs="Arial" w:eastAsia="Arial" w:hAnsi="Arial"/>
                <w:sz w:val="14"/>
                <w:szCs w:val="14"/>
                <w:b w:val="1"/>
                <w:bCs w:val="1"/>
                <w:color w:val="auto"/>
              </w:rPr>
              <w:t>Balance</w:t>
            </w:r>
          </w:p>
        </w:tc>
      </w:tr>
      <w:tr>
        <w:trPr>
          <w:trHeight w:val="162"/>
        </w:trPr>
        <w:tc>
          <w:tcPr>
            <w:tcW w:w="308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960" w:type="dxa"/>
            <w:vAlign w:val="bottom"/>
          </w:tcPr>
          <w:p>
            <w:pPr>
              <w:jc w:val="center"/>
              <w:ind w:right="126"/>
              <w:spacing w:after="0"/>
              <w:rPr>
                <w:sz w:val="20"/>
                <w:szCs w:val="20"/>
                <w:color w:val="auto"/>
              </w:rPr>
            </w:pPr>
            <w:r>
              <w:rPr>
                <w:rFonts w:ascii="Arial" w:cs="Arial" w:eastAsia="Arial" w:hAnsi="Arial"/>
                <w:sz w:val="14"/>
                <w:szCs w:val="14"/>
                <w:b w:val="1"/>
                <w:bCs w:val="1"/>
                <w:color w:val="auto"/>
              </w:rPr>
              <w:t>Balance at</w:t>
            </w:r>
          </w:p>
        </w:tc>
        <w:tc>
          <w:tcPr>
            <w:tcW w:w="320" w:type="dxa"/>
            <w:vAlign w:val="bottom"/>
          </w:tcPr>
          <w:p>
            <w:pPr>
              <w:spacing w:after="0"/>
              <w:rPr>
                <w:sz w:val="14"/>
                <w:szCs w:val="14"/>
                <w:color w:val="auto"/>
              </w:rPr>
            </w:pPr>
          </w:p>
        </w:tc>
        <w:tc>
          <w:tcPr>
            <w:tcW w:w="940" w:type="dxa"/>
            <w:vAlign w:val="bottom"/>
          </w:tcPr>
          <w:p>
            <w:pPr>
              <w:jc w:val="center"/>
              <w:ind w:right="184"/>
              <w:spacing w:after="0"/>
              <w:rPr>
                <w:sz w:val="20"/>
                <w:szCs w:val="20"/>
                <w:color w:val="auto"/>
              </w:rPr>
            </w:pPr>
            <w:r>
              <w:rPr>
                <w:rFonts w:ascii="Arial" w:cs="Arial" w:eastAsia="Arial" w:hAnsi="Arial"/>
                <w:sz w:val="14"/>
                <w:szCs w:val="14"/>
                <w:b w:val="1"/>
                <w:bCs w:val="1"/>
                <w:color w:val="auto"/>
              </w:rPr>
              <w:t>Costs</w:t>
            </w:r>
          </w:p>
        </w:tc>
        <w:tc>
          <w:tcPr>
            <w:tcW w:w="240" w:type="dxa"/>
            <w:vAlign w:val="bottom"/>
          </w:tcPr>
          <w:p>
            <w:pPr>
              <w:spacing w:after="0"/>
              <w:rPr>
                <w:sz w:val="14"/>
                <w:szCs w:val="14"/>
                <w:color w:val="auto"/>
              </w:rPr>
            </w:pPr>
          </w:p>
        </w:tc>
        <w:tc>
          <w:tcPr>
            <w:tcW w:w="1140" w:type="dxa"/>
            <w:vAlign w:val="bottom"/>
          </w:tcPr>
          <w:p>
            <w:pPr>
              <w:jc w:val="center"/>
              <w:ind w:right="165"/>
              <w:spacing w:after="0"/>
              <w:rPr>
                <w:sz w:val="20"/>
                <w:szCs w:val="20"/>
                <w:color w:val="auto"/>
              </w:rPr>
            </w:pPr>
            <w:r>
              <w:rPr>
                <w:rFonts w:ascii="Arial" w:cs="Arial" w:eastAsia="Arial" w:hAnsi="Arial"/>
                <w:sz w:val="14"/>
                <w:szCs w:val="14"/>
                <w:b w:val="1"/>
                <w:bCs w:val="1"/>
                <w:color w:val="auto"/>
              </w:rPr>
              <w:t>Less: Costs</w:t>
            </w: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center"/>
              <w:ind w:right="126"/>
              <w:spacing w:after="0"/>
              <w:rPr>
                <w:sz w:val="20"/>
                <w:szCs w:val="20"/>
                <w:color w:val="auto"/>
              </w:rPr>
            </w:pPr>
            <w:r>
              <w:rPr>
                <w:rFonts w:ascii="Arial" w:cs="Arial" w:eastAsia="Arial" w:hAnsi="Arial"/>
                <w:sz w:val="14"/>
                <w:szCs w:val="14"/>
                <w:b w:val="1"/>
                <w:bCs w:val="1"/>
                <w:color w:val="auto"/>
              </w:rPr>
              <w:t>at</w:t>
            </w:r>
          </w:p>
        </w:tc>
      </w:tr>
      <w:tr>
        <w:trPr>
          <w:trHeight w:val="148"/>
        </w:trPr>
        <w:tc>
          <w:tcPr>
            <w:tcW w:w="308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960" w:type="dxa"/>
            <w:vAlign w:val="bottom"/>
          </w:tcPr>
          <w:p>
            <w:pPr>
              <w:jc w:val="center"/>
              <w:ind w:right="126"/>
              <w:spacing w:after="0" w:line="149" w:lineRule="exact"/>
              <w:rPr>
                <w:sz w:val="20"/>
                <w:szCs w:val="20"/>
                <w:color w:val="auto"/>
              </w:rPr>
            </w:pPr>
            <w:r>
              <w:rPr>
                <w:rFonts w:ascii="Arial" w:cs="Arial" w:eastAsia="Arial" w:hAnsi="Arial"/>
                <w:sz w:val="14"/>
                <w:szCs w:val="14"/>
                <w:b w:val="1"/>
                <w:bCs w:val="1"/>
                <w:color w:val="auto"/>
              </w:rPr>
              <w:t>Beginning</w:t>
            </w:r>
          </w:p>
        </w:tc>
        <w:tc>
          <w:tcPr>
            <w:tcW w:w="12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rPr>
              <w:t>associated with</w:t>
            </w:r>
          </w:p>
        </w:tc>
        <w:tc>
          <w:tcPr>
            <w:tcW w:w="13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rPr>
              <w:t>amortized during</w:t>
            </w:r>
          </w:p>
        </w:tc>
        <w:tc>
          <w:tcPr>
            <w:tcW w:w="2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jc w:val="center"/>
              <w:ind w:right="146"/>
              <w:spacing w:after="0" w:line="149" w:lineRule="exact"/>
              <w:rPr>
                <w:sz w:val="20"/>
                <w:szCs w:val="20"/>
                <w:color w:val="auto"/>
              </w:rPr>
            </w:pPr>
            <w:r>
              <w:rPr>
                <w:rFonts w:ascii="Arial" w:cs="Arial" w:eastAsia="Arial" w:hAnsi="Arial"/>
                <w:sz w:val="14"/>
                <w:szCs w:val="14"/>
                <w:b w:val="1"/>
                <w:bCs w:val="1"/>
                <w:color w:val="auto"/>
              </w:rPr>
              <w:t>End of</w:t>
            </w:r>
          </w:p>
        </w:tc>
      </w:tr>
      <w:tr>
        <w:trPr>
          <w:trHeight w:val="211"/>
        </w:trPr>
        <w:tc>
          <w:tcPr>
            <w:tcW w:w="30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center"/>
              <w:ind w:right="86"/>
              <w:spacing w:after="0"/>
              <w:rPr>
                <w:sz w:val="20"/>
                <w:szCs w:val="20"/>
                <w:color w:val="auto"/>
              </w:rPr>
            </w:pPr>
            <w:r>
              <w:rPr>
                <w:rFonts w:ascii="Arial" w:cs="Arial" w:eastAsia="Arial" w:hAnsi="Arial"/>
                <w:sz w:val="14"/>
                <w:szCs w:val="14"/>
                <w:b w:val="1"/>
                <w:bCs w:val="1"/>
                <w:color w:val="auto"/>
              </w:rPr>
              <w:t>of Period</w:t>
            </w:r>
          </w:p>
        </w:tc>
        <w:tc>
          <w:tcPr>
            <w:tcW w:w="12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new contracts</w:t>
            </w:r>
          </w:p>
        </w:tc>
        <w:tc>
          <w:tcPr>
            <w:tcW w:w="2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center"/>
              <w:ind w:right="165"/>
              <w:spacing w:after="0"/>
              <w:rPr>
                <w:sz w:val="20"/>
                <w:szCs w:val="20"/>
                <w:color w:val="auto"/>
              </w:rPr>
            </w:pPr>
            <w:r>
              <w:rPr>
                <w:rFonts w:ascii="Arial" w:cs="Arial" w:eastAsia="Arial" w:hAnsi="Arial"/>
                <w:sz w:val="14"/>
                <w:szCs w:val="14"/>
                <w:b w:val="1"/>
                <w:bCs w:val="1"/>
                <w:color w:val="auto"/>
              </w:rPr>
              <w:t>the period</w:t>
            </w:r>
          </w:p>
        </w:tc>
        <w:tc>
          <w:tcPr>
            <w:tcW w:w="2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44"/>
              <w:spacing w:after="0"/>
              <w:rPr>
                <w:sz w:val="20"/>
                <w:szCs w:val="20"/>
                <w:color w:val="auto"/>
              </w:rPr>
            </w:pPr>
            <w:r>
              <w:rPr>
                <w:rFonts w:ascii="Arial" w:cs="Arial" w:eastAsia="Arial" w:hAnsi="Arial"/>
                <w:sz w:val="14"/>
                <w:szCs w:val="14"/>
                <w:b w:val="1"/>
                <w:bCs w:val="1"/>
                <w:color w:val="auto"/>
              </w:rPr>
              <w:t>Other</w:t>
            </w: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center"/>
              <w:ind w:right="86"/>
              <w:spacing w:after="0"/>
              <w:rPr>
                <w:sz w:val="20"/>
                <w:szCs w:val="20"/>
                <w:color w:val="auto"/>
              </w:rPr>
            </w:pPr>
            <w:r>
              <w:rPr>
                <w:rFonts w:ascii="Arial" w:cs="Arial" w:eastAsia="Arial" w:hAnsi="Arial"/>
                <w:sz w:val="14"/>
                <w:szCs w:val="14"/>
                <w:b w:val="1"/>
                <w:bCs w:val="1"/>
                <w:color w:val="auto"/>
              </w:rPr>
              <w:t>Period</w:t>
            </w:r>
          </w:p>
        </w:tc>
      </w:tr>
      <w:tr>
        <w:trPr>
          <w:trHeight w:val="217"/>
        </w:trPr>
        <w:tc>
          <w:tcPr>
            <w:tcW w:w="3080" w:type="dxa"/>
            <w:vAlign w:val="bottom"/>
          </w:tcPr>
          <w:p>
            <w:pPr>
              <w:ind w:left="20"/>
              <w:spacing w:after="0"/>
              <w:rPr>
                <w:sz w:val="20"/>
                <w:szCs w:val="20"/>
                <w:color w:val="auto"/>
              </w:rPr>
            </w:pPr>
            <w:r>
              <w:rPr>
                <w:rFonts w:ascii="Arial" w:cs="Arial" w:eastAsia="Arial" w:hAnsi="Arial"/>
                <w:sz w:val="16"/>
                <w:szCs w:val="16"/>
                <w:b w:val="1"/>
                <w:bCs w:val="1"/>
                <w:color w:val="auto"/>
              </w:rPr>
              <w:t>2025</w:t>
            </w:r>
          </w:p>
        </w:tc>
        <w:tc>
          <w:tcPr>
            <w:tcW w:w="22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26"/>
              <w:spacing w:after="0"/>
              <w:rPr>
                <w:sz w:val="20"/>
                <w:szCs w:val="20"/>
                <w:color w:val="auto"/>
              </w:rPr>
            </w:pPr>
            <w:r>
              <w:rPr>
                <w:rFonts w:ascii="Arial" w:cs="Arial" w:eastAsia="Arial" w:hAnsi="Arial"/>
                <w:sz w:val="16"/>
                <w:szCs w:val="16"/>
                <w:b w:val="1"/>
                <w:bCs w:val="1"/>
                <w:color w:val="auto"/>
              </w:rPr>
              <w:t>42,121</w:t>
            </w:r>
          </w:p>
        </w:tc>
        <w:tc>
          <w:tcPr>
            <w:tcW w:w="320" w:type="dxa"/>
            <w:vAlign w:val="bottom"/>
          </w:tcPr>
          <w:p>
            <w:pPr>
              <w:jc w:val="right"/>
              <w:ind w:right="45"/>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44"/>
              <w:spacing w:after="0"/>
              <w:rPr>
                <w:sz w:val="20"/>
                <w:szCs w:val="20"/>
                <w:color w:val="auto"/>
              </w:rPr>
            </w:pPr>
            <w:r>
              <w:rPr>
                <w:rFonts w:ascii="Arial" w:cs="Arial" w:eastAsia="Arial" w:hAnsi="Arial"/>
                <w:sz w:val="16"/>
                <w:szCs w:val="16"/>
                <w:b w:val="1"/>
                <w:bCs w:val="1"/>
                <w:color w:val="auto"/>
              </w:rPr>
              <w:t>26,152</w:t>
            </w:r>
          </w:p>
        </w:tc>
        <w:tc>
          <w:tcPr>
            <w:tcW w:w="2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140" w:type="dxa"/>
            <w:vAlign w:val="bottom"/>
          </w:tcPr>
          <w:p>
            <w:pPr>
              <w:jc w:val="right"/>
              <w:ind w:right="5"/>
              <w:spacing w:after="0"/>
              <w:rPr>
                <w:sz w:val="20"/>
                <w:szCs w:val="20"/>
                <w:color w:val="auto"/>
              </w:rPr>
            </w:pPr>
            <w:r>
              <w:rPr>
                <w:rFonts w:ascii="Arial" w:cs="Arial" w:eastAsia="Arial" w:hAnsi="Arial"/>
                <w:sz w:val="16"/>
                <w:szCs w:val="16"/>
                <w:b w:val="1"/>
                <w:bCs w:val="1"/>
                <w:color w:val="auto"/>
              </w:rPr>
              <w:t>(25,700)</w:t>
            </w:r>
          </w:p>
        </w:tc>
        <w:tc>
          <w:tcPr>
            <w:tcW w:w="26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800" w:type="dxa"/>
            <w:vAlign w:val="bottom"/>
          </w:tcPr>
          <w:p>
            <w:pPr>
              <w:jc w:val="right"/>
              <w:ind w:right="24"/>
              <w:spacing w:after="0"/>
              <w:rPr>
                <w:sz w:val="20"/>
                <w:szCs w:val="20"/>
                <w:color w:val="auto"/>
              </w:rPr>
            </w:pPr>
            <w:r>
              <w:rPr>
                <w:rFonts w:ascii="Arial" w:cs="Arial" w:eastAsia="Arial" w:hAnsi="Arial"/>
                <w:sz w:val="16"/>
                <w:szCs w:val="16"/>
                <w:b w:val="1"/>
                <w:bCs w:val="1"/>
                <w:color w:val="auto"/>
              </w:rPr>
              <w:t>1,067</w:t>
            </w:r>
          </w:p>
        </w:tc>
        <w:tc>
          <w:tcPr>
            <w:tcW w:w="2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43,640</w:t>
            </w:r>
          </w:p>
        </w:tc>
      </w:tr>
    </w:tbl>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The majority of other activity was related to currency translation adjustments for the three months ended March 31, 2025.</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EARNINGS PER SHARE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The Company’s unvested restricted stock awards contain nonforfeitable rights to dividends and, therefore, are considered participating</w:t>
      </w:r>
    </w:p>
    <w:p>
      <w:pPr>
        <w:spacing w:after="0" w:line="14" w:lineRule="exact"/>
        <w:rPr>
          <w:sz w:val="20"/>
          <w:szCs w:val="20"/>
          <w:color w:val="auto"/>
        </w:rPr>
      </w:pPr>
    </w:p>
    <w:p>
      <w:pPr>
        <w:jc w:val="both"/>
        <w:ind w:right="40"/>
        <w:spacing w:after="0" w:line="226" w:lineRule="auto"/>
        <w:rPr>
          <w:sz w:val="20"/>
          <w:szCs w:val="20"/>
          <w:color w:val="auto"/>
        </w:rPr>
      </w:pPr>
      <w:r>
        <w:rPr>
          <w:rFonts w:ascii="Arial" w:cs="Arial" w:eastAsia="Arial" w:hAnsi="Arial"/>
          <w:sz w:val="18"/>
          <w:szCs w:val="18"/>
          <w:color w:val="auto"/>
        </w:rPr>
        <w:t>securities for purposes of computing earnings per share pursuant to the two-class method. The diluted earnings per share computed under the two-class method is lower than the diluted earnings per share computed under the treasury stock method, resulting in the presentation of</w:t>
      </w:r>
    </w:p>
    <w:p>
      <w:pPr>
        <w:spacing w:after="0" w:line="236" w:lineRule="auto"/>
        <w:rPr>
          <w:sz w:val="20"/>
          <w:szCs w:val="20"/>
          <w:color w:val="auto"/>
        </w:rPr>
      </w:pPr>
      <w:r>
        <w:rPr>
          <w:rFonts w:ascii="Arial" w:cs="Arial" w:eastAsia="Arial" w:hAnsi="Arial"/>
          <w:sz w:val="18"/>
          <w:szCs w:val="18"/>
          <w:color w:val="auto"/>
        </w:rPr>
        <w:t>the lower amount in diluted earnings per share. The computation of the earnings per share under the two-class method excludes the income</w:t>
      </w:r>
    </w:p>
    <w:p>
      <w:pPr>
        <w:spacing w:after="0" w:line="1"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attributable to the unvested restricted stock awards from the numerator and excludes the dilutive impact of those underlying shares from the denominator.</w:t>
      </w: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31" w:right="359" w:bottom="1440" w:gutter="0" w:footer="0" w:header="0"/>
        </w:sectPr>
      </w:pPr>
    </w:p>
    <w:bookmarkStart w:id="16" w:name="page17"/>
    <w:bookmarkEnd w:id="16"/>
    <w:p>
      <w:pPr>
        <w:ind w:right="340"/>
        <w:spacing w:after="0" w:line="271" w:lineRule="auto"/>
        <w:rPr>
          <w:sz w:val="20"/>
          <w:szCs w:val="20"/>
          <w:color w:val="auto"/>
        </w:rPr>
      </w:pPr>
      <w:r>
        <w:rPr>
          <w:rFonts w:ascii="Arial" w:cs="Arial" w:eastAsia="Arial" w:hAnsi="Arial"/>
          <w:sz w:val="18"/>
          <w:szCs w:val="18"/>
          <w:color w:val="auto"/>
        </w:rPr>
        <w:t>The following reflects the Company’s net income and share data used in the basic and diluted earnings per share computations using the two-class method:</w:t>
      </w:r>
    </w:p>
    <w:p>
      <w:pPr>
        <w:spacing w:after="0" w:line="150" w:lineRule="exact"/>
        <w:rPr>
          <w:sz w:val="20"/>
          <w:szCs w:val="20"/>
          <w:color w:val="auto"/>
        </w:rPr>
      </w:pPr>
    </w:p>
    <w:p>
      <w:pPr>
        <w:ind w:left="9060"/>
        <w:spacing w:after="0"/>
        <w:rPr>
          <w:sz w:val="20"/>
          <w:szCs w:val="20"/>
          <w:color w:val="auto"/>
        </w:rPr>
      </w:pPr>
      <w:r>
        <w:rPr>
          <w:rFonts w:ascii="Arial" w:cs="Arial" w:eastAsia="Arial" w:hAnsi="Arial"/>
          <w:sz w:val="14"/>
          <w:szCs w:val="14"/>
          <w:b w:val="1"/>
          <w:bCs w:val="1"/>
          <w:color w:val="auto"/>
        </w:rPr>
        <w:t>Three Months Ended</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3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2"/>
          </w:tcPr>
          <w:p>
            <w:pPr>
              <w:jc w:val="right"/>
              <w:ind w:right="39"/>
              <w:spacing w:after="0"/>
              <w:rPr>
                <w:sz w:val="20"/>
                <w:szCs w:val="20"/>
                <w:color w:val="auto"/>
              </w:rPr>
            </w:pPr>
            <w:r>
              <w:rPr>
                <w:rFonts w:ascii="Arial" w:cs="Arial" w:eastAsia="Arial" w:hAnsi="Arial"/>
                <w:sz w:val="14"/>
                <w:szCs w:val="14"/>
                <w:b w:val="1"/>
                <w:bCs w:val="1"/>
                <w:color w:val="auto"/>
              </w:rPr>
              <w:t>March 31</w:t>
            </w: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83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 except per share amounts)</w:t>
            </w:r>
          </w:p>
        </w:tc>
        <w:tc>
          <w:tcPr>
            <w:tcW w:w="3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20"/>
              <w:spacing w:after="0"/>
              <w:rPr>
                <w:sz w:val="20"/>
                <w:szCs w:val="20"/>
                <w:color w:val="auto"/>
              </w:rPr>
            </w:pPr>
            <w:r>
              <w:rPr>
                <w:rFonts w:ascii="Arial" w:cs="Arial" w:eastAsia="Arial" w:hAnsi="Arial"/>
                <w:sz w:val="14"/>
                <w:szCs w:val="14"/>
                <w:b w:val="1"/>
                <w:bCs w:val="1"/>
                <w:color w:val="auto"/>
              </w:rPr>
              <w:t>2025</w:t>
            </w:r>
          </w:p>
        </w:tc>
        <w:tc>
          <w:tcPr>
            <w:tcW w:w="4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60"/>
              <w:spacing w:after="0"/>
              <w:rPr>
                <w:sz w:val="20"/>
                <w:szCs w:val="20"/>
                <w:color w:val="auto"/>
              </w:rPr>
            </w:pPr>
            <w:r>
              <w:rPr>
                <w:rFonts w:ascii="Arial" w:cs="Arial" w:eastAsia="Arial" w:hAnsi="Arial"/>
                <w:sz w:val="14"/>
                <w:szCs w:val="14"/>
                <w:color w:val="auto"/>
              </w:rPr>
              <w:t>2024</w:t>
            </w:r>
          </w:p>
        </w:tc>
        <w:tc>
          <w:tcPr>
            <w:tcW w:w="0" w:type="dxa"/>
            <w:vAlign w:val="bottom"/>
          </w:tcPr>
          <w:p>
            <w:pPr>
              <w:spacing w:after="0"/>
              <w:rPr>
                <w:sz w:val="1"/>
                <w:szCs w:val="1"/>
                <w:color w:val="auto"/>
              </w:rPr>
            </w:pPr>
          </w:p>
        </w:tc>
      </w:tr>
      <w:tr>
        <w:trPr>
          <w:trHeight w:val="223"/>
        </w:trPr>
        <w:tc>
          <w:tcPr>
            <w:tcW w:w="8320" w:type="dxa"/>
            <w:vAlign w:val="bottom"/>
          </w:tcPr>
          <w:p>
            <w:pPr>
              <w:ind w:left="20"/>
              <w:spacing w:after="0"/>
              <w:rPr>
                <w:sz w:val="20"/>
                <w:szCs w:val="20"/>
                <w:color w:val="auto"/>
              </w:rPr>
            </w:pPr>
            <w:r>
              <w:rPr>
                <w:rFonts w:ascii="Arial" w:cs="Arial" w:eastAsia="Arial" w:hAnsi="Arial"/>
                <w:sz w:val="16"/>
                <w:szCs w:val="16"/>
                <w:b w:val="1"/>
                <w:bCs w:val="1"/>
                <w:color w:val="auto"/>
              </w:rPr>
              <w:t>Numerator:</w:t>
            </w: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320" w:type="dxa"/>
            <w:vAlign w:val="bottom"/>
          </w:tcPr>
          <w:p>
            <w:pPr>
              <w:ind w:left="140"/>
              <w:spacing w:after="0"/>
              <w:rPr>
                <w:sz w:val="20"/>
                <w:szCs w:val="20"/>
                <w:color w:val="auto"/>
              </w:rPr>
            </w:pPr>
            <w:r>
              <w:rPr>
                <w:rFonts w:ascii="Arial" w:cs="Arial" w:eastAsia="Arial" w:hAnsi="Arial"/>
                <w:sz w:val="16"/>
                <w:szCs w:val="16"/>
                <w:b w:val="1"/>
                <w:bCs w:val="1"/>
                <w:color w:val="auto"/>
              </w:rPr>
              <w:t>Numerator for basic earnings per share:</w:t>
            </w: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320" w:type="dxa"/>
            <w:vAlign w:val="bottom"/>
          </w:tcPr>
          <w:p>
            <w:pPr>
              <w:ind w:left="220"/>
              <w:spacing w:after="0"/>
              <w:rPr>
                <w:sz w:val="20"/>
                <w:szCs w:val="20"/>
                <w:color w:val="auto"/>
              </w:rPr>
            </w:pPr>
            <w:r>
              <w:rPr>
                <w:rFonts w:ascii="Arial" w:cs="Arial" w:eastAsia="Arial" w:hAnsi="Arial"/>
                <w:sz w:val="16"/>
                <w:szCs w:val="16"/>
                <w:color w:val="auto"/>
              </w:rPr>
              <w:t>Net income attributable to Graham Holdings Company common stockholders</w:t>
            </w:r>
          </w:p>
        </w:tc>
        <w:tc>
          <w:tcPr>
            <w:tcW w:w="320" w:type="dxa"/>
            <w:vAlign w:val="bottom"/>
          </w:tcPr>
          <w:p>
            <w:pPr>
              <w:jc w:val="right"/>
              <w:ind w:right="119"/>
              <w:spacing w:after="0"/>
              <w:rPr>
                <w:sz w:val="20"/>
                <w:szCs w:val="20"/>
                <w:color w:val="auto"/>
              </w:rPr>
            </w:pPr>
            <w:r>
              <w:rPr>
                <w:rFonts w:ascii="Arial" w:cs="Arial" w:eastAsia="Arial" w:hAnsi="Arial"/>
                <w:sz w:val="16"/>
                <w:szCs w:val="16"/>
                <w:b w:val="1"/>
                <w:bCs w:val="1"/>
                <w:color w:val="auto"/>
              </w:rPr>
              <w:t>$</w:t>
            </w:r>
          </w:p>
        </w:tc>
        <w:tc>
          <w:tcPr>
            <w:tcW w:w="1140" w:type="dxa"/>
            <w:vAlign w:val="bottom"/>
          </w:tcPr>
          <w:p>
            <w:pPr>
              <w:jc w:val="right"/>
              <w:ind w:right="180"/>
              <w:spacing w:after="0"/>
              <w:rPr>
                <w:sz w:val="20"/>
                <w:szCs w:val="20"/>
                <w:color w:val="auto"/>
              </w:rPr>
            </w:pPr>
            <w:r>
              <w:rPr>
                <w:rFonts w:ascii="Arial" w:cs="Arial" w:eastAsia="Arial" w:hAnsi="Arial"/>
                <w:sz w:val="16"/>
                <w:szCs w:val="16"/>
                <w:b w:val="1"/>
                <w:bCs w:val="1"/>
                <w:color w:val="auto"/>
              </w:rPr>
              <w:t>23,894</w:t>
            </w:r>
          </w:p>
        </w:tc>
        <w:tc>
          <w:tcPr>
            <w:tcW w:w="46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20"/>
              <w:spacing w:after="0"/>
              <w:rPr>
                <w:sz w:val="20"/>
                <w:szCs w:val="20"/>
                <w:color w:val="auto"/>
              </w:rPr>
            </w:pPr>
            <w:r>
              <w:rPr>
                <w:rFonts w:ascii="Arial" w:cs="Arial" w:eastAsia="Arial" w:hAnsi="Arial"/>
                <w:sz w:val="16"/>
                <w:szCs w:val="16"/>
                <w:color w:val="auto"/>
              </w:rPr>
              <w:t>124,380</w:t>
            </w:r>
          </w:p>
        </w:tc>
        <w:tc>
          <w:tcPr>
            <w:tcW w:w="0" w:type="dxa"/>
            <w:vAlign w:val="bottom"/>
          </w:tcPr>
          <w:p>
            <w:pPr>
              <w:spacing w:after="0"/>
              <w:rPr>
                <w:sz w:val="1"/>
                <w:szCs w:val="1"/>
                <w:color w:val="auto"/>
              </w:rPr>
            </w:pPr>
          </w:p>
        </w:tc>
      </w:tr>
      <w:tr>
        <w:trPr>
          <w:trHeight w:val="231"/>
        </w:trPr>
        <w:tc>
          <w:tcPr>
            <w:tcW w:w="8320" w:type="dxa"/>
            <w:vAlign w:val="bottom"/>
          </w:tcPr>
          <w:p>
            <w:pPr>
              <w:ind w:left="220"/>
              <w:spacing w:after="0"/>
              <w:rPr>
                <w:sz w:val="20"/>
                <w:szCs w:val="20"/>
                <w:color w:val="auto"/>
              </w:rPr>
            </w:pPr>
            <w:r>
              <w:rPr>
                <w:rFonts w:ascii="Arial" w:cs="Arial" w:eastAsia="Arial" w:hAnsi="Arial"/>
                <w:sz w:val="16"/>
                <w:szCs w:val="16"/>
                <w:color w:val="auto"/>
              </w:rPr>
              <w:t>Less: Dividends paid-common stock outstanding and unvested restricted shares</w:t>
            </w: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b w:val="1"/>
                <w:bCs w:val="1"/>
                <w:color w:val="auto"/>
              </w:rPr>
              <w:t>(15,662)</w:t>
            </w:r>
          </w:p>
        </w:tc>
        <w:tc>
          <w:tcPr>
            <w:tcW w:w="4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(15,352)</w:t>
            </w:r>
          </w:p>
        </w:tc>
        <w:tc>
          <w:tcPr>
            <w:tcW w:w="0" w:type="dxa"/>
            <w:vAlign w:val="bottom"/>
          </w:tcPr>
          <w:p>
            <w:pPr>
              <w:spacing w:after="0"/>
              <w:rPr>
                <w:sz w:val="1"/>
                <w:szCs w:val="1"/>
                <w:color w:val="auto"/>
              </w:rPr>
            </w:pPr>
          </w:p>
        </w:tc>
      </w:tr>
      <w:tr>
        <w:trPr>
          <w:trHeight w:val="223"/>
        </w:trPr>
        <w:tc>
          <w:tcPr>
            <w:tcW w:w="8320" w:type="dxa"/>
            <w:vAlign w:val="bottom"/>
          </w:tcPr>
          <w:p>
            <w:pPr>
              <w:ind w:left="220"/>
              <w:spacing w:after="0"/>
              <w:rPr>
                <w:sz w:val="20"/>
                <w:szCs w:val="20"/>
                <w:color w:val="auto"/>
              </w:rPr>
            </w:pPr>
            <w:r>
              <w:rPr>
                <w:rFonts w:ascii="Arial" w:cs="Arial" w:eastAsia="Arial" w:hAnsi="Arial"/>
                <w:sz w:val="16"/>
                <w:szCs w:val="16"/>
                <w:color w:val="auto"/>
              </w:rPr>
              <w:t>Undistributed earnings</w:t>
            </w:r>
          </w:p>
        </w:tc>
        <w:tc>
          <w:tcPr>
            <w:tcW w:w="320" w:type="dxa"/>
            <w:vAlign w:val="bottom"/>
          </w:tcPr>
          <w:p>
            <w:pPr>
              <w:spacing w:after="0"/>
              <w:rPr>
                <w:sz w:val="19"/>
                <w:szCs w:val="19"/>
                <w:color w:val="auto"/>
              </w:rPr>
            </w:pPr>
          </w:p>
        </w:tc>
        <w:tc>
          <w:tcPr>
            <w:tcW w:w="1140" w:type="dxa"/>
            <w:vAlign w:val="bottom"/>
          </w:tcPr>
          <w:p>
            <w:pPr>
              <w:jc w:val="right"/>
              <w:ind w:right="180"/>
              <w:spacing w:after="0"/>
              <w:rPr>
                <w:sz w:val="20"/>
                <w:szCs w:val="20"/>
                <w:color w:val="auto"/>
              </w:rPr>
            </w:pPr>
            <w:r>
              <w:rPr>
                <w:rFonts w:ascii="Arial" w:cs="Arial" w:eastAsia="Arial" w:hAnsi="Arial"/>
                <w:sz w:val="16"/>
                <w:szCs w:val="16"/>
                <w:b w:val="1"/>
                <w:bCs w:val="1"/>
                <w:color w:val="auto"/>
              </w:rPr>
              <w:t>8,232</w:t>
            </w:r>
          </w:p>
        </w:tc>
        <w:tc>
          <w:tcPr>
            <w:tcW w:w="460" w:type="dxa"/>
            <w:vAlign w:val="bottom"/>
          </w:tcPr>
          <w:p>
            <w:pPr>
              <w:spacing w:after="0"/>
              <w:rPr>
                <w:sz w:val="19"/>
                <w:szCs w:val="19"/>
                <w:color w:val="auto"/>
              </w:rPr>
            </w:pPr>
          </w:p>
        </w:tc>
        <w:tc>
          <w:tcPr>
            <w:tcW w:w="1000" w:type="dxa"/>
            <w:vAlign w:val="bottom"/>
          </w:tcPr>
          <w:p>
            <w:pPr>
              <w:jc w:val="right"/>
              <w:ind w:right="120"/>
              <w:spacing w:after="0"/>
              <w:rPr>
                <w:sz w:val="20"/>
                <w:szCs w:val="20"/>
                <w:color w:val="auto"/>
              </w:rPr>
            </w:pPr>
            <w:r>
              <w:rPr>
                <w:rFonts w:ascii="Arial" w:cs="Arial" w:eastAsia="Arial" w:hAnsi="Arial"/>
                <w:sz w:val="16"/>
                <w:szCs w:val="16"/>
                <w:color w:val="auto"/>
              </w:rPr>
              <w:t>109,028</w:t>
            </w:r>
          </w:p>
        </w:tc>
        <w:tc>
          <w:tcPr>
            <w:tcW w:w="0" w:type="dxa"/>
            <w:vAlign w:val="bottom"/>
          </w:tcPr>
          <w:p>
            <w:pPr>
              <w:spacing w:after="0"/>
              <w:rPr>
                <w:sz w:val="1"/>
                <w:szCs w:val="1"/>
                <w:color w:val="auto"/>
              </w:rPr>
            </w:pPr>
          </w:p>
        </w:tc>
      </w:tr>
      <w:tr>
        <w:trPr>
          <w:trHeight w:val="235"/>
        </w:trPr>
        <w:tc>
          <w:tcPr>
            <w:tcW w:w="8320" w:type="dxa"/>
            <w:vAlign w:val="bottom"/>
          </w:tcPr>
          <w:p>
            <w:pPr>
              <w:ind w:left="220"/>
              <w:spacing w:after="0"/>
              <w:rPr>
                <w:sz w:val="20"/>
                <w:szCs w:val="20"/>
                <w:color w:val="auto"/>
              </w:rPr>
            </w:pPr>
            <w:r>
              <w:rPr>
                <w:rFonts w:ascii="Arial" w:cs="Arial" w:eastAsia="Arial" w:hAnsi="Arial"/>
                <w:sz w:val="16"/>
                <w:szCs w:val="16"/>
                <w:color w:val="auto"/>
              </w:rPr>
              <w:t>Percent allocated to common stockholders</w:t>
            </w: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99.38 %</w:t>
            </w:r>
          </w:p>
        </w:tc>
        <w:tc>
          <w:tcPr>
            <w:tcW w:w="4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99.33 %</w:t>
            </w:r>
          </w:p>
        </w:tc>
        <w:tc>
          <w:tcPr>
            <w:tcW w:w="0" w:type="dxa"/>
            <w:vAlign w:val="bottom"/>
          </w:tcPr>
          <w:p>
            <w:pPr>
              <w:spacing w:after="0"/>
              <w:rPr>
                <w:sz w:val="1"/>
                <w:szCs w:val="1"/>
                <w:color w:val="auto"/>
              </w:rPr>
            </w:pPr>
          </w:p>
        </w:tc>
      </w:tr>
      <w:tr>
        <w:trPr>
          <w:trHeight w:val="217"/>
        </w:trPr>
        <w:tc>
          <w:tcPr>
            <w:tcW w:w="8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ind w:right="180"/>
              <w:spacing w:after="0"/>
              <w:rPr>
                <w:sz w:val="20"/>
                <w:szCs w:val="20"/>
                <w:color w:val="auto"/>
              </w:rPr>
            </w:pPr>
            <w:r>
              <w:rPr>
                <w:rFonts w:ascii="Arial" w:cs="Arial" w:eastAsia="Arial" w:hAnsi="Arial"/>
                <w:sz w:val="16"/>
                <w:szCs w:val="16"/>
                <w:b w:val="1"/>
                <w:bCs w:val="1"/>
                <w:color w:val="auto"/>
              </w:rPr>
              <w:t>8,182</w:t>
            </w:r>
          </w:p>
        </w:tc>
        <w:tc>
          <w:tcPr>
            <w:tcW w:w="460" w:type="dxa"/>
            <w:vAlign w:val="bottom"/>
          </w:tcPr>
          <w:p>
            <w:pPr>
              <w:spacing w:after="0"/>
              <w:rPr>
                <w:sz w:val="18"/>
                <w:szCs w:val="18"/>
                <w:color w:val="auto"/>
              </w:rPr>
            </w:pPr>
          </w:p>
        </w:tc>
        <w:tc>
          <w:tcPr>
            <w:tcW w:w="1000" w:type="dxa"/>
            <w:vAlign w:val="bottom"/>
          </w:tcPr>
          <w:p>
            <w:pPr>
              <w:jc w:val="right"/>
              <w:ind w:right="120"/>
              <w:spacing w:after="0"/>
              <w:rPr>
                <w:sz w:val="20"/>
                <w:szCs w:val="20"/>
                <w:color w:val="auto"/>
              </w:rPr>
            </w:pPr>
            <w:r>
              <w:rPr>
                <w:rFonts w:ascii="Arial" w:cs="Arial" w:eastAsia="Arial" w:hAnsi="Arial"/>
                <w:sz w:val="16"/>
                <w:szCs w:val="16"/>
                <w:color w:val="auto"/>
              </w:rPr>
              <w:t>108,295</w:t>
            </w:r>
          </w:p>
        </w:tc>
        <w:tc>
          <w:tcPr>
            <w:tcW w:w="0" w:type="dxa"/>
            <w:vAlign w:val="bottom"/>
          </w:tcPr>
          <w:p>
            <w:pPr>
              <w:spacing w:after="0"/>
              <w:rPr>
                <w:sz w:val="1"/>
                <w:szCs w:val="1"/>
                <w:color w:val="auto"/>
              </w:rPr>
            </w:pPr>
          </w:p>
        </w:tc>
      </w:tr>
      <w:tr>
        <w:trPr>
          <w:trHeight w:val="233"/>
        </w:trPr>
        <w:tc>
          <w:tcPr>
            <w:tcW w:w="8320" w:type="dxa"/>
            <w:vAlign w:val="bottom"/>
          </w:tcPr>
          <w:p>
            <w:pPr>
              <w:ind w:left="220"/>
              <w:spacing w:after="0"/>
              <w:rPr>
                <w:sz w:val="20"/>
                <w:szCs w:val="20"/>
                <w:color w:val="auto"/>
              </w:rPr>
            </w:pPr>
            <w:r>
              <w:rPr>
                <w:rFonts w:ascii="Arial" w:cs="Arial" w:eastAsia="Arial" w:hAnsi="Arial"/>
                <w:sz w:val="16"/>
                <w:szCs w:val="16"/>
                <w:color w:val="auto"/>
              </w:rPr>
              <w:t>Add: Dividends paid-common stock outstanding</w:t>
            </w: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b w:val="1"/>
                <w:bCs w:val="1"/>
                <w:color w:val="auto"/>
              </w:rPr>
              <w:t>15,563</w:t>
            </w:r>
          </w:p>
        </w:tc>
        <w:tc>
          <w:tcPr>
            <w:tcW w:w="4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15,250</w:t>
            </w:r>
          </w:p>
        </w:tc>
        <w:tc>
          <w:tcPr>
            <w:tcW w:w="0" w:type="dxa"/>
            <w:vAlign w:val="bottom"/>
          </w:tcPr>
          <w:p>
            <w:pPr>
              <w:spacing w:after="0"/>
              <w:rPr>
                <w:sz w:val="1"/>
                <w:szCs w:val="1"/>
                <w:color w:val="auto"/>
              </w:rPr>
            </w:pPr>
          </w:p>
        </w:tc>
      </w:tr>
      <w:tr>
        <w:trPr>
          <w:trHeight w:val="227"/>
        </w:trPr>
        <w:tc>
          <w:tcPr>
            <w:tcW w:w="8320" w:type="dxa"/>
            <w:vAlign w:val="bottom"/>
          </w:tcPr>
          <w:p>
            <w:pPr>
              <w:ind w:left="220"/>
              <w:spacing w:after="0"/>
              <w:rPr>
                <w:sz w:val="20"/>
                <w:szCs w:val="20"/>
                <w:color w:val="auto"/>
              </w:rPr>
            </w:pPr>
            <w:r>
              <w:rPr>
                <w:rFonts w:ascii="Arial" w:cs="Arial" w:eastAsia="Arial" w:hAnsi="Arial"/>
                <w:sz w:val="16"/>
                <w:szCs w:val="16"/>
                <w:b w:val="1"/>
                <w:bCs w:val="1"/>
                <w:color w:val="auto"/>
              </w:rPr>
              <w:t>Numerator for basic earnings per share</w:t>
            </w: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w:t>
            </w:r>
          </w:p>
        </w:tc>
        <w:tc>
          <w:tcPr>
            <w:tcW w:w="114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b w:val="1"/>
                <w:bCs w:val="1"/>
                <w:color w:val="auto"/>
              </w:rPr>
              <w:t>23,745</w:t>
            </w:r>
          </w:p>
        </w:tc>
        <w:tc>
          <w:tcPr>
            <w:tcW w:w="46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123,545</w:t>
            </w:r>
          </w:p>
        </w:tc>
        <w:tc>
          <w:tcPr>
            <w:tcW w:w="0" w:type="dxa"/>
            <w:vAlign w:val="bottom"/>
          </w:tcPr>
          <w:p>
            <w:pPr>
              <w:spacing w:after="0"/>
              <w:rPr>
                <w:sz w:val="1"/>
                <w:szCs w:val="1"/>
                <w:color w:val="auto"/>
              </w:rPr>
            </w:pPr>
          </w:p>
        </w:tc>
      </w:tr>
      <w:tr>
        <w:trPr>
          <w:trHeight w:val="21"/>
        </w:trPr>
        <w:tc>
          <w:tcPr>
            <w:tcW w:w="8320" w:type="dxa"/>
            <w:vAlign w:val="bottom"/>
            <w:vMerge w:val="restart"/>
          </w:tcPr>
          <w:p>
            <w:pPr>
              <w:ind w:left="220"/>
              <w:spacing w:after="0"/>
              <w:rPr>
                <w:sz w:val="20"/>
                <w:szCs w:val="20"/>
                <w:color w:val="auto"/>
              </w:rPr>
            </w:pPr>
            <w:r>
              <w:rPr>
                <w:rFonts w:ascii="Arial" w:cs="Arial" w:eastAsia="Arial" w:hAnsi="Arial"/>
                <w:sz w:val="16"/>
                <w:szCs w:val="16"/>
                <w:color w:val="auto"/>
              </w:rPr>
              <w:t>Add: Additional undistributed earnings due to dilutive stock options</w:t>
            </w: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0"/>
        </w:trPr>
        <w:tc>
          <w:tcPr>
            <w:tcW w:w="8320" w:type="dxa"/>
            <w:vAlign w:val="bottom"/>
            <w:vMerge w:val="continue"/>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b w:val="1"/>
                <w:bCs w:val="1"/>
                <w:color w:val="auto"/>
              </w:rPr>
              <w:t>—</w:t>
            </w:r>
          </w:p>
        </w:tc>
        <w:tc>
          <w:tcPr>
            <w:tcW w:w="4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26"/>
        </w:trPr>
        <w:tc>
          <w:tcPr>
            <w:tcW w:w="8320" w:type="dxa"/>
            <w:vAlign w:val="bottom"/>
          </w:tcPr>
          <w:p>
            <w:pPr>
              <w:ind w:left="140"/>
              <w:spacing w:after="0"/>
              <w:rPr>
                <w:sz w:val="20"/>
                <w:szCs w:val="20"/>
                <w:color w:val="auto"/>
              </w:rPr>
            </w:pPr>
            <w:r>
              <w:rPr>
                <w:rFonts w:ascii="Arial" w:cs="Arial" w:eastAsia="Arial" w:hAnsi="Arial"/>
                <w:sz w:val="16"/>
                <w:szCs w:val="16"/>
                <w:b w:val="1"/>
                <w:bCs w:val="1"/>
                <w:color w:val="auto"/>
              </w:rPr>
              <w:t>Numerator for diluted earnings per share</w:t>
            </w: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w:t>
            </w:r>
          </w:p>
        </w:tc>
        <w:tc>
          <w:tcPr>
            <w:tcW w:w="114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b w:val="1"/>
                <w:bCs w:val="1"/>
                <w:color w:val="auto"/>
              </w:rPr>
              <w:t>23,745</w:t>
            </w:r>
          </w:p>
        </w:tc>
        <w:tc>
          <w:tcPr>
            <w:tcW w:w="46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123,549</w:t>
            </w:r>
          </w:p>
        </w:tc>
        <w:tc>
          <w:tcPr>
            <w:tcW w:w="0" w:type="dxa"/>
            <w:vAlign w:val="bottom"/>
          </w:tcPr>
          <w:p>
            <w:pPr>
              <w:spacing w:after="0"/>
              <w:rPr>
                <w:sz w:val="1"/>
                <w:szCs w:val="1"/>
                <w:color w:val="auto"/>
              </w:rPr>
            </w:pPr>
          </w:p>
        </w:tc>
      </w:tr>
      <w:tr>
        <w:trPr>
          <w:trHeight w:val="21"/>
        </w:trPr>
        <w:tc>
          <w:tcPr>
            <w:tcW w:w="832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Denominator:</w:t>
            </w: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8"/>
        </w:trPr>
        <w:tc>
          <w:tcPr>
            <w:tcW w:w="832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8320" w:type="dxa"/>
            <w:vAlign w:val="bottom"/>
          </w:tcPr>
          <w:p>
            <w:pPr>
              <w:ind w:left="140"/>
              <w:spacing w:after="0"/>
              <w:rPr>
                <w:sz w:val="20"/>
                <w:szCs w:val="20"/>
                <w:color w:val="auto"/>
              </w:rPr>
            </w:pPr>
            <w:r>
              <w:rPr>
                <w:rFonts w:ascii="Arial" w:cs="Arial" w:eastAsia="Arial" w:hAnsi="Arial"/>
                <w:sz w:val="16"/>
                <w:szCs w:val="16"/>
                <w:b w:val="1"/>
                <w:bCs w:val="1"/>
                <w:color w:val="auto"/>
              </w:rPr>
              <w:t>Denominator for basic earnings per share:</w:t>
            </w: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320" w:type="dxa"/>
            <w:vAlign w:val="bottom"/>
          </w:tcPr>
          <w:p>
            <w:pPr>
              <w:ind w:left="220"/>
              <w:spacing w:after="0"/>
              <w:rPr>
                <w:sz w:val="20"/>
                <w:szCs w:val="20"/>
                <w:color w:val="auto"/>
              </w:rPr>
            </w:pPr>
            <w:r>
              <w:rPr>
                <w:rFonts w:ascii="Arial" w:cs="Arial" w:eastAsia="Arial" w:hAnsi="Arial"/>
                <w:sz w:val="16"/>
                <w:szCs w:val="16"/>
                <w:color w:val="auto"/>
              </w:rPr>
              <w:t>Weighted average shares outstanding</w:t>
            </w:r>
          </w:p>
        </w:tc>
        <w:tc>
          <w:tcPr>
            <w:tcW w:w="320" w:type="dxa"/>
            <w:vAlign w:val="bottom"/>
          </w:tcPr>
          <w:p>
            <w:pPr>
              <w:spacing w:after="0"/>
              <w:rPr>
                <w:sz w:val="19"/>
                <w:szCs w:val="19"/>
                <w:color w:val="auto"/>
              </w:rPr>
            </w:pPr>
          </w:p>
        </w:tc>
        <w:tc>
          <w:tcPr>
            <w:tcW w:w="1140" w:type="dxa"/>
            <w:vAlign w:val="bottom"/>
          </w:tcPr>
          <w:p>
            <w:pPr>
              <w:jc w:val="right"/>
              <w:ind w:right="180"/>
              <w:spacing w:after="0"/>
              <w:rPr>
                <w:sz w:val="20"/>
                <w:szCs w:val="20"/>
                <w:color w:val="auto"/>
              </w:rPr>
            </w:pPr>
            <w:r>
              <w:rPr>
                <w:rFonts w:ascii="Arial" w:cs="Arial" w:eastAsia="Arial" w:hAnsi="Arial"/>
                <w:sz w:val="16"/>
                <w:szCs w:val="16"/>
                <w:b w:val="1"/>
                <w:bCs w:val="1"/>
                <w:color w:val="auto"/>
              </w:rPr>
              <w:t>4,320</w:t>
            </w:r>
          </w:p>
        </w:tc>
        <w:tc>
          <w:tcPr>
            <w:tcW w:w="460" w:type="dxa"/>
            <w:vAlign w:val="bottom"/>
          </w:tcPr>
          <w:p>
            <w:pPr>
              <w:spacing w:after="0"/>
              <w:rPr>
                <w:sz w:val="19"/>
                <w:szCs w:val="19"/>
                <w:color w:val="auto"/>
              </w:rPr>
            </w:pPr>
          </w:p>
        </w:tc>
        <w:tc>
          <w:tcPr>
            <w:tcW w:w="1000" w:type="dxa"/>
            <w:vAlign w:val="bottom"/>
          </w:tcPr>
          <w:p>
            <w:pPr>
              <w:jc w:val="right"/>
              <w:ind w:right="120"/>
              <w:spacing w:after="0"/>
              <w:rPr>
                <w:sz w:val="20"/>
                <w:szCs w:val="20"/>
                <w:color w:val="auto"/>
              </w:rPr>
            </w:pPr>
            <w:r>
              <w:rPr>
                <w:rFonts w:ascii="Arial" w:cs="Arial" w:eastAsia="Arial" w:hAnsi="Arial"/>
                <w:sz w:val="16"/>
                <w:szCs w:val="16"/>
                <w:color w:val="auto"/>
              </w:rPr>
              <w:t>4,432</w:t>
            </w:r>
          </w:p>
        </w:tc>
        <w:tc>
          <w:tcPr>
            <w:tcW w:w="0" w:type="dxa"/>
            <w:vAlign w:val="bottom"/>
          </w:tcPr>
          <w:p>
            <w:pPr>
              <w:spacing w:after="0"/>
              <w:rPr>
                <w:sz w:val="1"/>
                <w:szCs w:val="1"/>
                <w:color w:val="auto"/>
              </w:rPr>
            </w:pPr>
          </w:p>
        </w:tc>
      </w:tr>
      <w:tr>
        <w:trPr>
          <w:trHeight w:val="233"/>
        </w:trPr>
        <w:tc>
          <w:tcPr>
            <w:tcW w:w="8320" w:type="dxa"/>
            <w:vAlign w:val="bottom"/>
          </w:tcPr>
          <w:p>
            <w:pPr>
              <w:ind w:left="220"/>
              <w:spacing w:after="0"/>
              <w:rPr>
                <w:sz w:val="20"/>
                <w:szCs w:val="20"/>
                <w:color w:val="auto"/>
              </w:rPr>
            </w:pPr>
            <w:r>
              <w:rPr>
                <w:rFonts w:ascii="Arial" w:cs="Arial" w:eastAsia="Arial" w:hAnsi="Arial"/>
                <w:sz w:val="16"/>
                <w:szCs w:val="16"/>
                <w:color w:val="auto"/>
              </w:rPr>
              <w:t>Add: Effect of dilutive stock options</w:t>
            </w: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b w:val="1"/>
                <w:bCs w:val="1"/>
                <w:color w:val="auto"/>
              </w:rPr>
              <w:t>38</w:t>
            </w:r>
          </w:p>
        </w:tc>
        <w:tc>
          <w:tcPr>
            <w:tcW w:w="4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227"/>
        </w:trPr>
        <w:tc>
          <w:tcPr>
            <w:tcW w:w="8320" w:type="dxa"/>
            <w:vAlign w:val="bottom"/>
          </w:tcPr>
          <w:p>
            <w:pPr>
              <w:ind w:left="140"/>
              <w:spacing w:after="0"/>
              <w:rPr>
                <w:sz w:val="20"/>
                <w:szCs w:val="20"/>
                <w:color w:val="auto"/>
              </w:rPr>
            </w:pPr>
            <w:r>
              <w:rPr>
                <w:rFonts w:ascii="Arial" w:cs="Arial" w:eastAsia="Arial" w:hAnsi="Arial"/>
                <w:sz w:val="16"/>
                <w:szCs w:val="16"/>
                <w:b w:val="1"/>
                <w:bCs w:val="1"/>
                <w:color w:val="auto"/>
              </w:rPr>
              <w:t>Denominator for diluted earnings per share</w:t>
            </w: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b w:val="1"/>
                <w:bCs w:val="1"/>
                <w:color w:val="auto"/>
              </w:rPr>
              <w:t>4,358</w:t>
            </w:r>
          </w:p>
        </w:tc>
        <w:tc>
          <w:tcPr>
            <w:tcW w:w="4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4,457</w:t>
            </w:r>
          </w:p>
        </w:tc>
        <w:tc>
          <w:tcPr>
            <w:tcW w:w="0" w:type="dxa"/>
            <w:vAlign w:val="bottom"/>
          </w:tcPr>
          <w:p>
            <w:pPr>
              <w:spacing w:after="0"/>
              <w:rPr>
                <w:sz w:val="1"/>
                <w:szCs w:val="1"/>
                <w:color w:val="auto"/>
              </w:rPr>
            </w:pPr>
          </w:p>
        </w:tc>
      </w:tr>
      <w:tr>
        <w:trPr>
          <w:trHeight w:val="21"/>
        </w:trPr>
        <w:tc>
          <w:tcPr>
            <w:tcW w:w="832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Graham Holdings Company Common Stockholders:</w:t>
            </w: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8320" w:type="dxa"/>
            <w:vAlign w:val="bottom"/>
            <w:vMerge w:val="continue"/>
          </w:tcPr>
          <w:p>
            <w:pPr>
              <w:spacing w:after="0"/>
              <w:rPr>
                <w:sz w:val="18"/>
                <w:szCs w:val="18"/>
                <w:color w:val="auto"/>
              </w:rPr>
            </w:pPr>
          </w:p>
        </w:tc>
        <w:tc>
          <w:tcPr>
            <w:tcW w:w="320" w:type="dxa"/>
            <w:vAlign w:val="bottom"/>
            <w:vMerge w:val="restart"/>
          </w:tcPr>
          <w:p>
            <w:pPr>
              <w:jc w:val="right"/>
              <w:ind w:right="119"/>
              <w:spacing w:after="0"/>
              <w:rPr>
                <w:sz w:val="20"/>
                <w:szCs w:val="20"/>
                <w:color w:val="auto"/>
              </w:rPr>
            </w:pPr>
            <w:r>
              <w:rPr>
                <w:rFonts w:ascii="Arial" w:cs="Arial" w:eastAsia="Arial" w:hAnsi="Arial"/>
                <w:sz w:val="16"/>
                <w:szCs w:val="16"/>
                <w:b w:val="1"/>
                <w:bCs w:val="1"/>
                <w:color w:val="auto"/>
              </w:rPr>
              <w:t>$</w:t>
            </w:r>
          </w:p>
        </w:tc>
        <w:tc>
          <w:tcPr>
            <w:tcW w:w="1140" w:type="dxa"/>
            <w:vAlign w:val="bottom"/>
            <w:vMerge w:val="restart"/>
          </w:tcPr>
          <w:p>
            <w:pPr>
              <w:jc w:val="right"/>
              <w:ind w:right="180"/>
              <w:spacing w:after="0"/>
              <w:rPr>
                <w:sz w:val="20"/>
                <w:szCs w:val="20"/>
                <w:color w:val="auto"/>
              </w:rPr>
            </w:pPr>
            <w:r>
              <w:rPr>
                <w:rFonts w:ascii="Arial" w:cs="Arial" w:eastAsia="Arial" w:hAnsi="Arial"/>
                <w:sz w:val="16"/>
                <w:szCs w:val="16"/>
                <w:b w:val="1"/>
                <w:bCs w:val="1"/>
                <w:color w:val="auto"/>
              </w:rPr>
              <w:t>5.50</w:t>
            </w:r>
          </w:p>
        </w:tc>
        <w:tc>
          <w:tcPr>
            <w:tcW w:w="460" w:type="dxa"/>
            <w:vAlign w:val="bottom"/>
            <w:vMerge w:val="restart"/>
          </w:tcPr>
          <w:p>
            <w:pPr>
              <w:jc w:val="right"/>
              <w:ind w:right="219"/>
              <w:spacing w:after="0"/>
              <w:rPr>
                <w:sz w:val="20"/>
                <w:szCs w:val="20"/>
                <w:color w:val="auto"/>
              </w:rPr>
            </w:pPr>
            <w:r>
              <w:rPr>
                <w:rFonts w:ascii="Arial" w:cs="Arial" w:eastAsia="Arial" w:hAnsi="Arial"/>
                <w:sz w:val="16"/>
                <w:szCs w:val="16"/>
                <w:color w:val="auto"/>
              </w:rPr>
              <w:t>$</w:t>
            </w:r>
          </w:p>
        </w:tc>
        <w:tc>
          <w:tcPr>
            <w:tcW w:w="1000" w:type="dxa"/>
            <w:vAlign w:val="bottom"/>
            <w:vMerge w:val="restart"/>
          </w:tcPr>
          <w:p>
            <w:pPr>
              <w:jc w:val="right"/>
              <w:ind w:right="120"/>
              <w:spacing w:after="0"/>
              <w:rPr>
                <w:sz w:val="20"/>
                <w:szCs w:val="20"/>
                <w:color w:val="auto"/>
              </w:rPr>
            </w:pPr>
            <w:r>
              <w:rPr>
                <w:rFonts w:ascii="Arial" w:cs="Arial" w:eastAsia="Arial" w:hAnsi="Arial"/>
                <w:sz w:val="16"/>
                <w:szCs w:val="16"/>
                <w:color w:val="auto"/>
              </w:rPr>
              <w:t>27.87</w:t>
            </w:r>
          </w:p>
        </w:tc>
        <w:tc>
          <w:tcPr>
            <w:tcW w:w="0" w:type="dxa"/>
            <w:vAlign w:val="bottom"/>
          </w:tcPr>
          <w:p>
            <w:pPr>
              <w:spacing w:after="0"/>
              <w:rPr>
                <w:sz w:val="1"/>
                <w:szCs w:val="1"/>
                <w:color w:val="auto"/>
              </w:rPr>
            </w:pPr>
          </w:p>
        </w:tc>
      </w:tr>
      <w:tr>
        <w:trPr>
          <w:trHeight w:val="242"/>
        </w:trPr>
        <w:tc>
          <w:tcPr>
            <w:tcW w:w="8320" w:type="dxa"/>
            <w:vAlign w:val="bottom"/>
          </w:tcPr>
          <w:p>
            <w:pPr>
              <w:ind w:left="140"/>
              <w:spacing w:after="0"/>
              <w:rPr>
                <w:sz w:val="20"/>
                <w:szCs w:val="20"/>
                <w:color w:val="auto"/>
              </w:rPr>
            </w:pPr>
            <w:r>
              <w:rPr>
                <w:rFonts w:ascii="Arial" w:cs="Arial" w:eastAsia="Arial" w:hAnsi="Arial"/>
                <w:sz w:val="16"/>
                <w:szCs w:val="16"/>
                <w:b w:val="1"/>
                <w:bCs w:val="1"/>
                <w:color w:val="auto"/>
              </w:rPr>
              <w:t>Basic earnings per share</w:t>
            </w:r>
          </w:p>
        </w:tc>
        <w:tc>
          <w:tcPr>
            <w:tcW w:w="320" w:type="dxa"/>
            <w:vAlign w:val="bottom"/>
            <w:tcBorders>
              <w:bottom w:val="single" w:sz="8" w:color="auto"/>
            </w:tcBorders>
            <w:vMerge w:val="continue"/>
          </w:tcPr>
          <w:p>
            <w:pPr>
              <w:spacing w:after="0"/>
              <w:rPr>
                <w:sz w:val="20"/>
                <w:szCs w:val="20"/>
                <w:color w:val="auto"/>
              </w:rPr>
            </w:pPr>
          </w:p>
        </w:tc>
        <w:tc>
          <w:tcPr>
            <w:tcW w:w="1140" w:type="dxa"/>
            <w:vAlign w:val="bottom"/>
            <w:tcBorders>
              <w:bottom w:val="single" w:sz="8" w:color="auto"/>
            </w:tcBorders>
            <w:vMerge w:val="continue"/>
          </w:tcPr>
          <w:p>
            <w:pPr>
              <w:spacing w:after="0"/>
              <w:rPr>
                <w:sz w:val="20"/>
                <w:szCs w:val="20"/>
                <w:color w:val="auto"/>
              </w:rPr>
            </w:pPr>
          </w:p>
        </w:tc>
        <w:tc>
          <w:tcPr>
            <w:tcW w:w="460" w:type="dxa"/>
            <w:vAlign w:val="bottom"/>
            <w:tcBorders>
              <w:bottom w:val="single" w:sz="8" w:color="auto"/>
            </w:tcBorders>
            <w:vMerge w:val="continue"/>
          </w:tcPr>
          <w:p>
            <w:pPr>
              <w:spacing w:after="0"/>
              <w:rPr>
                <w:sz w:val="20"/>
                <w:szCs w:val="20"/>
                <w:color w:val="auto"/>
              </w:rPr>
            </w:pPr>
          </w:p>
        </w:tc>
        <w:tc>
          <w:tcPr>
            <w:tcW w:w="10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83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8320" w:type="dxa"/>
            <w:vAlign w:val="bottom"/>
          </w:tcPr>
          <w:p>
            <w:pPr>
              <w:ind w:left="140"/>
              <w:spacing w:after="0"/>
              <w:rPr>
                <w:sz w:val="20"/>
                <w:szCs w:val="20"/>
                <w:color w:val="auto"/>
              </w:rPr>
            </w:pPr>
            <w:r>
              <w:rPr>
                <w:rFonts w:ascii="Arial" w:cs="Arial" w:eastAsia="Arial" w:hAnsi="Arial"/>
                <w:sz w:val="16"/>
                <w:szCs w:val="16"/>
                <w:b w:val="1"/>
                <w:bCs w:val="1"/>
                <w:color w:val="auto"/>
              </w:rPr>
              <w:t>Diluted earnings per share</w:t>
            </w: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w:t>
            </w:r>
          </w:p>
        </w:tc>
        <w:tc>
          <w:tcPr>
            <w:tcW w:w="114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b w:val="1"/>
                <w:bCs w:val="1"/>
                <w:color w:val="auto"/>
              </w:rPr>
              <w:t>5.45</w:t>
            </w:r>
          </w:p>
        </w:tc>
        <w:tc>
          <w:tcPr>
            <w:tcW w:w="46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27.72</w:t>
            </w:r>
          </w:p>
        </w:tc>
        <w:tc>
          <w:tcPr>
            <w:tcW w:w="0" w:type="dxa"/>
            <w:vAlign w:val="bottom"/>
          </w:tcPr>
          <w:p>
            <w:pPr>
              <w:spacing w:after="0"/>
              <w:rPr>
                <w:sz w:val="1"/>
                <w:szCs w:val="1"/>
                <w:color w:val="auto"/>
              </w:rPr>
            </w:pPr>
          </w:p>
        </w:tc>
      </w:tr>
      <w:tr>
        <w:trPr>
          <w:trHeight w:val="20"/>
        </w:trPr>
        <w:tc>
          <w:tcPr>
            <w:tcW w:w="83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8" w:lineRule="exact"/>
        <w:rPr>
          <w:sz w:val="20"/>
          <w:szCs w:val="20"/>
          <w:color w:val="auto"/>
        </w:rPr>
      </w:pPr>
    </w:p>
    <w:p>
      <w:pPr>
        <w:spacing w:after="0"/>
        <w:rPr>
          <w:sz w:val="20"/>
          <w:szCs w:val="20"/>
          <w:color w:val="auto"/>
        </w:rPr>
      </w:pPr>
      <w:r>
        <w:rPr>
          <w:rFonts w:ascii="Arial" w:cs="Arial" w:eastAsia="Arial" w:hAnsi="Arial"/>
          <w:sz w:val="11"/>
          <w:szCs w:val="11"/>
          <w:color w:val="auto"/>
        </w:rPr>
        <w:t>____________</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Earnings per share amounts may not recalculate due to rounding.</w:t>
      </w:r>
    </w:p>
    <w:p>
      <w:pPr>
        <w:spacing w:after="0" w:line="122" w:lineRule="exact"/>
        <w:rPr>
          <w:sz w:val="20"/>
          <w:szCs w:val="20"/>
          <w:color w:val="auto"/>
        </w:rPr>
      </w:pPr>
    </w:p>
    <w:p>
      <w:pPr>
        <w:ind w:right="740"/>
        <w:spacing w:after="0" w:line="271" w:lineRule="auto"/>
        <w:rPr>
          <w:sz w:val="20"/>
          <w:szCs w:val="20"/>
          <w:color w:val="auto"/>
        </w:rPr>
      </w:pPr>
      <w:r>
        <w:rPr>
          <w:rFonts w:ascii="Arial" w:cs="Arial" w:eastAsia="Arial" w:hAnsi="Arial"/>
          <w:sz w:val="18"/>
          <w:szCs w:val="18"/>
          <w:color w:val="auto"/>
        </w:rPr>
        <w:t>Diluted earnings per share excludes the following weighted average potential common shares, as the effect would be antidilutive, as computed under the treasury stock method:</w:t>
      </w:r>
    </w:p>
    <w:p>
      <w:pPr>
        <w:spacing w:after="0" w:line="163" w:lineRule="exact"/>
        <w:rPr>
          <w:sz w:val="20"/>
          <w:szCs w:val="20"/>
          <w:color w:val="auto"/>
        </w:rPr>
      </w:pPr>
    </w:p>
    <w:p>
      <w:pPr>
        <w:ind w:left="9180"/>
        <w:spacing w:after="0"/>
        <w:rPr>
          <w:sz w:val="20"/>
          <w:szCs w:val="20"/>
          <w:color w:val="auto"/>
        </w:rPr>
      </w:pPr>
      <w:r>
        <w:rPr>
          <w:rFonts w:ascii="Arial" w:cs="Arial" w:eastAsia="Arial" w:hAnsi="Arial"/>
          <w:sz w:val="14"/>
          <w:szCs w:val="14"/>
          <w:b w:val="1"/>
          <w:bCs w:val="1"/>
          <w:color w:val="auto"/>
        </w:rPr>
        <w:t>Three Months Ended</w:t>
      </w:r>
    </w:p>
    <w:p>
      <w:pPr>
        <w:spacing w:after="0" w:line="2" w:lineRule="exact"/>
        <w:rPr>
          <w:sz w:val="20"/>
          <w:szCs w:val="20"/>
          <w:color w:val="auto"/>
        </w:rPr>
      </w:pPr>
    </w:p>
    <w:p>
      <w:pPr>
        <w:ind w:left="9620"/>
        <w:spacing w:after="0"/>
        <w:rPr>
          <w:sz w:val="20"/>
          <w:szCs w:val="20"/>
          <w:color w:val="auto"/>
        </w:rPr>
      </w:pPr>
      <w:r>
        <w:rPr>
          <w:rFonts w:ascii="Arial" w:cs="Arial" w:eastAsia="Arial" w:hAnsi="Arial"/>
          <w:sz w:val="14"/>
          <w:szCs w:val="14"/>
          <w:b w:val="1"/>
          <w:bCs w:val="1"/>
          <w:color w:val="auto"/>
        </w:rPr>
        <w:t>March 31</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86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1520" w:type="dxa"/>
            <w:vAlign w:val="bottom"/>
            <w:tcBorders>
              <w:top w:val="single" w:sz="8" w:color="auto"/>
              <w:bottom w:val="single" w:sz="8" w:color="auto"/>
            </w:tcBorders>
          </w:tcPr>
          <w:p>
            <w:pPr>
              <w:jc w:val="right"/>
              <w:ind w:right="664"/>
              <w:spacing w:after="0"/>
              <w:rPr>
                <w:sz w:val="20"/>
                <w:szCs w:val="20"/>
                <w:color w:val="auto"/>
              </w:rPr>
            </w:pPr>
            <w:r>
              <w:rPr>
                <w:rFonts w:ascii="Arial" w:cs="Arial" w:eastAsia="Arial" w:hAnsi="Arial"/>
                <w:sz w:val="14"/>
                <w:szCs w:val="14"/>
                <w:b w:val="1"/>
                <w:bCs w:val="1"/>
                <w:color w:val="auto"/>
              </w:rPr>
              <w:t>2025</w:t>
            </w:r>
          </w:p>
        </w:tc>
        <w:tc>
          <w:tcPr>
            <w:tcW w:w="1120" w:type="dxa"/>
            <w:vAlign w:val="bottom"/>
            <w:tcBorders>
              <w:top w:val="single" w:sz="8" w:color="auto"/>
              <w:bottom w:val="single" w:sz="8" w:color="auto"/>
            </w:tcBorders>
          </w:tcPr>
          <w:p>
            <w:pPr>
              <w:jc w:val="right"/>
              <w:ind w:right="404"/>
              <w:spacing w:after="0"/>
              <w:rPr>
                <w:sz w:val="20"/>
                <w:szCs w:val="20"/>
                <w:color w:val="auto"/>
              </w:rPr>
            </w:pPr>
            <w:r>
              <w:rPr>
                <w:rFonts w:ascii="Arial" w:cs="Arial" w:eastAsia="Arial" w:hAnsi="Arial"/>
                <w:sz w:val="14"/>
                <w:szCs w:val="14"/>
                <w:color w:val="auto"/>
              </w:rPr>
              <w:t>2024</w:t>
            </w:r>
          </w:p>
        </w:tc>
      </w:tr>
      <w:tr>
        <w:trPr>
          <w:trHeight w:val="223"/>
        </w:trPr>
        <w:tc>
          <w:tcPr>
            <w:tcW w:w="8600" w:type="dxa"/>
            <w:vAlign w:val="bottom"/>
          </w:tcPr>
          <w:p>
            <w:pPr>
              <w:ind w:left="140"/>
              <w:spacing w:after="0"/>
              <w:rPr>
                <w:sz w:val="20"/>
                <w:szCs w:val="20"/>
                <w:color w:val="auto"/>
              </w:rPr>
            </w:pPr>
            <w:r>
              <w:rPr>
                <w:rFonts w:ascii="Arial" w:cs="Arial" w:eastAsia="Arial" w:hAnsi="Arial"/>
                <w:sz w:val="16"/>
                <w:szCs w:val="16"/>
                <w:color w:val="auto"/>
              </w:rPr>
              <w:t>Weighted average restricted stock</w:t>
            </w:r>
          </w:p>
        </w:tc>
        <w:tc>
          <w:tcPr>
            <w:tcW w:w="1520" w:type="dxa"/>
            <w:vAlign w:val="bottom"/>
          </w:tcPr>
          <w:p>
            <w:pPr>
              <w:jc w:val="right"/>
              <w:ind w:right="244"/>
              <w:spacing w:after="0"/>
              <w:rPr>
                <w:sz w:val="20"/>
                <w:szCs w:val="20"/>
                <w:color w:val="auto"/>
              </w:rPr>
            </w:pPr>
            <w:r>
              <w:rPr>
                <w:rFonts w:ascii="Arial" w:cs="Arial" w:eastAsia="Arial" w:hAnsi="Arial"/>
                <w:sz w:val="16"/>
                <w:szCs w:val="16"/>
                <w:b w:val="1"/>
                <w:bCs w:val="1"/>
                <w:color w:val="auto"/>
              </w:rPr>
              <w:t>12</w:t>
            </w:r>
          </w:p>
        </w:tc>
        <w:tc>
          <w:tcPr>
            <w:tcW w:w="1120" w:type="dxa"/>
            <w:vAlign w:val="bottom"/>
          </w:tcPr>
          <w:p>
            <w:pPr>
              <w:jc w:val="right"/>
              <w:ind w:right="4"/>
              <w:spacing w:after="0"/>
              <w:rPr>
                <w:sz w:val="20"/>
                <w:szCs w:val="20"/>
                <w:color w:val="auto"/>
              </w:rPr>
            </w:pPr>
            <w:r>
              <w:rPr>
                <w:rFonts w:ascii="Arial" w:cs="Arial" w:eastAsia="Arial" w:hAnsi="Arial"/>
                <w:sz w:val="16"/>
                <w:szCs w:val="16"/>
                <w:color w:val="auto"/>
              </w:rPr>
              <w:t>18</w:t>
            </w:r>
          </w:p>
        </w:tc>
      </w:tr>
    </w:tbl>
    <w:p>
      <w:pPr>
        <w:spacing w:after="0" w:line="218" w:lineRule="exact"/>
        <w:rPr>
          <w:sz w:val="20"/>
          <w:szCs w:val="20"/>
          <w:color w:val="auto"/>
        </w:rPr>
      </w:pPr>
    </w:p>
    <w:p>
      <w:pPr>
        <w:ind w:right="100"/>
        <w:spacing w:after="0" w:line="245" w:lineRule="auto"/>
        <w:rPr>
          <w:sz w:val="20"/>
          <w:szCs w:val="20"/>
          <w:color w:val="auto"/>
        </w:rPr>
      </w:pPr>
      <w:r>
        <w:rPr>
          <w:rFonts w:ascii="Arial" w:cs="Arial" w:eastAsia="Arial" w:hAnsi="Arial"/>
          <w:sz w:val="18"/>
          <w:szCs w:val="18"/>
          <w:color w:val="auto"/>
        </w:rPr>
        <w:t>The diluted earnings per share amounts for the three months ended March 31, 2025 excludes the effect of 1,000 contingently issuable shares outstanding as their inclusion would have been antidilutive due to a market condition. The diluted earnings per share amounts for the</w:t>
      </w:r>
    </w:p>
    <w:p>
      <w:pPr>
        <w:ind w:right="600"/>
        <w:spacing w:after="0" w:line="237" w:lineRule="auto"/>
        <w:rPr>
          <w:sz w:val="20"/>
          <w:szCs w:val="20"/>
          <w:color w:val="auto"/>
        </w:rPr>
      </w:pPr>
      <w:r>
        <w:rPr>
          <w:rFonts w:ascii="Arial" w:cs="Arial" w:eastAsia="Arial" w:hAnsi="Arial"/>
          <w:sz w:val="18"/>
          <w:szCs w:val="18"/>
          <w:color w:val="auto"/>
        </w:rPr>
        <w:t>three months ended March 31, 2024 exclude the effect of 105,000 stock options and contingently issuable shares outstanding as their inclusion would have been antidilutive due to a market condition.</w:t>
      </w:r>
    </w:p>
    <w:p>
      <w:pPr>
        <w:spacing w:after="0" w:line="127" w:lineRule="exact"/>
        <w:rPr>
          <w:sz w:val="20"/>
          <w:szCs w:val="20"/>
          <w:color w:val="auto"/>
        </w:rPr>
      </w:pPr>
    </w:p>
    <w:p>
      <w:pPr>
        <w:ind w:right="120"/>
        <w:spacing w:after="0" w:line="271" w:lineRule="auto"/>
        <w:rPr>
          <w:sz w:val="20"/>
          <w:szCs w:val="20"/>
          <w:color w:val="auto"/>
        </w:rPr>
      </w:pPr>
      <w:r>
        <w:rPr>
          <w:rFonts w:ascii="Arial" w:cs="Arial" w:eastAsia="Arial" w:hAnsi="Arial"/>
          <w:sz w:val="18"/>
          <w:szCs w:val="18"/>
          <w:color w:val="auto"/>
        </w:rPr>
        <w:t>In the three months ended March 31, 2025 and 2024, the Company declared regular dividends totaling $3.60 and $3.44 per common share, respectively.</w:t>
      </w: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11. PENSION AND POSTRETIREMENT PLANS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Defined Benefit Plans. </w:t>
      </w:r>
      <w:r>
        <w:rPr>
          <w:rFonts w:ascii="Arial" w:cs="Arial" w:eastAsia="Arial" w:hAnsi="Arial"/>
          <w:sz w:val="18"/>
          <w:szCs w:val="18"/>
          <w:color w:val="auto"/>
        </w:rPr>
        <w:t>The total benefit arising from the Company’s defined benefit pension plans consists of the following components:</w:t>
      </w:r>
    </w:p>
    <w:p>
      <w:pPr>
        <w:spacing w:after="0" w:line="208" w:lineRule="exact"/>
        <w:rPr>
          <w:sz w:val="20"/>
          <w:szCs w:val="20"/>
          <w:color w:val="auto"/>
        </w:rPr>
      </w:pPr>
    </w:p>
    <w:p>
      <w:pPr>
        <w:ind w:left="9120"/>
        <w:spacing w:after="0"/>
        <w:rPr>
          <w:sz w:val="20"/>
          <w:szCs w:val="20"/>
          <w:color w:val="auto"/>
        </w:rPr>
      </w:pPr>
      <w:r>
        <w:rPr>
          <w:rFonts w:ascii="Arial" w:cs="Arial" w:eastAsia="Arial" w:hAnsi="Arial"/>
          <w:sz w:val="14"/>
          <w:szCs w:val="14"/>
          <w:b w:val="1"/>
          <w:bCs w:val="1"/>
          <w:color w:val="auto"/>
        </w:rPr>
        <w:t>Three Months Ended</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4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2"/>
          </w:tcPr>
          <w:p>
            <w:pPr>
              <w:jc w:val="right"/>
              <w:ind w:right="39"/>
              <w:spacing w:after="0"/>
              <w:rPr>
                <w:sz w:val="20"/>
                <w:szCs w:val="20"/>
                <w:color w:val="auto"/>
              </w:rPr>
            </w:pPr>
            <w:r>
              <w:rPr>
                <w:rFonts w:ascii="Arial" w:cs="Arial" w:eastAsia="Arial" w:hAnsi="Arial"/>
                <w:sz w:val="14"/>
                <w:szCs w:val="14"/>
                <w:b w:val="1"/>
                <w:bCs w:val="1"/>
                <w:color w:val="auto"/>
              </w:rPr>
              <w:t>March 31</w:t>
            </w:r>
          </w:p>
        </w:tc>
        <w:tc>
          <w:tcPr>
            <w:tcW w:w="940" w:type="dxa"/>
            <w:vAlign w:val="bottom"/>
            <w:tcBorders>
              <w:bottom w:val="single" w:sz="8" w:color="auto"/>
            </w:tcBorders>
          </w:tcPr>
          <w:p>
            <w:pPr>
              <w:spacing w:after="0"/>
              <w:rPr>
                <w:sz w:val="16"/>
                <w:szCs w:val="16"/>
                <w:color w:val="auto"/>
              </w:rPr>
            </w:pPr>
          </w:p>
        </w:tc>
      </w:tr>
      <w:tr>
        <w:trPr>
          <w:trHeight w:val="203"/>
        </w:trPr>
        <w:tc>
          <w:tcPr>
            <w:tcW w:w="84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81"/>
              <w:spacing w:after="0"/>
              <w:rPr>
                <w:sz w:val="20"/>
                <w:szCs w:val="20"/>
                <w:color w:val="auto"/>
              </w:rPr>
            </w:pPr>
            <w:r>
              <w:rPr>
                <w:rFonts w:ascii="Arial" w:cs="Arial" w:eastAsia="Arial" w:hAnsi="Arial"/>
                <w:sz w:val="14"/>
                <w:szCs w:val="14"/>
                <w:b w:val="1"/>
                <w:bCs w:val="1"/>
                <w:color w:val="auto"/>
              </w:rPr>
              <w:t>2025</w:t>
            </w:r>
          </w:p>
        </w:tc>
        <w:tc>
          <w:tcPr>
            <w:tcW w:w="4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color w:val="auto"/>
              </w:rPr>
              <w:t>2024</w:t>
            </w:r>
          </w:p>
        </w:tc>
      </w:tr>
      <w:tr>
        <w:trPr>
          <w:trHeight w:val="223"/>
        </w:trPr>
        <w:tc>
          <w:tcPr>
            <w:tcW w:w="8460" w:type="dxa"/>
            <w:vAlign w:val="bottom"/>
          </w:tcPr>
          <w:p>
            <w:pPr>
              <w:ind w:left="20"/>
              <w:spacing w:after="0"/>
              <w:rPr>
                <w:sz w:val="20"/>
                <w:szCs w:val="20"/>
                <w:color w:val="auto"/>
              </w:rPr>
            </w:pPr>
            <w:r>
              <w:rPr>
                <w:rFonts w:ascii="Arial" w:cs="Arial" w:eastAsia="Arial" w:hAnsi="Arial"/>
                <w:sz w:val="16"/>
                <w:szCs w:val="16"/>
                <w:color w:val="auto"/>
              </w:rPr>
              <w:t>Service cost</w:t>
            </w:r>
          </w:p>
        </w:tc>
        <w:tc>
          <w:tcPr>
            <w:tcW w:w="300" w:type="dxa"/>
            <w:vAlign w:val="bottom"/>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080" w:type="dxa"/>
            <w:vAlign w:val="bottom"/>
          </w:tcPr>
          <w:p>
            <w:pPr>
              <w:jc w:val="right"/>
              <w:ind w:right="41"/>
              <w:spacing w:after="0"/>
              <w:rPr>
                <w:sz w:val="20"/>
                <w:szCs w:val="20"/>
                <w:color w:val="auto"/>
              </w:rPr>
            </w:pPr>
            <w:r>
              <w:rPr>
                <w:rFonts w:ascii="Arial" w:cs="Arial" w:eastAsia="Arial" w:hAnsi="Arial"/>
                <w:sz w:val="16"/>
                <w:szCs w:val="16"/>
                <w:b w:val="1"/>
                <w:bCs w:val="1"/>
                <w:color w:val="auto"/>
              </w:rPr>
              <w:t>12,192</w:t>
            </w:r>
          </w:p>
        </w:tc>
        <w:tc>
          <w:tcPr>
            <w:tcW w:w="46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14,034</w:t>
            </w:r>
          </w:p>
        </w:tc>
      </w:tr>
      <w:tr>
        <w:trPr>
          <w:trHeight w:val="229"/>
        </w:trPr>
        <w:tc>
          <w:tcPr>
            <w:tcW w:w="8460" w:type="dxa"/>
            <w:vAlign w:val="bottom"/>
          </w:tcPr>
          <w:p>
            <w:pPr>
              <w:ind w:left="20"/>
              <w:spacing w:after="0"/>
              <w:rPr>
                <w:sz w:val="20"/>
                <w:szCs w:val="20"/>
                <w:color w:val="auto"/>
              </w:rPr>
            </w:pPr>
            <w:r>
              <w:rPr>
                <w:rFonts w:ascii="Arial" w:cs="Arial" w:eastAsia="Arial" w:hAnsi="Arial"/>
                <w:sz w:val="16"/>
                <w:szCs w:val="16"/>
                <w:color w:val="auto"/>
              </w:rPr>
              <w:t>Interest cost</w:t>
            </w:r>
          </w:p>
        </w:tc>
        <w:tc>
          <w:tcPr>
            <w:tcW w:w="300" w:type="dxa"/>
            <w:vAlign w:val="bottom"/>
          </w:tcPr>
          <w:p>
            <w:pPr>
              <w:spacing w:after="0"/>
              <w:rPr>
                <w:sz w:val="19"/>
                <w:szCs w:val="19"/>
                <w:color w:val="auto"/>
              </w:rPr>
            </w:pPr>
          </w:p>
        </w:tc>
        <w:tc>
          <w:tcPr>
            <w:tcW w:w="1080" w:type="dxa"/>
            <w:vAlign w:val="bottom"/>
          </w:tcPr>
          <w:p>
            <w:pPr>
              <w:jc w:val="right"/>
              <w:ind w:right="41"/>
              <w:spacing w:after="0"/>
              <w:rPr>
                <w:sz w:val="20"/>
                <w:szCs w:val="20"/>
                <w:color w:val="auto"/>
              </w:rPr>
            </w:pPr>
            <w:r>
              <w:rPr>
                <w:rFonts w:ascii="Arial" w:cs="Arial" w:eastAsia="Arial" w:hAnsi="Arial"/>
                <w:sz w:val="16"/>
                <w:szCs w:val="16"/>
                <w:b w:val="1"/>
                <w:bCs w:val="1"/>
                <w:color w:val="auto"/>
              </w:rPr>
              <w:t>6,421</w:t>
            </w:r>
          </w:p>
        </w:tc>
        <w:tc>
          <w:tcPr>
            <w:tcW w:w="4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11,194</w:t>
            </w:r>
          </w:p>
        </w:tc>
      </w:tr>
      <w:tr>
        <w:trPr>
          <w:trHeight w:val="229"/>
        </w:trPr>
        <w:tc>
          <w:tcPr>
            <w:tcW w:w="8460" w:type="dxa"/>
            <w:vAlign w:val="bottom"/>
          </w:tcPr>
          <w:p>
            <w:pPr>
              <w:ind w:left="20"/>
              <w:spacing w:after="0"/>
              <w:rPr>
                <w:sz w:val="20"/>
                <w:szCs w:val="20"/>
                <w:color w:val="auto"/>
              </w:rPr>
            </w:pPr>
            <w:r>
              <w:rPr>
                <w:rFonts w:ascii="Arial" w:cs="Arial" w:eastAsia="Arial" w:hAnsi="Arial"/>
                <w:sz w:val="16"/>
                <w:szCs w:val="16"/>
                <w:color w:val="auto"/>
              </w:rPr>
              <w:t>Expected return on assets</w:t>
            </w:r>
          </w:p>
        </w:tc>
        <w:tc>
          <w:tcPr>
            <w:tcW w:w="300" w:type="dxa"/>
            <w:vAlign w:val="bottom"/>
          </w:tcPr>
          <w:p>
            <w:pPr>
              <w:spacing w:after="0"/>
              <w:rPr>
                <w:sz w:val="19"/>
                <w:szCs w:val="19"/>
                <w:color w:val="auto"/>
              </w:rPr>
            </w:pPr>
          </w:p>
        </w:tc>
        <w:tc>
          <w:tcPr>
            <w:tcW w:w="1080" w:type="dxa"/>
            <w:vAlign w:val="bottom"/>
          </w:tcPr>
          <w:p>
            <w:pPr>
              <w:jc w:val="right"/>
              <w:ind w:right="1"/>
              <w:spacing w:after="0"/>
              <w:rPr>
                <w:sz w:val="20"/>
                <w:szCs w:val="20"/>
                <w:color w:val="auto"/>
              </w:rPr>
            </w:pPr>
            <w:r>
              <w:rPr>
                <w:rFonts w:ascii="Arial" w:cs="Arial" w:eastAsia="Arial" w:hAnsi="Arial"/>
                <w:sz w:val="16"/>
                <w:szCs w:val="16"/>
                <w:b w:val="1"/>
                <w:bCs w:val="1"/>
                <w:color w:val="auto"/>
              </w:rPr>
              <w:t>(41,971)</w:t>
            </w:r>
          </w:p>
        </w:tc>
        <w:tc>
          <w:tcPr>
            <w:tcW w:w="4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(41,690)</w:t>
            </w:r>
          </w:p>
        </w:tc>
      </w:tr>
      <w:tr>
        <w:trPr>
          <w:trHeight w:val="230"/>
        </w:trPr>
        <w:tc>
          <w:tcPr>
            <w:tcW w:w="8460" w:type="dxa"/>
            <w:vAlign w:val="bottom"/>
          </w:tcPr>
          <w:p>
            <w:pPr>
              <w:ind w:left="20"/>
              <w:spacing w:after="0"/>
              <w:rPr>
                <w:sz w:val="20"/>
                <w:szCs w:val="20"/>
                <w:color w:val="auto"/>
              </w:rPr>
            </w:pPr>
            <w:r>
              <w:rPr>
                <w:rFonts w:ascii="Arial" w:cs="Arial" w:eastAsia="Arial" w:hAnsi="Arial"/>
                <w:sz w:val="16"/>
                <w:szCs w:val="16"/>
                <w:color w:val="auto"/>
              </w:rPr>
              <w:t>Amortization of prior service credit</w:t>
            </w:r>
          </w:p>
        </w:tc>
        <w:tc>
          <w:tcPr>
            <w:tcW w:w="300" w:type="dxa"/>
            <w:vAlign w:val="bottom"/>
          </w:tcPr>
          <w:p>
            <w:pPr>
              <w:spacing w:after="0"/>
              <w:rPr>
                <w:sz w:val="19"/>
                <w:szCs w:val="19"/>
                <w:color w:val="auto"/>
              </w:rPr>
            </w:pPr>
          </w:p>
        </w:tc>
        <w:tc>
          <w:tcPr>
            <w:tcW w:w="1080" w:type="dxa"/>
            <w:vAlign w:val="bottom"/>
          </w:tcPr>
          <w:p>
            <w:pPr>
              <w:jc w:val="right"/>
              <w:ind w:right="1"/>
              <w:spacing w:after="0"/>
              <w:rPr>
                <w:sz w:val="20"/>
                <w:szCs w:val="20"/>
                <w:color w:val="auto"/>
              </w:rPr>
            </w:pPr>
            <w:r>
              <w:rPr>
                <w:rFonts w:ascii="Arial" w:cs="Arial" w:eastAsia="Arial" w:hAnsi="Arial"/>
                <w:sz w:val="16"/>
                <w:szCs w:val="16"/>
                <w:b w:val="1"/>
                <w:bCs w:val="1"/>
                <w:color w:val="auto"/>
              </w:rPr>
              <w:t>(519)</w:t>
            </w:r>
          </w:p>
        </w:tc>
        <w:tc>
          <w:tcPr>
            <w:tcW w:w="4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(494)</w:t>
            </w:r>
          </w:p>
        </w:tc>
      </w:tr>
      <w:tr>
        <w:trPr>
          <w:trHeight w:val="230"/>
        </w:trPr>
        <w:tc>
          <w:tcPr>
            <w:tcW w:w="8460" w:type="dxa"/>
            <w:vAlign w:val="bottom"/>
          </w:tcPr>
          <w:p>
            <w:pPr>
              <w:ind w:left="20"/>
              <w:spacing w:after="0"/>
              <w:rPr>
                <w:sz w:val="20"/>
                <w:szCs w:val="20"/>
                <w:color w:val="auto"/>
              </w:rPr>
            </w:pPr>
            <w:r>
              <w:rPr>
                <w:rFonts w:ascii="Arial" w:cs="Arial" w:eastAsia="Arial" w:hAnsi="Arial"/>
                <w:sz w:val="16"/>
                <w:szCs w:val="16"/>
                <w:color w:val="auto"/>
              </w:rPr>
              <w:t>Recognized actuarial gain</w:t>
            </w: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w:t>
            </w:r>
          </w:p>
        </w:tc>
        <w:tc>
          <w:tcPr>
            <w:tcW w:w="4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(12,518)</w:t>
            </w:r>
          </w:p>
        </w:tc>
      </w:tr>
      <w:tr>
        <w:trPr>
          <w:trHeight w:val="223"/>
        </w:trPr>
        <w:tc>
          <w:tcPr>
            <w:tcW w:w="8460" w:type="dxa"/>
            <w:vAlign w:val="bottom"/>
          </w:tcPr>
          <w:p>
            <w:pPr>
              <w:ind w:left="20"/>
              <w:spacing w:after="0"/>
              <w:rPr>
                <w:sz w:val="20"/>
                <w:szCs w:val="20"/>
                <w:color w:val="auto"/>
              </w:rPr>
            </w:pPr>
            <w:r>
              <w:rPr>
                <w:rFonts w:ascii="Arial" w:cs="Arial" w:eastAsia="Arial" w:hAnsi="Arial"/>
                <w:sz w:val="16"/>
                <w:szCs w:val="16"/>
                <w:b w:val="1"/>
                <w:bCs w:val="1"/>
                <w:color w:val="auto"/>
              </w:rPr>
              <w:t>Net Periodic Benefit</w:t>
            </w:r>
          </w:p>
        </w:tc>
        <w:tc>
          <w:tcPr>
            <w:tcW w:w="300" w:type="dxa"/>
            <w:vAlign w:val="bottom"/>
          </w:tcPr>
          <w:p>
            <w:pPr>
              <w:spacing w:after="0"/>
              <w:rPr>
                <w:sz w:val="19"/>
                <w:szCs w:val="19"/>
                <w:color w:val="auto"/>
              </w:rPr>
            </w:pPr>
          </w:p>
        </w:tc>
        <w:tc>
          <w:tcPr>
            <w:tcW w:w="1080" w:type="dxa"/>
            <w:vAlign w:val="bottom"/>
          </w:tcPr>
          <w:p>
            <w:pPr>
              <w:jc w:val="right"/>
              <w:ind w:right="1"/>
              <w:spacing w:after="0"/>
              <w:rPr>
                <w:sz w:val="20"/>
                <w:szCs w:val="20"/>
                <w:color w:val="auto"/>
              </w:rPr>
            </w:pPr>
            <w:r>
              <w:rPr>
                <w:rFonts w:ascii="Arial" w:cs="Arial" w:eastAsia="Arial" w:hAnsi="Arial"/>
                <w:sz w:val="16"/>
                <w:szCs w:val="16"/>
                <w:b w:val="1"/>
                <w:bCs w:val="1"/>
                <w:color w:val="auto"/>
              </w:rPr>
              <w:t>(23,877)</w:t>
            </w:r>
          </w:p>
        </w:tc>
        <w:tc>
          <w:tcPr>
            <w:tcW w:w="4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(29,474)</w:t>
            </w:r>
          </w:p>
        </w:tc>
      </w:tr>
      <w:tr>
        <w:trPr>
          <w:trHeight w:val="233"/>
        </w:trPr>
        <w:tc>
          <w:tcPr>
            <w:tcW w:w="8460" w:type="dxa"/>
            <w:vAlign w:val="bottom"/>
          </w:tcPr>
          <w:p>
            <w:pPr>
              <w:ind w:left="20"/>
              <w:spacing w:after="0"/>
              <w:rPr>
                <w:sz w:val="20"/>
                <w:szCs w:val="20"/>
                <w:color w:val="auto"/>
              </w:rPr>
            </w:pPr>
            <w:r>
              <w:rPr>
                <w:rFonts w:ascii="Arial" w:cs="Arial" w:eastAsia="Arial" w:hAnsi="Arial"/>
                <w:sz w:val="16"/>
                <w:szCs w:val="16"/>
                <w:color w:val="auto"/>
              </w:rPr>
              <w:t>Special separation benefit expense</w:t>
            </w: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624</w:t>
            </w:r>
          </w:p>
        </w:tc>
        <w:tc>
          <w:tcPr>
            <w:tcW w:w="4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418</w:t>
            </w:r>
          </w:p>
        </w:tc>
      </w:tr>
      <w:tr>
        <w:trPr>
          <w:trHeight w:val="227"/>
        </w:trPr>
        <w:tc>
          <w:tcPr>
            <w:tcW w:w="8460" w:type="dxa"/>
            <w:vAlign w:val="bottom"/>
          </w:tcPr>
          <w:p>
            <w:pPr>
              <w:ind w:left="20"/>
              <w:spacing w:after="0"/>
              <w:rPr>
                <w:sz w:val="20"/>
                <w:szCs w:val="20"/>
                <w:color w:val="auto"/>
              </w:rPr>
            </w:pPr>
            <w:r>
              <w:rPr>
                <w:rFonts w:ascii="Arial" w:cs="Arial" w:eastAsia="Arial" w:hAnsi="Arial"/>
                <w:sz w:val="16"/>
                <w:szCs w:val="16"/>
                <w:b w:val="1"/>
                <w:bCs w:val="1"/>
                <w:color w:val="auto"/>
              </w:rPr>
              <w:t>Total Benefit</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0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(23,253)</w:t>
            </w:r>
          </w:p>
        </w:tc>
        <w:tc>
          <w:tcPr>
            <w:tcW w:w="4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(29,056)</w:t>
            </w:r>
          </w:p>
        </w:tc>
      </w:tr>
      <w:tr>
        <w:trPr>
          <w:trHeight w:val="20"/>
        </w:trPr>
        <w:tc>
          <w:tcPr>
            <w:tcW w:w="84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24" w:lineRule="exact"/>
        <w:rPr>
          <w:sz w:val="20"/>
          <w:szCs w:val="20"/>
          <w:color w:val="auto"/>
        </w:rPr>
      </w:pPr>
    </w:p>
    <w:p>
      <w:pPr>
        <w:ind w:right="100"/>
        <w:spacing w:after="0" w:line="271" w:lineRule="auto"/>
        <w:rPr>
          <w:sz w:val="20"/>
          <w:szCs w:val="20"/>
          <w:color w:val="auto"/>
        </w:rPr>
      </w:pPr>
      <w:r>
        <w:rPr>
          <w:rFonts w:ascii="Arial" w:cs="Arial" w:eastAsia="Arial" w:hAnsi="Arial"/>
          <w:sz w:val="18"/>
          <w:szCs w:val="18"/>
          <w:color w:val="auto"/>
        </w:rPr>
        <w:t>In the first quarter of 2025, the Company recorded $0.6 million in expenses related to a Separation Incentive Program (SIP) for certain WGB employees, which will be funded from the assets of the Company’s pension plans.</w:t>
      </w:r>
    </w:p>
    <w:p>
      <w:pPr>
        <w:spacing w:after="0" w:line="86" w:lineRule="exact"/>
        <w:rPr>
          <w:sz w:val="20"/>
          <w:szCs w:val="20"/>
          <w:color w:val="auto"/>
        </w:rPr>
      </w:pPr>
    </w:p>
    <w:p>
      <w:pPr>
        <w:ind w:right="220"/>
        <w:spacing w:after="0" w:line="271" w:lineRule="auto"/>
        <w:rPr>
          <w:sz w:val="20"/>
          <w:szCs w:val="20"/>
          <w:color w:val="auto"/>
        </w:rPr>
      </w:pPr>
      <w:r>
        <w:rPr>
          <w:rFonts w:ascii="Arial" w:cs="Arial" w:eastAsia="Arial" w:hAnsi="Arial"/>
          <w:sz w:val="18"/>
          <w:szCs w:val="18"/>
          <w:color w:val="auto"/>
        </w:rPr>
        <w:t>In the first quarter of 2024, the Company recorded $0.4 million in expenses related to a SIP for certain Framebridge employees, which was funded from the assets of the Company’s pension plans.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The total cost arising from the Company’s Supplemental Executive Retirement Plan (SERP) consists of the following components:</w:t>
      </w:r>
    </w:p>
    <w:p>
      <w:pPr>
        <w:spacing w:after="0" w:line="208" w:lineRule="exact"/>
        <w:rPr>
          <w:sz w:val="20"/>
          <w:szCs w:val="20"/>
          <w:color w:val="auto"/>
        </w:rPr>
      </w:pPr>
    </w:p>
    <w:p>
      <w:pPr>
        <w:ind w:left="9120"/>
        <w:spacing w:after="0"/>
        <w:rPr>
          <w:sz w:val="20"/>
          <w:szCs w:val="20"/>
          <w:color w:val="auto"/>
        </w:rPr>
      </w:pPr>
      <w:r>
        <w:rPr>
          <w:rFonts w:ascii="Arial" w:cs="Arial" w:eastAsia="Arial" w:hAnsi="Arial"/>
          <w:sz w:val="14"/>
          <w:szCs w:val="14"/>
          <w:b w:val="1"/>
          <w:bCs w:val="1"/>
          <w:color w:val="auto"/>
        </w:rPr>
        <w:t>Three Months Ended</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4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2"/>
          </w:tcPr>
          <w:p>
            <w:pPr>
              <w:jc w:val="right"/>
              <w:ind w:right="39"/>
              <w:spacing w:after="0"/>
              <w:rPr>
                <w:sz w:val="20"/>
                <w:szCs w:val="20"/>
                <w:color w:val="auto"/>
              </w:rPr>
            </w:pPr>
            <w:r>
              <w:rPr>
                <w:rFonts w:ascii="Arial" w:cs="Arial" w:eastAsia="Arial" w:hAnsi="Arial"/>
                <w:sz w:val="14"/>
                <w:szCs w:val="14"/>
                <w:b w:val="1"/>
                <w:bCs w:val="1"/>
                <w:color w:val="auto"/>
              </w:rPr>
              <w:t>March 31</w:t>
            </w:r>
          </w:p>
        </w:tc>
        <w:tc>
          <w:tcPr>
            <w:tcW w:w="940" w:type="dxa"/>
            <w:vAlign w:val="bottom"/>
            <w:tcBorders>
              <w:bottom w:val="single" w:sz="8" w:color="auto"/>
            </w:tcBorders>
          </w:tcPr>
          <w:p>
            <w:pPr>
              <w:spacing w:after="0"/>
              <w:rPr>
                <w:sz w:val="16"/>
                <w:szCs w:val="16"/>
                <w:color w:val="auto"/>
              </w:rPr>
            </w:pPr>
          </w:p>
        </w:tc>
      </w:tr>
      <w:tr>
        <w:trPr>
          <w:trHeight w:val="203"/>
        </w:trPr>
        <w:tc>
          <w:tcPr>
            <w:tcW w:w="84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63"/>
              <w:spacing w:after="0"/>
              <w:rPr>
                <w:sz w:val="20"/>
                <w:szCs w:val="20"/>
                <w:color w:val="auto"/>
              </w:rPr>
            </w:pPr>
            <w:r>
              <w:rPr>
                <w:rFonts w:ascii="Arial" w:cs="Arial" w:eastAsia="Arial" w:hAnsi="Arial"/>
                <w:sz w:val="14"/>
                <w:szCs w:val="14"/>
                <w:b w:val="1"/>
                <w:bCs w:val="1"/>
                <w:color w:val="auto"/>
              </w:rPr>
              <w:t>2025</w:t>
            </w:r>
          </w:p>
        </w:tc>
        <w:tc>
          <w:tcPr>
            <w:tcW w:w="4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421"/>
              <w:spacing w:after="0"/>
              <w:rPr>
                <w:sz w:val="20"/>
                <w:szCs w:val="20"/>
                <w:color w:val="auto"/>
              </w:rPr>
            </w:pPr>
            <w:r>
              <w:rPr>
                <w:rFonts w:ascii="Arial" w:cs="Arial" w:eastAsia="Arial" w:hAnsi="Arial"/>
                <w:sz w:val="14"/>
                <w:szCs w:val="14"/>
                <w:color w:val="auto"/>
              </w:rPr>
              <w:t>2024</w:t>
            </w:r>
          </w:p>
        </w:tc>
      </w:tr>
      <w:tr>
        <w:trPr>
          <w:trHeight w:val="223"/>
        </w:trPr>
        <w:tc>
          <w:tcPr>
            <w:tcW w:w="8460" w:type="dxa"/>
            <w:vAlign w:val="bottom"/>
          </w:tcPr>
          <w:p>
            <w:pPr>
              <w:ind w:left="20"/>
              <w:spacing w:after="0"/>
              <w:rPr>
                <w:sz w:val="20"/>
                <w:szCs w:val="20"/>
                <w:color w:val="auto"/>
              </w:rPr>
            </w:pPr>
            <w:r>
              <w:rPr>
                <w:rFonts w:ascii="Arial" w:cs="Arial" w:eastAsia="Arial" w:hAnsi="Arial"/>
                <w:sz w:val="16"/>
                <w:szCs w:val="16"/>
                <w:color w:val="auto"/>
              </w:rPr>
              <w:t>Service cost</w:t>
            </w:r>
          </w:p>
        </w:tc>
        <w:tc>
          <w:tcPr>
            <w:tcW w:w="300" w:type="dxa"/>
            <w:vAlign w:val="bottom"/>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060" w:type="dxa"/>
            <w:vAlign w:val="bottom"/>
          </w:tcPr>
          <w:p>
            <w:pPr>
              <w:jc w:val="right"/>
              <w:ind w:right="23"/>
              <w:spacing w:after="0"/>
              <w:rPr>
                <w:sz w:val="20"/>
                <w:szCs w:val="20"/>
                <w:color w:val="auto"/>
              </w:rPr>
            </w:pPr>
            <w:r>
              <w:rPr>
                <w:rFonts w:ascii="Arial" w:cs="Arial" w:eastAsia="Arial" w:hAnsi="Arial"/>
                <w:sz w:val="16"/>
                <w:szCs w:val="16"/>
                <w:b w:val="1"/>
                <w:bCs w:val="1"/>
                <w:color w:val="auto"/>
              </w:rPr>
              <w:t>239</w:t>
            </w:r>
          </w:p>
        </w:tc>
        <w:tc>
          <w:tcPr>
            <w:tcW w:w="48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
              <w:spacing w:after="0"/>
              <w:rPr>
                <w:sz w:val="20"/>
                <w:szCs w:val="20"/>
                <w:color w:val="auto"/>
              </w:rPr>
            </w:pPr>
            <w:r>
              <w:rPr>
                <w:rFonts w:ascii="Arial" w:cs="Arial" w:eastAsia="Arial" w:hAnsi="Arial"/>
                <w:sz w:val="16"/>
                <w:szCs w:val="16"/>
                <w:color w:val="auto"/>
              </w:rPr>
              <w:t>287</w:t>
            </w:r>
          </w:p>
        </w:tc>
      </w:tr>
      <w:tr>
        <w:trPr>
          <w:trHeight w:val="233"/>
        </w:trPr>
        <w:tc>
          <w:tcPr>
            <w:tcW w:w="8460" w:type="dxa"/>
            <w:vAlign w:val="bottom"/>
          </w:tcPr>
          <w:p>
            <w:pPr>
              <w:ind w:left="20"/>
              <w:spacing w:after="0"/>
              <w:rPr>
                <w:sz w:val="20"/>
                <w:szCs w:val="20"/>
                <w:color w:val="auto"/>
              </w:rPr>
            </w:pPr>
            <w:r>
              <w:rPr>
                <w:rFonts w:ascii="Arial" w:cs="Arial" w:eastAsia="Arial" w:hAnsi="Arial"/>
                <w:sz w:val="16"/>
                <w:szCs w:val="16"/>
                <w:color w:val="auto"/>
              </w:rPr>
              <w:t>Interest cost</w:t>
            </w: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b w:val="1"/>
                <w:bCs w:val="1"/>
                <w:color w:val="auto"/>
              </w:rPr>
              <w:t>1,197</w:t>
            </w:r>
          </w:p>
        </w:tc>
        <w:tc>
          <w:tcPr>
            <w:tcW w:w="4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1,128</w:t>
            </w:r>
          </w:p>
        </w:tc>
      </w:tr>
      <w:tr>
        <w:trPr>
          <w:trHeight w:val="227"/>
        </w:trPr>
        <w:tc>
          <w:tcPr>
            <w:tcW w:w="8460" w:type="dxa"/>
            <w:vAlign w:val="bottom"/>
          </w:tcPr>
          <w:p>
            <w:pPr>
              <w:ind w:left="20"/>
              <w:spacing w:after="0"/>
              <w:rPr>
                <w:sz w:val="20"/>
                <w:szCs w:val="20"/>
                <w:color w:val="auto"/>
              </w:rPr>
            </w:pPr>
            <w:r>
              <w:rPr>
                <w:rFonts w:ascii="Arial" w:cs="Arial" w:eastAsia="Arial" w:hAnsi="Arial"/>
                <w:sz w:val="16"/>
                <w:szCs w:val="16"/>
                <w:b w:val="1"/>
                <w:bCs w:val="1"/>
                <w:color w:val="auto"/>
              </w:rPr>
              <w:t>Net Periodic Cost</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06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b w:val="1"/>
                <w:bCs w:val="1"/>
                <w:color w:val="auto"/>
              </w:rPr>
              <w:t>1,436</w:t>
            </w:r>
          </w:p>
        </w:tc>
        <w:tc>
          <w:tcPr>
            <w:tcW w:w="4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1,415</w:t>
            </w:r>
          </w:p>
        </w:tc>
      </w:tr>
      <w:tr>
        <w:trPr>
          <w:trHeight w:val="20"/>
        </w:trPr>
        <w:tc>
          <w:tcPr>
            <w:tcW w:w="84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Defined Benefit Plan Assets. </w:t>
      </w:r>
      <w:r>
        <w:rPr>
          <w:rFonts w:ascii="Arial" w:cs="Arial" w:eastAsia="Arial" w:hAnsi="Arial"/>
          <w:sz w:val="18"/>
          <w:szCs w:val="18"/>
          <w:color w:val="auto"/>
        </w:rPr>
        <w:t>The Company’s defined benefit pension obligations are funded by a portfolio made up of private investment</w:t>
      </w:r>
    </w:p>
    <w:p>
      <w:pPr>
        <w:spacing w:after="0" w:line="234" w:lineRule="auto"/>
        <w:rPr>
          <w:sz w:val="20"/>
          <w:szCs w:val="20"/>
          <w:color w:val="auto"/>
        </w:rPr>
      </w:pPr>
      <w:r>
        <w:rPr>
          <w:rFonts w:ascii="Arial" w:cs="Arial" w:eastAsia="Arial" w:hAnsi="Arial"/>
          <w:sz w:val="18"/>
          <w:szCs w:val="18"/>
          <w:color w:val="auto"/>
        </w:rPr>
        <w:t>funds and a relatively small number of stocks and high-quality fixed-income securities that are held by a third-party trustee. The assets of the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Company’s pension plans were allocated as follows:</w:t>
      </w:r>
    </w:p>
    <w:p>
      <w:pPr>
        <w:spacing w:after="0" w:line="203" w:lineRule="exact"/>
        <w:rPr>
          <w:sz w:val="20"/>
          <w:szCs w:val="20"/>
          <w:color w:val="auto"/>
        </w:rPr>
      </w:pPr>
    </w:p>
    <w:tbl>
      <w:tblPr>
        <w:tblLayout w:type="fixed"/>
        <w:tblInd w:w="8260" w:type="dxa"/>
        <w:tblCellMar>
          <w:top w:w="0" w:type="dxa"/>
          <w:left w:w="0" w:type="dxa"/>
          <w:bottom w:w="0" w:type="dxa"/>
          <w:right w:w="0" w:type="dxa"/>
        </w:tblCellMar>
      </w:tblPr>
      <w:tr>
        <w:trPr>
          <w:trHeight w:val="205"/>
        </w:trPr>
        <w:tc>
          <w:tcPr>
            <w:tcW w:w="118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As of</w:t>
            </w:r>
          </w:p>
        </w:tc>
      </w:tr>
      <w:tr>
        <w:trPr>
          <w:trHeight w:val="220"/>
        </w:trPr>
        <w:tc>
          <w:tcPr>
            <w:tcW w:w="1180" w:type="dxa"/>
            <w:vAlign w:val="bottom"/>
          </w:tcPr>
          <w:p>
            <w:pPr>
              <w:jc w:val="center"/>
              <w:ind w:left="168"/>
              <w:spacing w:after="0"/>
              <w:rPr>
                <w:sz w:val="20"/>
                <w:szCs w:val="20"/>
                <w:color w:val="auto"/>
              </w:rPr>
            </w:pPr>
            <w:r>
              <w:rPr>
                <w:rFonts w:ascii="Arial" w:cs="Arial" w:eastAsia="Arial" w:hAnsi="Arial"/>
                <w:sz w:val="14"/>
                <w:szCs w:val="14"/>
                <w:b w:val="1"/>
                <w:bCs w:val="1"/>
                <w:color w:val="auto"/>
              </w:rPr>
              <w:t>March 31,</w:t>
            </w:r>
          </w:p>
        </w:tc>
        <w:tc>
          <w:tcPr>
            <w:tcW w:w="1800" w:type="dxa"/>
            <w:vAlign w:val="bottom"/>
          </w:tcPr>
          <w:p>
            <w:pPr>
              <w:jc w:val="center"/>
              <w:ind w:left="268"/>
              <w:spacing w:after="0"/>
              <w:rPr>
                <w:sz w:val="20"/>
                <w:szCs w:val="20"/>
                <w:color w:val="auto"/>
              </w:rPr>
            </w:pPr>
            <w:r>
              <w:rPr>
                <w:rFonts w:ascii="Arial" w:cs="Arial" w:eastAsia="Arial" w:hAnsi="Arial"/>
                <w:sz w:val="14"/>
                <w:szCs w:val="14"/>
                <w:color w:val="auto"/>
              </w:rPr>
              <w:t>December 31,</w:t>
            </w:r>
          </w:p>
        </w:tc>
      </w:tr>
      <w:tr>
        <w:trPr>
          <w:trHeight w:val="196"/>
        </w:trPr>
        <w:tc>
          <w:tcPr>
            <w:tcW w:w="1180" w:type="dxa"/>
            <w:vAlign w:val="bottom"/>
          </w:tcPr>
          <w:p>
            <w:pPr>
              <w:jc w:val="right"/>
              <w:ind w:right="228"/>
              <w:spacing w:after="0"/>
              <w:rPr>
                <w:sz w:val="20"/>
                <w:szCs w:val="20"/>
                <w:color w:val="auto"/>
              </w:rPr>
            </w:pPr>
            <w:r>
              <w:rPr>
                <w:rFonts w:ascii="Arial" w:cs="Arial" w:eastAsia="Arial" w:hAnsi="Arial"/>
                <w:sz w:val="14"/>
                <w:szCs w:val="14"/>
                <w:b w:val="1"/>
                <w:bCs w:val="1"/>
                <w:color w:val="auto"/>
              </w:rPr>
              <w:t>2025</w:t>
            </w:r>
          </w:p>
        </w:tc>
        <w:tc>
          <w:tcPr>
            <w:tcW w:w="1800" w:type="dxa"/>
            <w:vAlign w:val="bottom"/>
          </w:tcPr>
          <w:p>
            <w:pPr>
              <w:jc w:val="right"/>
              <w:ind w:right="488"/>
              <w:spacing w:after="0"/>
              <w:rPr>
                <w:sz w:val="20"/>
                <w:szCs w:val="20"/>
                <w:color w:val="auto"/>
              </w:rPr>
            </w:pPr>
            <w:r>
              <w:rPr>
                <w:rFonts w:ascii="Arial" w:cs="Arial" w:eastAsia="Arial" w:hAnsi="Arial"/>
                <w:sz w:val="14"/>
                <w:szCs w:val="14"/>
                <w:color w:val="auto"/>
              </w:rPr>
              <w:t>2024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p>
      <w:pPr>
        <w:spacing w:after="0" w:line="15" w:lineRule="exact"/>
        <w:rPr>
          <w:sz w:val="20"/>
          <w:szCs w:val="20"/>
          <w:color w:val="auto"/>
        </w:rPr>
      </w:pPr>
    </w:p>
    <w:p>
      <w:pPr>
        <w:ind w:left="20"/>
        <w:spacing w:after="0"/>
        <w:rPr>
          <w:sz w:val="20"/>
          <w:szCs w:val="20"/>
          <w:color w:val="auto"/>
        </w:rPr>
      </w:pPr>
      <w:r>
        <w:rPr>
          <w:rFonts w:ascii="Arial" w:cs="Arial" w:eastAsia="Arial" w:hAnsi="Arial"/>
          <w:sz w:val="16"/>
          <w:szCs w:val="16"/>
          <w:color w:val="auto"/>
        </w:rPr>
        <w:t>U.S. equities</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Private investment funds</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International equities</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U.S. fixed income</w:t>
      </w:r>
    </w:p>
    <w:p>
      <w:pPr>
        <w:spacing w:after="0" w:line="20" w:lineRule="exact"/>
        <w:rPr>
          <w:sz w:val="20"/>
          <w:szCs w:val="20"/>
          <w:color w:val="auto"/>
        </w:rPr>
      </w:pPr>
      <w:r>
        <w:rPr>
          <w:sz w:val="20"/>
          <w:szCs w:val="20"/>
          <w:color w:val="auto"/>
        </w:rPr>
        <w:br w:type="column"/>
      </w:r>
    </w:p>
    <w:p>
      <w:pPr>
        <w:ind w:left="80"/>
        <w:spacing w:after="0"/>
        <w:tabs>
          <w:tab w:leader="none" w:pos="1620" w:val="left"/>
        </w:tabs>
        <w:rPr>
          <w:sz w:val="20"/>
          <w:szCs w:val="20"/>
          <w:color w:val="auto"/>
        </w:rPr>
      </w:pPr>
      <w:r>
        <w:rPr>
          <w:rFonts w:ascii="Arial" w:cs="Arial" w:eastAsia="Arial" w:hAnsi="Arial"/>
          <w:sz w:val="16"/>
          <w:szCs w:val="16"/>
          <w:b w:val="1"/>
          <w:bCs w:val="1"/>
          <w:color w:val="auto"/>
        </w:rPr>
        <w:t>62 %</w:t>
      </w:r>
      <w:r>
        <w:rPr>
          <w:sz w:val="20"/>
          <w:szCs w:val="20"/>
          <w:color w:val="auto"/>
        </w:rPr>
        <w:tab/>
      </w:r>
      <w:r>
        <w:rPr>
          <w:rFonts w:ascii="Arial" w:cs="Arial" w:eastAsia="Arial" w:hAnsi="Arial"/>
          <w:sz w:val="15"/>
          <w:szCs w:val="15"/>
          <w:color w:val="auto"/>
        </w:rPr>
        <w:t>64 %</w:t>
      </w:r>
    </w:p>
    <w:p>
      <w:pPr>
        <w:spacing w:after="0" w:line="46" w:lineRule="exact"/>
        <w:rPr>
          <w:sz w:val="20"/>
          <w:szCs w:val="20"/>
          <w:color w:val="auto"/>
        </w:rPr>
      </w:pPr>
    </w:p>
    <w:p>
      <w:pPr>
        <w:ind w:left="80"/>
        <w:spacing w:after="0"/>
        <w:tabs>
          <w:tab w:leader="none" w:pos="1620" w:val="left"/>
        </w:tabs>
        <w:rPr>
          <w:sz w:val="20"/>
          <w:szCs w:val="20"/>
          <w:color w:val="auto"/>
        </w:rPr>
      </w:pPr>
      <w:r>
        <w:rPr>
          <w:rFonts w:ascii="Arial" w:cs="Arial" w:eastAsia="Arial" w:hAnsi="Arial"/>
          <w:sz w:val="16"/>
          <w:szCs w:val="16"/>
          <w:b w:val="1"/>
          <w:bCs w:val="1"/>
          <w:color w:val="auto"/>
        </w:rPr>
        <w:t>18 %</w:t>
      </w:r>
      <w:r>
        <w:rPr>
          <w:sz w:val="20"/>
          <w:szCs w:val="20"/>
          <w:color w:val="auto"/>
        </w:rPr>
        <w:tab/>
      </w:r>
      <w:r>
        <w:rPr>
          <w:rFonts w:ascii="Arial" w:cs="Arial" w:eastAsia="Arial" w:hAnsi="Arial"/>
          <w:sz w:val="15"/>
          <w:szCs w:val="15"/>
          <w:color w:val="auto"/>
        </w:rPr>
        <w:t>19 %</w:t>
      </w:r>
    </w:p>
    <w:p>
      <w:pPr>
        <w:spacing w:after="0" w:line="46" w:lineRule="exact"/>
        <w:rPr>
          <w:sz w:val="20"/>
          <w:szCs w:val="20"/>
          <w:color w:val="auto"/>
        </w:rPr>
      </w:pPr>
    </w:p>
    <w:p>
      <w:pPr>
        <w:ind w:left="80"/>
        <w:spacing w:after="0"/>
        <w:tabs>
          <w:tab w:leader="none" w:pos="1620" w:val="left"/>
        </w:tabs>
        <w:rPr>
          <w:sz w:val="20"/>
          <w:szCs w:val="20"/>
          <w:color w:val="auto"/>
        </w:rPr>
      </w:pPr>
      <w:r>
        <w:rPr>
          <w:rFonts w:ascii="Arial" w:cs="Arial" w:eastAsia="Arial" w:hAnsi="Arial"/>
          <w:sz w:val="16"/>
          <w:szCs w:val="16"/>
          <w:b w:val="1"/>
          <w:bCs w:val="1"/>
          <w:color w:val="auto"/>
        </w:rPr>
        <w:t>13 %</w:t>
      </w:r>
      <w:r>
        <w:rPr>
          <w:sz w:val="20"/>
          <w:szCs w:val="20"/>
          <w:color w:val="auto"/>
        </w:rPr>
        <w:tab/>
      </w:r>
      <w:r>
        <w:rPr>
          <w:rFonts w:ascii="Arial" w:cs="Arial" w:eastAsia="Arial" w:hAnsi="Arial"/>
          <w:sz w:val="15"/>
          <w:szCs w:val="15"/>
          <w:color w:val="auto"/>
        </w:rPr>
        <w:t>12 %</w:t>
      </w:r>
    </w:p>
    <w:p>
      <w:pPr>
        <w:spacing w:after="0" w:line="46" w:lineRule="exact"/>
        <w:rPr>
          <w:sz w:val="20"/>
          <w:szCs w:val="20"/>
          <w:color w:val="auto"/>
        </w:rPr>
      </w:pPr>
    </w:p>
    <w:p>
      <w:pPr>
        <w:ind w:left="180"/>
        <w:spacing w:after="0"/>
        <w:tabs>
          <w:tab w:leader="none" w:pos="1700" w:val="left"/>
        </w:tabs>
        <w:rPr>
          <w:sz w:val="20"/>
          <w:szCs w:val="20"/>
          <w:color w:val="auto"/>
        </w:rPr>
      </w:pPr>
      <w:r>
        <w:rPr>
          <w:rFonts w:ascii="Arial" w:cs="Arial" w:eastAsia="Arial" w:hAnsi="Arial"/>
          <w:sz w:val="16"/>
          <w:szCs w:val="16"/>
          <w:b w:val="1"/>
          <w:bCs w:val="1"/>
          <w:color w:val="auto"/>
        </w:rPr>
        <w:t>7 %</w:t>
      </w:r>
      <w:r>
        <w:rPr>
          <w:sz w:val="20"/>
          <w:szCs w:val="20"/>
          <w:color w:val="auto"/>
        </w:rPr>
        <w:tab/>
      </w:r>
      <w:r>
        <w:rPr>
          <w:rFonts w:ascii="Arial" w:cs="Arial" w:eastAsia="Arial" w:hAnsi="Arial"/>
          <w:sz w:val="16"/>
          <w:szCs w:val="16"/>
          <w:color w:val="auto"/>
        </w:rPr>
        <w:t>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-611505</wp:posOffset>
            </wp:positionH>
            <wp:positionV relativeFrom="paragraph">
              <wp:posOffset>29210</wp:posOffset>
            </wp:positionV>
            <wp:extent cx="189420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894205" cy="8255"/>
                    </a:xfrm>
                    <a:prstGeom prst="rect">
                      <a:avLst/>
                    </a:prstGeom>
                    <a:noFill/>
                  </pic:spPr>
                </pic:pic>
              </a:graphicData>
            </a:graphic>
          </wp:anchor>
        </w:drawing>
      </w:r>
    </w:p>
    <w:p>
      <w:pPr>
        <w:spacing w:after="0" w:line="39" w:lineRule="exact"/>
        <w:rPr>
          <w:sz w:val="20"/>
          <w:szCs w:val="20"/>
          <w:color w:val="auto"/>
        </w:rPr>
      </w:pPr>
    </w:p>
    <w:p>
      <w:pPr>
        <w:spacing w:after="0"/>
        <w:tabs>
          <w:tab w:leader="none" w:pos="1520" w:val="left"/>
        </w:tabs>
        <w:rPr>
          <w:sz w:val="20"/>
          <w:szCs w:val="20"/>
          <w:color w:val="auto"/>
        </w:rPr>
      </w:pPr>
      <w:r>
        <w:rPr>
          <w:rFonts w:ascii="Arial" w:cs="Arial" w:eastAsia="Arial" w:hAnsi="Arial"/>
          <w:sz w:val="16"/>
          <w:szCs w:val="16"/>
          <w:b w:val="1"/>
          <w:bCs w:val="1"/>
          <w:color w:val="auto"/>
        </w:rPr>
        <w:t>100 %</w:t>
      </w:r>
      <w:r>
        <w:rPr>
          <w:sz w:val="20"/>
          <w:szCs w:val="20"/>
          <w:color w:val="auto"/>
        </w:rPr>
        <w:tab/>
      </w:r>
      <w:r>
        <w:rPr>
          <w:rFonts w:ascii="Arial" w:cs="Arial" w:eastAsia="Arial" w:hAnsi="Arial"/>
          <w:sz w:val="16"/>
          <w:szCs w:val="16"/>
          <w:color w:val="auto"/>
        </w:rPr>
        <w:t>100 %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-611505</wp:posOffset>
            </wp:positionH>
            <wp:positionV relativeFrom="paragraph">
              <wp:posOffset>29210</wp:posOffset>
            </wp:positionV>
            <wp:extent cx="189420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894205" cy="8890"/>
                    </a:xfrm>
                    <a:prstGeom prst="rect">
                      <a:avLst/>
                    </a:prstGeom>
                    <a:noFill/>
                  </pic:spPr>
                </pic:pic>
              </a:graphicData>
            </a:graphic>
          </wp:anchor>
        </w:drawing>
        <w:drawing>
          <wp:anchor simplePos="0" relativeHeight="251657728" behindDoc="1" locked="0" layoutInCell="0" allowOverlap="1">
            <wp:simplePos x="0" y="0"/>
            <wp:positionH relativeFrom="column">
              <wp:posOffset>-611505</wp:posOffset>
            </wp:positionH>
            <wp:positionV relativeFrom="paragraph">
              <wp:posOffset>55245</wp:posOffset>
            </wp:positionV>
            <wp:extent cx="189420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89420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500" w:space="720"/>
            <w:col w:w="2020"/>
          </w:cols>
          <w:pgMar w:left="320" w:top="1039" w:right="339" w:bottom="1440" w:gutter="0" w:footer="0" w:header="0"/>
          <w:type w:val="continuous"/>
        </w:sectPr>
      </w:pPr>
    </w:p>
    <w:p>
      <w:pPr>
        <w:spacing w:after="0" w:line="124"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The Company manages approximately 45% of the pension assets internally, of which the majority is invested in Berkshire Hathaway stock, with the remaining investments in private investment funds, Markel stock, and short-term fixed-income securities. The remaining 55% of plan</w:t>
      </w:r>
    </w:p>
    <w:p>
      <w:pPr>
        <w:spacing w:after="0" w:line="235" w:lineRule="auto"/>
        <w:rPr>
          <w:sz w:val="20"/>
          <w:szCs w:val="20"/>
          <w:color w:val="auto"/>
        </w:rPr>
      </w:pPr>
      <w:r>
        <w:rPr>
          <w:rFonts w:ascii="Arial" w:cs="Arial" w:eastAsia="Arial" w:hAnsi="Arial"/>
          <w:sz w:val="18"/>
          <w:szCs w:val="18"/>
          <w:color w:val="auto"/>
        </w:rPr>
        <w:t>assets are managed by two investment companies. The goal of the investment managers is to produce moderate long-term growth in the</w:t>
      </w:r>
    </w:p>
    <w:p>
      <w:pPr>
        <w:spacing w:after="0" w:line="1" w:lineRule="exact"/>
        <w:rPr>
          <w:sz w:val="20"/>
          <w:szCs w:val="20"/>
          <w:color w:val="auto"/>
        </w:rPr>
      </w:pPr>
    </w:p>
    <w:p>
      <w:pPr>
        <w:ind w:right="400"/>
        <w:spacing w:after="0" w:line="226" w:lineRule="auto"/>
        <w:rPr>
          <w:sz w:val="20"/>
          <w:szCs w:val="20"/>
          <w:color w:val="auto"/>
        </w:rPr>
      </w:pPr>
      <w:r>
        <w:rPr>
          <w:rFonts w:ascii="Arial" w:cs="Arial" w:eastAsia="Arial" w:hAnsi="Arial"/>
          <w:sz w:val="18"/>
          <w:szCs w:val="18"/>
          <w:color w:val="auto"/>
        </w:rPr>
        <w:t>value of these assets, while protecting them against large decreases in value. Both investment managers may invest in a combination of equity and fixed-income securities and cash. The managers are not permitted to invest in securities of the Company or in alternative</w:t>
      </w:r>
    </w:p>
    <w:p>
      <w:pPr>
        <w:spacing w:after="0" w:line="2" w:lineRule="exact"/>
        <w:rPr>
          <w:sz w:val="20"/>
          <w:szCs w:val="20"/>
          <w:color w:val="auto"/>
        </w:rPr>
      </w:pPr>
    </w:p>
    <w:p>
      <w:pPr>
        <w:ind w:right="180"/>
        <w:spacing w:after="0"/>
        <w:rPr>
          <w:sz w:val="20"/>
          <w:szCs w:val="20"/>
          <w:color w:val="auto"/>
        </w:rPr>
      </w:pPr>
      <w:r>
        <w:rPr>
          <w:rFonts w:ascii="Arial" w:cs="Arial" w:eastAsia="Arial" w:hAnsi="Arial"/>
          <w:sz w:val="17"/>
          <w:szCs w:val="17"/>
          <w:color w:val="auto"/>
        </w:rPr>
        <w:t>investments. One investment manager cannot invest more than 15% of the assets at the time of purchase in each of the stocks of Alphabet and Berkshire Hathaway, and no more than 50% of the assets it manages in specified international exchanges at the time the investment is</w:t>
      </w:r>
    </w:p>
    <w:p>
      <w:pPr>
        <w:spacing w:after="0" w:line="235" w:lineRule="auto"/>
        <w:rPr>
          <w:sz w:val="20"/>
          <w:szCs w:val="20"/>
          <w:color w:val="auto"/>
        </w:rPr>
      </w:pPr>
      <w:r>
        <w:rPr>
          <w:rFonts w:ascii="Arial" w:cs="Arial" w:eastAsia="Arial" w:hAnsi="Arial"/>
          <w:sz w:val="18"/>
          <w:szCs w:val="18"/>
          <w:color w:val="auto"/>
        </w:rPr>
        <w:t>made. The other investment manager cannot invest more than 20% of the assets at the time of purchase in the stock of Berkshire Hathaway</w:t>
      </w:r>
    </w:p>
    <w:p>
      <w:pPr>
        <w:ind w:right="360"/>
        <w:spacing w:after="0" w:line="226" w:lineRule="auto"/>
        <w:rPr>
          <w:sz w:val="20"/>
          <w:szCs w:val="20"/>
          <w:color w:val="auto"/>
        </w:rPr>
      </w:pPr>
      <w:r>
        <w:rPr>
          <w:rFonts w:ascii="Arial" w:cs="Arial" w:eastAsia="Arial" w:hAnsi="Arial"/>
          <w:sz w:val="18"/>
          <w:szCs w:val="18"/>
          <w:color w:val="auto"/>
        </w:rPr>
        <w:t>and no more than 15% of the assets it manages in specified international exchanges at the time the investment is made. Excluding the exceptions noted above, the investment managers cannot invest more than 10% of the assets in the securities of any other single issuer,</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except for obligations of the U.S. Government, without receiving prior approval from the Plan administrator.</w:t>
      </w:r>
    </w:p>
    <w:p>
      <w:pPr>
        <w:spacing w:after="0" w:line="140" w:lineRule="exact"/>
        <w:rPr>
          <w:sz w:val="20"/>
          <w:szCs w:val="20"/>
          <w:color w:val="auto"/>
        </w:rPr>
      </w:pPr>
    </w:p>
    <w:p>
      <w:pPr>
        <w:ind w:right="540"/>
        <w:spacing w:after="0" w:line="237" w:lineRule="auto"/>
        <w:rPr>
          <w:sz w:val="20"/>
          <w:szCs w:val="20"/>
          <w:color w:val="auto"/>
        </w:rPr>
      </w:pPr>
      <w:r>
        <w:rPr>
          <w:rFonts w:ascii="Arial" w:cs="Arial" w:eastAsia="Arial" w:hAnsi="Arial"/>
          <w:sz w:val="18"/>
          <w:szCs w:val="18"/>
          <w:color w:val="auto"/>
        </w:rPr>
        <w:t>In determining the expected rate of return on plan assets, the Company considers the relative weighting of plan assets, the historical performance of total plan assets and individual asset classes and economic and other indicators of future performance. In addition, the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Company may consult with and consider the input of financial and other professionals in developing appropriate return benchmarks.</w:t>
      </w:r>
    </w:p>
    <w:p>
      <w:pPr>
        <w:sectPr>
          <w:pgSz w:w="11900" w:h="16838" w:orient="portrait"/>
          <w:cols w:equalWidth="0" w:num="1">
            <w:col w:w="11240"/>
          </w:cols>
          <w:pgMar w:left="320" w:top="1039" w:right="339" w:bottom="1440" w:gutter="0" w:footer="0" w:header="0"/>
          <w:type w:val="continuous"/>
        </w:sect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183515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type w:val="continuous"/>
        </w:sectPr>
      </w:pPr>
    </w:p>
    <w:bookmarkStart w:id="18" w:name="page19"/>
    <w:bookmarkEnd w:id="18"/>
    <w:p>
      <w:pPr>
        <w:spacing w:after="0"/>
        <w:rPr>
          <w:sz w:val="20"/>
          <w:szCs w:val="20"/>
          <w:color w:val="auto"/>
        </w:rPr>
      </w:pPr>
      <w:r>
        <w:rPr>
          <w:rFonts w:ascii="Arial" w:cs="Arial" w:eastAsia="Arial" w:hAnsi="Arial"/>
          <w:sz w:val="18"/>
          <w:szCs w:val="18"/>
          <w:color w:val="auto"/>
        </w:rPr>
        <w:t>The Company evaluated its defined benefit pension plan asset portfolio for the existence of significant concentrations (defined as greater</w:t>
      </w:r>
    </w:p>
    <w:p>
      <w:pPr>
        <w:spacing w:after="0" w:line="14" w:lineRule="exact"/>
        <w:rPr>
          <w:sz w:val="20"/>
          <w:szCs w:val="20"/>
          <w:color w:val="auto"/>
        </w:rPr>
      </w:pPr>
    </w:p>
    <w:p>
      <w:pPr>
        <w:ind w:right="280"/>
        <w:spacing w:after="0"/>
        <w:rPr>
          <w:sz w:val="20"/>
          <w:szCs w:val="20"/>
          <w:color w:val="auto"/>
        </w:rPr>
      </w:pPr>
      <w:r>
        <w:rPr>
          <w:rFonts w:ascii="Arial" w:cs="Arial" w:eastAsia="Arial" w:hAnsi="Arial"/>
          <w:sz w:val="17"/>
          <w:szCs w:val="17"/>
          <w:color w:val="auto"/>
        </w:rPr>
        <w:t>than 10% of plan assets) of credit risk as of March 31, 2025. Types of concentrations that were evaluated include, but are not limited to, investment concentrations in a single entity, type of industry, foreign country and individual fund. At March 31, 2025, the pension plan held</w:t>
      </w:r>
    </w:p>
    <w:p>
      <w:pPr>
        <w:spacing w:after="0" w:line="235" w:lineRule="auto"/>
        <w:rPr>
          <w:sz w:val="20"/>
          <w:szCs w:val="20"/>
          <w:color w:val="auto"/>
        </w:rPr>
      </w:pPr>
      <w:r>
        <w:rPr>
          <w:rFonts w:ascii="Arial" w:cs="Arial" w:eastAsia="Arial" w:hAnsi="Arial"/>
          <w:sz w:val="18"/>
          <w:szCs w:val="18"/>
          <w:color w:val="auto"/>
        </w:rPr>
        <w:t>investments in one common stock and one private investment fund that exceeded 10% of total plan assets, valued at $1,277.6 million, or</w:t>
      </w:r>
    </w:p>
    <w:p>
      <w:pPr>
        <w:ind w:right="260"/>
        <w:spacing w:after="0" w:line="226" w:lineRule="auto"/>
        <w:rPr>
          <w:sz w:val="20"/>
          <w:szCs w:val="20"/>
          <w:color w:val="auto"/>
        </w:rPr>
      </w:pPr>
      <w:r>
        <w:rPr>
          <w:rFonts w:ascii="Arial" w:cs="Arial" w:eastAsia="Arial" w:hAnsi="Arial"/>
          <w:sz w:val="18"/>
          <w:szCs w:val="18"/>
          <w:color w:val="auto"/>
        </w:rPr>
        <w:t>approximately 41% of total plan assets. At December 31, 2024, the pension plan held investments in one common stock and one private investment fund that exceeded 10% of total plan assets, valued at $1,178.5 million, or approximately 40% of total plan assets. Assets also</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included $108.5 million and $100.1 million of Markel shares at March 31, 2025 and December 31, 2024, respectively.</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Other Postretirement Plans. </w:t>
      </w:r>
      <w:r>
        <w:rPr>
          <w:rFonts w:ascii="Arial" w:cs="Arial" w:eastAsia="Arial" w:hAnsi="Arial"/>
          <w:sz w:val="18"/>
          <w:szCs w:val="18"/>
          <w:color w:val="auto"/>
        </w:rPr>
        <w:t>The total benefit arising from the Company’s other postretirement plans consists of the following components:</w:t>
      </w:r>
    </w:p>
    <w:p>
      <w:pPr>
        <w:spacing w:after="0" w:line="208" w:lineRule="exact"/>
        <w:rPr>
          <w:sz w:val="20"/>
          <w:szCs w:val="20"/>
          <w:color w:val="auto"/>
        </w:rPr>
      </w:pPr>
    </w:p>
    <w:p>
      <w:pPr>
        <w:ind w:left="9120"/>
        <w:spacing w:after="0"/>
        <w:rPr>
          <w:sz w:val="20"/>
          <w:szCs w:val="20"/>
          <w:color w:val="auto"/>
        </w:rPr>
      </w:pPr>
      <w:r>
        <w:rPr>
          <w:rFonts w:ascii="Arial" w:cs="Arial" w:eastAsia="Arial" w:hAnsi="Arial"/>
          <w:sz w:val="14"/>
          <w:szCs w:val="14"/>
          <w:b w:val="1"/>
          <w:bCs w:val="1"/>
          <w:color w:val="auto"/>
        </w:rPr>
        <w:t>Three Months Ended</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4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2"/>
          </w:tcPr>
          <w:p>
            <w:pPr>
              <w:jc w:val="right"/>
              <w:ind w:right="39"/>
              <w:spacing w:after="0"/>
              <w:rPr>
                <w:sz w:val="20"/>
                <w:szCs w:val="20"/>
                <w:color w:val="auto"/>
              </w:rPr>
            </w:pPr>
            <w:r>
              <w:rPr>
                <w:rFonts w:ascii="Arial" w:cs="Arial" w:eastAsia="Arial" w:hAnsi="Arial"/>
                <w:sz w:val="14"/>
                <w:szCs w:val="14"/>
                <w:b w:val="1"/>
                <w:bCs w:val="1"/>
                <w:color w:val="auto"/>
              </w:rPr>
              <w:t>March 31</w:t>
            </w:r>
          </w:p>
        </w:tc>
        <w:tc>
          <w:tcPr>
            <w:tcW w:w="940" w:type="dxa"/>
            <w:vAlign w:val="bottom"/>
            <w:tcBorders>
              <w:bottom w:val="single" w:sz="8" w:color="auto"/>
            </w:tcBorders>
          </w:tcPr>
          <w:p>
            <w:pPr>
              <w:spacing w:after="0"/>
              <w:rPr>
                <w:sz w:val="16"/>
                <w:szCs w:val="16"/>
                <w:color w:val="auto"/>
              </w:rPr>
            </w:pPr>
          </w:p>
        </w:tc>
      </w:tr>
      <w:tr>
        <w:trPr>
          <w:trHeight w:val="203"/>
        </w:trPr>
        <w:tc>
          <w:tcPr>
            <w:tcW w:w="84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83"/>
              <w:spacing w:after="0"/>
              <w:rPr>
                <w:sz w:val="20"/>
                <w:szCs w:val="20"/>
                <w:color w:val="auto"/>
              </w:rPr>
            </w:pPr>
            <w:r>
              <w:rPr>
                <w:rFonts w:ascii="Arial" w:cs="Arial" w:eastAsia="Arial" w:hAnsi="Arial"/>
                <w:sz w:val="14"/>
                <w:szCs w:val="14"/>
                <w:b w:val="1"/>
                <w:bCs w:val="1"/>
                <w:color w:val="auto"/>
              </w:rPr>
              <w:t>2025</w:t>
            </w:r>
          </w:p>
        </w:tc>
        <w:tc>
          <w:tcPr>
            <w:tcW w:w="4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421"/>
              <w:spacing w:after="0"/>
              <w:rPr>
                <w:sz w:val="20"/>
                <w:szCs w:val="20"/>
                <w:color w:val="auto"/>
              </w:rPr>
            </w:pPr>
            <w:r>
              <w:rPr>
                <w:rFonts w:ascii="Arial" w:cs="Arial" w:eastAsia="Arial" w:hAnsi="Arial"/>
                <w:sz w:val="14"/>
                <w:szCs w:val="14"/>
                <w:color w:val="auto"/>
              </w:rPr>
              <w:t>2024</w:t>
            </w:r>
          </w:p>
        </w:tc>
      </w:tr>
      <w:tr>
        <w:trPr>
          <w:trHeight w:val="223"/>
        </w:trPr>
        <w:tc>
          <w:tcPr>
            <w:tcW w:w="8460" w:type="dxa"/>
            <w:vAlign w:val="bottom"/>
          </w:tcPr>
          <w:p>
            <w:pPr>
              <w:ind w:left="20"/>
              <w:spacing w:after="0"/>
              <w:rPr>
                <w:sz w:val="20"/>
                <w:szCs w:val="20"/>
                <w:color w:val="auto"/>
              </w:rPr>
            </w:pPr>
            <w:r>
              <w:rPr>
                <w:rFonts w:ascii="Arial" w:cs="Arial" w:eastAsia="Arial" w:hAnsi="Arial"/>
                <w:sz w:val="16"/>
                <w:szCs w:val="16"/>
                <w:color w:val="auto"/>
              </w:rPr>
              <w:t>Interest cost</w:t>
            </w:r>
          </w:p>
        </w:tc>
        <w:tc>
          <w:tcPr>
            <w:tcW w:w="300" w:type="dxa"/>
            <w:vAlign w:val="bottom"/>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080" w:type="dxa"/>
            <w:vAlign w:val="bottom"/>
          </w:tcPr>
          <w:p>
            <w:pPr>
              <w:jc w:val="right"/>
              <w:ind w:right="43"/>
              <w:spacing w:after="0"/>
              <w:rPr>
                <w:sz w:val="20"/>
                <w:szCs w:val="20"/>
                <w:color w:val="auto"/>
              </w:rPr>
            </w:pPr>
            <w:r>
              <w:rPr>
                <w:rFonts w:ascii="Arial" w:cs="Arial" w:eastAsia="Arial" w:hAnsi="Arial"/>
                <w:sz w:val="16"/>
                <w:szCs w:val="16"/>
                <w:b w:val="1"/>
                <w:bCs w:val="1"/>
                <w:color w:val="auto"/>
              </w:rPr>
              <w:t>10</w:t>
            </w:r>
          </w:p>
        </w:tc>
        <w:tc>
          <w:tcPr>
            <w:tcW w:w="46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
              <w:spacing w:after="0"/>
              <w:rPr>
                <w:sz w:val="20"/>
                <w:szCs w:val="20"/>
                <w:color w:val="auto"/>
              </w:rPr>
            </w:pPr>
            <w:r>
              <w:rPr>
                <w:rFonts w:ascii="Arial" w:cs="Arial" w:eastAsia="Arial" w:hAnsi="Arial"/>
                <w:sz w:val="16"/>
                <w:szCs w:val="16"/>
                <w:color w:val="auto"/>
              </w:rPr>
              <w:t>14</w:t>
            </w:r>
          </w:p>
        </w:tc>
      </w:tr>
      <w:tr>
        <w:trPr>
          <w:trHeight w:val="233"/>
        </w:trPr>
        <w:tc>
          <w:tcPr>
            <w:tcW w:w="8460" w:type="dxa"/>
            <w:vAlign w:val="bottom"/>
          </w:tcPr>
          <w:p>
            <w:pPr>
              <w:ind w:left="20"/>
              <w:spacing w:after="0"/>
              <w:rPr>
                <w:sz w:val="20"/>
                <w:szCs w:val="20"/>
                <w:color w:val="auto"/>
              </w:rPr>
            </w:pPr>
            <w:r>
              <w:rPr>
                <w:rFonts w:ascii="Arial" w:cs="Arial" w:eastAsia="Arial" w:hAnsi="Arial"/>
                <w:sz w:val="16"/>
                <w:szCs w:val="16"/>
                <w:color w:val="auto"/>
              </w:rPr>
              <w:t>Recognized actuarial gain</w:t>
            </w: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b w:val="1"/>
                <w:bCs w:val="1"/>
                <w:color w:val="auto"/>
              </w:rPr>
              <w:t>(379)</w:t>
            </w:r>
          </w:p>
        </w:tc>
        <w:tc>
          <w:tcPr>
            <w:tcW w:w="4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(469)</w:t>
            </w:r>
          </w:p>
        </w:tc>
      </w:tr>
      <w:tr>
        <w:trPr>
          <w:trHeight w:val="227"/>
        </w:trPr>
        <w:tc>
          <w:tcPr>
            <w:tcW w:w="8460" w:type="dxa"/>
            <w:vAlign w:val="bottom"/>
          </w:tcPr>
          <w:p>
            <w:pPr>
              <w:ind w:left="20"/>
              <w:spacing w:after="0"/>
              <w:rPr>
                <w:sz w:val="20"/>
                <w:szCs w:val="20"/>
                <w:color w:val="auto"/>
              </w:rPr>
            </w:pPr>
            <w:r>
              <w:rPr>
                <w:rFonts w:ascii="Arial" w:cs="Arial" w:eastAsia="Arial" w:hAnsi="Arial"/>
                <w:sz w:val="16"/>
                <w:szCs w:val="16"/>
                <w:b w:val="1"/>
                <w:bCs w:val="1"/>
                <w:color w:val="auto"/>
              </w:rPr>
              <w:t>Net Periodic Benefit</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08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b w:val="1"/>
                <w:bCs w:val="1"/>
                <w:color w:val="auto"/>
              </w:rPr>
              <w:t>(369)</w:t>
            </w:r>
          </w:p>
        </w:tc>
        <w:tc>
          <w:tcPr>
            <w:tcW w:w="4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(455)</w:t>
            </w:r>
          </w:p>
        </w:tc>
      </w:tr>
      <w:tr>
        <w:trPr>
          <w:trHeight w:val="21"/>
        </w:trPr>
        <w:tc>
          <w:tcPr>
            <w:tcW w:w="84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OTHER NON-OPERATING (EXPENSE) INCOME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A summary of non-operating (expense) income is as follows:</w:t>
      </w:r>
    </w:p>
    <w:p>
      <w:pPr>
        <w:spacing w:after="0" w:line="208" w:lineRule="exact"/>
        <w:rPr>
          <w:sz w:val="20"/>
          <w:szCs w:val="20"/>
          <w:color w:val="auto"/>
        </w:rPr>
      </w:pPr>
    </w:p>
    <w:p>
      <w:pPr>
        <w:ind w:left="9120"/>
        <w:spacing w:after="0"/>
        <w:rPr>
          <w:sz w:val="20"/>
          <w:szCs w:val="20"/>
          <w:color w:val="auto"/>
        </w:rPr>
      </w:pPr>
      <w:r>
        <w:rPr>
          <w:rFonts w:ascii="Arial" w:cs="Arial" w:eastAsia="Arial" w:hAnsi="Arial"/>
          <w:sz w:val="14"/>
          <w:szCs w:val="14"/>
          <w:b w:val="1"/>
          <w:bCs w:val="1"/>
          <w:color w:val="auto"/>
        </w:rPr>
        <w:t>Three Months Ended</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4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2"/>
          </w:tcPr>
          <w:p>
            <w:pPr>
              <w:jc w:val="right"/>
              <w:ind w:right="39"/>
              <w:spacing w:after="0"/>
              <w:rPr>
                <w:sz w:val="20"/>
                <w:szCs w:val="20"/>
                <w:color w:val="auto"/>
              </w:rPr>
            </w:pPr>
            <w:r>
              <w:rPr>
                <w:rFonts w:ascii="Arial" w:cs="Arial" w:eastAsia="Arial" w:hAnsi="Arial"/>
                <w:sz w:val="14"/>
                <w:szCs w:val="14"/>
                <w:b w:val="1"/>
                <w:bCs w:val="1"/>
                <w:color w:val="auto"/>
              </w:rPr>
              <w:t>March 31</w:t>
            </w:r>
          </w:p>
        </w:tc>
        <w:tc>
          <w:tcPr>
            <w:tcW w:w="940" w:type="dxa"/>
            <w:vAlign w:val="bottom"/>
            <w:tcBorders>
              <w:bottom w:val="single" w:sz="8" w:color="auto"/>
            </w:tcBorders>
          </w:tcPr>
          <w:p>
            <w:pPr>
              <w:spacing w:after="0"/>
              <w:rPr>
                <w:sz w:val="16"/>
                <w:szCs w:val="16"/>
                <w:color w:val="auto"/>
              </w:rPr>
            </w:pPr>
          </w:p>
        </w:tc>
      </w:tr>
      <w:tr>
        <w:trPr>
          <w:trHeight w:val="203"/>
        </w:trPr>
        <w:tc>
          <w:tcPr>
            <w:tcW w:w="84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2025</w:t>
            </w:r>
          </w:p>
        </w:tc>
        <w:tc>
          <w:tcPr>
            <w:tcW w:w="4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421"/>
              <w:spacing w:after="0"/>
              <w:rPr>
                <w:sz w:val="20"/>
                <w:szCs w:val="20"/>
                <w:color w:val="auto"/>
              </w:rPr>
            </w:pPr>
            <w:r>
              <w:rPr>
                <w:rFonts w:ascii="Arial" w:cs="Arial" w:eastAsia="Arial" w:hAnsi="Arial"/>
                <w:sz w:val="14"/>
                <w:szCs w:val="14"/>
                <w:color w:val="auto"/>
              </w:rPr>
              <w:t>2024</w:t>
            </w:r>
          </w:p>
        </w:tc>
      </w:tr>
      <w:tr>
        <w:trPr>
          <w:trHeight w:val="223"/>
        </w:trPr>
        <w:tc>
          <w:tcPr>
            <w:tcW w:w="8460" w:type="dxa"/>
            <w:vAlign w:val="bottom"/>
          </w:tcPr>
          <w:p>
            <w:pPr>
              <w:ind w:left="20"/>
              <w:spacing w:after="0"/>
              <w:rPr>
                <w:sz w:val="20"/>
                <w:szCs w:val="20"/>
                <w:color w:val="auto"/>
              </w:rPr>
            </w:pPr>
            <w:r>
              <w:rPr>
                <w:rFonts w:ascii="Arial" w:cs="Arial" w:eastAsia="Arial" w:hAnsi="Arial"/>
                <w:sz w:val="16"/>
                <w:szCs w:val="16"/>
                <w:color w:val="auto"/>
              </w:rPr>
              <w:t>Foreign currency (loss) gain, net</w:t>
            </w:r>
          </w:p>
        </w:tc>
        <w:tc>
          <w:tcPr>
            <w:tcW w:w="300" w:type="dxa"/>
            <w:vAlign w:val="bottom"/>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080" w:type="dxa"/>
            <w:vAlign w:val="bottom"/>
          </w:tcPr>
          <w:p>
            <w:pPr>
              <w:jc w:val="right"/>
              <w:ind w:right="2"/>
              <w:spacing w:after="0"/>
              <w:rPr>
                <w:sz w:val="20"/>
                <w:szCs w:val="20"/>
                <w:color w:val="auto"/>
              </w:rPr>
            </w:pPr>
            <w:r>
              <w:rPr>
                <w:rFonts w:ascii="Arial" w:cs="Arial" w:eastAsia="Arial" w:hAnsi="Arial"/>
                <w:sz w:val="16"/>
                <w:szCs w:val="16"/>
                <w:b w:val="1"/>
                <w:bCs w:val="1"/>
                <w:color w:val="auto"/>
              </w:rPr>
              <w:t>(4,379)</w:t>
            </w:r>
          </w:p>
        </w:tc>
        <w:tc>
          <w:tcPr>
            <w:tcW w:w="46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
              <w:spacing w:after="0"/>
              <w:rPr>
                <w:sz w:val="20"/>
                <w:szCs w:val="20"/>
                <w:color w:val="auto"/>
              </w:rPr>
            </w:pPr>
            <w:r>
              <w:rPr>
                <w:rFonts w:ascii="Arial" w:cs="Arial" w:eastAsia="Arial" w:hAnsi="Arial"/>
                <w:sz w:val="16"/>
                <w:szCs w:val="16"/>
                <w:color w:val="auto"/>
              </w:rPr>
              <w:t>617</w:t>
            </w:r>
          </w:p>
        </w:tc>
      </w:tr>
      <w:tr>
        <w:trPr>
          <w:trHeight w:val="229"/>
        </w:trPr>
        <w:tc>
          <w:tcPr>
            <w:tcW w:w="8460" w:type="dxa"/>
            <w:vAlign w:val="bottom"/>
          </w:tcPr>
          <w:p>
            <w:pPr>
              <w:ind w:left="20"/>
              <w:spacing w:after="0"/>
              <w:rPr>
                <w:sz w:val="20"/>
                <w:szCs w:val="20"/>
                <w:color w:val="auto"/>
              </w:rPr>
            </w:pPr>
            <w:r>
              <w:rPr>
                <w:rFonts w:ascii="Arial" w:cs="Arial" w:eastAsia="Arial" w:hAnsi="Arial"/>
                <w:sz w:val="16"/>
                <w:szCs w:val="16"/>
                <w:color w:val="auto"/>
              </w:rPr>
              <w:t>Gain on sale of businesses</w:t>
            </w:r>
          </w:p>
        </w:tc>
        <w:tc>
          <w:tcPr>
            <w:tcW w:w="300" w:type="dxa"/>
            <w:vAlign w:val="bottom"/>
          </w:tcPr>
          <w:p>
            <w:pPr>
              <w:spacing w:after="0"/>
              <w:rPr>
                <w:sz w:val="19"/>
                <w:szCs w:val="19"/>
                <w:color w:val="auto"/>
              </w:rPr>
            </w:pPr>
          </w:p>
        </w:tc>
        <w:tc>
          <w:tcPr>
            <w:tcW w:w="1080" w:type="dxa"/>
            <w:vAlign w:val="bottom"/>
          </w:tcPr>
          <w:p>
            <w:pPr>
              <w:jc w:val="right"/>
              <w:ind w:right="42"/>
              <w:spacing w:after="0"/>
              <w:rPr>
                <w:sz w:val="20"/>
                <w:szCs w:val="20"/>
                <w:color w:val="auto"/>
              </w:rPr>
            </w:pPr>
            <w:r>
              <w:rPr>
                <w:rFonts w:ascii="Arial" w:cs="Arial" w:eastAsia="Arial" w:hAnsi="Arial"/>
                <w:sz w:val="16"/>
                <w:szCs w:val="16"/>
                <w:b w:val="1"/>
                <w:bCs w:val="1"/>
                <w:color w:val="auto"/>
              </w:rPr>
              <w:t>—</w:t>
            </w:r>
          </w:p>
        </w:tc>
        <w:tc>
          <w:tcPr>
            <w:tcW w:w="460" w:type="dxa"/>
            <w:vAlign w:val="bottom"/>
          </w:tcPr>
          <w:p>
            <w:pPr>
              <w:spacing w:after="0"/>
              <w:rPr>
                <w:sz w:val="19"/>
                <w:szCs w:val="19"/>
                <w:color w:val="auto"/>
              </w:rPr>
            </w:pPr>
          </w:p>
        </w:tc>
        <w:tc>
          <w:tcPr>
            <w:tcW w:w="940" w:type="dxa"/>
            <w:vAlign w:val="bottom"/>
          </w:tcPr>
          <w:p>
            <w:pPr>
              <w:jc w:val="right"/>
              <w:ind w:right="1"/>
              <w:spacing w:after="0"/>
              <w:rPr>
                <w:sz w:val="20"/>
                <w:szCs w:val="20"/>
                <w:color w:val="auto"/>
              </w:rPr>
            </w:pPr>
            <w:r>
              <w:rPr>
                <w:rFonts w:ascii="Arial" w:cs="Arial" w:eastAsia="Arial" w:hAnsi="Arial"/>
                <w:sz w:val="16"/>
                <w:szCs w:val="16"/>
                <w:color w:val="auto"/>
              </w:rPr>
              <w:t>875</w:t>
            </w:r>
          </w:p>
        </w:tc>
      </w:tr>
      <w:tr>
        <w:trPr>
          <w:trHeight w:val="230"/>
        </w:trPr>
        <w:tc>
          <w:tcPr>
            <w:tcW w:w="8460" w:type="dxa"/>
            <w:vAlign w:val="bottom"/>
          </w:tcPr>
          <w:p>
            <w:pPr>
              <w:ind w:left="20"/>
              <w:spacing w:after="0"/>
              <w:rPr>
                <w:sz w:val="20"/>
                <w:szCs w:val="20"/>
                <w:color w:val="auto"/>
              </w:rPr>
            </w:pPr>
            <w:r>
              <w:rPr>
                <w:rFonts w:ascii="Arial" w:cs="Arial" w:eastAsia="Arial" w:hAnsi="Arial"/>
                <w:sz w:val="16"/>
                <w:szCs w:val="16"/>
                <w:color w:val="auto"/>
              </w:rPr>
              <w:t>Impairment of cost method investment</w:t>
            </w:r>
          </w:p>
        </w:tc>
        <w:tc>
          <w:tcPr>
            <w:tcW w:w="300" w:type="dxa"/>
            <w:vAlign w:val="bottom"/>
          </w:tcPr>
          <w:p>
            <w:pPr>
              <w:spacing w:after="0"/>
              <w:rPr>
                <w:sz w:val="19"/>
                <w:szCs w:val="19"/>
                <w:color w:val="auto"/>
              </w:rPr>
            </w:pPr>
          </w:p>
        </w:tc>
        <w:tc>
          <w:tcPr>
            <w:tcW w:w="1080" w:type="dxa"/>
            <w:vAlign w:val="bottom"/>
          </w:tcPr>
          <w:p>
            <w:pPr>
              <w:jc w:val="right"/>
              <w:ind w:right="42"/>
              <w:spacing w:after="0"/>
              <w:rPr>
                <w:sz w:val="20"/>
                <w:szCs w:val="20"/>
                <w:color w:val="auto"/>
              </w:rPr>
            </w:pPr>
            <w:r>
              <w:rPr>
                <w:rFonts w:ascii="Arial" w:cs="Arial" w:eastAsia="Arial" w:hAnsi="Arial"/>
                <w:sz w:val="16"/>
                <w:szCs w:val="16"/>
                <w:b w:val="1"/>
                <w:bCs w:val="1"/>
                <w:color w:val="auto"/>
              </w:rPr>
              <w:t>—</w:t>
            </w:r>
          </w:p>
        </w:tc>
        <w:tc>
          <w:tcPr>
            <w:tcW w:w="4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(406)</w:t>
            </w:r>
          </w:p>
        </w:tc>
      </w:tr>
      <w:tr>
        <w:trPr>
          <w:trHeight w:val="233"/>
        </w:trPr>
        <w:tc>
          <w:tcPr>
            <w:tcW w:w="8460" w:type="dxa"/>
            <w:vAlign w:val="bottom"/>
          </w:tcPr>
          <w:p>
            <w:pPr>
              <w:ind w:left="20"/>
              <w:spacing w:after="0"/>
              <w:rPr>
                <w:sz w:val="20"/>
                <w:szCs w:val="20"/>
                <w:color w:val="auto"/>
              </w:rPr>
            </w:pPr>
            <w:r>
              <w:rPr>
                <w:rFonts w:ascii="Arial" w:cs="Arial" w:eastAsia="Arial" w:hAnsi="Arial"/>
                <w:sz w:val="16"/>
                <w:szCs w:val="16"/>
                <w:color w:val="auto"/>
              </w:rPr>
              <w:t>Other gain, net</w:t>
            </w: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b w:val="1"/>
                <w:bCs w:val="1"/>
                <w:color w:val="auto"/>
              </w:rPr>
              <w:t>314</w:t>
            </w:r>
          </w:p>
        </w:tc>
        <w:tc>
          <w:tcPr>
            <w:tcW w:w="4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561</w:t>
            </w:r>
          </w:p>
        </w:tc>
      </w:tr>
      <w:tr>
        <w:trPr>
          <w:trHeight w:val="227"/>
        </w:trPr>
        <w:tc>
          <w:tcPr>
            <w:tcW w:w="8460" w:type="dxa"/>
            <w:vAlign w:val="bottom"/>
          </w:tcPr>
          <w:p>
            <w:pPr>
              <w:ind w:left="20"/>
              <w:spacing w:after="0"/>
              <w:rPr>
                <w:sz w:val="20"/>
                <w:szCs w:val="20"/>
                <w:color w:val="auto"/>
              </w:rPr>
            </w:pPr>
            <w:r>
              <w:rPr>
                <w:rFonts w:ascii="Arial" w:cs="Arial" w:eastAsia="Arial" w:hAnsi="Arial"/>
                <w:sz w:val="16"/>
                <w:szCs w:val="16"/>
                <w:b w:val="1"/>
                <w:bCs w:val="1"/>
                <w:color w:val="auto"/>
              </w:rPr>
              <w:t>Total Other Non-Operating (Expense) Income</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0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(4,065)</w:t>
            </w:r>
          </w:p>
        </w:tc>
        <w:tc>
          <w:tcPr>
            <w:tcW w:w="4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1,647</w:t>
            </w:r>
          </w:p>
        </w:tc>
      </w:tr>
      <w:tr>
        <w:trPr>
          <w:trHeight w:val="20"/>
        </w:trPr>
        <w:tc>
          <w:tcPr>
            <w:tcW w:w="84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24" w:lineRule="exact"/>
        <w:rPr>
          <w:sz w:val="20"/>
          <w:szCs w:val="20"/>
          <w:color w:val="auto"/>
        </w:rPr>
      </w:pPr>
    </w:p>
    <w:p>
      <w:pPr>
        <w:ind w:right="780"/>
        <w:spacing w:after="0" w:line="271" w:lineRule="auto"/>
        <w:rPr>
          <w:sz w:val="20"/>
          <w:szCs w:val="20"/>
          <w:color w:val="auto"/>
        </w:rPr>
      </w:pPr>
      <w:r>
        <w:rPr>
          <w:rFonts w:ascii="Arial" w:cs="Arial" w:eastAsia="Arial" w:hAnsi="Arial"/>
          <w:sz w:val="18"/>
          <w:szCs w:val="18"/>
          <w:color w:val="auto"/>
        </w:rPr>
        <w:t>During the three months ended March 31, 2024, the Company recorded contingent consideration gains of $0.9 million related to the disposition of Kaplan University (KU) in 2018.</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ACCUMULATED OTHER COMPREHENSIVE INCOME (LOSS)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other comprehensive income (loss) consists of the following components: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6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2320" w:type="dxa"/>
            <w:vAlign w:val="bottom"/>
            <w:tcBorders>
              <w:bottom w:val="single" w:sz="8" w:color="auto"/>
            </w:tcBorders>
            <w:gridSpan w:val="4"/>
          </w:tcPr>
          <w:p>
            <w:pPr>
              <w:jc w:val="right"/>
              <w:ind w:right="21"/>
              <w:spacing w:after="0"/>
              <w:rPr>
                <w:sz w:val="20"/>
                <w:szCs w:val="20"/>
                <w:color w:val="auto"/>
              </w:rPr>
            </w:pPr>
            <w:r>
              <w:rPr>
                <w:rFonts w:ascii="Arial" w:cs="Arial" w:eastAsia="Arial" w:hAnsi="Arial"/>
                <w:sz w:val="14"/>
                <w:szCs w:val="14"/>
                <w:b w:val="1"/>
                <w:bCs w:val="1"/>
                <w:color w:val="auto"/>
              </w:rPr>
              <w:t>Three Months Ended March 31</w:t>
            </w: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r>
      <w:tr>
        <w:trPr>
          <w:trHeight w:val="209"/>
        </w:trPr>
        <w:tc>
          <w:tcPr>
            <w:tcW w:w="46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center"/>
              <w:ind w:right="102"/>
              <w:spacing w:after="0"/>
              <w:rPr>
                <w:sz w:val="20"/>
                <w:szCs w:val="20"/>
                <w:color w:val="auto"/>
              </w:rPr>
            </w:pPr>
            <w:r>
              <w:rPr>
                <w:rFonts w:ascii="Arial" w:cs="Arial" w:eastAsia="Arial" w:hAnsi="Arial"/>
                <w:sz w:val="14"/>
                <w:szCs w:val="14"/>
                <w:b w:val="1"/>
                <w:bCs w:val="1"/>
                <w:color w:val="auto"/>
              </w:rPr>
              <w:t>2025</w:t>
            </w: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center"/>
              <w:ind w:right="122"/>
              <w:spacing w:after="0"/>
              <w:rPr>
                <w:sz w:val="20"/>
                <w:szCs w:val="20"/>
                <w:color w:val="auto"/>
              </w:rPr>
            </w:pPr>
            <w:r>
              <w:rPr>
                <w:rFonts w:ascii="Arial" w:cs="Arial" w:eastAsia="Arial" w:hAnsi="Arial"/>
                <w:sz w:val="14"/>
                <w:szCs w:val="14"/>
                <w:color w:val="auto"/>
              </w:rPr>
              <w:t>2024</w:t>
            </w: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r>
      <w:tr>
        <w:trPr>
          <w:trHeight w:val="201"/>
        </w:trPr>
        <w:tc>
          <w:tcPr>
            <w:tcW w:w="4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right"/>
              <w:ind w:right="141"/>
              <w:spacing w:after="0"/>
              <w:rPr>
                <w:sz w:val="20"/>
                <w:szCs w:val="20"/>
                <w:color w:val="auto"/>
              </w:rPr>
            </w:pPr>
            <w:r>
              <w:rPr>
                <w:rFonts w:ascii="Arial" w:cs="Arial" w:eastAsia="Arial" w:hAnsi="Arial"/>
                <w:sz w:val="14"/>
                <w:szCs w:val="14"/>
                <w:b w:val="1"/>
                <w:bCs w:val="1"/>
                <w:color w:val="auto"/>
              </w:rPr>
              <w:t>Before-Tax</w:t>
            </w:r>
          </w:p>
        </w:tc>
        <w:tc>
          <w:tcPr>
            <w:tcW w:w="220" w:type="dxa"/>
            <w:vAlign w:val="bottom"/>
          </w:tcPr>
          <w:p>
            <w:pPr>
              <w:spacing w:after="0"/>
              <w:rPr>
                <w:sz w:val="17"/>
                <w:szCs w:val="17"/>
                <w:color w:val="auto"/>
              </w:rPr>
            </w:pPr>
          </w:p>
        </w:tc>
        <w:tc>
          <w:tcPr>
            <w:tcW w:w="780" w:type="dxa"/>
            <w:vAlign w:val="bottom"/>
          </w:tcPr>
          <w:p>
            <w:pPr>
              <w:jc w:val="center"/>
              <w:ind w:right="122"/>
              <w:spacing w:after="0"/>
              <w:rPr>
                <w:sz w:val="20"/>
                <w:szCs w:val="20"/>
                <w:color w:val="auto"/>
              </w:rPr>
            </w:pPr>
            <w:r>
              <w:rPr>
                <w:rFonts w:ascii="Arial" w:cs="Arial" w:eastAsia="Arial" w:hAnsi="Arial"/>
                <w:sz w:val="14"/>
                <w:szCs w:val="14"/>
                <w:b w:val="1"/>
                <w:bCs w:val="1"/>
                <w:color w:val="auto"/>
              </w:rPr>
              <w:t>Income</w:t>
            </w:r>
          </w:p>
        </w:tc>
        <w:tc>
          <w:tcPr>
            <w:tcW w:w="240" w:type="dxa"/>
            <w:vAlign w:val="bottom"/>
          </w:tcPr>
          <w:p>
            <w:pPr>
              <w:spacing w:after="0"/>
              <w:rPr>
                <w:sz w:val="17"/>
                <w:szCs w:val="17"/>
                <w:color w:val="auto"/>
              </w:rPr>
            </w:pPr>
          </w:p>
        </w:tc>
        <w:tc>
          <w:tcPr>
            <w:tcW w:w="940" w:type="dxa"/>
            <w:vAlign w:val="bottom"/>
          </w:tcPr>
          <w:p>
            <w:pPr>
              <w:jc w:val="right"/>
              <w:ind w:right="181"/>
              <w:spacing w:after="0"/>
              <w:rPr>
                <w:sz w:val="20"/>
                <w:szCs w:val="20"/>
                <w:color w:val="auto"/>
              </w:rPr>
            </w:pPr>
            <w:r>
              <w:rPr>
                <w:rFonts w:ascii="Arial" w:cs="Arial" w:eastAsia="Arial" w:hAnsi="Arial"/>
                <w:sz w:val="14"/>
                <w:szCs w:val="14"/>
                <w:b w:val="1"/>
                <w:bCs w:val="1"/>
                <w:color w:val="auto"/>
              </w:rPr>
              <w:t>After-Tax</w:t>
            </w:r>
          </w:p>
        </w:tc>
        <w:tc>
          <w:tcPr>
            <w:tcW w:w="200" w:type="dxa"/>
            <w:vAlign w:val="bottom"/>
          </w:tcPr>
          <w:p>
            <w:pPr>
              <w:spacing w:after="0"/>
              <w:rPr>
                <w:sz w:val="17"/>
                <w:szCs w:val="17"/>
                <w:color w:val="auto"/>
              </w:rPr>
            </w:pPr>
          </w:p>
        </w:tc>
        <w:tc>
          <w:tcPr>
            <w:tcW w:w="940" w:type="dxa"/>
            <w:vAlign w:val="bottom"/>
          </w:tcPr>
          <w:p>
            <w:pPr>
              <w:jc w:val="right"/>
              <w:ind w:right="141"/>
              <w:spacing w:after="0"/>
              <w:rPr>
                <w:sz w:val="20"/>
                <w:szCs w:val="20"/>
                <w:color w:val="auto"/>
              </w:rPr>
            </w:pPr>
            <w:r>
              <w:rPr>
                <w:rFonts w:ascii="Arial" w:cs="Arial" w:eastAsia="Arial" w:hAnsi="Arial"/>
                <w:sz w:val="14"/>
                <w:szCs w:val="14"/>
                <w:color w:val="auto"/>
              </w:rPr>
              <w:t>Before-Tax</w:t>
            </w:r>
          </w:p>
        </w:tc>
        <w:tc>
          <w:tcPr>
            <w:tcW w:w="240" w:type="dxa"/>
            <w:vAlign w:val="bottom"/>
          </w:tcPr>
          <w:p>
            <w:pPr>
              <w:spacing w:after="0"/>
              <w:rPr>
                <w:sz w:val="17"/>
                <w:szCs w:val="17"/>
                <w:color w:val="auto"/>
              </w:rPr>
            </w:pPr>
          </w:p>
        </w:tc>
        <w:tc>
          <w:tcPr>
            <w:tcW w:w="800" w:type="dxa"/>
            <w:vAlign w:val="bottom"/>
          </w:tcPr>
          <w:p>
            <w:pPr>
              <w:jc w:val="center"/>
              <w:ind w:right="142"/>
              <w:spacing w:after="0"/>
              <w:rPr>
                <w:sz w:val="20"/>
                <w:szCs w:val="20"/>
                <w:color w:val="auto"/>
              </w:rPr>
            </w:pPr>
            <w:r>
              <w:rPr>
                <w:rFonts w:ascii="Arial" w:cs="Arial" w:eastAsia="Arial" w:hAnsi="Arial"/>
                <w:sz w:val="14"/>
                <w:szCs w:val="14"/>
                <w:color w:val="auto"/>
              </w:rPr>
              <w:t>Income</w:t>
            </w:r>
          </w:p>
        </w:tc>
        <w:tc>
          <w:tcPr>
            <w:tcW w:w="240" w:type="dxa"/>
            <w:vAlign w:val="bottom"/>
          </w:tcPr>
          <w:p>
            <w:pPr>
              <w:spacing w:after="0"/>
              <w:rPr>
                <w:sz w:val="17"/>
                <w:szCs w:val="17"/>
                <w:color w:val="auto"/>
              </w:rPr>
            </w:pPr>
          </w:p>
        </w:tc>
        <w:tc>
          <w:tcPr>
            <w:tcW w:w="880" w:type="dxa"/>
            <w:vAlign w:val="bottom"/>
          </w:tcPr>
          <w:p>
            <w:pPr>
              <w:jc w:val="right"/>
              <w:ind w:right="161"/>
              <w:spacing w:after="0"/>
              <w:rPr>
                <w:sz w:val="20"/>
                <w:szCs w:val="20"/>
                <w:color w:val="auto"/>
              </w:rPr>
            </w:pPr>
            <w:r>
              <w:rPr>
                <w:rFonts w:ascii="Arial" w:cs="Arial" w:eastAsia="Arial" w:hAnsi="Arial"/>
                <w:sz w:val="14"/>
                <w:szCs w:val="14"/>
                <w:color w:val="auto"/>
              </w:rPr>
              <w:t>After-Tax</w:t>
            </w:r>
          </w:p>
        </w:tc>
      </w:tr>
      <w:tr>
        <w:trPr>
          <w:trHeight w:val="225"/>
        </w:trPr>
        <w:tc>
          <w:tcPr>
            <w:tcW w:w="46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221"/>
              <w:spacing w:after="0"/>
              <w:rPr>
                <w:sz w:val="20"/>
                <w:szCs w:val="20"/>
                <w:color w:val="auto"/>
              </w:rPr>
            </w:pPr>
            <w:r>
              <w:rPr>
                <w:rFonts w:ascii="Arial" w:cs="Arial" w:eastAsia="Arial" w:hAnsi="Arial"/>
                <w:sz w:val="14"/>
                <w:szCs w:val="14"/>
                <w:b w:val="1"/>
                <w:bCs w:val="1"/>
                <w:color w:val="auto"/>
              </w:rPr>
              <w:t>Amount</w:t>
            </w: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center"/>
              <w:ind w:right="102"/>
              <w:spacing w:after="0"/>
              <w:rPr>
                <w:sz w:val="20"/>
                <w:szCs w:val="20"/>
                <w:color w:val="auto"/>
              </w:rPr>
            </w:pPr>
            <w:r>
              <w:rPr>
                <w:rFonts w:ascii="Arial" w:cs="Arial" w:eastAsia="Arial" w:hAnsi="Arial"/>
                <w:sz w:val="14"/>
                <w:szCs w:val="14"/>
                <w:b w:val="1"/>
                <w:bCs w:val="1"/>
                <w:color w:val="auto"/>
                <w:w w:val="99"/>
              </w:rPr>
              <w:t>Tax</w:t>
            </w: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221"/>
              <w:spacing w:after="0"/>
              <w:rPr>
                <w:sz w:val="20"/>
                <w:szCs w:val="20"/>
                <w:color w:val="auto"/>
              </w:rPr>
            </w:pPr>
            <w:r>
              <w:rPr>
                <w:rFonts w:ascii="Arial" w:cs="Arial" w:eastAsia="Arial" w:hAnsi="Arial"/>
                <w:sz w:val="14"/>
                <w:szCs w:val="14"/>
                <w:b w:val="1"/>
                <w:bCs w:val="1"/>
                <w:color w:val="auto"/>
              </w:rPr>
              <w:t>Amount</w:t>
            </w: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241"/>
              <w:spacing w:after="0"/>
              <w:rPr>
                <w:sz w:val="20"/>
                <w:szCs w:val="20"/>
                <w:color w:val="auto"/>
              </w:rPr>
            </w:pPr>
            <w:r>
              <w:rPr>
                <w:rFonts w:ascii="Arial" w:cs="Arial" w:eastAsia="Arial" w:hAnsi="Arial"/>
                <w:sz w:val="14"/>
                <w:szCs w:val="14"/>
                <w:color w:val="auto"/>
              </w:rPr>
              <w:t>Amount</w:t>
            </w: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center"/>
              <w:ind w:right="142"/>
              <w:spacing w:after="0"/>
              <w:rPr>
                <w:sz w:val="20"/>
                <w:szCs w:val="20"/>
                <w:color w:val="auto"/>
              </w:rPr>
            </w:pPr>
            <w:r>
              <w:rPr>
                <w:rFonts w:ascii="Arial" w:cs="Arial" w:eastAsia="Arial" w:hAnsi="Arial"/>
                <w:sz w:val="14"/>
                <w:szCs w:val="14"/>
                <w:color w:val="auto"/>
                <w:w w:val="94"/>
              </w:rPr>
              <w:t>Tax</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01"/>
              <w:spacing w:after="0"/>
              <w:rPr>
                <w:sz w:val="20"/>
                <w:szCs w:val="20"/>
                <w:color w:val="auto"/>
              </w:rPr>
            </w:pPr>
            <w:r>
              <w:rPr>
                <w:rFonts w:ascii="Arial" w:cs="Arial" w:eastAsia="Arial" w:hAnsi="Arial"/>
                <w:sz w:val="14"/>
                <w:szCs w:val="14"/>
                <w:color w:val="auto"/>
              </w:rPr>
              <w:t>Amount</w:t>
            </w:r>
          </w:p>
        </w:tc>
      </w:tr>
      <w:tr>
        <w:trPr>
          <w:trHeight w:val="215"/>
        </w:trPr>
        <w:tc>
          <w:tcPr>
            <w:tcW w:w="4660" w:type="dxa"/>
            <w:vAlign w:val="bottom"/>
          </w:tcPr>
          <w:p>
            <w:pPr>
              <w:ind w:left="20"/>
              <w:spacing w:after="0"/>
              <w:rPr>
                <w:sz w:val="20"/>
                <w:szCs w:val="20"/>
                <w:color w:val="auto"/>
              </w:rPr>
            </w:pPr>
            <w:r>
              <w:rPr>
                <w:rFonts w:ascii="Arial" w:cs="Arial" w:eastAsia="Arial" w:hAnsi="Arial"/>
                <w:sz w:val="16"/>
                <w:szCs w:val="16"/>
                <w:color w:val="auto"/>
              </w:rPr>
              <w:t>Foreign currency translation adjustments:</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37"/>
        </w:trPr>
        <w:tc>
          <w:tcPr>
            <w:tcW w:w="4660" w:type="dxa"/>
            <w:vAlign w:val="bottom"/>
          </w:tcPr>
          <w:p>
            <w:pPr>
              <w:ind w:left="140"/>
              <w:spacing w:after="0"/>
              <w:rPr>
                <w:sz w:val="20"/>
                <w:szCs w:val="20"/>
                <w:color w:val="auto"/>
              </w:rPr>
            </w:pPr>
            <w:r>
              <w:rPr>
                <w:rFonts w:ascii="Arial" w:cs="Arial" w:eastAsia="Arial" w:hAnsi="Arial"/>
                <w:sz w:val="16"/>
                <w:szCs w:val="16"/>
                <w:color w:val="auto"/>
              </w:rPr>
              <w:t>Translation adjustments arising during the period</w:t>
            </w: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980" w:type="dxa"/>
            <w:vAlign w:val="bottom"/>
          </w:tcPr>
          <w:p>
            <w:pPr>
              <w:jc w:val="right"/>
              <w:ind w:right="41"/>
              <w:spacing w:after="0"/>
              <w:rPr>
                <w:sz w:val="20"/>
                <w:szCs w:val="20"/>
                <w:color w:val="auto"/>
              </w:rPr>
            </w:pPr>
            <w:r>
              <w:rPr>
                <w:rFonts w:ascii="Arial" w:cs="Arial" w:eastAsia="Arial" w:hAnsi="Arial"/>
                <w:sz w:val="16"/>
                <w:szCs w:val="16"/>
                <w:b w:val="1"/>
                <w:bCs w:val="1"/>
                <w:color w:val="auto"/>
              </w:rPr>
              <w:t>14,267</w:t>
            </w:r>
          </w:p>
        </w:tc>
        <w:tc>
          <w:tcPr>
            <w:tcW w:w="2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780" w:type="dxa"/>
            <w:vAlign w:val="bottom"/>
          </w:tcPr>
          <w:p>
            <w:pPr>
              <w:jc w:val="right"/>
              <w:ind w:right="22"/>
              <w:spacing w:after="0"/>
              <w:rPr>
                <w:sz w:val="20"/>
                <w:szCs w:val="20"/>
                <w:color w:val="auto"/>
              </w:rPr>
            </w:pPr>
            <w:r>
              <w:rPr>
                <w:rFonts w:ascii="Arial" w:cs="Arial" w:eastAsia="Arial" w:hAnsi="Arial"/>
                <w:sz w:val="16"/>
                <w:szCs w:val="16"/>
                <w:b w:val="1"/>
                <w:bCs w:val="1"/>
                <w:color w:val="auto"/>
              </w:rPr>
              <w:t>—</w:t>
            </w:r>
          </w:p>
        </w:tc>
        <w:tc>
          <w:tcPr>
            <w:tcW w:w="2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41"/>
              <w:spacing w:after="0"/>
              <w:rPr>
                <w:sz w:val="20"/>
                <w:szCs w:val="20"/>
                <w:color w:val="auto"/>
              </w:rPr>
            </w:pPr>
            <w:r>
              <w:rPr>
                <w:rFonts w:ascii="Arial" w:cs="Arial" w:eastAsia="Arial" w:hAnsi="Arial"/>
                <w:sz w:val="16"/>
                <w:szCs w:val="16"/>
                <w:b w:val="1"/>
                <w:bCs w:val="1"/>
                <w:color w:val="auto"/>
              </w:rPr>
              <w:t>14,267</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(13,284)</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(13,284)</w:t>
            </w:r>
          </w:p>
        </w:tc>
      </w:tr>
      <w:tr>
        <w:trPr>
          <w:trHeight w:val="222"/>
        </w:trPr>
        <w:tc>
          <w:tcPr>
            <w:tcW w:w="4660" w:type="dxa"/>
            <w:vAlign w:val="bottom"/>
          </w:tcPr>
          <w:p>
            <w:pPr>
              <w:ind w:left="20"/>
              <w:spacing w:after="0"/>
              <w:rPr>
                <w:sz w:val="20"/>
                <w:szCs w:val="20"/>
                <w:color w:val="auto"/>
              </w:rPr>
            </w:pPr>
            <w:r>
              <w:rPr>
                <w:rFonts w:ascii="Arial" w:cs="Arial" w:eastAsia="Arial" w:hAnsi="Arial"/>
                <w:sz w:val="16"/>
                <w:szCs w:val="16"/>
                <w:color w:val="auto"/>
              </w:rPr>
              <w:t>Pension and other postretirement plans:</w:t>
            </w: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38"/>
        </w:trPr>
        <w:tc>
          <w:tcPr>
            <w:tcW w:w="4660" w:type="dxa"/>
            <w:vAlign w:val="bottom"/>
          </w:tcPr>
          <w:p>
            <w:pPr>
              <w:ind w:left="140"/>
              <w:spacing w:after="0"/>
              <w:rPr>
                <w:sz w:val="20"/>
                <w:szCs w:val="20"/>
                <w:color w:val="auto"/>
              </w:rPr>
            </w:pPr>
            <w:r>
              <w:rPr>
                <w:rFonts w:ascii="Arial" w:cs="Arial" w:eastAsia="Arial" w:hAnsi="Arial"/>
                <w:sz w:val="16"/>
                <w:szCs w:val="16"/>
                <w:color w:val="auto"/>
              </w:rPr>
              <w:t>Amortization of net prior service credit included in net income</w:t>
            </w:r>
          </w:p>
        </w:tc>
        <w:tc>
          <w:tcPr>
            <w:tcW w:w="120" w:type="dxa"/>
            <w:vAlign w:val="bottom"/>
          </w:tcPr>
          <w:p>
            <w:pPr>
              <w:spacing w:after="0"/>
              <w:rPr>
                <w:sz w:val="20"/>
                <w:szCs w:val="20"/>
                <w:color w:val="auto"/>
              </w:rPr>
            </w:pPr>
          </w:p>
        </w:tc>
        <w:tc>
          <w:tcPr>
            <w:tcW w:w="980" w:type="dxa"/>
            <w:vAlign w:val="bottom"/>
          </w:tcPr>
          <w:p>
            <w:pPr>
              <w:jc w:val="right"/>
              <w:ind w:right="1"/>
              <w:spacing w:after="0"/>
              <w:rPr>
                <w:sz w:val="20"/>
                <w:szCs w:val="20"/>
                <w:color w:val="auto"/>
              </w:rPr>
            </w:pPr>
            <w:r>
              <w:rPr>
                <w:rFonts w:ascii="Arial" w:cs="Arial" w:eastAsia="Arial" w:hAnsi="Arial"/>
                <w:sz w:val="16"/>
                <w:szCs w:val="16"/>
                <w:b w:val="1"/>
                <w:bCs w:val="1"/>
                <w:color w:val="auto"/>
              </w:rPr>
              <w:t>(519)</w:t>
            </w:r>
          </w:p>
        </w:tc>
        <w:tc>
          <w:tcPr>
            <w:tcW w:w="220" w:type="dxa"/>
            <w:vAlign w:val="bottom"/>
          </w:tcPr>
          <w:p>
            <w:pPr>
              <w:spacing w:after="0"/>
              <w:rPr>
                <w:sz w:val="20"/>
                <w:szCs w:val="20"/>
                <w:color w:val="auto"/>
              </w:rPr>
            </w:pPr>
          </w:p>
        </w:tc>
        <w:tc>
          <w:tcPr>
            <w:tcW w:w="780" w:type="dxa"/>
            <w:vAlign w:val="bottom"/>
          </w:tcPr>
          <w:p>
            <w:pPr>
              <w:jc w:val="right"/>
              <w:ind w:right="22"/>
              <w:spacing w:after="0"/>
              <w:rPr>
                <w:sz w:val="20"/>
                <w:szCs w:val="20"/>
                <w:color w:val="auto"/>
              </w:rPr>
            </w:pPr>
            <w:r>
              <w:rPr>
                <w:rFonts w:ascii="Arial" w:cs="Arial" w:eastAsia="Arial" w:hAnsi="Arial"/>
                <w:sz w:val="16"/>
                <w:szCs w:val="16"/>
                <w:b w:val="1"/>
                <w:bCs w:val="1"/>
                <w:color w:val="auto"/>
              </w:rPr>
              <w:t>133</w:t>
            </w:r>
          </w:p>
        </w:tc>
        <w:tc>
          <w:tcPr>
            <w:tcW w:w="240" w:type="dxa"/>
            <w:vAlign w:val="bottom"/>
          </w:tcPr>
          <w:p>
            <w:pPr>
              <w:spacing w:after="0"/>
              <w:rPr>
                <w:sz w:val="20"/>
                <w:szCs w:val="20"/>
                <w:color w:val="auto"/>
              </w:rPr>
            </w:pPr>
          </w:p>
        </w:tc>
        <w:tc>
          <w:tcPr>
            <w:tcW w:w="940" w:type="dxa"/>
            <w:vAlign w:val="bottom"/>
          </w:tcPr>
          <w:p>
            <w:pPr>
              <w:jc w:val="right"/>
              <w:ind w:right="1"/>
              <w:spacing w:after="0"/>
              <w:rPr>
                <w:sz w:val="20"/>
                <w:szCs w:val="20"/>
                <w:color w:val="auto"/>
              </w:rPr>
            </w:pPr>
            <w:r>
              <w:rPr>
                <w:rFonts w:ascii="Arial" w:cs="Arial" w:eastAsia="Arial" w:hAnsi="Arial"/>
                <w:sz w:val="16"/>
                <w:szCs w:val="16"/>
                <w:b w:val="1"/>
                <w:bCs w:val="1"/>
                <w:color w:val="auto"/>
              </w:rPr>
              <w:t>(386)</w:t>
            </w: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(494)</w:t>
            </w:r>
          </w:p>
        </w:tc>
        <w:tc>
          <w:tcPr>
            <w:tcW w:w="240" w:type="dxa"/>
            <w:vAlign w:val="bottom"/>
          </w:tcPr>
          <w:p>
            <w:pPr>
              <w:spacing w:after="0"/>
              <w:rPr>
                <w:sz w:val="20"/>
                <w:szCs w:val="20"/>
                <w:color w:val="auto"/>
              </w:rPr>
            </w:pPr>
          </w:p>
        </w:tc>
        <w:tc>
          <w:tcPr>
            <w:tcW w:w="800" w:type="dxa"/>
            <w:vAlign w:val="bottom"/>
          </w:tcPr>
          <w:p>
            <w:pPr>
              <w:jc w:val="right"/>
              <w:ind w:right="42"/>
              <w:spacing w:after="0"/>
              <w:rPr>
                <w:sz w:val="20"/>
                <w:szCs w:val="20"/>
                <w:color w:val="auto"/>
              </w:rPr>
            </w:pPr>
            <w:r>
              <w:rPr>
                <w:rFonts w:ascii="Arial" w:cs="Arial" w:eastAsia="Arial" w:hAnsi="Arial"/>
                <w:sz w:val="16"/>
                <w:szCs w:val="16"/>
                <w:color w:val="auto"/>
              </w:rPr>
              <w:t>126</w:t>
            </w: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(368)</w:t>
            </w:r>
          </w:p>
        </w:tc>
      </w:tr>
      <w:tr>
        <w:trPr>
          <w:trHeight w:val="233"/>
        </w:trPr>
        <w:tc>
          <w:tcPr>
            <w:tcW w:w="4660" w:type="dxa"/>
            <w:vAlign w:val="bottom"/>
          </w:tcPr>
          <w:p>
            <w:pPr>
              <w:ind w:left="140"/>
              <w:spacing w:after="0"/>
              <w:rPr>
                <w:sz w:val="20"/>
                <w:szCs w:val="20"/>
                <w:color w:val="auto"/>
              </w:rPr>
            </w:pPr>
            <w:r>
              <w:rPr>
                <w:rFonts w:ascii="Arial" w:cs="Arial" w:eastAsia="Arial" w:hAnsi="Arial"/>
                <w:sz w:val="16"/>
                <w:szCs w:val="16"/>
                <w:color w:val="auto"/>
              </w:rPr>
              <w:t>Amortization of net actuarial gain included in net income</w:t>
            </w: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(379)</w:t>
            </w: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b w:val="1"/>
                <w:bCs w:val="1"/>
                <w:color w:val="auto"/>
              </w:rPr>
              <w:t>97</w:t>
            </w: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(282)</w:t>
            </w: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(12,987)</w:t>
            </w:r>
          </w:p>
        </w:tc>
        <w:tc>
          <w:tcPr>
            <w:tcW w:w="2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3,325</w:t>
            </w: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(9,662)</w:t>
            </w:r>
          </w:p>
        </w:tc>
      </w:tr>
      <w:tr>
        <w:trPr>
          <w:trHeight w:val="220"/>
        </w:trPr>
        <w:tc>
          <w:tcPr>
            <w:tcW w:w="46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(898)</w:t>
            </w: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b w:val="1"/>
                <w:bCs w:val="1"/>
                <w:color w:val="auto"/>
              </w:rPr>
              <w:t>230</w:t>
            </w: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(668)</w:t>
            </w: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(13,481)</w:t>
            </w: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3,451</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(10,030)</w:t>
            </w:r>
          </w:p>
        </w:tc>
      </w:tr>
      <w:tr>
        <w:trPr>
          <w:trHeight w:val="214"/>
        </w:trPr>
        <w:tc>
          <w:tcPr>
            <w:tcW w:w="4660" w:type="dxa"/>
            <w:vAlign w:val="bottom"/>
          </w:tcPr>
          <w:p>
            <w:pPr>
              <w:ind w:left="20"/>
              <w:spacing w:after="0"/>
              <w:rPr>
                <w:sz w:val="20"/>
                <w:szCs w:val="20"/>
                <w:color w:val="auto"/>
              </w:rPr>
            </w:pPr>
            <w:r>
              <w:rPr>
                <w:rFonts w:ascii="Arial" w:cs="Arial" w:eastAsia="Arial" w:hAnsi="Arial"/>
                <w:sz w:val="16"/>
                <w:szCs w:val="16"/>
                <w:color w:val="auto"/>
              </w:rPr>
              <w:t>Cash flow hedges:</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41"/>
        </w:trPr>
        <w:tc>
          <w:tcPr>
            <w:tcW w:w="4660" w:type="dxa"/>
            <w:vAlign w:val="bottom"/>
          </w:tcPr>
          <w:p>
            <w:pPr>
              <w:ind w:left="140"/>
              <w:spacing w:after="0"/>
              <w:rPr>
                <w:sz w:val="20"/>
                <w:szCs w:val="20"/>
                <w:color w:val="auto"/>
              </w:rPr>
            </w:pPr>
            <w:r>
              <w:rPr>
                <w:rFonts w:ascii="Arial" w:cs="Arial" w:eastAsia="Arial" w:hAnsi="Arial"/>
                <w:sz w:val="16"/>
                <w:szCs w:val="16"/>
                <w:color w:val="auto"/>
              </w:rPr>
              <w:t>(Loss) gain for the period</w:t>
            </w: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(679)</w:t>
            </w: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b w:val="1"/>
                <w:bCs w:val="1"/>
                <w:color w:val="auto"/>
              </w:rPr>
              <w:t>176</w:t>
            </w: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(503)</w:t>
            </w: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1,111</w:t>
            </w:r>
          </w:p>
        </w:tc>
        <w:tc>
          <w:tcPr>
            <w:tcW w:w="2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(289)</w:t>
            </w: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822</w:t>
            </w:r>
          </w:p>
        </w:tc>
      </w:tr>
      <w:tr>
        <w:trPr>
          <w:trHeight w:val="227"/>
        </w:trPr>
        <w:tc>
          <w:tcPr>
            <w:tcW w:w="4660" w:type="dxa"/>
            <w:vAlign w:val="bottom"/>
          </w:tcPr>
          <w:p>
            <w:pPr>
              <w:ind w:left="20"/>
              <w:spacing w:after="0"/>
              <w:rPr>
                <w:sz w:val="20"/>
                <w:szCs w:val="20"/>
                <w:color w:val="auto"/>
              </w:rPr>
            </w:pPr>
            <w:r>
              <w:rPr>
                <w:rFonts w:ascii="Arial" w:cs="Arial" w:eastAsia="Arial" w:hAnsi="Arial"/>
                <w:sz w:val="16"/>
                <w:szCs w:val="16"/>
                <w:b w:val="1"/>
                <w:bCs w:val="1"/>
                <w:color w:val="auto"/>
              </w:rPr>
              <w:t>Other Comprehensive Income (Loss)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98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12,690</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78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b w:val="1"/>
                <w:bCs w:val="1"/>
                <w:color w:val="auto"/>
              </w:rPr>
              <w:t>406</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13,096</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(25,654)</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3,162</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(22,492)</w:t>
            </w:r>
          </w:p>
        </w:tc>
      </w:tr>
      <w:tr>
        <w:trPr>
          <w:trHeight w:val="20"/>
        </w:trPr>
        <w:tc>
          <w:tcPr>
            <w:tcW w:w="46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color w:val="auto"/>
        </w:rPr>
        <w:t>The accumulated balances related to each component of other comprehensive income (loss) are as follows: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jc w:val="center"/>
              <w:ind w:right="164"/>
              <w:spacing w:after="0"/>
              <w:rPr>
                <w:sz w:val="20"/>
                <w:szCs w:val="20"/>
                <w:color w:val="auto"/>
              </w:rPr>
            </w:pPr>
            <w:r>
              <w:rPr>
                <w:rFonts w:ascii="Arial" w:cs="Arial" w:eastAsia="Arial" w:hAnsi="Arial"/>
                <w:sz w:val="14"/>
                <w:szCs w:val="14"/>
                <w:b w:val="1"/>
                <w:bCs w:val="1"/>
                <w:color w:val="auto"/>
              </w:rPr>
              <w:t>Cumulative</w:t>
            </w:r>
          </w:p>
        </w:tc>
        <w:tc>
          <w:tcPr>
            <w:tcW w:w="200" w:type="dxa"/>
            <w:vAlign w:val="bottom"/>
          </w:tcPr>
          <w:p>
            <w:pPr>
              <w:spacing w:after="0"/>
              <w:rPr>
                <w:sz w:val="14"/>
                <w:szCs w:val="14"/>
                <w:color w:val="auto"/>
              </w:rPr>
            </w:pPr>
          </w:p>
        </w:tc>
        <w:tc>
          <w:tcPr>
            <w:tcW w:w="1380" w:type="dxa"/>
            <w:vAlign w:val="bottom"/>
          </w:tcPr>
          <w:p>
            <w:pPr>
              <w:jc w:val="center"/>
              <w:ind w:right="164"/>
              <w:spacing w:after="0"/>
              <w:rPr>
                <w:sz w:val="20"/>
                <w:szCs w:val="20"/>
                <w:color w:val="auto"/>
              </w:rPr>
            </w:pPr>
            <w:r>
              <w:rPr>
                <w:rFonts w:ascii="Arial" w:cs="Arial" w:eastAsia="Arial" w:hAnsi="Arial"/>
                <w:sz w:val="14"/>
                <w:szCs w:val="14"/>
                <w:b w:val="1"/>
                <w:bCs w:val="1"/>
                <w:color w:val="auto"/>
              </w:rPr>
              <w:t>Unrealized Gain</w:t>
            </w: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jc w:val="center"/>
              <w:ind w:right="164"/>
              <w:spacing w:after="0"/>
              <w:rPr>
                <w:sz w:val="20"/>
                <w:szCs w:val="20"/>
                <w:color w:val="auto"/>
              </w:rPr>
            </w:pPr>
            <w:r>
              <w:rPr>
                <w:rFonts w:ascii="Arial" w:cs="Arial" w:eastAsia="Arial" w:hAnsi="Arial"/>
                <w:sz w:val="14"/>
                <w:szCs w:val="14"/>
                <w:b w:val="1"/>
                <w:bCs w:val="1"/>
                <w:color w:val="auto"/>
              </w:rPr>
              <w:t>Foreign</w:t>
            </w:r>
          </w:p>
        </w:tc>
        <w:tc>
          <w:tcPr>
            <w:tcW w:w="200" w:type="dxa"/>
            <w:vAlign w:val="bottom"/>
          </w:tcPr>
          <w:p>
            <w:pPr>
              <w:spacing w:after="0"/>
              <w:rPr>
                <w:sz w:val="14"/>
                <w:szCs w:val="14"/>
                <w:color w:val="auto"/>
              </w:rPr>
            </w:pPr>
          </w:p>
        </w:tc>
        <w:tc>
          <w:tcPr>
            <w:tcW w:w="1380" w:type="dxa"/>
            <w:vAlign w:val="bottom"/>
          </w:tcPr>
          <w:p>
            <w:pPr>
              <w:jc w:val="center"/>
              <w:ind w:right="164"/>
              <w:spacing w:after="0"/>
              <w:rPr>
                <w:sz w:val="20"/>
                <w:szCs w:val="20"/>
                <w:color w:val="auto"/>
              </w:rPr>
            </w:pPr>
            <w:r>
              <w:rPr>
                <w:rFonts w:ascii="Arial" w:cs="Arial" w:eastAsia="Arial" w:hAnsi="Arial"/>
                <w:sz w:val="14"/>
                <w:szCs w:val="14"/>
                <w:b w:val="1"/>
                <w:bCs w:val="1"/>
                <w:color w:val="auto"/>
              </w:rPr>
              <w:t>on Pensions</w:t>
            </w: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tcPr>
          <w:p>
            <w:pPr>
              <w:jc w:val="center"/>
              <w:ind w:right="123"/>
              <w:spacing w:after="0"/>
              <w:rPr>
                <w:sz w:val="20"/>
                <w:szCs w:val="20"/>
                <w:color w:val="auto"/>
              </w:rPr>
            </w:pPr>
            <w:r>
              <w:rPr>
                <w:rFonts w:ascii="Arial" w:cs="Arial" w:eastAsia="Arial" w:hAnsi="Arial"/>
                <w:sz w:val="14"/>
                <w:szCs w:val="14"/>
                <w:b w:val="1"/>
                <w:bCs w:val="1"/>
                <w:color w:val="auto"/>
              </w:rPr>
              <w:t>Accumulated</w:t>
            </w:r>
          </w:p>
        </w:tc>
        <w:tc>
          <w:tcPr>
            <w:tcW w:w="0" w:type="dxa"/>
            <w:vAlign w:val="bottom"/>
          </w:tcPr>
          <w:p>
            <w:pPr>
              <w:spacing w:after="0"/>
              <w:rPr>
                <w:sz w:val="1"/>
                <w:szCs w:val="1"/>
                <w:color w:val="auto"/>
              </w:rPr>
            </w:pPr>
          </w:p>
        </w:tc>
      </w:tr>
      <w:tr>
        <w:trPr>
          <w:trHeight w:val="162"/>
        </w:trPr>
        <w:tc>
          <w:tcPr>
            <w:tcW w:w="5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jc w:val="center"/>
              <w:ind w:right="164"/>
              <w:spacing w:after="0"/>
              <w:rPr>
                <w:sz w:val="20"/>
                <w:szCs w:val="20"/>
                <w:color w:val="auto"/>
              </w:rPr>
            </w:pPr>
            <w:r>
              <w:rPr>
                <w:rFonts w:ascii="Arial" w:cs="Arial" w:eastAsia="Arial" w:hAnsi="Arial"/>
                <w:sz w:val="14"/>
                <w:szCs w:val="14"/>
                <w:b w:val="1"/>
                <w:bCs w:val="1"/>
                <w:color w:val="auto"/>
              </w:rPr>
              <w:t>Currency</w:t>
            </w:r>
          </w:p>
        </w:tc>
        <w:tc>
          <w:tcPr>
            <w:tcW w:w="200" w:type="dxa"/>
            <w:vAlign w:val="bottom"/>
          </w:tcPr>
          <w:p>
            <w:pPr>
              <w:spacing w:after="0"/>
              <w:rPr>
                <w:sz w:val="14"/>
                <w:szCs w:val="14"/>
                <w:color w:val="auto"/>
              </w:rPr>
            </w:pPr>
          </w:p>
        </w:tc>
        <w:tc>
          <w:tcPr>
            <w:tcW w:w="1380" w:type="dxa"/>
            <w:vAlign w:val="bottom"/>
          </w:tcPr>
          <w:p>
            <w:pPr>
              <w:jc w:val="center"/>
              <w:ind w:right="144"/>
              <w:spacing w:after="0"/>
              <w:rPr>
                <w:sz w:val="20"/>
                <w:szCs w:val="20"/>
                <w:color w:val="auto"/>
              </w:rPr>
            </w:pPr>
            <w:r>
              <w:rPr>
                <w:rFonts w:ascii="Arial" w:cs="Arial" w:eastAsia="Arial" w:hAnsi="Arial"/>
                <w:sz w:val="14"/>
                <w:szCs w:val="14"/>
                <w:b w:val="1"/>
                <w:bCs w:val="1"/>
                <w:color w:val="auto"/>
              </w:rPr>
              <w:t>and Other</w:t>
            </w: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tcPr>
          <w:p>
            <w:pPr>
              <w:jc w:val="center"/>
              <w:ind w:right="123"/>
              <w:spacing w:after="0"/>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62"/>
        </w:trPr>
        <w:tc>
          <w:tcPr>
            <w:tcW w:w="5760" w:type="dxa"/>
            <w:vAlign w:val="bottom"/>
            <w:vMerge w:val="restart"/>
          </w:tcPr>
          <w:p>
            <w:pPr>
              <w:ind w:left="20"/>
              <w:spacing w:after="0"/>
              <w:rPr>
                <w:sz w:val="20"/>
                <w:szCs w:val="20"/>
                <w:color w:val="auto"/>
              </w:rPr>
            </w:pPr>
            <w:r>
              <w:rPr>
                <w:rFonts w:ascii="Arial" w:cs="Arial" w:eastAsia="Arial" w:hAnsi="Arial"/>
                <w:sz w:val="14"/>
                <w:szCs w:val="14"/>
                <w:color w:val="auto"/>
              </w:rPr>
              <w:t>(in thousands, net of taxes)</w:t>
            </w:r>
          </w:p>
        </w:tc>
        <w:tc>
          <w:tcPr>
            <w:tcW w:w="160" w:type="dxa"/>
            <w:vAlign w:val="bottom"/>
          </w:tcPr>
          <w:p>
            <w:pPr>
              <w:spacing w:after="0"/>
              <w:rPr>
                <w:sz w:val="14"/>
                <w:szCs w:val="14"/>
                <w:color w:val="auto"/>
              </w:rPr>
            </w:pPr>
          </w:p>
        </w:tc>
        <w:tc>
          <w:tcPr>
            <w:tcW w:w="1140" w:type="dxa"/>
            <w:vAlign w:val="bottom"/>
          </w:tcPr>
          <w:p>
            <w:pPr>
              <w:jc w:val="center"/>
              <w:ind w:right="164"/>
              <w:spacing w:after="0"/>
              <w:rPr>
                <w:sz w:val="20"/>
                <w:szCs w:val="20"/>
                <w:color w:val="auto"/>
              </w:rPr>
            </w:pPr>
            <w:r>
              <w:rPr>
                <w:rFonts w:ascii="Arial" w:cs="Arial" w:eastAsia="Arial" w:hAnsi="Arial"/>
                <w:sz w:val="14"/>
                <w:szCs w:val="14"/>
                <w:b w:val="1"/>
                <w:bCs w:val="1"/>
                <w:color w:val="auto"/>
              </w:rPr>
              <w:t>Translation</w:t>
            </w:r>
          </w:p>
        </w:tc>
        <w:tc>
          <w:tcPr>
            <w:tcW w:w="200" w:type="dxa"/>
            <w:vAlign w:val="bottom"/>
          </w:tcPr>
          <w:p>
            <w:pPr>
              <w:spacing w:after="0"/>
              <w:rPr>
                <w:sz w:val="14"/>
                <w:szCs w:val="14"/>
                <w:color w:val="auto"/>
              </w:rPr>
            </w:pPr>
          </w:p>
        </w:tc>
        <w:tc>
          <w:tcPr>
            <w:tcW w:w="1380" w:type="dxa"/>
            <w:vAlign w:val="bottom"/>
          </w:tcPr>
          <w:p>
            <w:pPr>
              <w:jc w:val="center"/>
              <w:ind w:right="164"/>
              <w:spacing w:after="0"/>
              <w:rPr>
                <w:sz w:val="20"/>
                <w:szCs w:val="20"/>
                <w:color w:val="auto"/>
              </w:rPr>
            </w:pPr>
            <w:r>
              <w:rPr>
                <w:rFonts w:ascii="Arial" w:cs="Arial" w:eastAsia="Arial" w:hAnsi="Arial"/>
                <w:sz w:val="14"/>
                <w:szCs w:val="14"/>
                <w:b w:val="1"/>
                <w:bCs w:val="1"/>
                <w:color w:val="auto"/>
              </w:rPr>
              <w:t>Postretirement</w:t>
            </w:r>
          </w:p>
        </w:tc>
        <w:tc>
          <w:tcPr>
            <w:tcW w:w="160" w:type="dxa"/>
            <w:vAlign w:val="bottom"/>
          </w:tcPr>
          <w:p>
            <w:pPr>
              <w:spacing w:after="0"/>
              <w:rPr>
                <w:sz w:val="14"/>
                <w:szCs w:val="14"/>
                <w:color w:val="auto"/>
              </w:rPr>
            </w:pPr>
          </w:p>
        </w:tc>
        <w:tc>
          <w:tcPr>
            <w:tcW w:w="940" w:type="dxa"/>
            <w:vAlign w:val="bottom"/>
          </w:tcPr>
          <w:p>
            <w:pPr>
              <w:jc w:val="right"/>
              <w:ind w:right="142"/>
              <w:spacing w:after="0"/>
              <w:rPr>
                <w:sz w:val="20"/>
                <w:szCs w:val="20"/>
                <w:color w:val="auto"/>
              </w:rPr>
            </w:pPr>
            <w:r>
              <w:rPr>
                <w:rFonts w:ascii="Arial" w:cs="Arial" w:eastAsia="Arial" w:hAnsi="Arial"/>
                <w:sz w:val="14"/>
                <w:szCs w:val="14"/>
                <w:b w:val="1"/>
                <w:bCs w:val="1"/>
                <w:color w:val="auto"/>
                <w:w w:val="99"/>
              </w:rPr>
              <w:t>Cash Flow</w:t>
            </w:r>
          </w:p>
        </w:tc>
        <w:tc>
          <w:tcPr>
            <w:tcW w:w="200" w:type="dxa"/>
            <w:vAlign w:val="bottom"/>
          </w:tcPr>
          <w:p>
            <w:pPr>
              <w:spacing w:after="0"/>
              <w:rPr>
                <w:sz w:val="14"/>
                <w:szCs w:val="14"/>
                <w:color w:val="auto"/>
              </w:rPr>
            </w:pPr>
          </w:p>
        </w:tc>
        <w:tc>
          <w:tcPr>
            <w:tcW w:w="1300" w:type="dxa"/>
            <w:vAlign w:val="bottom"/>
          </w:tcPr>
          <w:p>
            <w:pPr>
              <w:jc w:val="center"/>
              <w:ind w:right="103"/>
              <w:spacing w:after="0"/>
              <w:rPr>
                <w:sz w:val="20"/>
                <w:szCs w:val="20"/>
                <w:color w:val="auto"/>
              </w:rPr>
            </w:pPr>
            <w:r>
              <w:rPr>
                <w:rFonts w:ascii="Arial" w:cs="Arial" w:eastAsia="Arial" w:hAnsi="Arial"/>
                <w:sz w:val="14"/>
                <w:szCs w:val="14"/>
                <w:b w:val="1"/>
                <w:bCs w:val="1"/>
                <w:color w:val="auto"/>
              </w:rPr>
              <w:t>Comprehensive</w:t>
            </w:r>
          </w:p>
        </w:tc>
        <w:tc>
          <w:tcPr>
            <w:tcW w:w="0" w:type="dxa"/>
            <w:vAlign w:val="bottom"/>
          </w:tcPr>
          <w:p>
            <w:pPr>
              <w:spacing w:after="0"/>
              <w:rPr>
                <w:sz w:val="1"/>
                <w:szCs w:val="1"/>
                <w:color w:val="auto"/>
              </w:rPr>
            </w:pPr>
          </w:p>
        </w:tc>
      </w:tr>
      <w:tr>
        <w:trPr>
          <w:trHeight w:val="205"/>
        </w:trPr>
        <w:tc>
          <w:tcPr>
            <w:tcW w:w="5760" w:type="dxa"/>
            <w:vAlign w:val="bottom"/>
            <w:tcBorders>
              <w:bottom w:val="single" w:sz="8" w:color="auto"/>
            </w:tcBorders>
            <w:vMerge w:val="continue"/>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center"/>
              <w:ind w:right="124"/>
              <w:spacing w:after="0"/>
              <w:rPr>
                <w:sz w:val="20"/>
                <w:szCs w:val="20"/>
                <w:color w:val="auto"/>
              </w:rPr>
            </w:pPr>
            <w:r>
              <w:rPr>
                <w:rFonts w:ascii="Arial" w:cs="Arial" w:eastAsia="Arial" w:hAnsi="Arial"/>
                <w:sz w:val="14"/>
                <w:szCs w:val="14"/>
                <w:b w:val="1"/>
                <w:bCs w:val="1"/>
                <w:color w:val="auto"/>
              </w:rPr>
              <w:t>Adjustment</w:t>
            </w:r>
          </w:p>
        </w:tc>
        <w:tc>
          <w:tcPr>
            <w:tcW w:w="2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center"/>
              <w:ind w:right="124"/>
              <w:spacing w:after="0"/>
              <w:rPr>
                <w:sz w:val="20"/>
                <w:szCs w:val="20"/>
                <w:color w:val="auto"/>
              </w:rPr>
            </w:pPr>
            <w:r>
              <w:rPr>
                <w:rFonts w:ascii="Arial" w:cs="Arial" w:eastAsia="Arial" w:hAnsi="Arial"/>
                <w:sz w:val="14"/>
                <w:szCs w:val="14"/>
                <w:b w:val="1"/>
                <w:bCs w:val="1"/>
                <w:color w:val="auto"/>
              </w:rPr>
              <w:t>Plans</w:t>
            </w:r>
          </w:p>
        </w:tc>
        <w:tc>
          <w:tcPr>
            <w:tcW w:w="1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222"/>
              <w:spacing w:after="0"/>
              <w:rPr>
                <w:sz w:val="20"/>
                <w:szCs w:val="20"/>
                <w:color w:val="auto"/>
              </w:rPr>
            </w:pPr>
            <w:r>
              <w:rPr>
                <w:rFonts w:ascii="Arial" w:cs="Arial" w:eastAsia="Arial" w:hAnsi="Arial"/>
                <w:sz w:val="14"/>
                <w:szCs w:val="14"/>
                <w:b w:val="1"/>
                <w:bCs w:val="1"/>
                <w:color w:val="auto"/>
              </w:rPr>
              <w:t>Hedges</w:t>
            </w:r>
          </w:p>
        </w:tc>
        <w:tc>
          <w:tcPr>
            <w:tcW w:w="2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center"/>
              <w:ind w:right="83"/>
              <w:spacing w:after="0"/>
              <w:rPr>
                <w:sz w:val="20"/>
                <w:szCs w:val="20"/>
                <w:color w:val="auto"/>
              </w:rPr>
            </w:pPr>
            <w:r>
              <w:rPr>
                <w:rFonts w:ascii="Arial" w:cs="Arial" w:eastAsia="Arial" w:hAnsi="Arial"/>
                <w:sz w:val="14"/>
                <w:szCs w:val="14"/>
                <w:b w:val="1"/>
                <w:bCs w:val="1"/>
                <w:color w:val="auto"/>
              </w:rPr>
              <w:t>Income</w:t>
            </w:r>
          </w:p>
        </w:tc>
        <w:tc>
          <w:tcPr>
            <w:tcW w:w="0" w:type="dxa"/>
            <w:vAlign w:val="bottom"/>
          </w:tcPr>
          <w:p>
            <w:pPr>
              <w:spacing w:after="0"/>
              <w:rPr>
                <w:sz w:val="1"/>
                <w:szCs w:val="1"/>
                <w:color w:val="auto"/>
              </w:rPr>
            </w:pPr>
          </w:p>
        </w:tc>
      </w:tr>
      <w:tr>
        <w:trPr>
          <w:trHeight w:val="215"/>
        </w:trPr>
        <w:tc>
          <w:tcPr>
            <w:tcW w:w="5760" w:type="dxa"/>
            <w:vAlign w:val="bottom"/>
          </w:tcPr>
          <w:p>
            <w:pPr>
              <w:ind w:left="20"/>
              <w:spacing w:after="0"/>
              <w:rPr>
                <w:sz w:val="20"/>
                <w:szCs w:val="20"/>
                <w:color w:val="auto"/>
              </w:rPr>
            </w:pPr>
            <w:r>
              <w:rPr>
                <w:rFonts w:ascii="Arial" w:cs="Arial" w:eastAsia="Arial" w:hAnsi="Arial"/>
                <w:sz w:val="16"/>
                <w:szCs w:val="16"/>
                <w:color w:val="auto"/>
              </w:rPr>
              <w:t>Balance as of December 31, 2024</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4"/>
              <w:spacing w:after="0"/>
              <w:rPr>
                <w:sz w:val="20"/>
                <w:szCs w:val="20"/>
                <w:color w:val="auto"/>
              </w:rPr>
            </w:pPr>
            <w:r>
              <w:rPr>
                <w:rFonts w:ascii="Arial" w:cs="Arial" w:eastAsia="Arial" w:hAnsi="Arial"/>
                <w:sz w:val="16"/>
                <w:szCs w:val="16"/>
                <w:color w:val="auto"/>
              </w:rPr>
              <w:t>(58,044)</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64"/>
              <w:spacing w:after="0"/>
              <w:rPr>
                <w:sz w:val="20"/>
                <w:szCs w:val="20"/>
                <w:color w:val="auto"/>
              </w:rPr>
            </w:pPr>
            <w:r>
              <w:rPr>
                <w:rFonts w:ascii="Arial" w:cs="Arial" w:eastAsia="Arial" w:hAnsi="Arial"/>
                <w:sz w:val="16"/>
                <w:szCs w:val="16"/>
                <w:color w:val="auto"/>
              </w:rPr>
              <w:t>393,949</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2"/>
              <w:spacing w:after="0"/>
              <w:rPr>
                <w:sz w:val="20"/>
                <w:szCs w:val="20"/>
                <w:color w:val="auto"/>
              </w:rPr>
            </w:pPr>
            <w:r>
              <w:rPr>
                <w:rFonts w:ascii="Arial" w:cs="Arial" w:eastAsia="Arial" w:hAnsi="Arial"/>
                <w:sz w:val="16"/>
                <w:szCs w:val="16"/>
                <w:color w:val="auto"/>
              </w:rPr>
              <w:t>(1,108)</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3"/>
              <w:spacing w:after="0"/>
              <w:rPr>
                <w:sz w:val="20"/>
                <w:szCs w:val="20"/>
                <w:color w:val="auto"/>
              </w:rPr>
            </w:pPr>
            <w:r>
              <w:rPr>
                <w:rFonts w:ascii="Arial" w:cs="Arial" w:eastAsia="Arial" w:hAnsi="Arial"/>
                <w:sz w:val="16"/>
                <w:szCs w:val="16"/>
                <w:color w:val="auto"/>
              </w:rPr>
              <w:t>334,797</w:t>
            </w:r>
          </w:p>
        </w:tc>
        <w:tc>
          <w:tcPr>
            <w:tcW w:w="0" w:type="dxa"/>
            <w:vAlign w:val="bottom"/>
          </w:tcPr>
          <w:p>
            <w:pPr>
              <w:spacing w:after="0"/>
              <w:rPr>
                <w:sz w:val="1"/>
                <w:szCs w:val="1"/>
                <w:color w:val="auto"/>
              </w:rPr>
            </w:pPr>
          </w:p>
        </w:tc>
      </w:tr>
      <w:tr>
        <w:trPr>
          <w:trHeight w:val="237"/>
        </w:trPr>
        <w:tc>
          <w:tcPr>
            <w:tcW w:w="5760" w:type="dxa"/>
            <w:vAlign w:val="bottom"/>
          </w:tcPr>
          <w:p>
            <w:pPr>
              <w:ind w:left="140"/>
              <w:spacing w:after="0"/>
              <w:rPr>
                <w:sz w:val="20"/>
                <w:szCs w:val="20"/>
                <w:color w:val="auto"/>
              </w:rPr>
            </w:pPr>
            <w:r>
              <w:rPr>
                <w:rFonts w:ascii="Arial" w:cs="Arial" w:eastAsia="Arial" w:hAnsi="Arial"/>
                <w:sz w:val="16"/>
                <w:szCs w:val="16"/>
                <w:b w:val="1"/>
                <w:bCs w:val="1"/>
                <w:color w:val="auto"/>
              </w:rPr>
              <w:t>Other comprehensive income (loss) before reclassifications</w:t>
            </w:r>
          </w:p>
        </w:tc>
        <w:tc>
          <w:tcPr>
            <w:tcW w:w="160" w:type="dxa"/>
            <w:vAlign w:val="bottom"/>
          </w:tcPr>
          <w:p>
            <w:pPr>
              <w:spacing w:after="0"/>
              <w:rPr>
                <w:sz w:val="20"/>
                <w:szCs w:val="20"/>
                <w:color w:val="auto"/>
              </w:rPr>
            </w:pPr>
          </w:p>
        </w:tc>
        <w:tc>
          <w:tcPr>
            <w:tcW w:w="1140" w:type="dxa"/>
            <w:vAlign w:val="bottom"/>
          </w:tcPr>
          <w:p>
            <w:pPr>
              <w:jc w:val="right"/>
              <w:ind w:right="44"/>
              <w:spacing w:after="0"/>
              <w:rPr>
                <w:sz w:val="20"/>
                <w:szCs w:val="20"/>
                <w:color w:val="auto"/>
              </w:rPr>
            </w:pPr>
            <w:r>
              <w:rPr>
                <w:rFonts w:ascii="Arial" w:cs="Arial" w:eastAsia="Arial" w:hAnsi="Arial"/>
                <w:sz w:val="16"/>
                <w:szCs w:val="16"/>
                <w:b w:val="1"/>
                <w:bCs w:val="1"/>
                <w:color w:val="auto"/>
              </w:rPr>
              <w:t>14,267</w:t>
            </w:r>
          </w:p>
        </w:tc>
        <w:tc>
          <w:tcPr>
            <w:tcW w:w="200" w:type="dxa"/>
            <w:vAlign w:val="bottom"/>
          </w:tcPr>
          <w:p>
            <w:pPr>
              <w:spacing w:after="0"/>
              <w:rPr>
                <w:sz w:val="20"/>
                <w:szCs w:val="20"/>
                <w:color w:val="auto"/>
              </w:rPr>
            </w:pPr>
          </w:p>
        </w:tc>
        <w:tc>
          <w:tcPr>
            <w:tcW w:w="1380" w:type="dxa"/>
            <w:vAlign w:val="bottom"/>
          </w:tcPr>
          <w:p>
            <w:pPr>
              <w:jc w:val="right"/>
              <w:ind w:right="64"/>
              <w:spacing w:after="0"/>
              <w:rPr>
                <w:sz w:val="20"/>
                <w:szCs w:val="20"/>
                <w:color w:val="auto"/>
              </w:rPr>
            </w:pPr>
            <w:r>
              <w:rPr>
                <w:rFonts w:ascii="Arial" w:cs="Arial" w:eastAsia="Arial" w:hAnsi="Arial"/>
                <w:sz w:val="16"/>
                <w:szCs w:val="16"/>
                <w:b w:val="1"/>
                <w:bCs w:val="1"/>
                <w:color w:val="auto"/>
              </w:rPr>
              <w:t>—</w:t>
            </w:r>
          </w:p>
        </w:tc>
        <w:tc>
          <w:tcPr>
            <w:tcW w:w="160" w:type="dxa"/>
            <w:vAlign w:val="bottom"/>
          </w:tcPr>
          <w:p>
            <w:pPr>
              <w:spacing w:after="0"/>
              <w:rPr>
                <w:sz w:val="20"/>
                <w:szCs w:val="20"/>
                <w:color w:val="auto"/>
              </w:rPr>
            </w:pPr>
          </w:p>
        </w:tc>
        <w:tc>
          <w:tcPr>
            <w:tcW w:w="940" w:type="dxa"/>
            <w:vAlign w:val="bottom"/>
          </w:tcPr>
          <w:p>
            <w:pPr>
              <w:jc w:val="right"/>
              <w:ind w:right="2"/>
              <w:spacing w:after="0"/>
              <w:rPr>
                <w:sz w:val="20"/>
                <w:szCs w:val="20"/>
                <w:color w:val="auto"/>
              </w:rPr>
            </w:pPr>
            <w:r>
              <w:rPr>
                <w:rFonts w:ascii="Arial" w:cs="Arial" w:eastAsia="Arial" w:hAnsi="Arial"/>
                <w:sz w:val="16"/>
                <w:szCs w:val="16"/>
                <w:b w:val="1"/>
                <w:bCs w:val="1"/>
                <w:color w:val="auto"/>
              </w:rPr>
              <w:t>(563)</w:t>
            </w:r>
          </w:p>
        </w:tc>
        <w:tc>
          <w:tcPr>
            <w:tcW w:w="200" w:type="dxa"/>
            <w:vAlign w:val="bottom"/>
          </w:tcPr>
          <w:p>
            <w:pPr>
              <w:spacing w:after="0"/>
              <w:rPr>
                <w:sz w:val="20"/>
                <w:szCs w:val="20"/>
                <w:color w:val="auto"/>
              </w:rPr>
            </w:pPr>
          </w:p>
        </w:tc>
        <w:tc>
          <w:tcPr>
            <w:tcW w:w="1300" w:type="dxa"/>
            <w:vAlign w:val="bottom"/>
          </w:tcPr>
          <w:p>
            <w:pPr>
              <w:jc w:val="right"/>
              <w:ind w:right="3"/>
              <w:spacing w:after="0"/>
              <w:rPr>
                <w:sz w:val="20"/>
                <w:szCs w:val="20"/>
                <w:color w:val="auto"/>
              </w:rPr>
            </w:pPr>
            <w:r>
              <w:rPr>
                <w:rFonts w:ascii="Arial" w:cs="Arial" w:eastAsia="Arial" w:hAnsi="Arial"/>
                <w:sz w:val="16"/>
                <w:szCs w:val="16"/>
                <w:b w:val="1"/>
                <w:bCs w:val="1"/>
                <w:color w:val="auto"/>
              </w:rPr>
              <w:t>13,704</w:t>
            </w:r>
          </w:p>
        </w:tc>
        <w:tc>
          <w:tcPr>
            <w:tcW w:w="0" w:type="dxa"/>
            <w:vAlign w:val="bottom"/>
          </w:tcPr>
          <w:p>
            <w:pPr>
              <w:spacing w:after="0"/>
              <w:rPr>
                <w:sz w:val="1"/>
                <w:szCs w:val="1"/>
                <w:color w:val="auto"/>
              </w:rPr>
            </w:pPr>
          </w:p>
        </w:tc>
      </w:tr>
      <w:tr>
        <w:trPr>
          <w:trHeight w:val="182"/>
        </w:trPr>
        <w:tc>
          <w:tcPr>
            <w:tcW w:w="5760" w:type="dxa"/>
            <w:vAlign w:val="bottom"/>
          </w:tcPr>
          <w:p>
            <w:pPr>
              <w:ind w:left="140"/>
              <w:spacing w:after="0" w:line="182" w:lineRule="exact"/>
              <w:rPr>
                <w:sz w:val="20"/>
                <w:szCs w:val="20"/>
                <w:color w:val="auto"/>
              </w:rPr>
            </w:pPr>
            <w:r>
              <w:rPr>
                <w:rFonts w:ascii="Arial" w:cs="Arial" w:eastAsia="Arial" w:hAnsi="Arial"/>
                <w:sz w:val="16"/>
                <w:szCs w:val="16"/>
                <w:b w:val="1"/>
                <w:bCs w:val="1"/>
                <w:color w:val="auto"/>
              </w:rPr>
              <w:t>Net amount reclassified from accumulated other comprehensive income</w:t>
            </w:r>
          </w:p>
        </w:tc>
        <w:tc>
          <w:tcPr>
            <w:tcW w:w="160" w:type="dxa"/>
            <w:vAlign w:val="bottom"/>
          </w:tcPr>
          <w:p>
            <w:pPr>
              <w:spacing w:after="0"/>
              <w:rPr>
                <w:sz w:val="15"/>
                <w:szCs w:val="15"/>
                <w:color w:val="auto"/>
              </w:rPr>
            </w:pPr>
          </w:p>
        </w:tc>
        <w:tc>
          <w:tcPr>
            <w:tcW w:w="1140" w:type="dxa"/>
            <w:vAlign w:val="bottom"/>
            <w:vMerge w:val="restart"/>
          </w:tcPr>
          <w:p>
            <w:pPr>
              <w:jc w:val="right"/>
              <w:ind w:right="44"/>
              <w:spacing w:after="0"/>
              <w:rPr>
                <w:sz w:val="20"/>
                <w:szCs w:val="20"/>
                <w:color w:val="auto"/>
              </w:rPr>
            </w:pPr>
            <w:r>
              <w:rPr>
                <w:rFonts w:ascii="Arial" w:cs="Arial" w:eastAsia="Arial" w:hAnsi="Arial"/>
                <w:sz w:val="16"/>
                <w:szCs w:val="16"/>
                <w:b w:val="1"/>
                <w:bCs w:val="1"/>
                <w:color w:val="auto"/>
              </w:rPr>
              <w:t>—</w:t>
            </w:r>
          </w:p>
        </w:tc>
        <w:tc>
          <w:tcPr>
            <w:tcW w:w="200" w:type="dxa"/>
            <w:vAlign w:val="bottom"/>
          </w:tcPr>
          <w:p>
            <w:pPr>
              <w:spacing w:after="0"/>
              <w:rPr>
                <w:sz w:val="15"/>
                <w:szCs w:val="15"/>
                <w:color w:val="auto"/>
              </w:rPr>
            </w:pPr>
          </w:p>
        </w:tc>
        <w:tc>
          <w:tcPr>
            <w:tcW w:w="1380" w:type="dxa"/>
            <w:vAlign w:val="bottom"/>
            <w:vMerge w:val="restart"/>
          </w:tcPr>
          <w:p>
            <w:pPr>
              <w:jc w:val="right"/>
              <w:ind w:right="4"/>
              <w:spacing w:after="0"/>
              <w:rPr>
                <w:sz w:val="20"/>
                <w:szCs w:val="20"/>
                <w:color w:val="auto"/>
              </w:rPr>
            </w:pPr>
            <w:r>
              <w:rPr>
                <w:rFonts w:ascii="Arial" w:cs="Arial" w:eastAsia="Arial" w:hAnsi="Arial"/>
                <w:sz w:val="16"/>
                <w:szCs w:val="16"/>
                <w:b w:val="1"/>
                <w:bCs w:val="1"/>
                <w:color w:val="auto"/>
              </w:rPr>
              <w:t>(668)</w:t>
            </w:r>
          </w:p>
        </w:tc>
        <w:tc>
          <w:tcPr>
            <w:tcW w:w="160" w:type="dxa"/>
            <w:vAlign w:val="bottom"/>
          </w:tcPr>
          <w:p>
            <w:pPr>
              <w:spacing w:after="0"/>
              <w:rPr>
                <w:sz w:val="15"/>
                <w:szCs w:val="15"/>
                <w:color w:val="auto"/>
              </w:rPr>
            </w:pPr>
          </w:p>
        </w:tc>
        <w:tc>
          <w:tcPr>
            <w:tcW w:w="940" w:type="dxa"/>
            <w:vAlign w:val="bottom"/>
            <w:vMerge w:val="restart"/>
          </w:tcPr>
          <w:p>
            <w:pPr>
              <w:jc w:val="right"/>
              <w:ind w:right="42"/>
              <w:spacing w:after="0"/>
              <w:rPr>
                <w:sz w:val="20"/>
                <w:szCs w:val="20"/>
                <w:color w:val="auto"/>
              </w:rPr>
            </w:pPr>
            <w:r>
              <w:rPr>
                <w:rFonts w:ascii="Arial" w:cs="Arial" w:eastAsia="Arial" w:hAnsi="Arial"/>
                <w:sz w:val="16"/>
                <w:szCs w:val="16"/>
                <w:b w:val="1"/>
                <w:bCs w:val="1"/>
                <w:color w:val="auto"/>
              </w:rPr>
              <w:t>60</w:t>
            </w:r>
          </w:p>
        </w:tc>
        <w:tc>
          <w:tcPr>
            <w:tcW w:w="200" w:type="dxa"/>
            <w:vAlign w:val="bottom"/>
          </w:tcPr>
          <w:p>
            <w:pPr>
              <w:spacing w:after="0"/>
              <w:rPr>
                <w:sz w:val="15"/>
                <w:szCs w:val="15"/>
                <w:color w:val="auto"/>
              </w:rPr>
            </w:pPr>
          </w:p>
        </w:tc>
        <w:tc>
          <w:tcPr>
            <w:tcW w:w="13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(608)</w:t>
            </w:r>
          </w:p>
        </w:tc>
        <w:tc>
          <w:tcPr>
            <w:tcW w:w="0" w:type="dxa"/>
            <w:vAlign w:val="bottom"/>
          </w:tcPr>
          <w:p>
            <w:pPr>
              <w:spacing w:after="0"/>
              <w:rPr>
                <w:sz w:val="1"/>
                <w:szCs w:val="1"/>
                <w:color w:val="auto"/>
              </w:rPr>
            </w:pPr>
          </w:p>
        </w:tc>
      </w:tr>
      <w:tr>
        <w:trPr>
          <w:trHeight w:val="224"/>
        </w:trPr>
        <w:tc>
          <w:tcPr>
            <w:tcW w:w="5760" w:type="dxa"/>
            <w:vAlign w:val="bottom"/>
          </w:tcPr>
          <w:p>
            <w:pPr>
              <w:ind w:left="220"/>
              <w:spacing w:after="0"/>
              <w:rPr>
                <w:sz w:val="20"/>
                <w:szCs w:val="20"/>
                <w:color w:val="auto"/>
              </w:rPr>
            </w:pPr>
            <w:r>
              <w:rPr>
                <w:rFonts w:ascii="Arial" w:cs="Arial" w:eastAsia="Arial" w:hAnsi="Arial"/>
                <w:sz w:val="16"/>
                <w:szCs w:val="16"/>
                <w:b w:val="1"/>
                <w:bCs w:val="1"/>
                <w:color w:val="auto"/>
              </w:rPr>
              <w:t>(loss)</w:t>
            </w: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vMerge w:val="continue"/>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vMerge w:val="continue"/>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vMerge w:val="continue"/>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760" w:type="dxa"/>
            <w:vAlign w:val="bottom"/>
          </w:tcPr>
          <w:p>
            <w:pPr>
              <w:ind w:left="140"/>
              <w:spacing w:after="0"/>
              <w:rPr>
                <w:sz w:val="20"/>
                <w:szCs w:val="20"/>
                <w:color w:val="auto"/>
              </w:rPr>
            </w:pPr>
            <w:r>
              <w:rPr>
                <w:rFonts w:ascii="Arial" w:cs="Arial" w:eastAsia="Arial" w:hAnsi="Arial"/>
                <w:sz w:val="16"/>
                <w:szCs w:val="16"/>
                <w:b w:val="1"/>
                <w:bCs w:val="1"/>
                <w:color w:val="auto"/>
              </w:rPr>
              <w:t>Net other comprehensive income (loss)</w:t>
            </w: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4"/>
              <w:spacing w:after="0"/>
              <w:rPr>
                <w:sz w:val="20"/>
                <w:szCs w:val="20"/>
                <w:color w:val="auto"/>
              </w:rPr>
            </w:pPr>
            <w:r>
              <w:rPr>
                <w:rFonts w:ascii="Arial" w:cs="Arial" w:eastAsia="Arial" w:hAnsi="Arial"/>
                <w:sz w:val="16"/>
                <w:szCs w:val="16"/>
                <w:b w:val="1"/>
                <w:bCs w:val="1"/>
                <w:color w:val="auto"/>
              </w:rPr>
              <w:t>14,267</w:t>
            </w: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b w:val="1"/>
                <w:bCs w:val="1"/>
                <w:color w:val="auto"/>
              </w:rPr>
              <w:t>(668)</w:t>
            </w: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(503)</w:t>
            </w: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b w:val="1"/>
                <w:bCs w:val="1"/>
                <w:color w:val="auto"/>
              </w:rPr>
              <w:t>13,096</w:t>
            </w:r>
          </w:p>
        </w:tc>
        <w:tc>
          <w:tcPr>
            <w:tcW w:w="0" w:type="dxa"/>
            <w:vAlign w:val="bottom"/>
          </w:tcPr>
          <w:p>
            <w:pPr>
              <w:spacing w:after="0"/>
              <w:rPr>
                <w:sz w:val="1"/>
                <w:szCs w:val="1"/>
                <w:color w:val="auto"/>
              </w:rPr>
            </w:pPr>
          </w:p>
        </w:tc>
      </w:tr>
      <w:tr>
        <w:trPr>
          <w:trHeight w:val="226"/>
        </w:trPr>
        <w:tc>
          <w:tcPr>
            <w:tcW w:w="5760" w:type="dxa"/>
            <w:vAlign w:val="bottom"/>
          </w:tcPr>
          <w:p>
            <w:pPr>
              <w:ind w:left="20"/>
              <w:spacing w:after="0"/>
              <w:rPr>
                <w:sz w:val="20"/>
                <w:szCs w:val="20"/>
                <w:color w:val="auto"/>
              </w:rPr>
            </w:pPr>
            <w:r>
              <w:rPr>
                <w:rFonts w:ascii="Arial" w:cs="Arial" w:eastAsia="Arial" w:hAnsi="Arial"/>
                <w:sz w:val="16"/>
                <w:szCs w:val="16"/>
                <w:b w:val="1"/>
                <w:bCs w:val="1"/>
                <w:color w:val="auto"/>
              </w:rPr>
              <w:t>Balance as of March 31, 2025</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14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b w:val="1"/>
                <w:bCs w:val="1"/>
                <w:color w:val="auto"/>
              </w:rPr>
              <w:t>(43,777)</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380" w:type="dxa"/>
            <w:vAlign w:val="bottom"/>
            <w:tcBorders>
              <w:bottom w:val="single" w:sz="8" w:color="auto"/>
            </w:tcBorders>
          </w:tcPr>
          <w:p>
            <w:pPr>
              <w:jc w:val="right"/>
              <w:ind w:right="64"/>
              <w:spacing w:after="0"/>
              <w:rPr>
                <w:sz w:val="20"/>
                <w:szCs w:val="20"/>
                <w:color w:val="auto"/>
              </w:rPr>
            </w:pPr>
            <w:r>
              <w:rPr>
                <w:rFonts w:ascii="Arial" w:cs="Arial" w:eastAsia="Arial" w:hAnsi="Arial"/>
                <w:sz w:val="16"/>
                <w:szCs w:val="16"/>
                <w:b w:val="1"/>
                <w:bCs w:val="1"/>
                <w:color w:val="auto"/>
              </w:rPr>
              <w:t>393,281</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(1,611)</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30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b w:val="1"/>
                <w:bCs w:val="1"/>
                <w:color w:val="auto"/>
              </w:rPr>
              <w:t>347,893</w:t>
            </w:r>
          </w:p>
        </w:tc>
        <w:tc>
          <w:tcPr>
            <w:tcW w:w="0" w:type="dxa"/>
            <w:vAlign w:val="bottom"/>
          </w:tcPr>
          <w:p>
            <w:pPr>
              <w:spacing w:after="0"/>
              <w:rPr>
                <w:sz w:val="1"/>
                <w:szCs w:val="1"/>
                <w:color w:val="auto"/>
              </w:rPr>
            </w:pPr>
          </w:p>
        </w:tc>
      </w:tr>
      <w:tr>
        <w:trPr>
          <w:trHeight w:val="21"/>
        </w:trPr>
        <w:tc>
          <w:tcPr>
            <w:tcW w:w="57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amounts and line items of reclassifications out of Accumulated Other Comprehensive Income (Loss) are as follows:</w:t>
      </w:r>
    </w:p>
    <w:p>
      <w:pPr>
        <w:spacing w:after="0" w:line="289" w:lineRule="exact"/>
        <w:rPr>
          <w:sz w:val="20"/>
          <w:szCs w:val="20"/>
          <w:color w:val="auto"/>
        </w:rPr>
      </w:pPr>
    </w:p>
    <w:tbl>
      <w:tblPr>
        <w:tblLayout w:type="fixed"/>
        <w:tblInd w:w="20" w:type="dxa"/>
        <w:tblCellMar>
          <w:top w:w="0" w:type="dxa"/>
          <w:left w:w="0" w:type="dxa"/>
          <w:bottom w:w="0" w:type="dxa"/>
          <w:right w:w="0" w:type="dxa"/>
        </w:tblCellMar>
      </w:tblPr>
      <w:tr>
        <w:trPr>
          <w:trHeight w:val="162"/>
        </w:trPr>
        <w:tc>
          <w:tcPr>
            <w:tcW w:w="5380" w:type="dxa"/>
            <w:vAlign w:val="bottom"/>
          </w:tcPr>
          <w:p>
            <w:pPr>
              <w:spacing w:after="0"/>
              <w:rPr>
                <w:sz w:val="14"/>
                <w:szCs w:val="14"/>
                <w:color w:val="auto"/>
              </w:rPr>
            </w:pPr>
          </w:p>
        </w:tc>
        <w:tc>
          <w:tcPr>
            <w:tcW w:w="2340" w:type="dxa"/>
            <w:vAlign w:val="bottom"/>
            <w:gridSpan w:val="2"/>
          </w:tcPr>
          <w:p>
            <w:pPr>
              <w:jc w:val="right"/>
              <w:ind w:right="408"/>
              <w:spacing w:after="0"/>
              <w:rPr>
                <w:sz w:val="20"/>
                <w:szCs w:val="20"/>
                <w:color w:val="auto"/>
              </w:rPr>
            </w:pPr>
            <w:r>
              <w:rPr>
                <w:rFonts w:ascii="Arial" w:cs="Arial" w:eastAsia="Arial" w:hAnsi="Arial"/>
                <w:sz w:val="14"/>
                <w:szCs w:val="14"/>
                <w:b w:val="1"/>
                <w:bCs w:val="1"/>
                <w:color w:val="auto"/>
              </w:rPr>
              <w:t>Three Months Ended</w:t>
            </w:r>
          </w:p>
        </w:tc>
        <w:tc>
          <w:tcPr>
            <w:tcW w:w="3160" w:type="dxa"/>
            <w:vAlign w:val="bottom"/>
          </w:tcPr>
          <w:p>
            <w:pPr>
              <w:spacing w:after="0"/>
              <w:rPr>
                <w:sz w:val="14"/>
                <w:szCs w:val="14"/>
                <w:color w:val="auto"/>
              </w:rPr>
            </w:pPr>
          </w:p>
        </w:tc>
      </w:tr>
      <w:tr>
        <w:trPr>
          <w:trHeight w:val="197"/>
        </w:trPr>
        <w:tc>
          <w:tcPr>
            <w:tcW w:w="5380" w:type="dxa"/>
            <w:vAlign w:val="bottom"/>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ind w:right="768"/>
              <w:spacing w:after="0"/>
              <w:rPr>
                <w:sz w:val="20"/>
                <w:szCs w:val="20"/>
                <w:color w:val="auto"/>
              </w:rPr>
            </w:pPr>
            <w:r>
              <w:rPr>
                <w:rFonts w:ascii="Arial" w:cs="Arial" w:eastAsia="Arial" w:hAnsi="Arial"/>
                <w:sz w:val="14"/>
                <w:szCs w:val="14"/>
                <w:b w:val="1"/>
                <w:bCs w:val="1"/>
                <w:color w:val="auto"/>
              </w:rPr>
              <w:t>March 31</w:t>
            </w:r>
          </w:p>
        </w:tc>
        <w:tc>
          <w:tcPr>
            <w:tcW w:w="3160" w:type="dxa"/>
            <w:vAlign w:val="bottom"/>
          </w:tcPr>
          <w:p>
            <w:pPr>
              <w:jc w:val="center"/>
              <w:ind w:left="388"/>
              <w:spacing w:after="0"/>
              <w:rPr>
                <w:sz w:val="20"/>
                <w:szCs w:val="20"/>
                <w:color w:val="auto"/>
              </w:rPr>
            </w:pPr>
            <w:r>
              <w:rPr>
                <w:rFonts w:ascii="Arial" w:cs="Arial" w:eastAsia="Arial" w:hAnsi="Arial"/>
                <w:sz w:val="14"/>
                <w:szCs w:val="14"/>
                <w:b w:val="1"/>
                <w:bCs w:val="1"/>
                <w:color w:val="auto"/>
              </w:rPr>
              <w:t>Affected Line Item in the Condensed</w:t>
            </w:r>
          </w:p>
        </w:tc>
      </w:tr>
      <w:tr>
        <w:trPr>
          <w:trHeight w:val="208"/>
        </w:trPr>
        <w:tc>
          <w:tcPr>
            <w:tcW w:w="5380" w:type="dxa"/>
            <w:vAlign w:val="bottom"/>
          </w:tcPr>
          <w:p>
            <w:pPr>
              <w:spacing w:after="0"/>
              <w:rPr>
                <w:sz w:val="20"/>
                <w:szCs w:val="20"/>
                <w:color w:val="auto"/>
              </w:rPr>
            </w:pPr>
            <w:r>
              <w:rPr>
                <w:rFonts w:ascii="Arial" w:cs="Arial" w:eastAsia="Arial" w:hAnsi="Arial"/>
                <w:sz w:val="14"/>
                <w:szCs w:val="14"/>
                <w:color w:val="auto"/>
              </w:rPr>
              <w:t>(in thousands)</w:t>
            </w:r>
          </w:p>
        </w:tc>
        <w:tc>
          <w:tcPr>
            <w:tcW w:w="800" w:type="dxa"/>
            <w:vAlign w:val="bottom"/>
          </w:tcPr>
          <w:p>
            <w:pPr>
              <w:jc w:val="right"/>
              <w:ind w:right="8"/>
              <w:spacing w:after="0"/>
              <w:rPr>
                <w:sz w:val="20"/>
                <w:szCs w:val="20"/>
                <w:color w:val="auto"/>
              </w:rPr>
            </w:pPr>
            <w:r>
              <w:rPr>
                <w:rFonts w:ascii="Arial" w:cs="Arial" w:eastAsia="Arial" w:hAnsi="Arial"/>
                <w:sz w:val="14"/>
                <w:szCs w:val="14"/>
                <w:b w:val="1"/>
                <w:bCs w:val="1"/>
                <w:color w:val="auto"/>
              </w:rPr>
              <w:t>2025</w:t>
            </w:r>
          </w:p>
        </w:tc>
        <w:tc>
          <w:tcPr>
            <w:tcW w:w="1540" w:type="dxa"/>
            <w:vAlign w:val="bottom"/>
          </w:tcPr>
          <w:p>
            <w:pPr>
              <w:jc w:val="right"/>
              <w:ind w:right="328"/>
              <w:spacing w:after="0"/>
              <w:rPr>
                <w:sz w:val="20"/>
                <w:szCs w:val="20"/>
                <w:color w:val="auto"/>
              </w:rPr>
            </w:pPr>
            <w:r>
              <w:rPr>
                <w:rFonts w:ascii="Arial" w:cs="Arial" w:eastAsia="Arial" w:hAnsi="Arial"/>
                <w:sz w:val="14"/>
                <w:szCs w:val="14"/>
                <w:color w:val="auto"/>
              </w:rPr>
              <w:t>2024</w:t>
            </w:r>
          </w:p>
        </w:tc>
        <w:tc>
          <w:tcPr>
            <w:tcW w:w="3160" w:type="dxa"/>
            <w:vAlign w:val="bottom"/>
          </w:tcPr>
          <w:p>
            <w:pPr>
              <w:jc w:val="center"/>
              <w:ind w:left="388"/>
              <w:spacing w:after="0"/>
              <w:rPr>
                <w:sz w:val="20"/>
                <w:szCs w:val="20"/>
                <w:color w:val="auto"/>
              </w:rPr>
            </w:pPr>
            <w:r>
              <w:rPr>
                <w:rFonts w:ascii="Arial" w:cs="Arial" w:eastAsia="Arial" w:hAnsi="Arial"/>
                <w:sz w:val="14"/>
                <w:szCs w:val="14"/>
                <w:b w:val="1"/>
                <w:bCs w:val="1"/>
                <w:color w:val="auto"/>
              </w:rPr>
              <w:t>Consolidated Statements of Operations</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40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Pension and Other Postretirement Plans:</w:t>
            </w:r>
          </w:p>
        </w:tc>
        <w:tc>
          <w:tcPr>
            <w:tcW w:w="4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3500" w:type="dxa"/>
            <w:vAlign w:val="bottom"/>
            <w:tcBorders>
              <w:top w:val="single" w:sz="8" w:color="auto"/>
            </w:tcBorders>
          </w:tcPr>
          <w:p>
            <w:pPr>
              <w:spacing w:after="0"/>
              <w:rPr>
                <w:sz w:val="19"/>
                <w:szCs w:val="19"/>
                <w:color w:val="auto"/>
              </w:rPr>
            </w:pPr>
          </w:p>
        </w:tc>
      </w:tr>
      <w:tr>
        <w:trPr>
          <w:trHeight w:val="224"/>
        </w:trPr>
        <w:tc>
          <w:tcPr>
            <w:tcW w:w="5400" w:type="dxa"/>
            <w:vAlign w:val="bottom"/>
          </w:tcPr>
          <w:p>
            <w:pPr>
              <w:ind w:left="140"/>
              <w:spacing w:after="0"/>
              <w:rPr>
                <w:sz w:val="20"/>
                <w:szCs w:val="20"/>
                <w:color w:val="auto"/>
              </w:rPr>
            </w:pPr>
            <w:r>
              <w:rPr>
                <w:rFonts w:ascii="Arial" w:cs="Arial" w:eastAsia="Arial" w:hAnsi="Arial"/>
                <w:sz w:val="16"/>
                <w:szCs w:val="16"/>
                <w:color w:val="auto"/>
              </w:rPr>
              <w:t>Amortization of net prior service credit</w:t>
            </w:r>
          </w:p>
        </w:tc>
        <w:tc>
          <w:tcPr>
            <w:tcW w:w="400" w:type="dxa"/>
            <w:vAlign w:val="bottom"/>
          </w:tcPr>
          <w:p>
            <w:pPr>
              <w:jc w:val="right"/>
              <w:ind w:right="219"/>
              <w:spacing w:after="0"/>
              <w:rPr>
                <w:sz w:val="20"/>
                <w:szCs w:val="20"/>
                <w:color w:val="auto"/>
              </w:rPr>
            </w:pPr>
            <w:r>
              <w:rPr>
                <w:rFonts w:ascii="Arial" w:cs="Arial" w:eastAsia="Arial" w:hAnsi="Arial"/>
                <w:sz w:val="16"/>
                <w:szCs w:val="16"/>
                <w:b w:val="1"/>
                <w:bCs w:val="1"/>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(519)</w:t>
            </w:r>
          </w:p>
        </w:tc>
        <w:tc>
          <w:tcPr>
            <w:tcW w:w="3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(494)</w:t>
            </w:r>
          </w:p>
        </w:tc>
        <w:tc>
          <w:tcPr>
            <w:tcW w:w="3500" w:type="dxa"/>
            <w:vAlign w:val="bottom"/>
          </w:tcPr>
          <w:p>
            <w:pPr>
              <w:ind w:left="120"/>
              <w:spacing w:after="0"/>
              <w:rPr>
                <w:sz w:val="20"/>
                <w:szCs w:val="20"/>
                <w:color w:val="auto"/>
              </w:rPr>
            </w:pPr>
            <w:r>
              <w:rPr>
                <w:rFonts w:ascii="Arial" w:cs="Arial" w:eastAsia="Arial" w:hAnsi="Arial"/>
                <w:sz w:val="14"/>
                <w:szCs w:val="14"/>
                <w:color w:val="auto"/>
              </w:rPr>
              <w:t>(1)</w:t>
            </w:r>
          </w:p>
        </w:tc>
      </w:tr>
      <w:tr>
        <w:trPr>
          <w:trHeight w:val="233"/>
        </w:trPr>
        <w:tc>
          <w:tcPr>
            <w:tcW w:w="5400" w:type="dxa"/>
            <w:vAlign w:val="bottom"/>
          </w:tcPr>
          <w:p>
            <w:pPr>
              <w:ind w:left="140"/>
              <w:spacing w:after="0"/>
              <w:rPr>
                <w:sz w:val="20"/>
                <w:szCs w:val="20"/>
                <w:color w:val="auto"/>
              </w:rPr>
            </w:pPr>
            <w:r>
              <w:rPr>
                <w:rFonts w:ascii="Arial" w:cs="Arial" w:eastAsia="Arial" w:hAnsi="Arial"/>
                <w:sz w:val="16"/>
                <w:szCs w:val="16"/>
                <w:color w:val="auto"/>
              </w:rPr>
              <w:t>Amortization of net actuarial gain</w:t>
            </w:r>
          </w:p>
        </w:tc>
        <w:tc>
          <w:tcPr>
            <w:tcW w:w="4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(379)</w:t>
            </w:r>
          </w:p>
        </w:tc>
        <w:tc>
          <w:tcPr>
            <w:tcW w:w="3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(12,987)</w:t>
            </w:r>
          </w:p>
        </w:tc>
        <w:tc>
          <w:tcPr>
            <w:tcW w:w="3500" w:type="dxa"/>
            <w:vAlign w:val="bottom"/>
          </w:tcPr>
          <w:p>
            <w:pPr>
              <w:ind w:left="120"/>
              <w:spacing w:after="0"/>
              <w:rPr>
                <w:sz w:val="20"/>
                <w:szCs w:val="20"/>
                <w:color w:val="auto"/>
              </w:rPr>
            </w:pPr>
            <w:r>
              <w:rPr>
                <w:rFonts w:ascii="Arial" w:cs="Arial" w:eastAsia="Arial" w:hAnsi="Arial"/>
                <w:sz w:val="14"/>
                <w:szCs w:val="14"/>
                <w:color w:val="auto"/>
              </w:rPr>
              <w:t>(1)</w:t>
            </w:r>
          </w:p>
        </w:tc>
      </w:tr>
      <w:tr>
        <w:trPr>
          <w:trHeight w:val="220"/>
        </w:trPr>
        <w:tc>
          <w:tcPr>
            <w:tcW w:w="54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(898)</w:t>
            </w: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(13,481)</w:t>
            </w:r>
          </w:p>
        </w:tc>
        <w:tc>
          <w:tcPr>
            <w:tcW w:w="3500" w:type="dxa"/>
            <w:vAlign w:val="bottom"/>
          </w:tcPr>
          <w:p>
            <w:pPr>
              <w:ind w:left="120"/>
              <w:spacing w:after="0"/>
              <w:rPr>
                <w:sz w:val="20"/>
                <w:szCs w:val="20"/>
                <w:color w:val="auto"/>
              </w:rPr>
            </w:pPr>
            <w:r>
              <w:rPr>
                <w:rFonts w:ascii="Arial" w:cs="Arial" w:eastAsia="Arial" w:hAnsi="Arial"/>
                <w:sz w:val="14"/>
                <w:szCs w:val="14"/>
                <w:color w:val="auto"/>
              </w:rPr>
              <w:t>Before tax</w:t>
            </w:r>
          </w:p>
        </w:tc>
      </w:tr>
      <w:tr>
        <w:trPr>
          <w:trHeight w:val="233"/>
        </w:trPr>
        <w:tc>
          <w:tcPr>
            <w:tcW w:w="540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230</w:t>
            </w:r>
          </w:p>
        </w:tc>
        <w:tc>
          <w:tcPr>
            <w:tcW w:w="3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3,451</w:t>
            </w:r>
          </w:p>
        </w:tc>
        <w:tc>
          <w:tcPr>
            <w:tcW w:w="3500" w:type="dxa"/>
            <w:vAlign w:val="bottom"/>
          </w:tcPr>
          <w:p>
            <w:pPr>
              <w:ind w:left="120"/>
              <w:spacing w:after="0"/>
              <w:rPr>
                <w:sz w:val="20"/>
                <w:szCs w:val="20"/>
                <w:color w:val="auto"/>
              </w:rPr>
            </w:pPr>
            <w:r>
              <w:rPr>
                <w:rFonts w:ascii="Arial" w:cs="Arial" w:eastAsia="Arial" w:hAnsi="Arial"/>
                <w:sz w:val="14"/>
                <w:szCs w:val="14"/>
                <w:color w:val="auto"/>
              </w:rPr>
              <w:t>Provision for Income Taxes</w:t>
            </w:r>
          </w:p>
        </w:tc>
      </w:tr>
      <w:tr>
        <w:trPr>
          <w:trHeight w:val="220"/>
        </w:trPr>
        <w:tc>
          <w:tcPr>
            <w:tcW w:w="54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(668)</w:t>
            </w:r>
          </w:p>
        </w:tc>
        <w:tc>
          <w:tcPr>
            <w:tcW w:w="3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(10,030)</w:t>
            </w:r>
          </w:p>
        </w:tc>
        <w:tc>
          <w:tcPr>
            <w:tcW w:w="3500" w:type="dxa"/>
            <w:vAlign w:val="bottom"/>
          </w:tcPr>
          <w:p>
            <w:pPr>
              <w:ind w:left="120"/>
              <w:spacing w:after="0"/>
              <w:rPr>
                <w:sz w:val="20"/>
                <w:szCs w:val="20"/>
                <w:color w:val="auto"/>
              </w:rPr>
            </w:pPr>
            <w:r>
              <w:rPr>
                <w:rFonts w:ascii="Arial" w:cs="Arial" w:eastAsia="Arial" w:hAnsi="Arial"/>
                <w:sz w:val="14"/>
                <w:szCs w:val="14"/>
                <w:color w:val="auto"/>
              </w:rPr>
              <w:t>Net of Tax</w:t>
            </w:r>
          </w:p>
        </w:tc>
      </w:tr>
      <w:tr>
        <w:trPr>
          <w:trHeight w:val="226"/>
        </w:trPr>
        <w:tc>
          <w:tcPr>
            <w:tcW w:w="5400" w:type="dxa"/>
            <w:vAlign w:val="bottom"/>
          </w:tcPr>
          <w:p>
            <w:pPr>
              <w:ind w:left="40"/>
              <w:spacing w:after="0"/>
              <w:rPr>
                <w:sz w:val="20"/>
                <w:szCs w:val="20"/>
                <w:color w:val="auto"/>
              </w:rPr>
            </w:pPr>
            <w:r>
              <w:rPr>
                <w:rFonts w:ascii="Arial" w:cs="Arial" w:eastAsia="Arial" w:hAnsi="Arial"/>
                <w:sz w:val="16"/>
                <w:szCs w:val="16"/>
                <w:b w:val="1"/>
                <w:bCs w:val="1"/>
                <w:color w:val="auto"/>
              </w:rPr>
              <w:t>Cash Flow Hedges</w:t>
            </w:r>
          </w:p>
        </w:tc>
        <w:tc>
          <w:tcPr>
            <w:tcW w:w="4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60</w:t>
            </w:r>
          </w:p>
        </w:tc>
        <w:tc>
          <w:tcPr>
            <w:tcW w:w="3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(125)</w:t>
            </w:r>
          </w:p>
        </w:tc>
        <w:tc>
          <w:tcPr>
            <w:tcW w:w="3500" w:type="dxa"/>
            <w:vAlign w:val="bottom"/>
          </w:tcPr>
          <w:p>
            <w:pPr>
              <w:ind w:left="120"/>
              <w:spacing w:after="0"/>
              <w:rPr>
                <w:sz w:val="20"/>
                <w:szCs w:val="20"/>
                <w:color w:val="auto"/>
              </w:rPr>
            </w:pPr>
            <w:r>
              <w:rPr>
                <w:rFonts w:ascii="Arial" w:cs="Arial" w:eastAsia="Arial" w:hAnsi="Arial"/>
                <w:sz w:val="14"/>
                <w:szCs w:val="14"/>
                <w:color w:val="auto"/>
              </w:rPr>
              <w:t>Interest expense</w:t>
            </w:r>
          </w:p>
        </w:tc>
      </w:tr>
      <w:tr>
        <w:trPr>
          <w:trHeight w:val="226"/>
        </w:trPr>
        <w:tc>
          <w:tcPr>
            <w:tcW w:w="5400" w:type="dxa"/>
            <w:vAlign w:val="bottom"/>
          </w:tcPr>
          <w:p>
            <w:pPr>
              <w:ind w:left="20"/>
              <w:spacing w:after="0"/>
              <w:rPr>
                <w:sz w:val="20"/>
                <w:szCs w:val="20"/>
                <w:color w:val="auto"/>
              </w:rPr>
            </w:pPr>
            <w:r>
              <w:rPr>
                <w:rFonts w:ascii="Arial" w:cs="Arial" w:eastAsia="Arial" w:hAnsi="Arial"/>
                <w:sz w:val="16"/>
                <w:szCs w:val="16"/>
                <w:b w:val="1"/>
                <w:bCs w:val="1"/>
                <w:color w:val="auto"/>
              </w:rPr>
              <w:t>Total reclassification for the period</w:t>
            </w: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w w:val="8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(608)</w:t>
            </w:r>
          </w:p>
        </w:tc>
        <w:tc>
          <w:tcPr>
            <w:tcW w:w="3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(10,155)</w:t>
            </w:r>
          </w:p>
        </w:tc>
        <w:tc>
          <w:tcPr>
            <w:tcW w:w="3500" w:type="dxa"/>
            <w:vAlign w:val="bottom"/>
          </w:tcPr>
          <w:p>
            <w:pPr>
              <w:ind w:left="120"/>
              <w:spacing w:after="0"/>
              <w:rPr>
                <w:sz w:val="20"/>
                <w:szCs w:val="20"/>
                <w:color w:val="auto"/>
              </w:rPr>
            </w:pPr>
            <w:r>
              <w:rPr>
                <w:rFonts w:ascii="Arial" w:cs="Arial" w:eastAsia="Arial" w:hAnsi="Arial"/>
                <w:sz w:val="14"/>
                <w:szCs w:val="14"/>
                <w:color w:val="auto"/>
              </w:rPr>
              <w:t>Net of Tax</w:t>
            </w:r>
          </w:p>
        </w:tc>
      </w:tr>
      <w:tr>
        <w:trPr>
          <w:trHeight w:val="20"/>
        </w:trPr>
        <w:tc>
          <w:tcPr>
            <w:tcW w:w="54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Arial" w:cs="Arial" w:eastAsia="Arial" w:hAnsi="Arial"/>
          <w:sz w:val="14"/>
          <w:szCs w:val="14"/>
          <w:color w:val="auto"/>
        </w:rPr>
        <w:t>____________</w:t>
      </w:r>
    </w:p>
    <w:p>
      <w:pPr>
        <w:spacing w:after="0" w:line="2" w:lineRule="exact"/>
        <w:rPr>
          <w:sz w:val="20"/>
          <w:szCs w:val="20"/>
          <w:color w:val="auto"/>
        </w:rPr>
      </w:pPr>
    </w:p>
    <w:p>
      <w:pPr>
        <w:ind w:left="420" w:right="260" w:hanging="412"/>
        <w:spacing w:after="0" w:line="264" w:lineRule="auto"/>
        <w:tabs>
          <w:tab w:leader="none" w:pos="348" w:val="left"/>
        </w:tabs>
        <w:numPr>
          <w:ilvl w:val="0"/>
          <w:numId w:val="12"/>
        </w:numPr>
        <w:rPr>
          <w:rFonts w:ascii="Arial" w:cs="Arial" w:eastAsia="Arial" w:hAnsi="Arial"/>
          <w:sz w:val="14"/>
          <w:szCs w:val="14"/>
          <w:color w:val="auto"/>
        </w:rPr>
      </w:pPr>
      <w:r>
        <w:rPr>
          <w:rFonts w:ascii="Arial" w:cs="Arial" w:eastAsia="Arial" w:hAnsi="Arial"/>
          <w:sz w:val="14"/>
          <w:szCs w:val="14"/>
          <w:color w:val="auto"/>
        </w:rPr>
        <w:t>These accumulated other comprehensive income (loss) components are included in the computation of net periodic pension and postretirement plan cost (see Note 11) and are included in non-operating pension and postretirement benefit income in the Company’s Condensed Consolidated Statements of Operations.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CONTINGENCIES</w:t>
      </w:r>
    </w:p>
    <w:p>
      <w:pPr>
        <w:spacing w:after="0" w:line="144" w:lineRule="exact"/>
        <w:rPr>
          <w:sz w:val="20"/>
          <w:szCs w:val="20"/>
          <w:color w:val="auto"/>
        </w:rPr>
      </w:pPr>
    </w:p>
    <w:p>
      <w:pPr>
        <w:jc w:val="both"/>
        <w:ind w:right="160"/>
        <w:spacing w:after="0" w:line="245" w:lineRule="auto"/>
        <w:rPr>
          <w:sz w:val="20"/>
          <w:szCs w:val="20"/>
          <w:color w:val="auto"/>
        </w:rPr>
      </w:pPr>
      <w:r>
        <w:rPr>
          <w:rFonts w:ascii="Arial" w:cs="Arial" w:eastAsia="Arial" w:hAnsi="Arial"/>
          <w:sz w:val="18"/>
          <w:szCs w:val="18"/>
          <w:b w:val="1"/>
          <w:bCs w:val="1"/>
          <w:color w:val="auto"/>
        </w:rPr>
        <w:t>Litigation, Legal and Other Matters</w:t>
      </w:r>
      <w:r>
        <w:rPr>
          <w:rFonts w:ascii="Arial" w:cs="Arial" w:eastAsia="Arial" w:hAnsi="Arial"/>
          <w:sz w:val="18"/>
          <w:szCs w:val="18"/>
          <w:color w:val="auto"/>
        </w:rPr>
        <w:t>. The Company and its subsidiaries are subject to complaints and administrative proceedings and are</w:t>
      </w:r>
      <w:r>
        <w:rPr>
          <w:rFonts w:ascii="Arial" w:cs="Arial" w:eastAsia="Arial" w:hAnsi="Arial"/>
          <w:sz w:val="18"/>
          <w:szCs w:val="18"/>
          <w:b w:val="1"/>
          <w:bCs w:val="1"/>
          <w:color w:val="auto"/>
        </w:rPr>
        <w:t xml:space="preserve"> </w:t>
      </w:r>
      <w:r>
        <w:rPr>
          <w:rFonts w:ascii="Arial" w:cs="Arial" w:eastAsia="Arial" w:hAnsi="Arial"/>
          <w:sz w:val="18"/>
          <w:szCs w:val="18"/>
          <w:color w:val="auto"/>
        </w:rPr>
        <w:t>defendants in various civil lawsuits that have arisen in the ordinary course of their businesses, including contract disputes; actions alleging</w:t>
      </w:r>
    </w:p>
    <w:p>
      <w:pPr>
        <w:spacing w:after="0" w:line="226" w:lineRule="auto"/>
        <w:rPr>
          <w:sz w:val="20"/>
          <w:szCs w:val="20"/>
          <w:color w:val="auto"/>
        </w:rPr>
      </w:pPr>
      <w:r>
        <w:rPr>
          <w:rFonts w:ascii="Arial" w:cs="Arial" w:eastAsia="Arial" w:hAnsi="Arial"/>
          <w:sz w:val="18"/>
          <w:szCs w:val="18"/>
          <w:color w:val="auto"/>
        </w:rPr>
        <w:t>negligence, libel, defamation and invasion of privacy; trademark, copyright and patent infringement; real estate lease and sublease disputes; violations of employment laws and applicable wage and hour laws; and statutory or common law claims involving current and former students</w:t>
      </w:r>
    </w:p>
    <w:p>
      <w:pPr>
        <w:spacing w:after="0" w:line="236" w:lineRule="auto"/>
        <w:rPr>
          <w:sz w:val="20"/>
          <w:szCs w:val="20"/>
          <w:color w:val="auto"/>
        </w:rPr>
      </w:pPr>
      <w:r>
        <w:rPr>
          <w:rFonts w:ascii="Arial" w:cs="Arial" w:eastAsia="Arial" w:hAnsi="Arial"/>
          <w:sz w:val="18"/>
          <w:szCs w:val="18"/>
          <w:color w:val="auto"/>
        </w:rPr>
        <w:t>and employees. Although the outcomes of the legal claims and proceedings against the Company cannot be predicted with certainty, based</w:t>
      </w:r>
    </w:p>
    <w:p>
      <w:pPr>
        <w:spacing w:after="0" w:line="1" w:lineRule="exact"/>
        <w:rPr>
          <w:sz w:val="20"/>
          <w:szCs w:val="20"/>
          <w:color w:val="auto"/>
        </w:rPr>
      </w:pPr>
    </w:p>
    <w:p>
      <w:pPr>
        <w:ind w:right="60"/>
        <w:spacing w:after="0"/>
        <w:rPr>
          <w:sz w:val="20"/>
          <w:szCs w:val="20"/>
          <w:color w:val="auto"/>
        </w:rPr>
      </w:pPr>
      <w:r>
        <w:rPr>
          <w:rFonts w:ascii="Arial" w:cs="Arial" w:eastAsia="Arial" w:hAnsi="Arial"/>
          <w:sz w:val="17"/>
          <w:szCs w:val="17"/>
          <w:color w:val="auto"/>
        </w:rPr>
        <w:t>on currently available information, management believes that there are no existing claims or proceedings that are likely to have a material effect on the Company’s business, financial condition, results of operations or cash flows. However, based on currently available information,</w:t>
      </w:r>
    </w:p>
    <w:p>
      <w:pPr>
        <w:spacing w:after="0" w:line="1" w:lineRule="exact"/>
        <w:rPr>
          <w:sz w:val="20"/>
          <w:szCs w:val="20"/>
          <w:color w:val="auto"/>
        </w:rPr>
      </w:pPr>
    </w:p>
    <w:p>
      <w:pPr>
        <w:ind w:right="400"/>
        <w:spacing w:after="0" w:line="250" w:lineRule="auto"/>
        <w:rPr>
          <w:sz w:val="20"/>
          <w:szCs w:val="20"/>
          <w:color w:val="auto"/>
        </w:rPr>
      </w:pPr>
      <w:r>
        <w:rPr>
          <w:rFonts w:ascii="Arial" w:cs="Arial" w:eastAsia="Arial" w:hAnsi="Arial"/>
          <w:sz w:val="18"/>
          <w:szCs w:val="18"/>
          <w:color w:val="auto"/>
        </w:rPr>
        <w:t>management believes it is reasonably possible that future losses from existing and threatened legal, regulatory and other proceedings in excess of the amounts recorded could reach approximately $10 million.</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BUSINESS SEGMENTS</w:t>
      </w:r>
    </w:p>
    <w:p>
      <w:pPr>
        <w:spacing w:after="0" w:line="158" w:lineRule="exact"/>
        <w:rPr>
          <w:sz w:val="20"/>
          <w:szCs w:val="20"/>
          <w:color w:val="auto"/>
        </w:rPr>
      </w:pPr>
    </w:p>
    <w:p>
      <w:pPr>
        <w:ind w:right="200"/>
        <w:spacing w:after="0" w:line="271" w:lineRule="auto"/>
        <w:rPr>
          <w:sz w:val="20"/>
          <w:szCs w:val="20"/>
          <w:color w:val="auto"/>
        </w:rPr>
      </w:pPr>
      <w:r>
        <w:rPr>
          <w:rFonts w:ascii="Arial" w:cs="Arial" w:eastAsia="Arial" w:hAnsi="Arial"/>
          <w:sz w:val="18"/>
          <w:szCs w:val="18"/>
          <w:color w:val="auto"/>
        </w:rPr>
        <w:t>The Company has seven reportable segments: Kaplan International, Kaplan Higher Education, Kaplan Supplemental Education, Television Broadcasting, Manufacturing, Healthcare and Automotive.</w:t>
      </w:r>
    </w:p>
    <w:p>
      <w:pPr>
        <w:spacing w:after="0" w:line="86" w:lineRule="exact"/>
        <w:rPr>
          <w:sz w:val="20"/>
          <w:szCs w:val="20"/>
          <w:color w:val="auto"/>
        </w:rPr>
      </w:pPr>
    </w:p>
    <w:p>
      <w:pPr>
        <w:jc w:val="both"/>
        <w:ind w:right="160"/>
        <w:spacing w:after="0" w:line="253" w:lineRule="auto"/>
        <w:rPr>
          <w:sz w:val="20"/>
          <w:szCs w:val="20"/>
          <w:color w:val="auto"/>
        </w:rPr>
      </w:pPr>
      <w:r>
        <w:rPr>
          <w:rFonts w:ascii="Arial" w:cs="Arial" w:eastAsia="Arial" w:hAnsi="Arial"/>
          <w:sz w:val="18"/>
          <w:szCs w:val="18"/>
          <w:color w:val="auto"/>
        </w:rPr>
        <w:t>As of March 31, 2025, Kaplan had a total outstanding accounts receivable balance of $104.0 million from Purdue Global related to amounts due for reimbursements for services, fees earned and a deferred fee. Included in this total, Kaplan has a $19.7 million long-term receivable balance due from Purdue Global at March 31, 2025, related to the advance of $20.0 million during the initial KU Transaction.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color w:val="auto"/>
        </w:rPr>
        <w:t>Company information broken down by operating segment and education division:</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3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480" w:type="dxa"/>
            <w:vAlign w:val="bottom"/>
            <w:tcBorders>
              <w:bottom w:val="single" w:sz="8" w:color="auto"/>
            </w:tcBorders>
            <w:gridSpan w:val="3"/>
          </w:tcPr>
          <w:p>
            <w:pPr>
              <w:jc w:val="right"/>
              <w:ind w:right="177"/>
              <w:spacing w:after="0"/>
              <w:rPr>
                <w:sz w:val="20"/>
                <w:szCs w:val="20"/>
                <w:color w:val="auto"/>
              </w:rPr>
            </w:pPr>
            <w:r>
              <w:rPr>
                <w:rFonts w:ascii="Arial" w:cs="Arial" w:eastAsia="Arial" w:hAnsi="Arial"/>
                <w:sz w:val="13"/>
                <w:szCs w:val="13"/>
                <w:b w:val="1"/>
                <w:bCs w:val="1"/>
                <w:color w:val="auto"/>
                <w:w w:val="98"/>
              </w:rPr>
              <w:t>Three Months Ended March 31, 2025</w:t>
            </w:r>
          </w:p>
        </w:tc>
        <w:tc>
          <w:tcPr>
            <w:tcW w:w="2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jc w:val="right"/>
              <w:ind w:right="297"/>
              <w:spacing w:after="0" w:line="142" w:lineRule="exact"/>
              <w:rPr>
                <w:sz w:val="20"/>
                <w:szCs w:val="20"/>
                <w:color w:val="auto"/>
              </w:rPr>
            </w:pPr>
            <w:r>
              <w:rPr>
                <w:rFonts w:ascii="Arial" w:cs="Arial" w:eastAsia="Arial" w:hAnsi="Arial"/>
                <w:sz w:val="13"/>
                <w:szCs w:val="13"/>
                <w:b w:val="1"/>
                <w:bCs w:val="1"/>
                <w:color w:val="auto"/>
              </w:rPr>
              <w:t>Television</w:t>
            </w:r>
          </w:p>
        </w:tc>
        <w:tc>
          <w:tcPr>
            <w:tcW w:w="2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332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(in thousands)</w:t>
            </w: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277"/>
              <w:spacing w:after="0"/>
              <w:rPr>
                <w:sz w:val="20"/>
                <w:szCs w:val="20"/>
                <w:color w:val="auto"/>
              </w:rPr>
            </w:pPr>
            <w:r>
              <w:rPr>
                <w:rFonts w:ascii="Arial" w:cs="Arial" w:eastAsia="Arial" w:hAnsi="Arial"/>
                <w:sz w:val="13"/>
                <w:szCs w:val="13"/>
                <w:b w:val="1"/>
                <w:bCs w:val="1"/>
                <w:color w:val="auto"/>
              </w:rPr>
              <w:t>Education</w:t>
            </w: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b w:val="1"/>
                <w:bCs w:val="1"/>
                <w:color w:val="auto"/>
              </w:rPr>
              <w:t>Broadcasting</w:t>
            </w:r>
          </w:p>
        </w:tc>
        <w:tc>
          <w:tcPr>
            <w:tcW w:w="2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157"/>
              <w:spacing w:after="0"/>
              <w:rPr>
                <w:sz w:val="20"/>
                <w:szCs w:val="20"/>
                <w:color w:val="auto"/>
              </w:rPr>
            </w:pPr>
            <w:r>
              <w:rPr>
                <w:rFonts w:ascii="Arial" w:cs="Arial" w:eastAsia="Arial" w:hAnsi="Arial"/>
                <w:sz w:val="13"/>
                <w:szCs w:val="13"/>
                <w:b w:val="1"/>
                <w:bCs w:val="1"/>
                <w:color w:val="auto"/>
              </w:rPr>
              <w:t>Manufacturing</w:t>
            </w:r>
          </w:p>
        </w:tc>
        <w:tc>
          <w:tcPr>
            <w:tcW w:w="2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257"/>
              <w:spacing w:after="0"/>
              <w:rPr>
                <w:sz w:val="20"/>
                <w:szCs w:val="20"/>
                <w:color w:val="auto"/>
              </w:rPr>
            </w:pPr>
            <w:r>
              <w:rPr>
                <w:rFonts w:ascii="Arial" w:cs="Arial" w:eastAsia="Arial" w:hAnsi="Arial"/>
                <w:sz w:val="13"/>
                <w:szCs w:val="13"/>
                <w:b w:val="1"/>
                <w:bCs w:val="1"/>
                <w:color w:val="auto"/>
              </w:rPr>
              <w:t>Healthcare</w:t>
            </w:r>
          </w:p>
        </w:tc>
        <w:tc>
          <w:tcPr>
            <w:tcW w:w="2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317"/>
              <w:spacing w:after="0"/>
              <w:rPr>
                <w:sz w:val="20"/>
                <w:szCs w:val="20"/>
                <w:color w:val="auto"/>
              </w:rPr>
            </w:pPr>
            <w:r>
              <w:rPr>
                <w:rFonts w:ascii="Arial" w:cs="Arial" w:eastAsia="Arial" w:hAnsi="Arial"/>
                <w:sz w:val="13"/>
                <w:szCs w:val="13"/>
                <w:b w:val="1"/>
                <w:bCs w:val="1"/>
                <w:color w:val="auto"/>
              </w:rPr>
              <w:t>Automotive</w:t>
            </w: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b w:val="1"/>
                <w:bCs w:val="1"/>
                <w:color w:val="auto"/>
                <w:w w:val="97"/>
              </w:rPr>
              <w:t>Total Segments</w:t>
            </w:r>
          </w:p>
        </w:tc>
        <w:tc>
          <w:tcPr>
            <w:tcW w:w="0" w:type="dxa"/>
            <w:vAlign w:val="bottom"/>
          </w:tcPr>
          <w:p>
            <w:pPr>
              <w:spacing w:after="0"/>
              <w:rPr>
                <w:sz w:val="1"/>
                <w:szCs w:val="1"/>
                <w:color w:val="auto"/>
              </w:rPr>
            </w:pPr>
          </w:p>
        </w:tc>
      </w:tr>
      <w:tr>
        <w:trPr>
          <w:trHeight w:val="178"/>
        </w:trPr>
        <w:tc>
          <w:tcPr>
            <w:tcW w:w="3320" w:type="dxa"/>
            <w:vAlign w:val="bottom"/>
          </w:tcPr>
          <w:p>
            <w:pPr>
              <w:ind w:left="20"/>
              <w:spacing w:after="0"/>
              <w:rPr>
                <w:sz w:val="20"/>
                <w:szCs w:val="20"/>
                <w:color w:val="auto"/>
              </w:rPr>
            </w:pPr>
            <w:r>
              <w:rPr>
                <w:rFonts w:ascii="Arial" w:cs="Arial" w:eastAsia="Arial" w:hAnsi="Arial"/>
                <w:sz w:val="13"/>
                <w:szCs w:val="13"/>
                <w:b w:val="1"/>
                <w:bCs w:val="1"/>
                <w:color w:val="auto"/>
              </w:rPr>
              <w:t>Operating Revenues</w:t>
            </w:r>
          </w:p>
        </w:tc>
        <w:tc>
          <w:tcPr>
            <w:tcW w:w="200" w:type="dxa"/>
            <w:vAlign w:val="bottom"/>
          </w:tcPr>
          <w:p>
            <w:pPr>
              <w:jc w:val="right"/>
              <w:ind w:right="57"/>
              <w:spacing w:after="0"/>
              <w:rPr>
                <w:sz w:val="20"/>
                <w:szCs w:val="20"/>
                <w:color w:val="auto"/>
              </w:rPr>
            </w:pPr>
            <w:r>
              <w:rPr>
                <w:rFonts w:ascii="Arial" w:cs="Arial" w:eastAsia="Arial" w:hAnsi="Arial"/>
                <w:sz w:val="13"/>
                <w:szCs w:val="13"/>
                <w:b w:val="1"/>
                <w:bCs w:val="1"/>
                <w:color w:val="auto"/>
                <w:w w:val="82"/>
              </w:rPr>
              <w:t>$</w:t>
            </w:r>
          </w:p>
        </w:tc>
        <w:tc>
          <w:tcPr>
            <w:tcW w:w="1060" w:type="dxa"/>
            <w:vAlign w:val="bottom"/>
          </w:tcPr>
          <w:p>
            <w:pPr>
              <w:jc w:val="right"/>
              <w:ind w:right="37"/>
              <w:spacing w:after="0"/>
              <w:rPr>
                <w:sz w:val="20"/>
                <w:szCs w:val="20"/>
                <w:color w:val="auto"/>
              </w:rPr>
            </w:pPr>
            <w:r>
              <w:rPr>
                <w:rFonts w:ascii="Arial" w:cs="Arial" w:eastAsia="Arial" w:hAnsi="Arial"/>
                <w:sz w:val="13"/>
                <w:szCs w:val="13"/>
                <w:b w:val="1"/>
                <w:bCs w:val="1"/>
                <w:color w:val="auto"/>
              </w:rPr>
              <w:t>424,731</w:t>
            </w:r>
          </w:p>
        </w:tc>
        <w:tc>
          <w:tcPr>
            <w:tcW w:w="22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1120" w:type="dxa"/>
            <w:vAlign w:val="bottom"/>
          </w:tcPr>
          <w:p>
            <w:pPr>
              <w:jc w:val="right"/>
              <w:ind w:right="37"/>
              <w:spacing w:after="0"/>
              <w:rPr>
                <w:sz w:val="20"/>
                <w:szCs w:val="20"/>
                <w:color w:val="auto"/>
              </w:rPr>
            </w:pPr>
            <w:r>
              <w:rPr>
                <w:rFonts w:ascii="Arial" w:cs="Arial" w:eastAsia="Arial" w:hAnsi="Arial"/>
                <w:sz w:val="13"/>
                <w:szCs w:val="13"/>
                <w:b w:val="1"/>
                <w:bCs w:val="1"/>
                <w:color w:val="auto"/>
              </w:rPr>
              <w:t>103,554</w:t>
            </w:r>
          </w:p>
        </w:tc>
        <w:tc>
          <w:tcPr>
            <w:tcW w:w="20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1140" w:type="dxa"/>
            <w:vAlign w:val="bottom"/>
          </w:tcPr>
          <w:p>
            <w:pPr>
              <w:jc w:val="right"/>
              <w:ind w:right="37"/>
              <w:spacing w:after="0"/>
              <w:rPr>
                <w:sz w:val="20"/>
                <w:szCs w:val="20"/>
                <w:color w:val="auto"/>
              </w:rPr>
            </w:pPr>
            <w:r>
              <w:rPr>
                <w:rFonts w:ascii="Arial" w:cs="Arial" w:eastAsia="Arial" w:hAnsi="Arial"/>
                <w:sz w:val="13"/>
                <w:szCs w:val="13"/>
                <w:b w:val="1"/>
                <w:bCs w:val="1"/>
                <w:color w:val="auto"/>
              </w:rPr>
              <w:t>98,005</w:t>
            </w:r>
          </w:p>
        </w:tc>
        <w:tc>
          <w:tcPr>
            <w:tcW w:w="260" w:type="dxa"/>
            <w:vAlign w:val="bottom"/>
          </w:tcPr>
          <w:p>
            <w:pPr>
              <w:jc w:val="right"/>
              <w:ind w:right="37"/>
              <w:spacing w:after="0"/>
              <w:rPr>
                <w:sz w:val="20"/>
                <w:szCs w:val="20"/>
                <w:color w:val="auto"/>
              </w:rPr>
            </w:pPr>
            <w:r>
              <w:rPr>
                <w:rFonts w:ascii="Arial" w:cs="Arial" w:eastAsia="Arial" w:hAnsi="Arial"/>
                <w:sz w:val="13"/>
                <w:szCs w:val="13"/>
                <w:b w:val="1"/>
                <w:bCs w:val="1"/>
                <w:color w:val="auto"/>
              </w:rPr>
              <w:t>$</w:t>
            </w:r>
          </w:p>
        </w:tc>
        <w:tc>
          <w:tcPr>
            <w:tcW w:w="1080" w:type="dxa"/>
            <w:vAlign w:val="bottom"/>
          </w:tcPr>
          <w:p>
            <w:pPr>
              <w:jc w:val="right"/>
              <w:ind w:right="37"/>
              <w:spacing w:after="0"/>
              <w:rPr>
                <w:sz w:val="20"/>
                <w:szCs w:val="20"/>
                <w:color w:val="auto"/>
              </w:rPr>
            </w:pPr>
            <w:r>
              <w:rPr>
                <w:rFonts w:ascii="Arial" w:cs="Arial" w:eastAsia="Arial" w:hAnsi="Arial"/>
                <w:sz w:val="13"/>
                <w:szCs w:val="13"/>
                <w:b w:val="1"/>
                <w:bCs w:val="1"/>
                <w:color w:val="auto"/>
              </w:rPr>
              <w:t>173,741</w:t>
            </w:r>
          </w:p>
        </w:tc>
        <w:tc>
          <w:tcPr>
            <w:tcW w:w="260" w:type="dxa"/>
            <w:vAlign w:val="bottom"/>
          </w:tcPr>
          <w:p>
            <w:pPr>
              <w:jc w:val="right"/>
              <w:ind w:right="37"/>
              <w:spacing w:after="0"/>
              <w:rPr>
                <w:sz w:val="20"/>
                <w:szCs w:val="20"/>
                <w:color w:val="auto"/>
              </w:rPr>
            </w:pPr>
            <w:r>
              <w:rPr>
                <w:rFonts w:ascii="Arial" w:cs="Arial" w:eastAsia="Arial" w:hAnsi="Arial"/>
                <w:sz w:val="13"/>
                <w:szCs w:val="13"/>
                <w:b w:val="1"/>
                <w:bCs w:val="1"/>
                <w:color w:val="auto"/>
              </w:rPr>
              <w:t>$</w:t>
            </w:r>
          </w:p>
        </w:tc>
        <w:tc>
          <w:tcPr>
            <w:tcW w:w="1160" w:type="dxa"/>
            <w:vAlign w:val="bottom"/>
          </w:tcPr>
          <w:p>
            <w:pPr>
              <w:jc w:val="right"/>
              <w:ind w:right="117"/>
              <w:spacing w:after="0"/>
              <w:rPr>
                <w:sz w:val="20"/>
                <w:szCs w:val="20"/>
                <w:color w:val="auto"/>
              </w:rPr>
            </w:pPr>
            <w:r>
              <w:rPr>
                <w:rFonts w:ascii="Arial" w:cs="Arial" w:eastAsia="Arial" w:hAnsi="Arial"/>
                <w:sz w:val="13"/>
                <w:szCs w:val="13"/>
                <w:b w:val="1"/>
                <w:bCs w:val="1"/>
                <w:color w:val="auto"/>
              </w:rPr>
              <w:t>280,991</w:t>
            </w:r>
          </w:p>
        </w:tc>
        <w:tc>
          <w:tcPr>
            <w:tcW w:w="120" w:type="dxa"/>
            <w:vAlign w:val="bottom"/>
          </w:tcPr>
          <w:p>
            <w:pPr>
              <w:jc w:val="right"/>
              <w:spacing w:after="0"/>
              <w:rPr>
                <w:sz w:val="20"/>
                <w:szCs w:val="20"/>
                <w:color w:val="auto"/>
              </w:rPr>
            </w:pPr>
            <w:r>
              <w:rPr>
                <w:rFonts w:ascii="Arial" w:cs="Arial" w:eastAsia="Arial" w:hAnsi="Arial"/>
                <w:sz w:val="13"/>
                <w:szCs w:val="13"/>
                <w:b w:val="1"/>
                <w:bCs w:val="1"/>
                <w:color w:val="auto"/>
                <w:w w:val="82"/>
              </w:rPr>
              <w:t>$</w:t>
            </w:r>
          </w:p>
        </w:tc>
        <w:tc>
          <w:tcPr>
            <w:tcW w:w="1100" w:type="dxa"/>
            <w:vAlign w:val="bottom"/>
          </w:tcPr>
          <w:p>
            <w:pPr>
              <w:jc w:val="right"/>
              <w:spacing w:after="0"/>
              <w:rPr>
                <w:sz w:val="20"/>
                <w:szCs w:val="20"/>
                <w:color w:val="auto"/>
              </w:rPr>
            </w:pPr>
            <w:r>
              <w:rPr>
                <w:rFonts w:ascii="Arial" w:cs="Arial" w:eastAsia="Arial" w:hAnsi="Arial"/>
                <w:sz w:val="13"/>
                <w:szCs w:val="13"/>
                <w:b w:val="1"/>
                <w:bCs w:val="1"/>
                <w:color w:val="auto"/>
              </w:rPr>
              <w:t>1,081,022</w:t>
            </w:r>
          </w:p>
        </w:tc>
        <w:tc>
          <w:tcPr>
            <w:tcW w:w="0" w:type="dxa"/>
            <w:vAlign w:val="bottom"/>
          </w:tcPr>
          <w:p>
            <w:pPr>
              <w:spacing w:after="0"/>
              <w:rPr>
                <w:sz w:val="1"/>
                <w:szCs w:val="1"/>
                <w:color w:val="auto"/>
              </w:rPr>
            </w:pPr>
          </w:p>
        </w:tc>
      </w:tr>
      <w:tr>
        <w:trPr>
          <w:trHeight w:val="183"/>
        </w:trPr>
        <w:tc>
          <w:tcPr>
            <w:tcW w:w="3320" w:type="dxa"/>
            <w:vAlign w:val="bottom"/>
          </w:tcPr>
          <w:p>
            <w:pPr>
              <w:ind w:left="20"/>
              <w:spacing w:after="0"/>
              <w:rPr>
                <w:sz w:val="20"/>
                <w:szCs w:val="20"/>
                <w:color w:val="auto"/>
              </w:rPr>
            </w:pPr>
            <w:r>
              <w:rPr>
                <w:rFonts w:ascii="Arial" w:cs="Arial" w:eastAsia="Arial" w:hAnsi="Arial"/>
                <w:sz w:val="13"/>
                <w:szCs w:val="13"/>
                <w:i w:val="1"/>
                <w:iCs w:val="1"/>
                <w:color w:val="auto"/>
              </w:rPr>
              <w:t>Reconciliation of Revenue</w:t>
            </w: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3320" w:type="dxa"/>
            <w:vAlign w:val="bottom"/>
          </w:tcPr>
          <w:p>
            <w:pPr>
              <w:ind w:left="100"/>
              <w:spacing w:after="0"/>
              <w:rPr>
                <w:sz w:val="20"/>
                <w:szCs w:val="20"/>
                <w:color w:val="auto"/>
              </w:rPr>
            </w:pPr>
            <w:r>
              <w:rPr>
                <w:rFonts w:ascii="Arial" w:cs="Arial" w:eastAsia="Arial" w:hAnsi="Arial"/>
                <w:sz w:val="13"/>
                <w:szCs w:val="13"/>
                <w:color w:val="auto"/>
              </w:rPr>
              <w:t xml:space="preserve">Other Businesses and Corporate Office Revenues </w:t>
            </w:r>
            <w:r>
              <w:rPr>
                <w:rFonts w:ascii="Arial" w:cs="Arial" w:eastAsia="Arial" w:hAnsi="Arial"/>
                <w:sz w:val="16"/>
                <w:szCs w:val="16"/>
                <w:color w:val="auto"/>
                <w:vertAlign w:val="superscript"/>
              </w:rPr>
              <w:t>(1)</w:t>
            </w: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3"/>
                <w:szCs w:val="13"/>
                <w:b w:val="1"/>
                <w:bCs w:val="1"/>
                <w:color w:val="auto"/>
              </w:rPr>
              <w:t>85,517</w:t>
            </w:r>
          </w:p>
        </w:tc>
        <w:tc>
          <w:tcPr>
            <w:tcW w:w="0" w:type="dxa"/>
            <w:vAlign w:val="bottom"/>
          </w:tcPr>
          <w:p>
            <w:pPr>
              <w:spacing w:after="0"/>
              <w:rPr>
                <w:sz w:val="1"/>
                <w:szCs w:val="1"/>
                <w:color w:val="auto"/>
              </w:rPr>
            </w:pPr>
          </w:p>
        </w:tc>
      </w:tr>
      <w:tr>
        <w:trPr>
          <w:trHeight w:val="173"/>
        </w:trPr>
        <w:tc>
          <w:tcPr>
            <w:tcW w:w="3320" w:type="dxa"/>
            <w:vAlign w:val="bottom"/>
          </w:tcPr>
          <w:p>
            <w:pPr>
              <w:ind w:left="140"/>
              <w:spacing w:after="0"/>
              <w:rPr>
                <w:sz w:val="20"/>
                <w:szCs w:val="20"/>
                <w:color w:val="auto"/>
              </w:rPr>
            </w:pPr>
            <w:r>
              <w:rPr>
                <w:rFonts w:ascii="Arial" w:cs="Arial" w:eastAsia="Arial" w:hAnsi="Arial"/>
                <w:sz w:val="13"/>
                <w:szCs w:val="13"/>
                <w:color w:val="auto"/>
              </w:rPr>
              <w:t>Intersegment Elimination</w:t>
            </w: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(624)</w:t>
            </w:r>
          </w:p>
        </w:tc>
        <w:tc>
          <w:tcPr>
            <w:tcW w:w="0" w:type="dxa"/>
            <w:vAlign w:val="bottom"/>
          </w:tcPr>
          <w:p>
            <w:pPr>
              <w:spacing w:after="0"/>
              <w:rPr>
                <w:sz w:val="1"/>
                <w:szCs w:val="1"/>
                <w:color w:val="auto"/>
              </w:rPr>
            </w:pPr>
          </w:p>
        </w:tc>
      </w:tr>
      <w:tr>
        <w:trPr>
          <w:trHeight w:val="183"/>
        </w:trPr>
        <w:tc>
          <w:tcPr>
            <w:tcW w:w="3320" w:type="dxa"/>
            <w:vAlign w:val="bottom"/>
          </w:tcPr>
          <w:p>
            <w:pPr>
              <w:ind w:left="20"/>
              <w:spacing w:after="0"/>
              <w:rPr>
                <w:sz w:val="20"/>
                <w:szCs w:val="20"/>
                <w:color w:val="auto"/>
              </w:rPr>
            </w:pPr>
            <w:r>
              <w:rPr>
                <w:rFonts w:ascii="Arial" w:cs="Arial" w:eastAsia="Arial" w:hAnsi="Arial"/>
                <w:sz w:val="13"/>
                <w:szCs w:val="13"/>
                <w:b w:val="1"/>
                <w:bCs w:val="1"/>
                <w:color w:val="auto"/>
              </w:rPr>
              <w:t>Total Consolidated Revenues</w:t>
            </w: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82"/>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1,165,915</w:t>
            </w:r>
          </w:p>
        </w:tc>
        <w:tc>
          <w:tcPr>
            <w:tcW w:w="0" w:type="dxa"/>
            <w:vAlign w:val="bottom"/>
          </w:tcPr>
          <w:p>
            <w:pPr>
              <w:spacing w:after="0"/>
              <w:rPr>
                <w:sz w:val="1"/>
                <w:szCs w:val="1"/>
                <w:color w:val="auto"/>
              </w:rPr>
            </w:pPr>
          </w:p>
        </w:tc>
      </w:tr>
      <w:tr>
        <w:trPr>
          <w:trHeight w:val="228"/>
        </w:trPr>
        <w:tc>
          <w:tcPr>
            <w:tcW w:w="3320" w:type="dxa"/>
            <w:vAlign w:val="bottom"/>
          </w:tcPr>
          <w:p>
            <w:pPr>
              <w:ind w:left="20"/>
              <w:spacing w:after="0"/>
              <w:rPr>
                <w:sz w:val="20"/>
                <w:szCs w:val="20"/>
                <w:color w:val="auto"/>
              </w:rPr>
            </w:pPr>
            <w:r>
              <w:rPr>
                <w:rFonts w:ascii="Arial" w:cs="Arial" w:eastAsia="Arial" w:hAnsi="Arial"/>
                <w:sz w:val="13"/>
                <w:szCs w:val="13"/>
                <w:i w:val="1"/>
                <w:iCs w:val="1"/>
                <w:color w:val="auto"/>
              </w:rPr>
              <w:t xml:space="preserve">Less: Significant Expenses </w:t>
            </w:r>
            <w:r>
              <w:rPr>
                <w:rFonts w:ascii="Arial" w:cs="Arial" w:eastAsia="Arial" w:hAnsi="Arial"/>
                <w:sz w:val="16"/>
                <w:szCs w:val="16"/>
                <w:i w:val="1"/>
                <w:iCs w:val="1"/>
                <w:color w:val="auto"/>
                <w:vertAlign w:val="superscript"/>
              </w:rPr>
              <w:t>(2)</w:t>
            </w: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3320" w:type="dxa"/>
            <w:vAlign w:val="bottom"/>
          </w:tcPr>
          <w:p>
            <w:pPr>
              <w:ind w:left="140"/>
              <w:spacing w:after="0"/>
              <w:rPr>
                <w:sz w:val="20"/>
                <w:szCs w:val="20"/>
                <w:color w:val="auto"/>
              </w:rPr>
            </w:pPr>
            <w:r>
              <w:rPr>
                <w:rFonts w:ascii="Arial" w:cs="Arial" w:eastAsia="Arial" w:hAnsi="Arial"/>
                <w:sz w:val="13"/>
                <w:szCs w:val="13"/>
                <w:color w:val="auto"/>
              </w:rPr>
              <w:t xml:space="preserve">Cost of Revenue </w:t>
            </w:r>
            <w:r>
              <w:rPr>
                <w:rFonts w:ascii="Arial" w:cs="Arial" w:eastAsia="Arial" w:hAnsi="Arial"/>
                <w:sz w:val="16"/>
                <w:szCs w:val="16"/>
                <w:color w:val="auto"/>
                <w:vertAlign w:val="superscript"/>
              </w:rPr>
              <w:t>(3)</w:t>
            </w:r>
          </w:p>
        </w:tc>
        <w:tc>
          <w:tcPr>
            <w:tcW w:w="200" w:type="dxa"/>
            <w:vAlign w:val="bottom"/>
          </w:tcPr>
          <w:p>
            <w:pPr>
              <w:spacing w:after="0"/>
              <w:rPr>
                <w:sz w:val="16"/>
                <w:szCs w:val="16"/>
                <w:color w:val="auto"/>
              </w:rPr>
            </w:pPr>
          </w:p>
        </w:tc>
        <w:tc>
          <w:tcPr>
            <w:tcW w:w="1060" w:type="dxa"/>
            <w:vAlign w:val="bottom"/>
          </w:tcPr>
          <w:p>
            <w:pPr>
              <w:jc w:val="right"/>
              <w:ind w:right="37"/>
              <w:spacing w:after="0"/>
              <w:rPr>
                <w:sz w:val="20"/>
                <w:szCs w:val="20"/>
                <w:color w:val="auto"/>
              </w:rPr>
            </w:pPr>
            <w:r>
              <w:rPr>
                <w:rFonts w:ascii="Arial" w:cs="Arial" w:eastAsia="Arial" w:hAnsi="Arial"/>
                <w:sz w:val="13"/>
                <w:szCs w:val="13"/>
                <w:b w:val="1"/>
                <w:bCs w:val="1"/>
                <w:color w:val="auto"/>
              </w:rPr>
              <w:t>166,087</w:t>
            </w: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jc w:val="right"/>
              <w:ind w:right="37"/>
              <w:spacing w:after="0"/>
              <w:rPr>
                <w:sz w:val="20"/>
                <w:szCs w:val="20"/>
                <w:color w:val="auto"/>
              </w:rPr>
            </w:pPr>
            <w:r>
              <w:rPr>
                <w:rFonts w:ascii="Arial" w:cs="Arial" w:eastAsia="Arial" w:hAnsi="Arial"/>
                <w:sz w:val="13"/>
                <w:szCs w:val="13"/>
                <w:b w:val="1"/>
                <w:bCs w:val="1"/>
                <w:color w:val="auto"/>
              </w:rPr>
              <w:t>69,737</w:t>
            </w:r>
          </w:p>
        </w:tc>
        <w:tc>
          <w:tcPr>
            <w:tcW w:w="260" w:type="dxa"/>
            <w:vAlign w:val="bottom"/>
          </w:tcPr>
          <w:p>
            <w:pPr>
              <w:spacing w:after="0"/>
              <w:rPr>
                <w:sz w:val="16"/>
                <w:szCs w:val="16"/>
                <w:color w:val="auto"/>
              </w:rPr>
            </w:pPr>
          </w:p>
        </w:tc>
        <w:tc>
          <w:tcPr>
            <w:tcW w:w="1080" w:type="dxa"/>
            <w:vAlign w:val="bottom"/>
          </w:tcPr>
          <w:p>
            <w:pPr>
              <w:jc w:val="right"/>
              <w:ind w:right="37"/>
              <w:spacing w:after="0"/>
              <w:rPr>
                <w:sz w:val="20"/>
                <w:szCs w:val="20"/>
                <w:color w:val="auto"/>
              </w:rPr>
            </w:pPr>
            <w:r>
              <w:rPr>
                <w:rFonts w:ascii="Arial" w:cs="Arial" w:eastAsia="Arial" w:hAnsi="Arial"/>
                <w:sz w:val="13"/>
                <w:szCs w:val="13"/>
                <w:b w:val="1"/>
                <w:bCs w:val="1"/>
                <w:color w:val="auto"/>
              </w:rPr>
              <w:t>100,115</w:t>
            </w:r>
          </w:p>
        </w:tc>
        <w:tc>
          <w:tcPr>
            <w:tcW w:w="260" w:type="dxa"/>
            <w:vAlign w:val="bottom"/>
          </w:tcPr>
          <w:p>
            <w:pPr>
              <w:spacing w:after="0"/>
              <w:rPr>
                <w:sz w:val="16"/>
                <w:szCs w:val="16"/>
                <w:color w:val="auto"/>
              </w:rPr>
            </w:pPr>
          </w:p>
        </w:tc>
        <w:tc>
          <w:tcPr>
            <w:tcW w:w="1160" w:type="dxa"/>
            <w:vAlign w:val="bottom"/>
          </w:tcPr>
          <w:p>
            <w:pPr>
              <w:jc w:val="right"/>
              <w:ind w:right="117"/>
              <w:spacing w:after="0"/>
              <w:rPr>
                <w:sz w:val="20"/>
                <w:szCs w:val="20"/>
                <w:color w:val="auto"/>
              </w:rPr>
            </w:pPr>
            <w:r>
              <w:rPr>
                <w:rFonts w:ascii="Arial" w:cs="Arial" w:eastAsia="Arial" w:hAnsi="Arial"/>
                <w:sz w:val="13"/>
                <w:szCs w:val="13"/>
                <w:b w:val="1"/>
                <w:bCs w:val="1"/>
                <w:color w:val="auto"/>
              </w:rPr>
              <w:t>240,307</w:t>
            </w:r>
          </w:p>
        </w:tc>
        <w:tc>
          <w:tcPr>
            <w:tcW w:w="1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3"/>
                <w:szCs w:val="13"/>
                <w:b w:val="1"/>
                <w:bCs w:val="1"/>
                <w:color w:val="auto"/>
              </w:rPr>
              <w:t>576,246</w:t>
            </w:r>
          </w:p>
        </w:tc>
        <w:tc>
          <w:tcPr>
            <w:tcW w:w="0" w:type="dxa"/>
            <w:vAlign w:val="bottom"/>
          </w:tcPr>
          <w:p>
            <w:pPr>
              <w:spacing w:after="0"/>
              <w:rPr>
                <w:sz w:val="1"/>
                <w:szCs w:val="1"/>
                <w:color w:val="auto"/>
              </w:rPr>
            </w:pPr>
          </w:p>
        </w:tc>
      </w:tr>
      <w:tr>
        <w:trPr>
          <w:trHeight w:val="199"/>
        </w:trPr>
        <w:tc>
          <w:tcPr>
            <w:tcW w:w="3320" w:type="dxa"/>
            <w:vAlign w:val="bottom"/>
          </w:tcPr>
          <w:p>
            <w:pPr>
              <w:ind w:left="140"/>
              <w:spacing w:after="0"/>
              <w:rPr>
                <w:sz w:val="20"/>
                <w:szCs w:val="20"/>
                <w:color w:val="auto"/>
              </w:rPr>
            </w:pPr>
            <w:r>
              <w:rPr>
                <w:rFonts w:ascii="Arial" w:cs="Arial" w:eastAsia="Arial" w:hAnsi="Arial"/>
                <w:sz w:val="13"/>
                <w:szCs w:val="13"/>
                <w:color w:val="auto"/>
              </w:rPr>
              <w:t xml:space="preserve">Payroll and Fringe Benefits Expense </w:t>
            </w:r>
            <w:r>
              <w:rPr>
                <w:rFonts w:ascii="Arial" w:cs="Arial" w:eastAsia="Arial" w:hAnsi="Arial"/>
                <w:sz w:val="16"/>
                <w:szCs w:val="16"/>
                <w:color w:val="auto"/>
                <w:vertAlign w:val="superscript"/>
              </w:rPr>
              <w:t>(4)</w:t>
            </w:r>
          </w:p>
        </w:tc>
        <w:tc>
          <w:tcPr>
            <w:tcW w:w="200" w:type="dxa"/>
            <w:vAlign w:val="bottom"/>
          </w:tcPr>
          <w:p>
            <w:pPr>
              <w:spacing w:after="0"/>
              <w:rPr>
                <w:sz w:val="17"/>
                <w:szCs w:val="17"/>
                <w:color w:val="auto"/>
              </w:rPr>
            </w:pPr>
          </w:p>
        </w:tc>
        <w:tc>
          <w:tcPr>
            <w:tcW w:w="1060" w:type="dxa"/>
            <w:vAlign w:val="bottom"/>
          </w:tcPr>
          <w:p>
            <w:pPr>
              <w:jc w:val="right"/>
              <w:ind w:right="37"/>
              <w:spacing w:after="0"/>
              <w:rPr>
                <w:sz w:val="20"/>
                <w:szCs w:val="20"/>
                <w:color w:val="auto"/>
              </w:rPr>
            </w:pPr>
            <w:r>
              <w:rPr>
                <w:rFonts w:ascii="Arial" w:cs="Arial" w:eastAsia="Arial" w:hAnsi="Arial"/>
                <w:sz w:val="13"/>
                <w:szCs w:val="13"/>
                <w:b w:val="1"/>
                <w:bCs w:val="1"/>
                <w:color w:val="auto"/>
              </w:rPr>
              <w:t>113,320</w:t>
            </w:r>
          </w:p>
        </w:tc>
        <w:tc>
          <w:tcPr>
            <w:tcW w:w="220" w:type="dxa"/>
            <w:vAlign w:val="bottom"/>
          </w:tcPr>
          <w:p>
            <w:pPr>
              <w:spacing w:after="0"/>
              <w:rPr>
                <w:sz w:val="17"/>
                <w:szCs w:val="17"/>
                <w:color w:val="auto"/>
              </w:rPr>
            </w:pPr>
          </w:p>
        </w:tc>
        <w:tc>
          <w:tcPr>
            <w:tcW w:w="1120" w:type="dxa"/>
            <w:vAlign w:val="bottom"/>
          </w:tcPr>
          <w:p>
            <w:pPr>
              <w:jc w:val="right"/>
              <w:ind w:right="37"/>
              <w:spacing w:after="0"/>
              <w:rPr>
                <w:sz w:val="20"/>
                <w:szCs w:val="20"/>
                <w:color w:val="auto"/>
              </w:rPr>
            </w:pPr>
            <w:r>
              <w:rPr>
                <w:rFonts w:ascii="Arial" w:cs="Arial" w:eastAsia="Arial" w:hAnsi="Arial"/>
                <w:sz w:val="13"/>
                <w:szCs w:val="13"/>
                <w:b w:val="1"/>
                <w:bCs w:val="1"/>
                <w:color w:val="auto"/>
              </w:rPr>
              <w:t>27,764</w:t>
            </w: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jc w:val="right"/>
              <w:ind w:right="117"/>
              <w:spacing w:after="0"/>
              <w:rPr>
                <w:sz w:val="20"/>
                <w:szCs w:val="20"/>
                <w:color w:val="auto"/>
              </w:rPr>
            </w:pPr>
            <w:r>
              <w:rPr>
                <w:rFonts w:ascii="Arial" w:cs="Arial" w:eastAsia="Arial" w:hAnsi="Arial"/>
                <w:sz w:val="13"/>
                <w:szCs w:val="13"/>
                <w:b w:val="1"/>
                <w:bCs w:val="1"/>
                <w:color w:val="auto"/>
              </w:rPr>
              <w:t>19,429</w:t>
            </w:r>
          </w:p>
        </w:tc>
        <w:tc>
          <w:tcPr>
            <w:tcW w:w="1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3"/>
                <w:szCs w:val="13"/>
                <w:b w:val="1"/>
                <w:bCs w:val="1"/>
                <w:color w:val="auto"/>
              </w:rPr>
              <w:t>160,513</w:t>
            </w:r>
          </w:p>
        </w:tc>
        <w:tc>
          <w:tcPr>
            <w:tcW w:w="0" w:type="dxa"/>
            <w:vAlign w:val="bottom"/>
          </w:tcPr>
          <w:p>
            <w:pPr>
              <w:spacing w:after="0"/>
              <w:rPr>
                <w:sz w:val="1"/>
                <w:szCs w:val="1"/>
                <w:color w:val="auto"/>
              </w:rPr>
            </w:pPr>
          </w:p>
        </w:tc>
      </w:tr>
      <w:tr>
        <w:trPr>
          <w:trHeight w:val="172"/>
        </w:trPr>
        <w:tc>
          <w:tcPr>
            <w:tcW w:w="3320" w:type="dxa"/>
            <w:vAlign w:val="bottom"/>
          </w:tcPr>
          <w:p>
            <w:pPr>
              <w:ind w:left="140"/>
              <w:spacing w:after="0"/>
              <w:rPr>
                <w:sz w:val="20"/>
                <w:szCs w:val="20"/>
                <w:color w:val="auto"/>
              </w:rPr>
            </w:pPr>
            <w:r>
              <w:rPr>
                <w:rFonts w:ascii="Arial" w:cs="Arial" w:eastAsia="Arial" w:hAnsi="Arial"/>
                <w:sz w:val="13"/>
                <w:szCs w:val="13"/>
                <w:color w:val="auto"/>
              </w:rPr>
              <w:t>Occupancy Expense</w:t>
            </w:r>
          </w:p>
        </w:tc>
        <w:tc>
          <w:tcPr>
            <w:tcW w:w="200" w:type="dxa"/>
            <w:vAlign w:val="bottom"/>
          </w:tcPr>
          <w:p>
            <w:pPr>
              <w:spacing w:after="0"/>
              <w:rPr>
                <w:sz w:val="14"/>
                <w:szCs w:val="14"/>
                <w:color w:val="auto"/>
              </w:rPr>
            </w:pPr>
          </w:p>
        </w:tc>
        <w:tc>
          <w:tcPr>
            <w:tcW w:w="1060" w:type="dxa"/>
            <w:vAlign w:val="bottom"/>
          </w:tcPr>
          <w:p>
            <w:pPr>
              <w:jc w:val="right"/>
              <w:ind w:right="37"/>
              <w:spacing w:after="0"/>
              <w:rPr>
                <w:sz w:val="20"/>
                <w:szCs w:val="20"/>
                <w:color w:val="auto"/>
              </w:rPr>
            </w:pPr>
            <w:r>
              <w:rPr>
                <w:rFonts w:ascii="Arial" w:cs="Arial" w:eastAsia="Arial" w:hAnsi="Arial"/>
                <w:sz w:val="13"/>
                <w:szCs w:val="13"/>
                <w:b w:val="1"/>
                <w:bCs w:val="1"/>
                <w:color w:val="auto"/>
              </w:rPr>
              <w:t>27,922</w:t>
            </w: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tcPr>
          <w:p>
            <w:pPr>
              <w:jc w:val="right"/>
              <w:ind w:right="117"/>
              <w:spacing w:after="0"/>
              <w:rPr>
                <w:sz w:val="20"/>
                <w:szCs w:val="20"/>
                <w:color w:val="auto"/>
              </w:rPr>
            </w:pPr>
            <w:r>
              <w:rPr>
                <w:rFonts w:ascii="Arial" w:cs="Arial" w:eastAsia="Arial" w:hAnsi="Arial"/>
                <w:sz w:val="13"/>
                <w:szCs w:val="13"/>
                <w:b w:val="1"/>
                <w:bCs w:val="1"/>
                <w:color w:val="auto"/>
              </w:rPr>
              <w:t>1,871</w:t>
            </w:r>
          </w:p>
        </w:tc>
        <w:tc>
          <w:tcPr>
            <w:tcW w:w="1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b w:val="1"/>
                <w:bCs w:val="1"/>
                <w:color w:val="auto"/>
              </w:rPr>
              <w:t>29,793</w:t>
            </w:r>
          </w:p>
        </w:tc>
        <w:tc>
          <w:tcPr>
            <w:tcW w:w="0" w:type="dxa"/>
            <w:vAlign w:val="bottom"/>
          </w:tcPr>
          <w:p>
            <w:pPr>
              <w:spacing w:after="0"/>
              <w:rPr>
                <w:sz w:val="1"/>
                <w:szCs w:val="1"/>
                <w:color w:val="auto"/>
              </w:rPr>
            </w:pPr>
          </w:p>
        </w:tc>
      </w:tr>
      <w:tr>
        <w:trPr>
          <w:trHeight w:val="189"/>
        </w:trPr>
        <w:tc>
          <w:tcPr>
            <w:tcW w:w="3320" w:type="dxa"/>
            <w:vAlign w:val="bottom"/>
          </w:tcPr>
          <w:p>
            <w:pPr>
              <w:ind w:left="140"/>
              <w:spacing w:after="0"/>
              <w:rPr>
                <w:sz w:val="20"/>
                <w:szCs w:val="20"/>
                <w:color w:val="auto"/>
              </w:rPr>
            </w:pPr>
            <w:r>
              <w:rPr>
                <w:rFonts w:ascii="Arial" w:cs="Arial" w:eastAsia="Arial" w:hAnsi="Arial"/>
                <w:sz w:val="13"/>
                <w:szCs w:val="13"/>
                <w:color w:val="auto"/>
              </w:rPr>
              <w:t>Advertising and Marketing Expense</w:t>
            </w:r>
          </w:p>
        </w:tc>
        <w:tc>
          <w:tcPr>
            <w:tcW w:w="200" w:type="dxa"/>
            <w:vAlign w:val="bottom"/>
          </w:tcPr>
          <w:p>
            <w:pPr>
              <w:spacing w:after="0"/>
              <w:rPr>
                <w:sz w:val="16"/>
                <w:szCs w:val="16"/>
                <w:color w:val="auto"/>
              </w:rPr>
            </w:pPr>
          </w:p>
        </w:tc>
        <w:tc>
          <w:tcPr>
            <w:tcW w:w="1060" w:type="dxa"/>
            <w:vAlign w:val="bottom"/>
          </w:tcPr>
          <w:p>
            <w:pPr>
              <w:jc w:val="right"/>
              <w:ind w:right="37"/>
              <w:spacing w:after="0"/>
              <w:rPr>
                <w:sz w:val="20"/>
                <w:szCs w:val="20"/>
                <w:color w:val="auto"/>
              </w:rPr>
            </w:pPr>
            <w:r>
              <w:rPr>
                <w:rFonts w:ascii="Arial" w:cs="Arial" w:eastAsia="Arial" w:hAnsi="Arial"/>
                <w:sz w:val="13"/>
                <w:szCs w:val="13"/>
                <w:b w:val="1"/>
                <w:bCs w:val="1"/>
                <w:color w:val="auto"/>
              </w:rPr>
              <w:t>19,220</w:t>
            </w: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3"/>
                <w:szCs w:val="13"/>
                <w:b w:val="1"/>
                <w:bCs w:val="1"/>
                <w:color w:val="auto"/>
              </w:rPr>
              <w:t>19,220</w:t>
            </w:r>
          </w:p>
        </w:tc>
        <w:tc>
          <w:tcPr>
            <w:tcW w:w="0" w:type="dxa"/>
            <w:vAlign w:val="bottom"/>
          </w:tcPr>
          <w:p>
            <w:pPr>
              <w:spacing w:after="0"/>
              <w:rPr>
                <w:sz w:val="1"/>
                <w:szCs w:val="1"/>
                <w:color w:val="auto"/>
              </w:rPr>
            </w:pPr>
          </w:p>
        </w:tc>
      </w:tr>
      <w:tr>
        <w:trPr>
          <w:trHeight w:val="189"/>
        </w:trPr>
        <w:tc>
          <w:tcPr>
            <w:tcW w:w="3320" w:type="dxa"/>
            <w:vAlign w:val="bottom"/>
          </w:tcPr>
          <w:p>
            <w:pPr>
              <w:ind w:left="140"/>
              <w:spacing w:after="0"/>
              <w:rPr>
                <w:sz w:val="20"/>
                <w:szCs w:val="20"/>
                <w:color w:val="auto"/>
              </w:rPr>
            </w:pPr>
            <w:r>
              <w:rPr>
                <w:rFonts w:ascii="Arial" w:cs="Arial" w:eastAsia="Arial" w:hAnsi="Arial"/>
                <w:sz w:val="13"/>
                <w:szCs w:val="13"/>
                <w:color w:val="auto"/>
              </w:rPr>
              <w:t>Networking and Programming Expense</w:t>
            </w: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jc w:val="right"/>
              <w:ind w:right="37"/>
              <w:spacing w:after="0"/>
              <w:rPr>
                <w:sz w:val="20"/>
                <w:szCs w:val="20"/>
                <w:color w:val="auto"/>
              </w:rPr>
            </w:pPr>
            <w:r>
              <w:rPr>
                <w:rFonts w:ascii="Arial" w:cs="Arial" w:eastAsia="Arial" w:hAnsi="Arial"/>
                <w:sz w:val="13"/>
                <w:szCs w:val="13"/>
                <w:b w:val="1"/>
                <w:bCs w:val="1"/>
                <w:color w:val="auto"/>
              </w:rPr>
              <w:t>31,357</w:t>
            </w: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3"/>
                <w:szCs w:val="13"/>
                <w:b w:val="1"/>
                <w:bCs w:val="1"/>
                <w:color w:val="auto"/>
              </w:rPr>
              <w:t>31,357</w:t>
            </w:r>
          </w:p>
        </w:tc>
        <w:tc>
          <w:tcPr>
            <w:tcW w:w="0" w:type="dxa"/>
            <w:vAlign w:val="bottom"/>
          </w:tcPr>
          <w:p>
            <w:pPr>
              <w:spacing w:after="0"/>
              <w:rPr>
                <w:sz w:val="1"/>
                <w:szCs w:val="1"/>
                <w:color w:val="auto"/>
              </w:rPr>
            </w:pPr>
          </w:p>
        </w:tc>
      </w:tr>
      <w:tr>
        <w:trPr>
          <w:trHeight w:val="196"/>
        </w:trPr>
        <w:tc>
          <w:tcPr>
            <w:tcW w:w="3320" w:type="dxa"/>
            <w:vAlign w:val="bottom"/>
          </w:tcPr>
          <w:p>
            <w:pPr>
              <w:ind w:left="140"/>
              <w:spacing w:after="0"/>
              <w:rPr>
                <w:sz w:val="20"/>
                <w:szCs w:val="20"/>
                <w:color w:val="auto"/>
              </w:rPr>
            </w:pPr>
            <w:r>
              <w:rPr>
                <w:rFonts w:ascii="Arial" w:cs="Arial" w:eastAsia="Arial" w:hAnsi="Arial"/>
                <w:sz w:val="13"/>
                <w:szCs w:val="13"/>
                <w:color w:val="auto"/>
              </w:rPr>
              <w:t xml:space="preserve">Management Services </w:t>
            </w:r>
            <w:r>
              <w:rPr>
                <w:rFonts w:ascii="Arial" w:cs="Arial" w:eastAsia="Arial" w:hAnsi="Arial"/>
                <w:sz w:val="16"/>
                <w:szCs w:val="16"/>
                <w:color w:val="auto"/>
                <w:vertAlign w:val="superscript"/>
              </w:rPr>
              <w:t>(5)</w:t>
            </w: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jc w:val="right"/>
              <w:ind w:right="117"/>
              <w:spacing w:after="0"/>
              <w:rPr>
                <w:sz w:val="20"/>
                <w:szCs w:val="20"/>
                <w:color w:val="auto"/>
              </w:rPr>
            </w:pPr>
            <w:r>
              <w:rPr>
                <w:rFonts w:ascii="Arial" w:cs="Arial" w:eastAsia="Arial" w:hAnsi="Arial"/>
                <w:sz w:val="13"/>
                <w:szCs w:val="13"/>
                <w:b w:val="1"/>
                <w:bCs w:val="1"/>
                <w:color w:val="auto"/>
              </w:rPr>
              <w:t>2,052</w:t>
            </w:r>
          </w:p>
        </w:tc>
        <w:tc>
          <w:tcPr>
            <w:tcW w:w="1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3"/>
                <w:szCs w:val="13"/>
                <w:b w:val="1"/>
                <w:bCs w:val="1"/>
                <w:color w:val="auto"/>
              </w:rPr>
              <w:t>2,052</w:t>
            </w:r>
          </w:p>
        </w:tc>
        <w:tc>
          <w:tcPr>
            <w:tcW w:w="0" w:type="dxa"/>
            <w:vAlign w:val="bottom"/>
          </w:tcPr>
          <w:p>
            <w:pPr>
              <w:spacing w:after="0"/>
              <w:rPr>
                <w:sz w:val="1"/>
                <w:szCs w:val="1"/>
                <w:color w:val="auto"/>
              </w:rPr>
            </w:pPr>
          </w:p>
        </w:tc>
      </w:tr>
      <w:tr>
        <w:trPr>
          <w:trHeight w:val="190"/>
        </w:trPr>
        <w:tc>
          <w:tcPr>
            <w:tcW w:w="3320" w:type="dxa"/>
            <w:vAlign w:val="bottom"/>
          </w:tcPr>
          <w:p>
            <w:pPr>
              <w:ind w:left="140"/>
              <w:spacing w:after="0"/>
              <w:rPr>
                <w:sz w:val="20"/>
                <w:szCs w:val="20"/>
                <w:color w:val="auto"/>
              </w:rPr>
            </w:pPr>
            <w:r>
              <w:rPr>
                <w:rFonts w:ascii="Arial" w:cs="Arial" w:eastAsia="Arial" w:hAnsi="Arial"/>
                <w:sz w:val="13"/>
                <w:szCs w:val="13"/>
                <w:color w:val="auto"/>
              </w:rPr>
              <w:t xml:space="preserve">Other Segment Items </w:t>
            </w:r>
            <w:r>
              <w:rPr>
                <w:rFonts w:ascii="Arial" w:cs="Arial" w:eastAsia="Arial" w:hAnsi="Arial"/>
                <w:sz w:val="16"/>
                <w:szCs w:val="16"/>
                <w:color w:val="auto"/>
                <w:vertAlign w:val="superscript"/>
              </w:rPr>
              <w:t>(6)</w:t>
            </w: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44,043</w:t>
            </w: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14,628</w:t>
            </w:r>
          </w:p>
        </w:tc>
        <w:tc>
          <w:tcPr>
            <w:tcW w:w="2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16,578</w:t>
            </w:r>
          </w:p>
        </w:tc>
        <w:tc>
          <w:tcPr>
            <w:tcW w:w="2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50,406</w:t>
            </w:r>
          </w:p>
        </w:tc>
        <w:tc>
          <w:tcPr>
            <w:tcW w:w="2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b w:val="1"/>
                <w:bCs w:val="1"/>
                <w:color w:val="auto"/>
              </w:rPr>
              <w:t>9,079</w:t>
            </w: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134,734</w:t>
            </w:r>
          </w:p>
        </w:tc>
        <w:tc>
          <w:tcPr>
            <w:tcW w:w="0" w:type="dxa"/>
            <w:vAlign w:val="bottom"/>
          </w:tcPr>
          <w:p>
            <w:pPr>
              <w:spacing w:after="0"/>
              <w:rPr>
                <w:sz w:val="1"/>
                <w:szCs w:val="1"/>
                <w:color w:val="auto"/>
              </w:rPr>
            </w:pPr>
          </w:p>
        </w:tc>
      </w:tr>
      <w:tr>
        <w:trPr>
          <w:trHeight w:val="178"/>
        </w:trPr>
        <w:tc>
          <w:tcPr>
            <w:tcW w:w="3320" w:type="dxa"/>
            <w:vAlign w:val="bottom"/>
          </w:tcPr>
          <w:p>
            <w:pPr>
              <w:ind w:left="20"/>
              <w:spacing w:after="0"/>
              <w:rPr>
                <w:sz w:val="20"/>
                <w:szCs w:val="20"/>
                <w:color w:val="auto"/>
              </w:rPr>
            </w:pPr>
            <w:r>
              <w:rPr>
                <w:rFonts w:ascii="Arial" w:cs="Arial" w:eastAsia="Arial" w:hAnsi="Arial"/>
                <w:sz w:val="13"/>
                <w:szCs w:val="13"/>
                <w:b w:val="1"/>
                <w:bCs w:val="1"/>
                <w:color w:val="auto"/>
              </w:rPr>
              <w:t>EBITDAP</w:t>
            </w:r>
          </w:p>
        </w:tc>
        <w:tc>
          <w:tcPr>
            <w:tcW w:w="2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b w:val="1"/>
                <w:bCs w:val="1"/>
                <w:color w:val="auto"/>
                <w:w w:val="82"/>
              </w:rPr>
              <w:t>$</w:t>
            </w:r>
          </w:p>
        </w:tc>
        <w:tc>
          <w:tcPr>
            <w:tcW w:w="10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54,139</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112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29,805</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114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11,690</w:t>
            </w:r>
          </w:p>
        </w:tc>
        <w:tc>
          <w:tcPr>
            <w:tcW w:w="2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w:t>
            </w:r>
          </w:p>
        </w:tc>
        <w:tc>
          <w:tcPr>
            <w:tcW w:w="10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23,220</w:t>
            </w:r>
          </w:p>
        </w:tc>
        <w:tc>
          <w:tcPr>
            <w:tcW w:w="2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w:t>
            </w:r>
          </w:p>
        </w:tc>
        <w:tc>
          <w:tcPr>
            <w:tcW w:w="116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b w:val="1"/>
                <w:bCs w:val="1"/>
                <w:color w:val="auto"/>
              </w:rPr>
              <w:t>8,253</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82"/>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127,107</w:t>
            </w:r>
          </w:p>
        </w:tc>
        <w:tc>
          <w:tcPr>
            <w:tcW w:w="0" w:type="dxa"/>
            <w:vAlign w:val="bottom"/>
          </w:tcPr>
          <w:p>
            <w:pPr>
              <w:spacing w:after="0"/>
              <w:rPr>
                <w:sz w:val="1"/>
                <w:szCs w:val="1"/>
                <w:color w:val="auto"/>
              </w:rPr>
            </w:pPr>
          </w:p>
        </w:tc>
      </w:tr>
      <w:tr>
        <w:trPr>
          <w:trHeight w:val="219"/>
        </w:trPr>
        <w:tc>
          <w:tcPr>
            <w:tcW w:w="3320" w:type="dxa"/>
            <w:vAlign w:val="bottom"/>
          </w:tcPr>
          <w:p>
            <w:pPr>
              <w:ind w:left="20"/>
              <w:spacing w:after="0"/>
              <w:rPr>
                <w:sz w:val="20"/>
                <w:szCs w:val="20"/>
                <w:color w:val="auto"/>
              </w:rPr>
            </w:pPr>
            <w:r>
              <w:rPr>
                <w:rFonts w:ascii="Arial" w:cs="Arial" w:eastAsia="Arial" w:hAnsi="Arial"/>
                <w:sz w:val="13"/>
                <w:szCs w:val="13"/>
                <w:color w:val="auto"/>
              </w:rPr>
              <w:t>Pension Service Cost</w:t>
            </w:r>
          </w:p>
        </w:tc>
        <w:tc>
          <w:tcPr>
            <w:tcW w:w="200" w:type="dxa"/>
            <w:vAlign w:val="bottom"/>
          </w:tcPr>
          <w:p>
            <w:pPr>
              <w:spacing w:after="0"/>
              <w:rPr>
                <w:sz w:val="19"/>
                <w:szCs w:val="19"/>
                <w:color w:val="auto"/>
              </w:rPr>
            </w:pPr>
          </w:p>
        </w:tc>
        <w:tc>
          <w:tcPr>
            <w:tcW w:w="1060" w:type="dxa"/>
            <w:vAlign w:val="bottom"/>
          </w:tcPr>
          <w:p>
            <w:pPr>
              <w:jc w:val="right"/>
              <w:ind w:right="37"/>
              <w:spacing w:after="0"/>
              <w:rPr>
                <w:sz w:val="20"/>
                <w:szCs w:val="20"/>
                <w:color w:val="auto"/>
              </w:rPr>
            </w:pPr>
            <w:r>
              <w:rPr>
                <w:rFonts w:ascii="Arial" w:cs="Arial" w:eastAsia="Arial" w:hAnsi="Arial"/>
                <w:sz w:val="13"/>
                <w:szCs w:val="13"/>
                <w:b w:val="1"/>
                <w:bCs w:val="1"/>
                <w:color w:val="auto"/>
              </w:rPr>
              <w:t>4,223</w:t>
            </w:r>
          </w:p>
        </w:tc>
        <w:tc>
          <w:tcPr>
            <w:tcW w:w="220" w:type="dxa"/>
            <w:vAlign w:val="bottom"/>
          </w:tcPr>
          <w:p>
            <w:pPr>
              <w:spacing w:after="0"/>
              <w:rPr>
                <w:sz w:val="19"/>
                <w:szCs w:val="19"/>
                <w:color w:val="auto"/>
              </w:rPr>
            </w:pPr>
          </w:p>
        </w:tc>
        <w:tc>
          <w:tcPr>
            <w:tcW w:w="1120" w:type="dxa"/>
            <w:vAlign w:val="bottom"/>
          </w:tcPr>
          <w:p>
            <w:pPr>
              <w:jc w:val="right"/>
              <w:ind w:right="37"/>
              <w:spacing w:after="0"/>
              <w:rPr>
                <w:sz w:val="20"/>
                <w:szCs w:val="20"/>
                <w:color w:val="auto"/>
              </w:rPr>
            </w:pPr>
            <w:r>
              <w:rPr>
                <w:rFonts w:ascii="Arial" w:cs="Arial" w:eastAsia="Arial" w:hAnsi="Arial"/>
                <w:sz w:val="13"/>
                <w:szCs w:val="13"/>
                <w:b w:val="1"/>
                <w:bCs w:val="1"/>
                <w:color w:val="auto"/>
              </w:rPr>
              <w:t>1,419</w:t>
            </w:r>
          </w:p>
        </w:tc>
        <w:tc>
          <w:tcPr>
            <w:tcW w:w="200" w:type="dxa"/>
            <w:vAlign w:val="bottom"/>
          </w:tcPr>
          <w:p>
            <w:pPr>
              <w:spacing w:after="0"/>
              <w:rPr>
                <w:sz w:val="19"/>
                <w:szCs w:val="19"/>
                <w:color w:val="auto"/>
              </w:rPr>
            </w:pPr>
          </w:p>
        </w:tc>
        <w:tc>
          <w:tcPr>
            <w:tcW w:w="1140" w:type="dxa"/>
            <w:vAlign w:val="bottom"/>
          </w:tcPr>
          <w:p>
            <w:pPr>
              <w:jc w:val="right"/>
              <w:ind w:right="37"/>
              <w:spacing w:after="0"/>
              <w:rPr>
                <w:sz w:val="20"/>
                <w:szCs w:val="20"/>
                <w:color w:val="auto"/>
              </w:rPr>
            </w:pPr>
            <w:r>
              <w:rPr>
                <w:rFonts w:ascii="Arial" w:cs="Arial" w:eastAsia="Arial" w:hAnsi="Arial"/>
                <w:sz w:val="13"/>
                <w:szCs w:val="13"/>
                <w:b w:val="1"/>
                <w:bCs w:val="1"/>
                <w:color w:val="auto"/>
              </w:rPr>
              <w:t>1,076</w:t>
            </w:r>
          </w:p>
        </w:tc>
        <w:tc>
          <w:tcPr>
            <w:tcW w:w="260" w:type="dxa"/>
            <w:vAlign w:val="bottom"/>
          </w:tcPr>
          <w:p>
            <w:pPr>
              <w:spacing w:after="0"/>
              <w:rPr>
                <w:sz w:val="19"/>
                <w:szCs w:val="19"/>
                <w:color w:val="auto"/>
              </w:rPr>
            </w:pPr>
          </w:p>
        </w:tc>
        <w:tc>
          <w:tcPr>
            <w:tcW w:w="1080" w:type="dxa"/>
            <w:vAlign w:val="bottom"/>
          </w:tcPr>
          <w:p>
            <w:pPr>
              <w:jc w:val="right"/>
              <w:ind w:right="37"/>
              <w:spacing w:after="0"/>
              <w:rPr>
                <w:sz w:val="20"/>
                <w:szCs w:val="20"/>
                <w:color w:val="auto"/>
              </w:rPr>
            </w:pPr>
            <w:r>
              <w:rPr>
                <w:rFonts w:ascii="Arial" w:cs="Arial" w:eastAsia="Arial" w:hAnsi="Arial"/>
                <w:sz w:val="13"/>
                <w:szCs w:val="13"/>
                <w:b w:val="1"/>
                <w:bCs w:val="1"/>
                <w:color w:val="auto"/>
              </w:rPr>
              <w:t>2,999</w:t>
            </w:r>
          </w:p>
        </w:tc>
        <w:tc>
          <w:tcPr>
            <w:tcW w:w="260" w:type="dxa"/>
            <w:vAlign w:val="bottom"/>
          </w:tcPr>
          <w:p>
            <w:pPr>
              <w:spacing w:after="0"/>
              <w:rPr>
                <w:sz w:val="19"/>
                <w:szCs w:val="19"/>
                <w:color w:val="auto"/>
              </w:rPr>
            </w:pPr>
          </w:p>
        </w:tc>
        <w:tc>
          <w:tcPr>
            <w:tcW w:w="1160" w:type="dxa"/>
            <w:vAlign w:val="bottom"/>
          </w:tcPr>
          <w:p>
            <w:pPr>
              <w:jc w:val="right"/>
              <w:ind w:right="117"/>
              <w:spacing w:after="0"/>
              <w:rPr>
                <w:sz w:val="20"/>
                <w:szCs w:val="20"/>
                <w:color w:val="auto"/>
              </w:rPr>
            </w:pPr>
            <w:r>
              <w:rPr>
                <w:rFonts w:ascii="Arial" w:cs="Arial" w:eastAsia="Arial" w:hAnsi="Arial"/>
                <w:sz w:val="13"/>
                <w:szCs w:val="13"/>
                <w:b w:val="1"/>
                <w:bCs w:val="1"/>
                <w:color w:val="auto"/>
              </w:rPr>
              <w:t>27</w:t>
            </w:r>
          </w:p>
        </w:tc>
        <w:tc>
          <w:tcPr>
            <w:tcW w:w="120" w:type="dxa"/>
            <w:vAlign w:val="bottom"/>
          </w:tcPr>
          <w:p>
            <w:pPr>
              <w:jc w:val="right"/>
              <w:spacing w:after="0"/>
              <w:rPr>
                <w:sz w:val="20"/>
                <w:szCs w:val="20"/>
                <w:color w:val="auto"/>
              </w:rPr>
            </w:pPr>
            <w:r>
              <w:rPr>
                <w:rFonts w:ascii="Arial" w:cs="Arial" w:eastAsia="Arial" w:hAnsi="Arial"/>
                <w:sz w:val="13"/>
                <w:szCs w:val="13"/>
                <w:b w:val="1"/>
                <w:bCs w:val="1"/>
                <w:color w:val="auto"/>
                <w:w w:val="82"/>
              </w:rPr>
              <w:t>$</w:t>
            </w:r>
          </w:p>
        </w:tc>
        <w:tc>
          <w:tcPr>
            <w:tcW w:w="1100" w:type="dxa"/>
            <w:vAlign w:val="bottom"/>
          </w:tcPr>
          <w:p>
            <w:pPr>
              <w:jc w:val="right"/>
              <w:spacing w:after="0"/>
              <w:rPr>
                <w:sz w:val="20"/>
                <w:szCs w:val="20"/>
                <w:color w:val="auto"/>
              </w:rPr>
            </w:pPr>
            <w:r>
              <w:rPr>
                <w:rFonts w:ascii="Arial" w:cs="Arial" w:eastAsia="Arial" w:hAnsi="Arial"/>
                <w:sz w:val="13"/>
                <w:szCs w:val="13"/>
                <w:b w:val="1"/>
                <w:bCs w:val="1"/>
                <w:color w:val="auto"/>
              </w:rPr>
              <w:t>9,744</w:t>
            </w:r>
          </w:p>
        </w:tc>
        <w:tc>
          <w:tcPr>
            <w:tcW w:w="0" w:type="dxa"/>
            <w:vAlign w:val="bottom"/>
          </w:tcPr>
          <w:p>
            <w:pPr>
              <w:spacing w:after="0"/>
              <w:rPr>
                <w:sz w:val="1"/>
                <w:szCs w:val="1"/>
                <w:color w:val="auto"/>
              </w:rPr>
            </w:pPr>
          </w:p>
        </w:tc>
      </w:tr>
      <w:tr>
        <w:trPr>
          <w:trHeight w:val="189"/>
        </w:trPr>
        <w:tc>
          <w:tcPr>
            <w:tcW w:w="3320" w:type="dxa"/>
            <w:vAlign w:val="bottom"/>
          </w:tcPr>
          <w:p>
            <w:pPr>
              <w:ind w:left="20"/>
              <w:spacing w:after="0"/>
              <w:rPr>
                <w:sz w:val="20"/>
                <w:szCs w:val="20"/>
                <w:color w:val="auto"/>
              </w:rPr>
            </w:pPr>
            <w:r>
              <w:rPr>
                <w:rFonts w:ascii="Arial" w:cs="Arial" w:eastAsia="Arial" w:hAnsi="Arial"/>
                <w:sz w:val="13"/>
                <w:szCs w:val="13"/>
                <w:color w:val="auto"/>
              </w:rPr>
              <w:t>Depreciation Expense</w:t>
            </w:r>
          </w:p>
        </w:tc>
        <w:tc>
          <w:tcPr>
            <w:tcW w:w="200" w:type="dxa"/>
            <w:vAlign w:val="bottom"/>
          </w:tcPr>
          <w:p>
            <w:pPr>
              <w:spacing w:after="0"/>
              <w:rPr>
                <w:sz w:val="16"/>
                <w:szCs w:val="16"/>
                <w:color w:val="auto"/>
              </w:rPr>
            </w:pPr>
          </w:p>
        </w:tc>
        <w:tc>
          <w:tcPr>
            <w:tcW w:w="1060" w:type="dxa"/>
            <w:vAlign w:val="bottom"/>
          </w:tcPr>
          <w:p>
            <w:pPr>
              <w:jc w:val="right"/>
              <w:ind w:right="37"/>
              <w:spacing w:after="0"/>
              <w:rPr>
                <w:sz w:val="20"/>
                <w:szCs w:val="20"/>
                <w:color w:val="auto"/>
              </w:rPr>
            </w:pPr>
            <w:r>
              <w:rPr>
                <w:rFonts w:ascii="Arial" w:cs="Arial" w:eastAsia="Arial" w:hAnsi="Arial"/>
                <w:sz w:val="13"/>
                <w:szCs w:val="13"/>
                <w:b w:val="1"/>
                <w:bCs w:val="1"/>
                <w:color w:val="auto"/>
              </w:rPr>
              <w:t>7,764</w:t>
            </w:r>
          </w:p>
        </w:tc>
        <w:tc>
          <w:tcPr>
            <w:tcW w:w="220" w:type="dxa"/>
            <w:vAlign w:val="bottom"/>
          </w:tcPr>
          <w:p>
            <w:pPr>
              <w:spacing w:after="0"/>
              <w:rPr>
                <w:sz w:val="16"/>
                <w:szCs w:val="16"/>
                <w:color w:val="auto"/>
              </w:rPr>
            </w:pPr>
          </w:p>
        </w:tc>
        <w:tc>
          <w:tcPr>
            <w:tcW w:w="1120" w:type="dxa"/>
            <w:vAlign w:val="bottom"/>
          </w:tcPr>
          <w:p>
            <w:pPr>
              <w:jc w:val="right"/>
              <w:ind w:right="37"/>
              <w:spacing w:after="0"/>
              <w:rPr>
                <w:sz w:val="20"/>
                <w:szCs w:val="20"/>
                <w:color w:val="auto"/>
              </w:rPr>
            </w:pPr>
            <w:r>
              <w:rPr>
                <w:rFonts w:ascii="Arial" w:cs="Arial" w:eastAsia="Arial" w:hAnsi="Arial"/>
                <w:sz w:val="13"/>
                <w:szCs w:val="13"/>
                <w:b w:val="1"/>
                <w:bCs w:val="1"/>
                <w:color w:val="auto"/>
              </w:rPr>
              <w:t>2,628</w:t>
            </w:r>
          </w:p>
        </w:tc>
        <w:tc>
          <w:tcPr>
            <w:tcW w:w="200" w:type="dxa"/>
            <w:vAlign w:val="bottom"/>
          </w:tcPr>
          <w:p>
            <w:pPr>
              <w:spacing w:after="0"/>
              <w:rPr>
                <w:sz w:val="16"/>
                <w:szCs w:val="16"/>
                <w:color w:val="auto"/>
              </w:rPr>
            </w:pPr>
          </w:p>
        </w:tc>
        <w:tc>
          <w:tcPr>
            <w:tcW w:w="1140" w:type="dxa"/>
            <w:vAlign w:val="bottom"/>
          </w:tcPr>
          <w:p>
            <w:pPr>
              <w:jc w:val="right"/>
              <w:ind w:right="37"/>
              <w:spacing w:after="0"/>
              <w:rPr>
                <w:sz w:val="20"/>
                <w:szCs w:val="20"/>
                <w:color w:val="auto"/>
              </w:rPr>
            </w:pPr>
            <w:r>
              <w:rPr>
                <w:rFonts w:ascii="Arial" w:cs="Arial" w:eastAsia="Arial" w:hAnsi="Arial"/>
                <w:sz w:val="13"/>
                <w:szCs w:val="13"/>
                <w:b w:val="1"/>
                <w:bCs w:val="1"/>
                <w:color w:val="auto"/>
              </w:rPr>
              <w:t>2,703</w:t>
            </w:r>
          </w:p>
        </w:tc>
        <w:tc>
          <w:tcPr>
            <w:tcW w:w="260" w:type="dxa"/>
            <w:vAlign w:val="bottom"/>
          </w:tcPr>
          <w:p>
            <w:pPr>
              <w:spacing w:after="0"/>
              <w:rPr>
                <w:sz w:val="16"/>
                <w:szCs w:val="16"/>
                <w:color w:val="auto"/>
              </w:rPr>
            </w:pPr>
          </w:p>
        </w:tc>
        <w:tc>
          <w:tcPr>
            <w:tcW w:w="1080" w:type="dxa"/>
            <w:vAlign w:val="bottom"/>
          </w:tcPr>
          <w:p>
            <w:pPr>
              <w:jc w:val="right"/>
              <w:ind w:right="37"/>
              <w:spacing w:after="0"/>
              <w:rPr>
                <w:sz w:val="20"/>
                <w:szCs w:val="20"/>
                <w:color w:val="auto"/>
              </w:rPr>
            </w:pPr>
            <w:r>
              <w:rPr>
                <w:rFonts w:ascii="Arial" w:cs="Arial" w:eastAsia="Arial" w:hAnsi="Arial"/>
                <w:sz w:val="13"/>
                <w:szCs w:val="13"/>
                <w:b w:val="1"/>
                <w:bCs w:val="1"/>
                <w:color w:val="auto"/>
              </w:rPr>
              <w:t>1,786</w:t>
            </w:r>
          </w:p>
        </w:tc>
        <w:tc>
          <w:tcPr>
            <w:tcW w:w="260" w:type="dxa"/>
            <w:vAlign w:val="bottom"/>
          </w:tcPr>
          <w:p>
            <w:pPr>
              <w:spacing w:after="0"/>
              <w:rPr>
                <w:sz w:val="16"/>
                <w:szCs w:val="16"/>
                <w:color w:val="auto"/>
              </w:rPr>
            </w:pPr>
          </w:p>
        </w:tc>
        <w:tc>
          <w:tcPr>
            <w:tcW w:w="1160" w:type="dxa"/>
            <w:vAlign w:val="bottom"/>
          </w:tcPr>
          <w:p>
            <w:pPr>
              <w:jc w:val="right"/>
              <w:ind w:right="117"/>
              <w:spacing w:after="0"/>
              <w:rPr>
                <w:sz w:val="20"/>
                <w:szCs w:val="20"/>
                <w:color w:val="auto"/>
              </w:rPr>
            </w:pPr>
            <w:r>
              <w:rPr>
                <w:rFonts w:ascii="Arial" w:cs="Arial" w:eastAsia="Arial" w:hAnsi="Arial"/>
                <w:sz w:val="13"/>
                <w:szCs w:val="13"/>
                <w:b w:val="1"/>
                <w:bCs w:val="1"/>
                <w:color w:val="auto"/>
              </w:rPr>
              <w:t>1,729</w:t>
            </w:r>
          </w:p>
        </w:tc>
        <w:tc>
          <w:tcPr>
            <w:tcW w:w="120" w:type="dxa"/>
            <w:vAlign w:val="bottom"/>
          </w:tcPr>
          <w:p>
            <w:pPr>
              <w:jc w:val="right"/>
              <w:spacing w:after="0"/>
              <w:rPr>
                <w:sz w:val="20"/>
                <w:szCs w:val="20"/>
                <w:color w:val="auto"/>
              </w:rPr>
            </w:pPr>
            <w:r>
              <w:rPr>
                <w:rFonts w:ascii="Arial" w:cs="Arial" w:eastAsia="Arial" w:hAnsi="Arial"/>
                <w:sz w:val="13"/>
                <w:szCs w:val="13"/>
                <w:b w:val="1"/>
                <w:bCs w:val="1"/>
                <w:color w:val="auto"/>
                <w:w w:val="82"/>
              </w:rPr>
              <w:t>$</w:t>
            </w:r>
          </w:p>
        </w:tc>
        <w:tc>
          <w:tcPr>
            <w:tcW w:w="1100" w:type="dxa"/>
            <w:vAlign w:val="bottom"/>
          </w:tcPr>
          <w:p>
            <w:pPr>
              <w:jc w:val="right"/>
              <w:spacing w:after="0"/>
              <w:rPr>
                <w:sz w:val="20"/>
                <w:szCs w:val="20"/>
                <w:color w:val="auto"/>
              </w:rPr>
            </w:pPr>
            <w:r>
              <w:rPr>
                <w:rFonts w:ascii="Arial" w:cs="Arial" w:eastAsia="Arial" w:hAnsi="Arial"/>
                <w:sz w:val="13"/>
                <w:szCs w:val="13"/>
                <w:b w:val="1"/>
                <w:bCs w:val="1"/>
                <w:color w:val="auto"/>
              </w:rPr>
              <w:t>16,610</w:t>
            </w:r>
          </w:p>
        </w:tc>
        <w:tc>
          <w:tcPr>
            <w:tcW w:w="0" w:type="dxa"/>
            <w:vAlign w:val="bottom"/>
          </w:tcPr>
          <w:p>
            <w:pPr>
              <w:spacing w:after="0"/>
              <w:rPr>
                <w:sz w:val="1"/>
                <w:szCs w:val="1"/>
                <w:color w:val="auto"/>
              </w:rPr>
            </w:pPr>
          </w:p>
        </w:tc>
      </w:tr>
      <w:tr>
        <w:trPr>
          <w:trHeight w:val="62"/>
        </w:trPr>
        <w:tc>
          <w:tcPr>
            <w:tcW w:w="332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Income from Operations before Amortization of</w:t>
            </w:r>
          </w:p>
        </w:tc>
        <w:tc>
          <w:tcPr>
            <w:tcW w:w="20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4"/>
        </w:trPr>
        <w:tc>
          <w:tcPr>
            <w:tcW w:w="332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7"/>
        </w:trPr>
        <w:tc>
          <w:tcPr>
            <w:tcW w:w="3320" w:type="dxa"/>
            <w:vAlign w:val="bottom"/>
          </w:tcPr>
          <w:p>
            <w:pPr>
              <w:ind w:left="100"/>
              <w:spacing w:after="0"/>
              <w:rPr>
                <w:sz w:val="20"/>
                <w:szCs w:val="20"/>
                <w:color w:val="auto"/>
              </w:rPr>
            </w:pPr>
            <w:r>
              <w:rPr>
                <w:rFonts w:ascii="Arial" w:cs="Arial" w:eastAsia="Arial" w:hAnsi="Arial"/>
                <w:sz w:val="13"/>
                <w:szCs w:val="13"/>
                <w:b w:val="1"/>
                <w:bCs w:val="1"/>
                <w:color w:val="auto"/>
              </w:rPr>
              <w:t>Intangible Assets</w:t>
            </w:r>
          </w:p>
        </w:tc>
        <w:tc>
          <w:tcPr>
            <w:tcW w:w="2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b w:val="1"/>
                <w:bCs w:val="1"/>
                <w:color w:val="auto"/>
                <w:w w:val="82"/>
              </w:rPr>
              <w:t>$</w:t>
            </w:r>
          </w:p>
        </w:tc>
        <w:tc>
          <w:tcPr>
            <w:tcW w:w="10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42,152</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112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25,758</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114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7,911</w:t>
            </w:r>
          </w:p>
        </w:tc>
        <w:tc>
          <w:tcPr>
            <w:tcW w:w="2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w:t>
            </w:r>
          </w:p>
        </w:tc>
        <w:tc>
          <w:tcPr>
            <w:tcW w:w="10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18,435</w:t>
            </w:r>
          </w:p>
        </w:tc>
        <w:tc>
          <w:tcPr>
            <w:tcW w:w="2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w:t>
            </w:r>
          </w:p>
        </w:tc>
        <w:tc>
          <w:tcPr>
            <w:tcW w:w="116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b w:val="1"/>
                <w:bCs w:val="1"/>
                <w:color w:val="auto"/>
              </w:rPr>
              <w:t>6,497</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82"/>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100,753</w:t>
            </w:r>
          </w:p>
        </w:tc>
        <w:tc>
          <w:tcPr>
            <w:tcW w:w="0" w:type="dxa"/>
            <w:vAlign w:val="bottom"/>
          </w:tcPr>
          <w:p>
            <w:pPr>
              <w:spacing w:after="0"/>
              <w:rPr>
                <w:sz w:val="1"/>
                <w:szCs w:val="1"/>
                <w:color w:val="auto"/>
              </w:rPr>
            </w:pPr>
          </w:p>
        </w:tc>
      </w:tr>
      <w:tr>
        <w:trPr>
          <w:trHeight w:val="239"/>
        </w:trPr>
        <w:tc>
          <w:tcPr>
            <w:tcW w:w="3320" w:type="dxa"/>
            <w:vAlign w:val="bottom"/>
          </w:tcPr>
          <w:p>
            <w:pPr>
              <w:ind w:left="20"/>
              <w:spacing w:after="0"/>
              <w:rPr>
                <w:sz w:val="20"/>
                <w:szCs w:val="20"/>
                <w:color w:val="auto"/>
              </w:rPr>
            </w:pPr>
            <w:r>
              <w:rPr>
                <w:rFonts w:ascii="Arial" w:cs="Arial" w:eastAsia="Arial" w:hAnsi="Arial"/>
                <w:sz w:val="13"/>
                <w:szCs w:val="13"/>
                <w:b w:val="1"/>
                <w:bCs w:val="1"/>
                <w:color w:val="auto"/>
              </w:rPr>
              <w:t xml:space="preserve">Other Businesses </w:t>
            </w:r>
            <w:r>
              <w:rPr>
                <w:rFonts w:ascii="Arial" w:cs="Arial" w:eastAsia="Arial" w:hAnsi="Arial"/>
                <w:sz w:val="16"/>
                <w:szCs w:val="16"/>
                <w:b w:val="1"/>
                <w:bCs w:val="1"/>
                <w:color w:val="auto"/>
                <w:vertAlign w:val="superscript"/>
              </w:rPr>
              <w:t>(7)</w:t>
            </w: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3"/>
                <w:szCs w:val="13"/>
                <w:b w:val="1"/>
                <w:bCs w:val="1"/>
                <w:color w:val="auto"/>
              </w:rPr>
              <w:t>(29,447)</w:t>
            </w:r>
          </w:p>
        </w:tc>
        <w:tc>
          <w:tcPr>
            <w:tcW w:w="0" w:type="dxa"/>
            <w:vAlign w:val="bottom"/>
          </w:tcPr>
          <w:p>
            <w:pPr>
              <w:spacing w:after="0"/>
              <w:rPr>
                <w:sz w:val="1"/>
                <w:szCs w:val="1"/>
                <w:color w:val="auto"/>
              </w:rPr>
            </w:pPr>
          </w:p>
        </w:tc>
      </w:tr>
      <w:tr>
        <w:trPr>
          <w:trHeight w:val="172"/>
        </w:trPr>
        <w:tc>
          <w:tcPr>
            <w:tcW w:w="3320" w:type="dxa"/>
            <w:vAlign w:val="bottom"/>
          </w:tcPr>
          <w:p>
            <w:pPr>
              <w:ind w:left="20"/>
              <w:spacing w:after="0"/>
              <w:rPr>
                <w:sz w:val="20"/>
                <w:szCs w:val="20"/>
                <w:color w:val="auto"/>
              </w:rPr>
            </w:pPr>
            <w:r>
              <w:rPr>
                <w:rFonts w:ascii="Arial" w:cs="Arial" w:eastAsia="Arial" w:hAnsi="Arial"/>
                <w:sz w:val="13"/>
                <w:szCs w:val="13"/>
                <w:b w:val="1"/>
                <w:bCs w:val="1"/>
                <w:color w:val="auto"/>
              </w:rPr>
              <w:t>Corporate Costs</w:t>
            </w: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b w:val="1"/>
                <w:bCs w:val="1"/>
                <w:color w:val="auto"/>
              </w:rPr>
              <w:t>(16,009)</w:t>
            </w:r>
          </w:p>
        </w:tc>
        <w:tc>
          <w:tcPr>
            <w:tcW w:w="0" w:type="dxa"/>
            <w:vAlign w:val="bottom"/>
          </w:tcPr>
          <w:p>
            <w:pPr>
              <w:spacing w:after="0"/>
              <w:rPr>
                <w:sz w:val="1"/>
                <w:szCs w:val="1"/>
                <w:color w:val="auto"/>
              </w:rPr>
            </w:pPr>
          </w:p>
        </w:tc>
      </w:tr>
      <w:tr>
        <w:trPr>
          <w:trHeight w:val="190"/>
        </w:trPr>
        <w:tc>
          <w:tcPr>
            <w:tcW w:w="3320" w:type="dxa"/>
            <w:vAlign w:val="bottom"/>
          </w:tcPr>
          <w:p>
            <w:pPr>
              <w:ind w:left="20"/>
              <w:spacing w:after="0"/>
              <w:rPr>
                <w:sz w:val="20"/>
                <w:szCs w:val="20"/>
                <w:color w:val="auto"/>
              </w:rPr>
            </w:pPr>
            <w:r>
              <w:rPr>
                <w:rFonts w:ascii="Arial" w:cs="Arial" w:eastAsia="Arial" w:hAnsi="Arial"/>
                <w:sz w:val="13"/>
                <w:szCs w:val="13"/>
                <w:b w:val="1"/>
                <w:bCs w:val="1"/>
                <w:color w:val="auto"/>
              </w:rPr>
              <w:t>Amortization of Intangible Assets</w:t>
            </w: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(7,824)</w:t>
            </w:r>
          </w:p>
        </w:tc>
        <w:tc>
          <w:tcPr>
            <w:tcW w:w="0" w:type="dxa"/>
            <w:vAlign w:val="bottom"/>
          </w:tcPr>
          <w:p>
            <w:pPr>
              <w:spacing w:after="0"/>
              <w:rPr>
                <w:sz w:val="1"/>
                <w:szCs w:val="1"/>
                <w:color w:val="auto"/>
              </w:rPr>
            </w:pPr>
          </w:p>
        </w:tc>
      </w:tr>
      <w:tr>
        <w:trPr>
          <w:trHeight w:val="183"/>
        </w:trPr>
        <w:tc>
          <w:tcPr>
            <w:tcW w:w="3320" w:type="dxa"/>
            <w:vAlign w:val="bottom"/>
          </w:tcPr>
          <w:p>
            <w:pPr>
              <w:ind w:left="20"/>
              <w:spacing w:after="0"/>
              <w:rPr>
                <w:sz w:val="20"/>
                <w:szCs w:val="20"/>
                <w:color w:val="auto"/>
              </w:rPr>
            </w:pPr>
            <w:r>
              <w:rPr>
                <w:rFonts w:ascii="Arial" w:cs="Arial" w:eastAsia="Arial" w:hAnsi="Arial"/>
                <w:sz w:val="13"/>
                <w:szCs w:val="13"/>
                <w:b w:val="1"/>
                <w:bCs w:val="1"/>
                <w:color w:val="auto"/>
              </w:rPr>
              <w:t>Income from Operations</w:t>
            </w: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82"/>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47,473</w:t>
            </w:r>
          </w:p>
        </w:tc>
        <w:tc>
          <w:tcPr>
            <w:tcW w:w="0" w:type="dxa"/>
            <w:vAlign w:val="bottom"/>
          </w:tcPr>
          <w:p>
            <w:pPr>
              <w:spacing w:after="0"/>
              <w:rPr>
                <w:sz w:val="1"/>
                <w:szCs w:val="1"/>
                <w:color w:val="auto"/>
              </w:rPr>
            </w:pPr>
          </w:p>
        </w:tc>
      </w:tr>
      <w:tr>
        <w:trPr>
          <w:trHeight w:val="181"/>
        </w:trPr>
        <w:tc>
          <w:tcPr>
            <w:tcW w:w="3320" w:type="dxa"/>
            <w:vAlign w:val="bottom"/>
          </w:tcPr>
          <w:p>
            <w:pPr>
              <w:ind w:left="20"/>
              <w:spacing w:after="0"/>
              <w:rPr>
                <w:sz w:val="20"/>
                <w:szCs w:val="20"/>
                <w:color w:val="auto"/>
              </w:rPr>
            </w:pPr>
            <w:r>
              <w:rPr>
                <w:rFonts w:ascii="Arial" w:cs="Arial" w:eastAsia="Arial" w:hAnsi="Arial"/>
                <w:sz w:val="13"/>
                <w:szCs w:val="13"/>
                <w:b w:val="1"/>
                <w:bCs w:val="1"/>
                <w:color w:val="auto"/>
              </w:rPr>
              <w:t>Equity in Losses of Affiliates, Net</w:t>
            </w: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3"/>
                <w:szCs w:val="13"/>
                <w:b w:val="1"/>
                <w:bCs w:val="1"/>
                <w:color w:val="auto"/>
              </w:rPr>
              <w:t>(8,428)</w:t>
            </w:r>
          </w:p>
        </w:tc>
        <w:tc>
          <w:tcPr>
            <w:tcW w:w="0" w:type="dxa"/>
            <w:vAlign w:val="bottom"/>
          </w:tcPr>
          <w:p>
            <w:pPr>
              <w:spacing w:after="0"/>
              <w:rPr>
                <w:sz w:val="1"/>
                <w:szCs w:val="1"/>
                <w:color w:val="auto"/>
              </w:rPr>
            </w:pPr>
          </w:p>
        </w:tc>
      </w:tr>
      <w:tr>
        <w:trPr>
          <w:trHeight w:val="189"/>
        </w:trPr>
        <w:tc>
          <w:tcPr>
            <w:tcW w:w="3320" w:type="dxa"/>
            <w:vAlign w:val="bottom"/>
          </w:tcPr>
          <w:p>
            <w:pPr>
              <w:ind w:left="20"/>
              <w:spacing w:after="0"/>
              <w:rPr>
                <w:sz w:val="20"/>
                <w:szCs w:val="20"/>
                <w:color w:val="auto"/>
              </w:rPr>
            </w:pPr>
            <w:r>
              <w:rPr>
                <w:rFonts w:ascii="Arial" w:cs="Arial" w:eastAsia="Arial" w:hAnsi="Arial"/>
                <w:sz w:val="13"/>
                <w:szCs w:val="13"/>
                <w:b w:val="1"/>
                <w:bCs w:val="1"/>
                <w:color w:val="auto"/>
              </w:rPr>
              <w:t>Interest Expense, Net</w:t>
            </w: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3"/>
                <w:szCs w:val="13"/>
                <w:b w:val="1"/>
                <w:bCs w:val="1"/>
                <w:color w:val="auto"/>
              </w:rPr>
              <w:t>(79,777)</w:t>
            </w:r>
          </w:p>
        </w:tc>
        <w:tc>
          <w:tcPr>
            <w:tcW w:w="0" w:type="dxa"/>
            <w:vAlign w:val="bottom"/>
          </w:tcPr>
          <w:p>
            <w:pPr>
              <w:spacing w:after="0"/>
              <w:rPr>
                <w:sz w:val="1"/>
                <w:szCs w:val="1"/>
                <w:color w:val="auto"/>
              </w:rPr>
            </w:pPr>
          </w:p>
        </w:tc>
      </w:tr>
      <w:tr>
        <w:trPr>
          <w:trHeight w:val="152"/>
        </w:trPr>
        <w:tc>
          <w:tcPr>
            <w:tcW w:w="3320" w:type="dxa"/>
            <w:vAlign w:val="bottom"/>
          </w:tcPr>
          <w:p>
            <w:pPr>
              <w:ind w:left="20"/>
              <w:spacing w:after="0"/>
              <w:rPr>
                <w:sz w:val="20"/>
                <w:szCs w:val="20"/>
                <w:color w:val="auto"/>
              </w:rPr>
            </w:pPr>
            <w:r>
              <w:rPr>
                <w:rFonts w:ascii="Arial" w:cs="Arial" w:eastAsia="Arial" w:hAnsi="Arial"/>
                <w:sz w:val="13"/>
                <w:szCs w:val="13"/>
                <w:b w:val="1"/>
                <w:bCs w:val="1"/>
                <w:color w:val="auto"/>
              </w:rPr>
              <w:t>Non-Operating Pension and Postretirement Benefit</w:t>
            </w:r>
          </w:p>
        </w:tc>
        <w:tc>
          <w:tcPr>
            <w:tcW w:w="2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3320" w:type="dxa"/>
            <w:vAlign w:val="bottom"/>
          </w:tcPr>
          <w:p>
            <w:pPr>
              <w:ind w:left="100"/>
              <w:spacing w:after="0"/>
              <w:rPr>
                <w:sz w:val="20"/>
                <w:szCs w:val="20"/>
                <w:color w:val="auto"/>
              </w:rPr>
            </w:pPr>
            <w:r>
              <w:rPr>
                <w:rFonts w:ascii="Arial" w:cs="Arial" w:eastAsia="Arial" w:hAnsi="Arial"/>
                <w:sz w:val="13"/>
                <w:szCs w:val="13"/>
                <w:b w:val="1"/>
                <w:bCs w:val="1"/>
                <w:color w:val="auto"/>
              </w:rPr>
              <w:t>Income, Net</w:t>
            </w: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3"/>
                <w:szCs w:val="13"/>
                <w:b w:val="1"/>
                <w:bCs w:val="1"/>
                <w:color w:val="auto"/>
              </w:rPr>
              <w:t>34,617</w:t>
            </w:r>
          </w:p>
        </w:tc>
        <w:tc>
          <w:tcPr>
            <w:tcW w:w="0" w:type="dxa"/>
            <w:vAlign w:val="bottom"/>
          </w:tcPr>
          <w:p>
            <w:pPr>
              <w:spacing w:after="0"/>
              <w:rPr>
                <w:sz w:val="1"/>
                <w:szCs w:val="1"/>
                <w:color w:val="auto"/>
              </w:rPr>
            </w:pPr>
          </w:p>
        </w:tc>
      </w:tr>
      <w:tr>
        <w:trPr>
          <w:trHeight w:val="189"/>
        </w:trPr>
        <w:tc>
          <w:tcPr>
            <w:tcW w:w="3320" w:type="dxa"/>
            <w:vAlign w:val="bottom"/>
          </w:tcPr>
          <w:p>
            <w:pPr>
              <w:ind w:left="20"/>
              <w:spacing w:after="0"/>
              <w:rPr>
                <w:sz w:val="20"/>
                <w:szCs w:val="20"/>
                <w:color w:val="auto"/>
              </w:rPr>
            </w:pPr>
            <w:r>
              <w:rPr>
                <w:rFonts w:ascii="Arial" w:cs="Arial" w:eastAsia="Arial" w:hAnsi="Arial"/>
                <w:sz w:val="13"/>
                <w:szCs w:val="13"/>
                <w:b w:val="1"/>
                <w:bCs w:val="1"/>
                <w:color w:val="auto"/>
              </w:rPr>
              <w:t>Gain on Marketable Equity Securities, Net</w:t>
            </w: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3"/>
                <w:szCs w:val="13"/>
                <w:b w:val="1"/>
                <w:bCs w:val="1"/>
                <w:color w:val="auto"/>
              </w:rPr>
              <w:t>43,801</w:t>
            </w:r>
          </w:p>
        </w:tc>
        <w:tc>
          <w:tcPr>
            <w:tcW w:w="0" w:type="dxa"/>
            <w:vAlign w:val="bottom"/>
          </w:tcPr>
          <w:p>
            <w:pPr>
              <w:spacing w:after="0"/>
              <w:rPr>
                <w:sz w:val="1"/>
                <w:szCs w:val="1"/>
                <w:color w:val="auto"/>
              </w:rPr>
            </w:pPr>
          </w:p>
        </w:tc>
      </w:tr>
      <w:tr>
        <w:trPr>
          <w:trHeight w:val="193"/>
        </w:trPr>
        <w:tc>
          <w:tcPr>
            <w:tcW w:w="3320" w:type="dxa"/>
            <w:vAlign w:val="bottom"/>
          </w:tcPr>
          <w:p>
            <w:pPr>
              <w:ind w:left="20"/>
              <w:spacing w:after="0"/>
              <w:rPr>
                <w:sz w:val="20"/>
                <w:szCs w:val="20"/>
                <w:color w:val="auto"/>
              </w:rPr>
            </w:pPr>
            <w:r>
              <w:rPr>
                <w:rFonts w:ascii="Arial" w:cs="Arial" w:eastAsia="Arial" w:hAnsi="Arial"/>
                <w:sz w:val="13"/>
                <w:szCs w:val="13"/>
                <w:b w:val="1"/>
                <w:bCs w:val="1"/>
                <w:color w:val="auto"/>
              </w:rPr>
              <w:t>Other Expense, Net</w:t>
            </w: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(4,065)</w:t>
            </w:r>
          </w:p>
        </w:tc>
        <w:tc>
          <w:tcPr>
            <w:tcW w:w="0" w:type="dxa"/>
            <w:vAlign w:val="bottom"/>
          </w:tcPr>
          <w:p>
            <w:pPr>
              <w:spacing w:after="0"/>
              <w:rPr>
                <w:sz w:val="1"/>
                <w:szCs w:val="1"/>
                <w:color w:val="auto"/>
              </w:rPr>
            </w:pPr>
          </w:p>
        </w:tc>
      </w:tr>
      <w:tr>
        <w:trPr>
          <w:trHeight w:val="187"/>
        </w:trPr>
        <w:tc>
          <w:tcPr>
            <w:tcW w:w="3320" w:type="dxa"/>
            <w:vAlign w:val="bottom"/>
          </w:tcPr>
          <w:p>
            <w:pPr>
              <w:ind w:left="20"/>
              <w:spacing w:after="0"/>
              <w:rPr>
                <w:sz w:val="20"/>
                <w:szCs w:val="20"/>
                <w:color w:val="auto"/>
              </w:rPr>
            </w:pPr>
            <w:r>
              <w:rPr>
                <w:rFonts w:ascii="Arial" w:cs="Arial" w:eastAsia="Arial" w:hAnsi="Arial"/>
                <w:sz w:val="13"/>
                <w:szCs w:val="13"/>
                <w:b w:val="1"/>
                <w:bCs w:val="1"/>
                <w:color w:val="auto"/>
              </w:rPr>
              <w:t>Income Before Income Taxes</w:t>
            </w: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82"/>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33,621</w:t>
            </w: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09"/>
        </w:trPr>
        <w:tc>
          <w:tcPr>
            <w:tcW w:w="3320" w:type="dxa"/>
            <w:vAlign w:val="bottom"/>
          </w:tcPr>
          <w:p>
            <w:pPr>
              <w:ind w:left="20"/>
              <w:spacing w:after="0"/>
              <w:rPr>
                <w:sz w:val="20"/>
                <w:szCs w:val="20"/>
                <w:color w:val="auto"/>
              </w:rPr>
            </w:pPr>
            <w:r>
              <w:rPr>
                <w:rFonts w:ascii="Arial" w:cs="Arial" w:eastAsia="Arial" w:hAnsi="Arial"/>
                <w:sz w:val="13"/>
                <w:szCs w:val="13"/>
                <w:b w:val="1"/>
                <w:bCs w:val="1"/>
                <w:color w:val="auto"/>
              </w:rPr>
              <w:t>Capital Expenditures</w:t>
            </w:r>
          </w:p>
        </w:tc>
        <w:tc>
          <w:tcPr>
            <w:tcW w:w="200" w:type="dxa"/>
            <w:vAlign w:val="bottom"/>
          </w:tcPr>
          <w:p>
            <w:pPr>
              <w:jc w:val="right"/>
              <w:ind w:right="57"/>
              <w:spacing w:after="0"/>
              <w:rPr>
                <w:sz w:val="20"/>
                <w:szCs w:val="20"/>
                <w:color w:val="auto"/>
              </w:rPr>
            </w:pPr>
            <w:r>
              <w:rPr>
                <w:rFonts w:ascii="Arial" w:cs="Arial" w:eastAsia="Arial" w:hAnsi="Arial"/>
                <w:sz w:val="13"/>
                <w:szCs w:val="13"/>
                <w:b w:val="1"/>
                <w:bCs w:val="1"/>
                <w:color w:val="auto"/>
                <w:w w:val="82"/>
              </w:rPr>
              <w:t>$</w:t>
            </w:r>
          </w:p>
        </w:tc>
        <w:tc>
          <w:tcPr>
            <w:tcW w:w="1060" w:type="dxa"/>
            <w:vAlign w:val="bottom"/>
          </w:tcPr>
          <w:p>
            <w:pPr>
              <w:jc w:val="right"/>
              <w:ind w:right="37"/>
              <w:spacing w:after="0"/>
              <w:rPr>
                <w:sz w:val="20"/>
                <w:szCs w:val="20"/>
                <w:color w:val="auto"/>
              </w:rPr>
            </w:pPr>
            <w:r>
              <w:rPr>
                <w:rFonts w:ascii="Arial" w:cs="Arial" w:eastAsia="Arial" w:hAnsi="Arial"/>
                <w:sz w:val="13"/>
                <w:szCs w:val="13"/>
                <w:b w:val="1"/>
                <w:bCs w:val="1"/>
                <w:color w:val="auto"/>
              </w:rPr>
              <w:t>4,741</w:t>
            </w:r>
          </w:p>
        </w:tc>
        <w:tc>
          <w:tcPr>
            <w:tcW w:w="22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1120" w:type="dxa"/>
            <w:vAlign w:val="bottom"/>
          </w:tcPr>
          <w:p>
            <w:pPr>
              <w:jc w:val="right"/>
              <w:ind w:right="37"/>
              <w:spacing w:after="0"/>
              <w:rPr>
                <w:sz w:val="20"/>
                <w:szCs w:val="20"/>
                <w:color w:val="auto"/>
              </w:rPr>
            </w:pPr>
            <w:r>
              <w:rPr>
                <w:rFonts w:ascii="Arial" w:cs="Arial" w:eastAsia="Arial" w:hAnsi="Arial"/>
                <w:sz w:val="13"/>
                <w:szCs w:val="13"/>
                <w:b w:val="1"/>
                <w:bCs w:val="1"/>
                <w:color w:val="auto"/>
              </w:rPr>
              <w:t>198</w:t>
            </w:r>
          </w:p>
        </w:tc>
        <w:tc>
          <w:tcPr>
            <w:tcW w:w="20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1140" w:type="dxa"/>
            <w:vAlign w:val="bottom"/>
          </w:tcPr>
          <w:p>
            <w:pPr>
              <w:jc w:val="right"/>
              <w:ind w:right="37"/>
              <w:spacing w:after="0"/>
              <w:rPr>
                <w:sz w:val="20"/>
                <w:szCs w:val="20"/>
                <w:color w:val="auto"/>
              </w:rPr>
            </w:pPr>
            <w:r>
              <w:rPr>
                <w:rFonts w:ascii="Arial" w:cs="Arial" w:eastAsia="Arial" w:hAnsi="Arial"/>
                <w:sz w:val="13"/>
                <w:szCs w:val="13"/>
                <w:b w:val="1"/>
                <w:bCs w:val="1"/>
                <w:color w:val="auto"/>
              </w:rPr>
              <w:t>3,373</w:t>
            </w:r>
          </w:p>
        </w:tc>
        <w:tc>
          <w:tcPr>
            <w:tcW w:w="260" w:type="dxa"/>
            <w:vAlign w:val="bottom"/>
          </w:tcPr>
          <w:p>
            <w:pPr>
              <w:jc w:val="right"/>
              <w:ind w:right="37"/>
              <w:spacing w:after="0"/>
              <w:rPr>
                <w:sz w:val="20"/>
                <w:szCs w:val="20"/>
                <w:color w:val="auto"/>
              </w:rPr>
            </w:pPr>
            <w:r>
              <w:rPr>
                <w:rFonts w:ascii="Arial" w:cs="Arial" w:eastAsia="Arial" w:hAnsi="Arial"/>
                <w:sz w:val="13"/>
                <w:szCs w:val="13"/>
                <w:b w:val="1"/>
                <w:bCs w:val="1"/>
                <w:color w:val="auto"/>
              </w:rPr>
              <w:t>$</w:t>
            </w:r>
          </w:p>
        </w:tc>
        <w:tc>
          <w:tcPr>
            <w:tcW w:w="1080" w:type="dxa"/>
            <w:vAlign w:val="bottom"/>
          </w:tcPr>
          <w:p>
            <w:pPr>
              <w:jc w:val="right"/>
              <w:ind w:right="37"/>
              <w:spacing w:after="0"/>
              <w:rPr>
                <w:sz w:val="20"/>
                <w:szCs w:val="20"/>
                <w:color w:val="auto"/>
              </w:rPr>
            </w:pPr>
            <w:r>
              <w:rPr>
                <w:rFonts w:ascii="Arial" w:cs="Arial" w:eastAsia="Arial" w:hAnsi="Arial"/>
                <w:sz w:val="13"/>
                <w:szCs w:val="13"/>
                <w:b w:val="1"/>
                <w:bCs w:val="1"/>
                <w:color w:val="auto"/>
              </w:rPr>
              <w:t>617</w:t>
            </w:r>
          </w:p>
        </w:tc>
        <w:tc>
          <w:tcPr>
            <w:tcW w:w="260" w:type="dxa"/>
            <w:vAlign w:val="bottom"/>
          </w:tcPr>
          <w:p>
            <w:pPr>
              <w:jc w:val="right"/>
              <w:ind w:right="37"/>
              <w:spacing w:after="0"/>
              <w:rPr>
                <w:sz w:val="20"/>
                <w:szCs w:val="20"/>
                <w:color w:val="auto"/>
              </w:rPr>
            </w:pPr>
            <w:r>
              <w:rPr>
                <w:rFonts w:ascii="Arial" w:cs="Arial" w:eastAsia="Arial" w:hAnsi="Arial"/>
                <w:sz w:val="13"/>
                <w:szCs w:val="13"/>
                <w:b w:val="1"/>
                <w:bCs w:val="1"/>
                <w:color w:val="auto"/>
              </w:rPr>
              <w:t>$</w:t>
            </w:r>
          </w:p>
        </w:tc>
        <w:tc>
          <w:tcPr>
            <w:tcW w:w="1160" w:type="dxa"/>
            <w:vAlign w:val="bottom"/>
          </w:tcPr>
          <w:p>
            <w:pPr>
              <w:jc w:val="right"/>
              <w:ind w:right="117"/>
              <w:spacing w:after="0"/>
              <w:rPr>
                <w:sz w:val="20"/>
                <w:szCs w:val="20"/>
                <w:color w:val="auto"/>
              </w:rPr>
            </w:pPr>
            <w:r>
              <w:rPr>
                <w:rFonts w:ascii="Arial" w:cs="Arial" w:eastAsia="Arial" w:hAnsi="Arial"/>
                <w:sz w:val="13"/>
                <w:szCs w:val="13"/>
                <w:b w:val="1"/>
                <w:bCs w:val="1"/>
                <w:color w:val="auto"/>
              </w:rPr>
              <w:t>480</w:t>
            </w:r>
          </w:p>
        </w:tc>
        <w:tc>
          <w:tcPr>
            <w:tcW w:w="120" w:type="dxa"/>
            <w:vAlign w:val="bottom"/>
          </w:tcPr>
          <w:p>
            <w:pPr>
              <w:jc w:val="right"/>
              <w:spacing w:after="0"/>
              <w:rPr>
                <w:sz w:val="20"/>
                <w:szCs w:val="20"/>
                <w:color w:val="auto"/>
              </w:rPr>
            </w:pPr>
            <w:r>
              <w:rPr>
                <w:rFonts w:ascii="Arial" w:cs="Arial" w:eastAsia="Arial" w:hAnsi="Arial"/>
                <w:sz w:val="13"/>
                <w:szCs w:val="13"/>
                <w:b w:val="1"/>
                <w:bCs w:val="1"/>
                <w:color w:val="auto"/>
                <w:w w:val="82"/>
              </w:rPr>
              <w:t>$</w:t>
            </w:r>
          </w:p>
        </w:tc>
        <w:tc>
          <w:tcPr>
            <w:tcW w:w="1100" w:type="dxa"/>
            <w:vAlign w:val="bottom"/>
          </w:tcPr>
          <w:p>
            <w:pPr>
              <w:jc w:val="right"/>
              <w:spacing w:after="0"/>
              <w:rPr>
                <w:sz w:val="20"/>
                <w:szCs w:val="20"/>
                <w:color w:val="auto"/>
              </w:rPr>
            </w:pPr>
            <w:r>
              <w:rPr>
                <w:rFonts w:ascii="Arial" w:cs="Arial" w:eastAsia="Arial" w:hAnsi="Arial"/>
                <w:sz w:val="13"/>
                <w:szCs w:val="13"/>
                <w:b w:val="1"/>
                <w:bCs w:val="1"/>
                <w:color w:val="auto"/>
              </w:rPr>
              <w:t>9,409</w:t>
            </w:r>
          </w:p>
        </w:tc>
        <w:tc>
          <w:tcPr>
            <w:tcW w:w="0" w:type="dxa"/>
            <w:vAlign w:val="bottom"/>
          </w:tcPr>
          <w:p>
            <w:pPr>
              <w:spacing w:after="0"/>
              <w:rPr>
                <w:sz w:val="1"/>
                <w:szCs w:val="1"/>
                <w:color w:val="auto"/>
              </w:rPr>
            </w:pPr>
          </w:p>
        </w:tc>
      </w:tr>
      <w:tr>
        <w:trPr>
          <w:trHeight w:val="183"/>
        </w:trPr>
        <w:tc>
          <w:tcPr>
            <w:tcW w:w="3320" w:type="dxa"/>
            <w:vAlign w:val="bottom"/>
          </w:tcPr>
          <w:p>
            <w:pPr>
              <w:ind w:left="20"/>
              <w:spacing w:after="0"/>
              <w:rPr>
                <w:sz w:val="20"/>
                <w:szCs w:val="20"/>
                <w:color w:val="auto"/>
              </w:rPr>
            </w:pPr>
            <w:r>
              <w:rPr>
                <w:rFonts w:ascii="Arial" w:cs="Arial" w:eastAsia="Arial" w:hAnsi="Arial"/>
                <w:sz w:val="13"/>
                <w:szCs w:val="13"/>
                <w:i w:val="1"/>
                <w:iCs w:val="1"/>
                <w:color w:val="auto"/>
              </w:rPr>
              <w:t>Reconciliation of Capital Expenditures</w:t>
            </w: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8"/>
        </w:trPr>
        <w:tc>
          <w:tcPr>
            <w:tcW w:w="3320" w:type="dxa"/>
            <w:vAlign w:val="bottom"/>
          </w:tcPr>
          <w:p>
            <w:pPr>
              <w:ind w:left="140"/>
              <w:spacing w:after="0"/>
              <w:rPr>
                <w:sz w:val="20"/>
                <w:szCs w:val="20"/>
                <w:color w:val="auto"/>
              </w:rPr>
            </w:pPr>
            <w:r>
              <w:rPr>
                <w:rFonts w:ascii="Arial" w:cs="Arial" w:eastAsia="Arial" w:hAnsi="Arial"/>
                <w:sz w:val="13"/>
                <w:szCs w:val="13"/>
                <w:color w:val="auto"/>
              </w:rPr>
              <w:t>Other Businesses and Corporate Office Capital</w:t>
            </w:r>
          </w:p>
        </w:tc>
        <w:tc>
          <w:tcPr>
            <w:tcW w:w="2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3"/>
        </w:trPr>
        <w:tc>
          <w:tcPr>
            <w:tcW w:w="3320" w:type="dxa"/>
            <w:vAlign w:val="bottom"/>
          </w:tcPr>
          <w:p>
            <w:pPr>
              <w:ind w:left="220"/>
              <w:spacing w:after="0"/>
              <w:rPr>
                <w:sz w:val="20"/>
                <w:szCs w:val="20"/>
                <w:color w:val="auto"/>
              </w:rPr>
            </w:pPr>
            <w:r>
              <w:rPr>
                <w:rFonts w:ascii="Arial" w:cs="Arial" w:eastAsia="Arial" w:hAnsi="Arial"/>
                <w:sz w:val="13"/>
                <w:szCs w:val="13"/>
                <w:color w:val="auto"/>
              </w:rPr>
              <w:t xml:space="preserve">Expenditures </w:t>
            </w:r>
            <w:r>
              <w:rPr>
                <w:rFonts w:ascii="Arial" w:cs="Arial" w:eastAsia="Arial" w:hAnsi="Arial"/>
                <w:sz w:val="16"/>
                <w:szCs w:val="16"/>
                <w:color w:val="auto"/>
                <w:vertAlign w:val="superscript"/>
              </w:rPr>
              <w:t>(8)</w:t>
            </w: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4,694</w:t>
            </w:r>
          </w:p>
        </w:tc>
        <w:tc>
          <w:tcPr>
            <w:tcW w:w="0" w:type="dxa"/>
            <w:vAlign w:val="bottom"/>
          </w:tcPr>
          <w:p>
            <w:pPr>
              <w:spacing w:after="0"/>
              <w:rPr>
                <w:sz w:val="1"/>
                <w:szCs w:val="1"/>
                <w:color w:val="auto"/>
              </w:rPr>
            </w:pPr>
          </w:p>
        </w:tc>
      </w:tr>
      <w:tr>
        <w:trPr>
          <w:trHeight w:val="179"/>
        </w:trPr>
        <w:tc>
          <w:tcPr>
            <w:tcW w:w="3320" w:type="dxa"/>
            <w:vAlign w:val="bottom"/>
          </w:tcPr>
          <w:p>
            <w:pPr>
              <w:ind w:left="20"/>
              <w:spacing w:after="0"/>
              <w:rPr>
                <w:sz w:val="20"/>
                <w:szCs w:val="20"/>
                <w:color w:val="auto"/>
              </w:rPr>
            </w:pPr>
            <w:r>
              <w:rPr>
                <w:rFonts w:ascii="Arial" w:cs="Arial" w:eastAsia="Arial" w:hAnsi="Arial"/>
                <w:sz w:val="13"/>
                <w:szCs w:val="13"/>
                <w:b w:val="1"/>
                <w:bCs w:val="1"/>
                <w:color w:val="auto"/>
              </w:rPr>
              <w:t>Total Capital Expenditures</w:t>
            </w: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82"/>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14,103</w:t>
            </w:r>
          </w:p>
        </w:tc>
        <w:tc>
          <w:tcPr>
            <w:tcW w:w="0" w:type="dxa"/>
            <w:vAlign w:val="bottom"/>
          </w:tcPr>
          <w:p>
            <w:pPr>
              <w:spacing w:after="0"/>
              <w:rPr>
                <w:sz w:val="1"/>
                <w:szCs w:val="1"/>
                <w:color w:val="auto"/>
              </w:rPr>
            </w:pPr>
          </w:p>
        </w:tc>
      </w:tr>
    </w:tbl>
    <w:p>
      <w:pPr>
        <w:spacing w:after="0" w:line="257" w:lineRule="exact"/>
        <w:rPr>
          <w:sz w:val="20"/>
          <w:szCs w:val="20"/>
          <w:color w:val="auto"/>
        </w:rPr>
      </w:pPr>
    </w:p>
    <w:p>
      <w:pPr>
        <w:ind w:left="360" w:right="200" w:hanging="334"/>
        <w:spacing w:after="0" w:line="259" w:lineRule="auto"/>
        <w:tabs>
          <w:tab w:leader="none" w:pos="360" w:val="left"/>
        </w:tabs>
        <w:numPr>
          <w:ilvl w:val="0"/>
          <w:numId w:val="13"/>
        </w:numPr>
        <w:rPr>
          <w:rFonts w:ascii="Arial" w:cs="Arial" w:eastAsia="Arial" w:hAnsi="Arial"/>
          <w:sz w:val="11"/>
          <w:szCs w:val="11"/>
          <w:color w:val="auto"/>
        </w:rPr>
      </w:pPr>
      <w:r>
        <w:rPr>
          <w:rFonts w:ascii="Arial" w:cs="Arial" w:eastAsia="Arial" w:hAnsi="Arial"/>
          <w:sz w:val="11"/>
          <w:szCs w:val="11"/>
          <w:color w:val="auto"/>
        </w:rPr>
        <w:t>Revenue from segments below the quantitative thresholds is attributable to Other Businesses and the Corporate Office, as described above. None of these operating segments meet the quantitative thresholds for determining reportable segments.</w:t>
      </w:r>
    </w:p>
    <w:p>
      <w:pPr>
        <w:spacing w:after="0" w:line="24" w:lineRule="exact"/>
        <w:rPr>
          <w:rFonts w:ascii="Arial" w:cs="Arial" w:eastAsia="Arial" w:hAnsi="Arial"/>
          <w:sz w:val="11"/>
          <w:szCs w:val="11"/>
          <w:color w:val="auto"/>
        </w:rPr>
      </w:pPr>
    </w:p>
    <w:p>
      <w:pPr>
        <w:ind w:left="360" w:hanging="334"/>
        <w:spacing w:after="0"/>
        <w:tabs>
          <w:tab w:leader="none" w:pos="360" w:val="left"/>
        </w:tabs>
        <w:numPr>
          <w:ilvl w:val="0"/>
          <w:numId w:val="13"/>
        </w:numPr>
        <w:rPr>
          <w:rFonts w:ascii="Arial" w:cs="Arial" w:eastAsia="Arial" w:hAnsi="Arial"/>
          <w:sz w:val="11"/>
          <w:szCs w:val="11"/>
          <w:color w:val="auto"/>
        </w:rPr>
      </w:pPr>
      <w:r>
        <w:rPr>
          <w:rFonts w:ascii="Arial" w:cs="Arial" w:eastAsia="Arial" w:hAnsi="Arial"/>
          <w:sz w:val="11"/>
          <w:szCs w:val="11"/>
          <w:color w:val="auto"/>
        </w:rPr>
        <w:t>The significant expense categories and amounts align with the segment-level information that is regularly provided to the chief operating decision maker (CODM).</w:t>
      </w:r>
    </w:p>
    <w:p>
      <w:pPr>
        <w:spacing w:after="0" w:line="49" w:lineRule="exact"/>
        <w:rPr>
          <w:rFonts w:ascii="Arial" w:cs="Arial" w:eastAsia="Arial" w:hAnsi="Arial"/>
          <w:sz w:val="11"/>
          <w:szCs w:val="11"/>
          <w:color w:val="auto"/>
        </w:rPr>
      </w:pPr>
    </w:p>
    <w:p>
      <w:pPr>
        <w:ind w:left="360" w:right="400" w:hanging="334"/>
        <w:spacing w:after="0" w:line="259" w:lineRule="auto"/>
        <w:tabs>
          <w:tab w:leader="none" w:pos="360" w:val="left"/>
        </w:tabs>
        <w:numPr>
          <w:ilvl w:val="0"/>
          <w:numId w:val="13"/>
        </w:numPr>
        <w:rPr>
          <w:rFonts w:ascii="Arial" w:cs="Arial" w:eastAsia="Arial" w:hAnsi="Arial"/>
          <w:sz w:val="11"/>
          <w:szCs w:val="11"/>
          <w:color w:val="auto"/>
        </w:rPr>
      </w:pPr>
      <w:r>
        <w:rPr>
          <w:rFonts w:ascii="Arial" w:cs="Arial" w:eastAsia="Arial" w:hAnsi="Arial"/>
          <w:sz w:val="11"/>
          <w:szCs w:val="11"/>
          <w:color w:val="auto"/>
        </w:rPr>
        <w:t>Cost of revenue reflects the amounts reported and provided to the CODM and does not necessarily reconcile to the Company's Consolidated Statement of Operations or align across reportable segments. Cost of revenue excludes charges related to depreciation, which is shown separately above.</w:t>
      </w:r>
    </w:p>
    <w:p>
      <w:pPr>
        <w:spacing w:after="0" w:line="24" w:lineRule="exact"/>
        <w:rPr>
          <w:rFonts w:ascii="Arial" w:cs="Arial" w:eastAsia="Arial" w:hAnsi="Arial"/>
          <w:sz w:val="11"/>
          <w:szCs w:val="11"/>
          <w:color w:val="auto"/>
        </w:rPr>
      </w:pPr>
    </w:p>
    <w:p>
      <w:pPr>
        <w:ind w:left="360" w:hanging="334"/>
        <w:spacing w:after="0"/>
        <w:tabs>
          <w:tab w:leader="none" w:pos="360" w:val="left"/>
        </w:tabs>
        <w:numPr>
          <w:ilvl w:val="0"/>
          <w:numId w:val="13"/>
        </w:numPr>
        <w:rPr>
          <w:rFonts w:ascii="Arial" w:cs="Arial" w:eastAsia="Arial" w:hAnsi="Arial"/>
          <w:sz w:val="11"/>
          <w:szCs w:val="11"/>
          <w:color w:val="auto"/>
        </w:rPr>
      </w:pPr>
      <w:r>
        <w:rPr>
          <w:rFonts w:ascii="Arial" w:cs="Arial" w:eastAsia="Arial" w:hAnsi="Arial"/>
          <w:sz w:val="11"/>
          <w:szCs w:val="11"/>
          <w:color w:val="auto"/>
        </w:rPr>
        <w:t>Excludes pension service cost, which is shown separately above. Excludes any payroll and related benefits costs captured in cost of revenue.</w:t>
      </w:r>
    </w:p>
    <w:p>
      <w:pPr>
        <w:spacing w:after="0" w:line="49" w:lineRule="exact"/>
        <w:rPr>
          <w:rFonts w:ascii="Arial" w:cs="Arial" w:eastAsia="Arial" w:hAnsi="Arial"/>
          <w:sz w:val="11"/>
          <w:szCs w:val="11"/>
          <w:color w:val="auto"/>
        </w:rPr>
      </w:pPr>
    </w:p>
    <w:p>
      <w:pPr>
        <w:ind w:left="360" w:hanging="334"/>
        <w:spacing w:after="0"/>
        <w:tabs>
          <w:tab w:leader="none" w:pos="360" w:val="left"/>
        </w:tabs>
        <w:numPr>
          <w:ilvl w:val="0"/>
          <w:numId w:val="13"/>
        </w:numPr>
        <w:rPr>
          <w:rFonts w:ascii="Arial" w:cs="Arial" w:eastAsia="Arial" w:hAnsi="Arial"/>
          <w:sz w:val="11"/>
          <w:szCs w:val="11"/>
          <w:color w:val="auto"/>
        </w:rPr>
      </w:pPr>
      <w:r>
        <w:rPr>
          <w:rFonts w:ascii="Arial" w:cs="Arial" w:eastAsia="Arial" w:hAnsi="Arial"/>
          <w:sz w:val="11"/>
          <w:szCs w:val="11"/>
          <w:color w:val="auto"/>
        </w:rPr>
        <w:t>Management and operating services provided by Christopher J. Ourisman and his team of industry professionals.</w:t>
      </w:r>
    </w:p>
    <w:p>
      <w:pPr>
        <w:spacing w:after="0" w:line="49" w:lineRule="exact"/>
        <w:rPr>
          <w:rFonts w:ascii="Arial" w:cs="Arial" w:eastAsia="Arial" w:hAnsi="Arial"/>
          <w:sz w:val="11"/>
          <w:szCs w:val="11"/>
          <w:color w:val="auto"/>
        </w:rPr>
      </w:pPr>
    </w:p>
    <w:p>
      <w:pPr>
        <w:ind w:left="360" w:hanging="334"/>
        <w:spacing w:after="0"/>
        <w:tabs>
          <w:tab w:leader="none" w:pos="360" w:val="left"/>
        </w:tabs>
        <w:numPr>
          <w:ilvl w:val="0"/>
          <w:numId w:val="13"/>
        </w:numPr>
        <w:rPr>
          <w:rFonts w:ascii="Arial" w:cs="Arial" w:eastAsia="Arial" w:hAnsi="Arial"/>
          <w:sz w:val="11"/>
          <w:szCs w:val="11"/>
          <w:color w:val="auto"/>
        </w:rPr>
      </w:pPr>
      <w:r>
        <w:rPr>
          <w:rFonts w:ascii="Arial" w:cs="Arial" w:eastAsia="Arial" w:hAnsi="Arial"/>
          <w:sz w:val="11"/>
          <w:szCs w:val="11"/>
          <w:color w:val="auto"/>
        </w:rPr>
        <w:t>Other segment items for each reportable segment include:</w:t>
      </w:r>
    </w:p>
    <w:p>
      <w:pPr>
        <w:spacing w:after="0" w:line="49" w:lineRule="exact"/>
        <w:rPr>
          <w:rFonts w:ascii="Arial" w:cs="Arial" w:eastAsia="Arial" w:hAnsi="Arial"/>
          <w:sz w:val="11"/>
          <w:szCs w:val="11"/>
          <w:color w:val="auto"/>
        </w:rPr>
      </w:pPr>
    </w:p>
    <w:p>
      <w:pPr>
        <w:ind w:left="660" w:right="260" w:hanging="310"/>
        <w:spacing w:after="0" w:line="259" w:lineRule="auto"/>
        <w:tabs>
          <w:tab w:leader="none" w:pos="660" w:val="left"/>
        </w:tabs>
        <w:numPr>
          <w:ilvl w:val="1"/>
          <w:numId w:val="13"/>
        </w:numPr>
        <w:rPr>
          <w:rFonts w:ascii="Arial" w:cs="Arial" w:eastAsia="Arial" w:hAnsi="Arial"/>
          <w:sz w:val="11"/>
          <w:szCs w:val="11"/>
          <w:color w:val="auto"/>
        </w:rPr>
      </w:pPr>
      <w:r>
        <w:rPr>
          <w:rFonts w:ascii="Arial" w:cs="Arial" w:eastAsia="Arial" w:hAnsi="Arial"/>
          <w:sz w:val="11"/>
          <w:szCs w:val="11"/>
          <w:color w:val="auto"/>
        </w:rPr>
        <w:t>Education (includes Kaplan International, Kaplan Higher Education and Kaplan Supplemental Education) - training and employment expense, travel meals and entertainment expense, operating fees and other general and administrative (G&amp;A) expenses.</w:t>
      </w:r>
    </w:p>
    <w:p>
      <w:pPr>
        <w:spacing w:after="0" w:line="24" w:lineRule="exact"/>
        <w:rPr>
          <w:rFonts w:ascii="Arial" w:cs="Arial" w:eastAsia="Arial" w:hAnsi="Arial"/>
          <w:sz w:val="11"/>
          <w:szCs w:val="11"/>
          <w:color w:val="auto"/>
        </w:rPr>
      </w:pPr>
    </w:p>
    <w:p>
      <w:pPr>
        <w:ind w:left="660" w:hanging="310"/>
        <w:spacing w:after="0"/>
        <w:tabs>
          <w:tab w:leader="none" w:pos="660" w:val="left"/>
        </w:tabs>
        <w:numPr>
          <w:ilvl w:val="1"/>
          <w:numId w:val="13"/>
        </w:numPr>
        <w:rPr>
          <w:rFonts w:ascii="Arial" w:cs="Arial" w:eastAsia="Arial" w:hAnsi="Arial"/>
          <w:sz w:val="11"/>
          <w:szCs w:val="11"/>
          <w:color w:val="auto"/>
        </w:rPr>
      </w:pPr>
      <w:r>
        <w:rPr>
          <w:rFonts w:ascii="Arial" w:cs="Arial" w:eastAsia="Arial" w:hAnsi="Arial"/>
          <w:sz w:val="11"/>
          <w:szCs w:val="11"/>
          <w:color w:val="auto"/>
        </w:rPr>
        <w:t>Television Broadcasting - other broadcast expenses, facilities expenses, third-party commission costs and other selling, general and administrative (SG&amp;A) expenses.</w:t>
      </w:r>
    </w:p>
    <w:p>
      <w:pPr>
        <w:spacing w:after="0" w:line="49" w:lineRule="exact"/>
        <w:rPr>
          <w:rFonts w:ascii="Arial" w:cs="Arial" w:eastAsia="Arial" w:hAnsi="Arial"/>
          <w:sz w:val="11"/>
          <w:szCs w:val="11"/>
          <w:color w:val="auto"/>
        </w:rPr>
      </w:pPr>
    </w:p>
    <w:p>
      <w:pPr>
        <w:ind w:left="660" w:hanging="310"/>
        <w:spacing w:after="0"/>
        <w:tabs>
          <w:tab w:leader="none" w:pos="660" w:val="left"/>
        </w:tabs>
        <w:numPr>
          <w:ilvl w:val="1"/>
          <w:numId w:val="13"/>
        </w:numPr>
        <w:rPr>
          <w:rFonts w:ascii="Arial" w:cs="Arial" w:eastAsia="Arial" w:hAnsi="Arial"/>
          <w:sz w:val="11"/>
          <w:szCs w:val="11"/>
          <w:color w:val="auto"/>
        </w:rPr>
      </w:pPr>
      <w:r>
        <w:rPr>
          <w:rFonts w:ascii="Arial" w:cs="Arial" w:eastAsia="Arial" w:hAnsi="Arial"/>
          <w:sz w:val="11"/>
          <w:szCs w:val="11"/>
          <w:color w:val="auto"/>
        </w:rPr>
        <w:t>Manufacturing - payroll and fringe benefits expense (SG&amp;A) and other SG&amp;A expenses.</w:t>
      </w:r>
    </w:p>
    <w:p>
      <w:pPr>
        <w:spacing w:after="0" w:line="49" w:lineRule="exact"/>
        <w:rPr>
          <w:rFonts w:ascii="Arial" w:cs="Arial" w:eastAsia="Arial" w:hAnsi="Arial"/>
          <w:sz w:val="11"/>
          <w:szCs w:val="11"/>
          <w:color w:val="auto"/>
        </w:rPr>
      </w:pPr>
    </w:p>
    <w:p>
      <w:pPr>
        <w:ind w:left="660" w:hanging="310"/>
        <w:spacing w:after="0"/>
        <w:tabs>
          <w:tab w:leader="none" w:pos="660" w:val="left"/>
        </w:tabs>
        <w:numPr>
          <w:ilvl w:val="1"/>
          <w:numId w:val="13"/>
        </w:numPr>
        <w:rPr>
          <w:rFonts w:ascii="Arial" w:cs="Arial" w:eastAsia="Arial" w:hAnsi="Arial"/>
          <w:sz w:val="11"/>
          <w:szCs w:val="11"/>
          <w:color w:val="auto"/>
        </w:rPr>
      </w:pPr>
      <w:r>
        <w:rPr>
          <w:rFonts w:ascii="Arial" w:cs="Arial" w:eastAsia="Arial" w:hAnsi="Arial"/>
          <w:sz w:val="11"/>
          <w:szCs w:val="11"/>
          <w:color w:val="auto"/>
        </w:rPr>
        <w:t>Healthcare - indirect costs (e.g. payroll and benefits expenses, general and administrative expenses) and other SG&amp;A expenses.</w:t>
      </w:r>
    </w:p>
    <w:p>
      <w:pPr>
        <w:spacing w:after="0" w:line="49" w:lineRule="exact"/>
        <w:rPr>
          <w:rFonts w:ascii="Arial" w:cs="Arial" w:eastAsia="Arial" w:hAnsi="Arial"/>
          <w:sz w:val="11"/>
          <w:szCs w:val="11"/>
          <w:color w:val="auto"/>
        </w:rPr>
      </w:pPr>
    </w:p>
    <w:p>
      <w:pPr>
        <w:ind w:left="660" w:hanging="310"/>
        <w:spacing w:after="0"/>
        <w:tabs>
          <w:tab w:leader="none" w:pos="660" w:val="left"/>
        </w:tabs>
        <w:numPr>
          <w:ilvl w:val="1"/>
          <w:numId w:val="13"/>
        </w:numPr>
        <w:rPr>
          <w:rFonts w:ascii="Arial" w:cs="Arial" w:eastAsia="Arial" w:hAnsi="Arial"/>
          <w:sz w:val="11"/>
          <w:szCs w:val="11"/>
          <w:color w:val="auto"/>
        </w:rPr>
      </w:pPr>
      <w:r>
        <w:rPr>
          <w:rFonts w:ascii="Arial" w:cs="Arial" w:eastAsia="Arial" w:hAnsi="Arial"/>
          <w:sz w:val="11"/>
          <w:szCs w:val="11"/>
          <w:color w:val="auto"/>
        </w:rPr>
        <w:t>Automotive - advertising and marketing expense and other G&amp;A expenses.</w:t>
      </w:r>
    </w:p>
    <w:p>
      <w:pPr>
        <w:spacing w:after="0" w:line="49" w:lineRule="exact"/>
        <w:rPr>
          <w:rFonts w:ascii="Arial" w:cs="Arial" w:eastAsia="Arial" w:hAnsi="Arial"/>
          <w:sz w:val="11"/>
          <w:szCs w:val="11"/>
          <w:color w:val="auto"/>
        </w:rPr>
      </w:pPr>
    </w:p>
    <w:p>
      <w:pPr>
        <w:ind w:left="360" w:right="600" w:hanging="334"/>
        <w:spacing w:after="0" w:line="259" w:lineRule="auto"/>
        <w:tabs>
          <w:tab w:leader="none" w:pos="360" w:val="left"/>
        </w:tabs>
        <w:numPr>
          <w:ilvl w:val="0"/>
          <w:numId w:val="13"/>
        </w:numPr>
        <w:rPr>
          <w:rFonts w:ascii="Arial" w:cs="Arial" w:eastAsia="Arial" w:hAnsi="Arial"/>
          <w:sz w:val="11"/>
          <w:szCs w:val="11"/>
          <w:color w:val="auto"/>
        </w:rPr>
      </w:pPr>
      <w:r>
        <w:rPr>
          <w:rFonts w:ascii="Arial" w:cs="Arial" w:eastAsia="Arial" w:hAnsi="Arial"/>
          <w:sz w:val="11"/>
          <w:szCs w:val="11"/>
          <w:color w:val="auto"/>
        </w:rPr>
        <w:t>Profit or loss from operating segments below the quantitative thresholds attributable to Other Businesses as described above. These operating segments did not meet any of the quantitative thresholds for determining reportable segments.</w:t>
      </w:r>
    </w:p>
    <w:p>
      <w:pPr>
        <w:spacing w:after="0" w:line="24" w:lineRule="exact"/>
        <w:rPr>
          <w:rFonts w:ascii="Arial" w:cs="Arial" w:eastAsia="Arial" w:hAnsi="Arial"/>
          <w:sz w:val="11"/>
          <w:szCs w:val="11"/>
          <w:color w:val="auto"/>
        </w:rPr>
      </w:pPr>
    </w:p>
    <w:p>
      <w:pPr>
        <w:ind w:left="360" w:right="360" w:hanging="334"/>
        <w:spacing w:after="0" w:line="259" w:lineRule="auto"/>
        <w:tabs>
          <w:tab w:leader="none" w:pos="360" w:val="left"/>
        </w:tabs>
        <w:numPr>
          <w:ilvl w:val="0"/>
          <w:numId w:val="13"/>
        </w:numPr>
        <w:rPr>
          <w:rFonts w:ascii="Arial" w:cs="Arial" w:eastAsia="Arial" w:hAnsi="Arial"/>
          <w:sz w:val="11"/>
          <w:szCs w:val="11"/>
          <w:color w:val="auto"/>
        </w:rPr>
      </w:pPr>
      <w:r>
        <w:rPr>
          <w:rFonts w:ascii="Arial" w:cs="Arial" w:eastAsia="Arial" w:hAnsi="Arial"/>
          <w:sz w:val="11"/>
          <w:szCs w:val="11"/>
          <w:color w:val="auto"/>
        </w:rPr>
        <w:t>Capital Expenditures from operating segments below the quantitative thresholds are attributable to Other Businesses and the Corporate Office, as described above. None of these operating segments meet the quantitative thresholds for determining reportable segments.</w:t>
      </w:r>
    </w:p>
    <w:p>
      <w:pPr>
        <w:sectPr>
          <w:pgSz w:w="11900" w:h="16838" w:orient="portrait"/>
          <w:cols w:equalWidth="0" w:num="1">
            <w:col w:w="11240"/>
          </w:cols>
          <w:pgMar w:left="320" w:top="93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183515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type w:val="continuous"/>
        </w:sectPr>
      </w:pPr>
    </w:p>
    <w:bookmarkStart w:id="21" w:name="page22"/>
    <w:bookmarkEnd w:id="21"/>
    <w:p>
      <w:pPr>
        <w:spacing w:after="0"/>
        <w:rPr>
          <w:sz w:val="20"/>
          <w:szCs w:val="20"/>
          <w:color w:val="auto"/>
        </w:rPr>
      </w:pPr>
      <w:r>
        <w:rPr>
          <w:rFonts w:ascii="Arial" w:cs="Arial" w:eastAsia="Arial" w:hAnsi="Arial"/>
          <w:sz w:val="18"/>
          <w:szCs w:val="18"/>
          <w:color w:val="auto"/>
        </w:rPr>
        <w:t>The Company’s education division comprises the following operating segments: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3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500" w:type="dxa"/>
            <w:vAlign w:val="bottom"/>
            <w:tcBorders>
              <w:bottom w:val="single" w:sz="8" w:color="auto"/>
            </w:tcBorders>
            <w:gridSpan w:val="3"/>
          </w:tcPr>
          <w:p>
            <w:pPr>
              <w:jc w:val="right"/>
              <w:ind w:right="197"/>
              <w:spacing w:after="0"/>
              <w:rPr>
                <w:sz w:val="20"/>
                <w:szCs w:val="20"/>
                <w:color w:val="auto"/>
              </w:rPr>
            </w:pPr>
            <w:r>
              <w:rPr>
                <w:rFonts w:ascii="Arial" w:cs="Arial" w:eastAsia="Arial" w:hAnsi="Arial"/>
                <w:sz w:val="13"/>
                <w:szCs w:val="13"/>
                <w:b w:val="1"/>
                <w:bCs w:val="1"/>
                <w:color w:val="auto"/>
                <w:w w:val="98"/>
              </w:rPr>
              <w:t>Three Months Ended March 31, 2025</w:t>
            </w:r>
          </w:p>
        </w:tc>
        <w:tc>
          <w:tcPr>
            <w:tcW w:w="2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jc w:val="right"/>
              <w:ind w:right="377"/>
              <w:spacing w:after="0" w:line="142" w:lineRule="exact"/>
              <w:rPr>
                <w:sz w:val="20"/>
                <w:szCs w:val="20"/>
                <w:color w:val="auto"/>
              </w:rPr>
            </w:pPr>
            <w:r>
              <w:rPr>
                <w:rFonts w:ascii="Arial" w:cs="Arial" w:eastAsia="Arial" w:hAnsi="Arial"/>
                <w:sz w:val="13"/>
                <w:szCs w:val="13"/>
                <w:b w:val="1"/>
                <w:bCs w:val="1"/>
                <w:color w:val="auto"/>
              </w:rPr>
              <w:t>Kaplan</w:t>
            </w:r>
          </w:p>
        </w:tc>
        <w:tc>
          <w:tcPr>
            <w:tcW w:w="5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jc w:val="right"/>
              <w:ind w:right="177"/>
              <w:spacing w:after="0" w:line="142" w:lineRule="exact"/>
              <w:rPr>
                <w:sz w:val="20"/>
                <w:szCs w:val="20"/>
                <w:color w:val="auto"/>
              </w:rPr>
            </w:pPr>
            <w:r>
              <w:rPr>
                <w:rFonts w:ascii="Arial" w:cs="Arial" w:eastAsia="Arial" w:hAnsi="Arial"/>
                <w:sz w:val="13"/>
                <w:szCs w:val="13"/>
                <w:b w:val="1"/>
                <w:bCs w:val="1"/>
                <w:color w:val="auto"/>
              </w:rPr>
              <w:t>Supplemental</w:t>
            </w:r>
          </w:p>
        </w:tc>
        <w:tc>
          <w:tcPr>
            <w:tcW w:w="180" w:type="dxa"/>
            <w:vAlign w:val="bottom"/>
          </w:tcPr>
          <w:p>
            <w:pPr>
              <w:spacing w:after="0"/>
              <w:rPr>
                <w:sz w:val="12"/>
                <w:szCs w:val="12"/>
                <w:color w:val="auto"/>
              </w:rPr>
            </w:pPr>
          </w:p>
        </w:tc>
        <w:tc>
          <w:tcPr>
            <w:tcW w:w="1180" w:type="dxa"/>
            <w:vAlign w:val="bottom"/>
          </w:tcPr>
          <w:p>
            <w:pPr>
              <w:jc w:val="right"/>
              <w:ind w:right="77"/>
              <w:spacing w:after="0" w:line="142" w:lineRule="exact"/>
              <w:rPr>
                <w:sz w:val="20"/>
                <w:szCs w:val="20"/>
                <w:color w:val="auto"/>
              </w:rPr>
            </w:pPr>
            <w:r>
              <w:rPr>
                <w:rFonts w:ascii="Arial" w:cs="Arial" w:eastAsia="Arial" w:hAnsi="Arial"/>
                <w:sz w:val="13"/>
                <w:szCs w:val="13"/>
                <w:b w:val="1"/>
                <w:bCs w:val="1"/>
                <w:color w:val="auto"/>
                <w:w w:val="93"/>
              </w:rPr>
              <w:t>Kaplan Corporate</w:t>
            </w:r>
          </w:p>
        </w:tc>
        <w:tc>
          <w:tcPr>
            <w:tcW w:w="220" w:type="dxa"/>
            <w:vAlign w:val="bottom"/>
          </w:tcPr>
          <w:p>
            <w:pPr>
              <w:spacing w:after="0"/>
              <w:rPr>
                <w:sz w:val="12"/>
                <w:szCs w:val="12"/>
                <w:color w:val="auto"/>
              </w:rPr>
            </w:pPr>
          </w:p>
        </w:tc>
        <w:tc>
          <w:tcPr>
            <w:tcW w:w="1140" w:type="dxa"/>
            <w:vAlign w:val="bottom"/>
          </w:tcPr>
          <w:p>
            <w:pPr>
              <w:jc w:val="right"/>
              <w:ind w:right="217"/>
              <w:spacing w:after="0" w:line="142" w:lineRule="exact"/>
              <w:rPr>
                <w:sz w:val="20"/>
                <w:szCs w:val="20"/>
                <w:color w:val="auto"/>
              </w:rPr>
            </w:pPr>
            <w:r>
              <w:rPr>
                <w:rFonts w:ascii="Arial" w:cs="Arial" w:eastAsia="Arial" w:hAnsi="Arial"/>
                <w:sz w:val="13"/>
                <w:szCs w:val="13"/>
                <w:b w:val="1"/>
                <w:bCs w:val="1"/>
                <w:color w:val="auto"/>
              </w:rPr>
              <w:t>Intersegment</w:t>
            </w: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336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(in thousands)</w:t>
            </w: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217"/>
              <w:spacing w:after="0"/>
              <w:rPr>
                <w:sz w:val="20"/>
                <w:szCs w:val="20"/>
                <w:color w:val="auto"/>
              </w:rPr>
            </w:pPr>
            <w:r>
              <w:rPr>
                <w:rFonts w:ascii="Arial" w:cs="Arial" w:eastAsia="Arial" w:hAnsi="Arial"/>
                <w:sz w:val="13"/>
                <w:szCs w:val="13"/>
                <w:b w:val="1"/>
                <w:bCs w:val="1"/>
                <w:color w:val="auto"/>
              </w:rPr>
              <w:t>International</w:t>
            </w:r>
          </w:p>
        </w:tc>
        <w:tc>
          <w:tcPr>
            <w:tcW w:w="1300" w:type="dxa"/>
            <w:vAlign w:val="bottom"/>
            <w:tcBorders>
              <w:bottom w:val="single" w:sz="8" w:color="auto"/>
            </w:tcBorders>
            <w:gridSpan w:val="2"/>
          </w:tcPr>
          <w:p>
            <w:pPr>
              <w:jc w:val="right"/>
              <w:ind w:right="37"/>
              <w:spacing w:after="0"/>
              <w:rPr>
                <w:sz w:val="20"/>
                <w:szCs w:val="20"/>
                <w:color w:val="auto"/>
              </w:rPr>
            </w:pPr>
            <w:r>
              <w:rPr>
                <w:rFonts w:ascii="Arial" w:cs="Arial" w:eastAsia="Arial" w:hAnsi="Arial"/>
                <w:sz w:val="13"/>
                <w:szCs w:val="13"/>
                <w:b w:val="1"/>
                <w:bCs w:val="1"/>
                <w:color w:val="auto"/>
              </w:rPr>
              <w:t>Higher Education</w:t>
            </w: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277"/>
              <w:spacing w:after="0"/>
              <w:rPr>
                <w:sz w:val="20"/>
                <w:szCs w:val="20"/>
                <w:color w:val="auto"/>
              </w:rPr>
            </w:pPr>
            <w:r>
              <w:rPr>
                <w:rFonts w:ascii="Arial" w:cs="Arial" w:eastAsia="Arial" w:hAnsi="Arial"/>
                <w:sz w:val="13"/>
                <w:szCs w:val="13"/>
                <w:b w:val="1"/>
                <w:bCs w:val="1"/>
                <w:color w:val="auto"/>
              </w:rPr>
              <w:t>Education</w:t>
            </w: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297"/>
              <w:spacing w:after="0"/>
              <w:rPr>
                <w:sz w:val="20"/>
                <w:szCs w:val="20"/>
                <w:color w:val="auto"/>
              </w:rPr>
            </w:pPr>
            <w:r>
              <w:rPr>
                <w:rFonts w:ascii="Arial" w:cs="Arial" w:eastAsia="Arial" w:hAnsi="Arial"/>
                <w:sz w:val="13"/>
                <w:szCs w:val="13"/>
                <w:b w:val="1"/>
                <w:bCs w:val="1"/>
                <w:color w:val="auto"/>
              </w:rPr>
              <w:t>and Other</w:t>
            </w: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277"/>
              <w:spacing w:after="0"/>
              <w:rPr>
                <w:sz w:val="20"/>
                <w:szCs w:val="20"/>
                <w:color w:val="auto"/>
              </w:rPr>
            </w:pPr>
            <w:r>
              <w:rPr>
                <w:rFonts w:ascii="Arial" w:cs="Arial" w:eastAsia="Arial" w:hAnsi="Arial"/>
                <w:sz w:val="13"/>
                <w:szCs w:val="13"/>
                <w:b w:val="1"/>
                <w:bCs w:val="1"/>
                <w:color w:val="auto"/>
              </w:rPr>
              <w:t>Elimination</w:t>
            </w: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b w:val="1"/>
                <w:bCs w:val="1"/>
                <w:color w:val="auto"/>
                <w:w w:val="96"/>
              </w:rPr>
              <w:t>Total Education</w:t>
            </w:r>
          </w:p>
        </w:tc>
        <w:tc>
          <w:tcPr>
            <w:tcW w:w="0" w:type="dxa"/>
            <w:vAlign w:val="bottom"/>
          </w:tcPr>
          <w:p>
            <w:pPr>
              <w:spacing w:after="0"/>
              <w:rPr>
                <w:sz w:val="1"/>
                <w:szCs w:val="1"/>
                <w:color w:val="auto"/>
              </w:rPr>
            </w:pPr>
          </w:p>
        </w:tc>
      </w:tr>
      <w:tr>
        <w:trPr>
          <w:trHeight w:val="178"/>
        </w:trPr>
        <w:tc>
          <w:tcPr>
            <w:tcW w:w="3360" w:type="dxa"/>
            <w:vAlign w:val="bottom"/>
          </w:tcPr>
          <w:p>
            <w:pPr>
              <w:ind w:left="20"/>
              <w:spacing w:after="0"/>
              <w:rPr>
                <w:sz w:val="20"/>
                <w:szCs w:val="20"/>
                <w:color w:val="auto"/>
              </w:rPr>
            </w:pPr>
            <w:r>
              <w:rPr>
                <w:rFonts w:ascii="Arial" w:cs="Arial" w:eastAsia="Arial" w:hAnsi="Arial"/>
                <w:sz w:val="13"/>
                <w:szCs w:val="13"/>
                <w:b w:val="1"/>
                <w:bCs w:val="1"/>
                <w:color w:val="auto"/>
              </w:rPr>
              <w:t>Operating Revenues</w:t>
            </w:r>
          </w:p>
        </w:tc>
        <w:tc>
          <w:tcPr>
            <w:tcW w:w="160" w:type="dxa"/>
            <w:vAlign w:val="bottom"/>
          </w:tcPr>
          <w:p>
            <w:pPr>
              <w:jc w:val="right"/>
              <w:ind w:right="17"/>
              <w:spacing w:after="0"/>
              <w:rPr>
                <w:sz w:val="20"/>
                <w:szCs w:val="20"/>
                <w:color w:val="auto"/>
              </w:rPr>
            </w:pPr>
            <w:r>
              <w:rPr>
                <w:rFonts w:ascii="Arial" w:cs="Arial" w:eastAsia="Arial" w:hAnsi="Arial"/>
                <w:sz w:val="13"/>
                <w:szCs w:val="13"/>
                <w:b w:val="1"/>
                <w:bCs w:val="1"/>
                <w:color w:val="auto"/>
                <w:w w:val="82"/>
              </w:rPr>
              <w:t>$</w:t>
            </w:r>
          </w:p>
        </w:tc>
        <w:tc>
          <w:tcPr>
            <w:tcW w:w="1100" w:type="dxa"/>
            <w:vAlign w:val="bottom"/>
          </w:tcPr>
          <w:p>
            <w:pPr>
              <w:jc w:val="right"/>
              <w:ind w:right="37"/>
              <w:spacing w:after="0"/>
              <w:rPr>
                <w:sz w:val="20"/>
                <w:szCs w:val="20"/>
                <w:color w:val="auto"/>
              </w:rPr>
            </w:pPr>
            <w:r>
              <w:rPr>
                <w:rFonts w:ascii="Arial" w:cs="Arial" w:eastAsia="Arial" w:hAnsi="Arial"/>
                <w:sz w:val="13"/>
                <w:szCs w:val="13"/>
                <w:b w:val="1"/>
                <w:bCs w:val="1"/>
                <w:color w:val="auto"/>
              </w:rPr>
              <w:t>261,256</w:t>
            </w:r>
          </w:p>
        </w:tc>
        <w:tc>
          <w:tcPr>
            <w:tcW w:w="500" w:type="dxa"/>
            <w:vAlign w:val="bottom"/>
          </w:tcPr>
          <w:p>
            <w:pPr>
              <w:jc w:val="right"/>
              <w:ind w:right="277"/>
              <w:spacing w:after="0"/>
              <w:rPr>
                <w:sz w:val="20"/>
                <w:szCs w:val="20"/>
                <w:color w:val="auto"/>
              </w:rPr>
            </w:pPr>
            <w:r>
              <w:rPr>
                <w:rFonts w:ascii="Arial" w:cs="Arial" w:eastAsia="Arial" w:hAnsi="Arial"/>
                <w:sz w:val="13"/>
                <w:szCs w:val="13"/>
                <w:b w:val="1"/>
                <w:bCs w:val="1"/>
                <w:color w:val="auto"/>
              </w:rPr>
              <w:t>$</w:t>
            </w:r>
          </w:p>
        </w:tc>
        <w:tc>
          <w:tcPr>
            <w:tcW w:w="800" w:type="dxa"/>
            <w:vAlign w:val="bottom"/>
          </w:tcPr>
          <w:p>
            <w:pPr>
              <w:jc w:val="right"/>
              <w:ind w:right="17"/>
              <w:spacing w:after="0"/>
              <w:rPr>
                <w:sz w:val="20"/>
                <w:szCs w:val="20"/>
                <w:color w:val="auto"/>
              </w:rPr>
            </w:pPr>
            <w:r>
              <w:rPr>
                <w:rFonts w:ascii="Arial" w:cs="Arial" w:eastAsia="Arial" w:hAnsi="Arial"/>
                <w:sz w:val="13"/>
                <w:szCs w:val="13"/>
                <w:b w:val="1"/>
                <w:bCs w:val="1"/>
                <w:color w:val="auto"/>
              </w:rPr>
              <w:t>88,487</w:t>
            </w:r>
          </w:p>
        </w:tc>
        <w:tc>
          <w:tcPr>
            <w:tcW w:w="22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1140" w:type="dxa"/>
            <w:vAlign w:val="bottom"/>
          </w:tcPr>
          <w:p>
            <w:pPr>
              <w:jc w:val="right"/>
              <w:ind w:right="17"/>
              <w:spacing w:after="0"/>
              <w:rPr>
                <w:sz w:val="20"/>
                <w:szCs w:val="20"/>
                <w:color w:val="auto"/>
              </w:rPr>
            </w:pPr>
            <w:r>
              <w:rPr>
                <w:rFonts w:ascii="Arial" w:cs="Arial" w:eastAsia="Arial" w:hAnsi="Arial"/>
                <w:sz w:val="13"/>
                <w:szCs w:val="13"/>
                <w:b w:val="1"/>
                <w:bCs w:val="1"/>
                <w:color w:val="auto"/>
              </w:rPr>
              <w:t>75,403</w:t>
            </w:r>
          </w:p>
        </w:tc>
        <w:tc>
          <w:tcPr>
            <w:tcW w:w="18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1180" w:type="dxa"/>
            <w:vAlign w:val="bottom"/>
          </w:tcPr>
          <w:p>
            <w:pPr>
              <w:jc w:val="right"/>
              <w:ind w:right="37"/>
              <w:spacing w:after="0"/>
              <w:rPr>
                <w:sz w:val="20"/>
                <w:szCs w:val="20"/>
                <w:color w:val="auto"/>
              </w:rPr>
            </w:pPr>
            <w:r>
              <w:rPr>
                <w:rFonts w:ascii="Arial" w:cs="Arial" w:eastAsia="Arial" w:hAnsi="Arial"/>
                <w:sz w:val="13"/>
                <w:szCs w:val="13"/>
                <w:b w:val="1"/>
                <w:bCs w:val="1"/>
                <w:color w:val="auto"/>
              </w:rPr>
              <w:t>12</w:t>
            </w:r>
          </w:p>
        </w:tc>
        <w:tc>
          <w:tcPr>
            <w:tcW w:w="22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1140" w:type="dxa"/>
            <w:vAlign w:val="bottom"/>
          </w:tcPr>
          <w:p>
            <w:pPr>
              <w:jc w:val="right"/>
              <w:ind w:right="17"/>
              <w:spacing w:after="0"/>
              <w:rPr>
                <w:sz w:val="20"/>
                <w:szCs w:val="20"/>
                <w:color w:val="auto"/>
              </w:rPr>
            </w:pPr>
            <w:r>
              <w:rPr>
                <w:rFonts w:ascii="Arial" w:cs="Arial" w:eastAsia="Arial" w:hAnsi="Arial"/>
                <w:sz w:val="13"/>
                <w:szCs w:val="13"/>
                <w:b w:val="1"/>
                <w:bCs w:val="1"/>
                <w:color w:val="auto"/>
              </w:rPr>
              <w:t>(427)</w:t>
            </w:r>
          </w:p>
        </w:tc>
        <w:tc>
          <w:tcPr>
            <w:tcW w:w="16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3"/>
                <w:szCs w:val="13"/>
                <w:b w:val="1"/>
                <w:bCs w:val="1"/>
                <w:color w:val="auto"/>
              </w:rPr>
              <w:t>424,731</w:t>
            </w:r>
          </w:p>
        </w:tc>
        <w:tc>
          <w:tcPr>
            <w:tcW w:w="0" w:type="dxa"/>
            <w:vAlign w:val="bottom"/>
          </w:tcPr>
          <w:p>
            <w:pPr>
              <w:spacing w:after="0"/>
              <w:rPr>
                <w:sz w:val="1"/>
                <w:szCs w:val="1"/>
                <w:color w:val="auto"/>
              </w:rPr>
            </w:pPr>
          </w:p>
        </w:tc>
      </w:tr>
      <w:tr>
        <w:trPr>
          <w:trHeight w:val="304"/>
        </w:trPr>
        <w:tc>
          <w:tcPr>
            <w:tcW w:w="3360" w:type="dxa"/>
            <w:vAlign w:val="bottom"/>
          </w:tcPr>
          <w:p>
            <w:pPr>
              <w:ind w:left="20"/>
              <w:spacing w:after="0"/>
              <w:rPr>
                <w:sz w:val="20"/>
                <w:szCs w:val="20"/>
                <w:color w:val="auto"/>
              </w:rPr>
            </w:pPr>
            <w:r>
              <w:rPr>
                <w:rFonts w:ascii="Arial" w:cs="Arial" w:eastAsia="Arial" w:hAnsi="Arial"/>
                <w:sz w:val="13"/>
                <w:szCs w:val="13"/>
                <w:i w:val="1"/>
                <w:iCs w:val="1"/>
                <w:color w:val="auto"/>
              </w:rPr>
              <w:t xml:space="preserve">Less: Significant Expenses </w:t>
            </w:r>
            <w:r>
              <w:rPr>
                <w:rFonts w:ascii="Arial" w:cs="Arial" w:eastAsia="Arial" w:hAnsi="Arial"/>
                <w:sz w:val="16"/>
                <w:szCs w:val="16"/>
                <w:i w:val="1"/>
                <w:iCs w:val="1"/>
                <w:color w:val="auto"/>
                <w:vertAlign w:val="superscript"/>
              </w:rPr>
              <w:t>(1)</w:t>
            </w: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3360" w:type="dxa"/>
            <w:vAlign w:val="bottom"/>
          </w:tcPr>
          <w:p>
            <w:pPr>
              <w:ind w:left="140"/>
              <w:spacing w:after="0"/>
              <w:rPr>
                <w:sz w:val="20"/>
                <w:szCs w:val="20"/>
                <w:color w:val="auto"/>
              </w:rPr>
            </w:pPr>
            <w:r>
              <w:rPr>
                <w:rFonts w:ascii="Arial" w:cs="Arial" w:eastAsia="Arial" w:hAnsi="Arial"/>
                <w:sz w:val="13"/>
                <w:szCs w:val="13"/>
                <w:color w:val="auto"/>
              </w:rPr>
              <w:t xml:space="preserve">Cost of Revenue </w:t>
            </w:r>
            <w:r>
              <w:rPr>
                <w:rFonts w:ascii="Arial" w:cs="Arial" w:eastAsia="Arial" w:hAnsi="Arial"/>
                <w:sz w:val="16"/>
                <w:szCs w:val="16"/>
                <w:color w:val="auto"/>
                <w:vertAlign w:val="superscript"/>
              </w:rPr>
              <w:t>(2)</w:t>
            </w:r>
          </w:p>
        </w:tc>
        <w:tc>
          <w:tcPr>
            <w:tcW w:w="160" w:type="dxa"/>
            <w:vAlign w:val="bottom"/>
          </w:tcPr>
          <w:p>
            <w:pPr>
              <w:spacing w:after="0"/>
              <w:rPr>
                <w:sz w:val="16"/>
                <w:szCs w:val="16"/>
                <w:color w:val="auto"/>
              </w:rPr>
            </w:pPr>
          </w:p>
        </w:tc>
        <w:tc>
          <w:tcPr>
            <w:tcW w:w="1100" w:type="dxa"/>
            <w:vAlign w:val="bottom"/>
          </w:tcPr>
          <w:p>
            <w:pPr>
              <w:jc w:val="right"/>
              <w:ind w:right="37"/>
              <w:spacing w:after="0"/>
              <w:rPr>
                <w:sz w:val="20"/>
                <w:szCs w:val="20"/>
                <w:color w:val="auto"/>
              </w:rPr>
            </w:pPr>
            <w:r>
              <w:rPr>
                <w:rFonts w:ascii="Arial" w:cs="Arial" w:eastAsia="Arial" w:hAnsi="Arial"/>
                <w:sz w:val="13"/>
                <w:szCs w:val="13"/>
                <w:b w:val="1"/>
                <w:bCs w:val="1"/>
                <w:color w:val="auto"/>
              </w:rPr>
              <w:t>88,097</w:t>
            </w:r>
          </w:p>
        </w:tc>
        <w:tc>
          <w:tcPr>
            <w:tcW w:w="500" w:type="dxa"/>
            <w:vAlign w:val="bottom"/>
          </w:tcPr>
          <w:p>
            <w:pPr>
              <w:spacing w:after="0"/>
              <w:rPr>
                <w:sz w:val="16"/>
                <w:szCs w:val="16"/>
                <w:color w:val="auto"/>
              </w:rPr>
            </w:pPr>
          </w:p>
        </w:tc>
        <w:tc>
          <w:tcPr>
            <w:tcW w:w="800" w:type="dxa"/>
            <w:vAlign w:val="bottom"/>
          </w:tcPr>
          <w:p>
            <w:pPr>
              <w:jc w:val="right"/>
              <w:ind w:right="17"/>
              <w:spacing w:after="0"/>
              <w:rPr>
                <w:sz w:val="20"/>
                <w:szCs w:val="20"/>
                <w:color w:val="auto"/>
              </w:rPr>
            </w:pPr>
            <w:r>
              <w:rPr>
                <w:rFonts w:ascii="Arial" w:cs="Arial" w:eastAsia="Arial" w:hAnsi="Arial"/>
                <w:sz w:val="13"/>
                <w:szCs w:val="13"/>
                <w:b w:val="1"/>
                <w:bCs w:val="1"/>
                <w:color w:val="auto"/>
              </w:rPr>
              <w:t>66,662</w:t>
            </w:r>
          </w:p>
        </w:tc>
        <w:tc>
          <w:tcPr>
            <w:tcW w:w="220" w:type="dxa"/>
            <w:vAlign w:val="bottom"/>
          </w:tcPr>
          <w:p>
            <w:pPr>
              <w:spacing w:after="0"/>
              <w:rPr>
                <w:sz w:val="16"/>
                <w:szCs w:val="16"/>
                <w:color w:val="auto"/>
              </w:rPr>
            </w:pPr>
          </w:p>
        </w:tc>
        <w:tc>
          <w:tcPr>
            <w:tcW w:w="1140" w:type="dxa"/>
            <w:vAlign w:val="bottom"/>
          </w:tcPr>
          <w:p>
            <w:pPr>
              <w:jc w:val="right"/>
              <w:ind w:right="17"/>
              <w:spacing w:after="0"/>
              <w:rPr>
                <w:sz w:val="20"/>
                <w:szCs w:val="20"/>
                <w:color w:val="auto"/>
              </w:rPr>
            </w:pPr>
            <w:r>
              <w:rPr>
                <w:rFonts w:ascii="Arial" w:cs="Arial" w:eastAsia="Arial" w:hAnsi="Arial"/>
                <w:sz w:val="13"/>
                <w:szCs w:val="13"/>
                <w:b w:val="1"/>
                <w:bCs w:val="1"/>
                <w:color w:val="auto"/>
              </w:rPr>
              <w:t>11,755</w:t>
            </w: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jc w:val="right"/>
              <w:ind w:right="17"/>
              <w:spacing w:after="0"/>
              <w:rPr>
                <w:sz w:val="20"/>
                <w:szCs w:val="20"/>
                <w:color w:val="auto"/>
              </w:rPr>
            </w:pPr>
            <w:r>
              <w:rPr>
                <w:rFonts w:ascii="Arial" w:cs="Arial" w:eastAsia="Arial" w:hAnsi="Arial"/>
                <w:sz w:val="13"/>
                <w:szCs w:val="13"/>
                <w:b w:val="1"/>
                <w:bCs w:val="1"/>
                <w:color w:val="auto"/>
              </w:rPr>
              <w:t>(427)</w:t>
            </w:r>
          </w:p>
        </w:tc>
        <w:tc>
          <w:tcPr>
            <w:tcW w:w="1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3"/>
                <w:szCs w:val="13"/>
                <w:b w:val="1"/>
                <w:bCs w:val="1"/>
                <w:color w:val="auto"/>
              </w:rPr>
              <w:t>166,087</w:t>
            </w:r>
          </w:p>
        </w:tc>
        <w:tc>
          <w:tcPr>
            <w:tcW w:w="0" w:type="dxa"/>
            <w:vAlign w:val="bottom"/>
          </w:tcPr>
          <w:p>
            <w:pPr>
              <w:spacing w:after="0"/>
              <w:rPr>
                <w:sz w:val="1"/>
                <w:szCs w:val="1"/>
                <w:color w:val="auto"/>
              </w:rPr>
            </w:pPr>
          </w:p>
        </w:tc>
      </w:tr>
      <w:tr>
        <w:trPr>
          <w:trHeight w:val="199"/>
        </w:trPr>
        <w:tc>
          <w:tcPr>
            <w:tcW w:w="3360" w:type="dxa"/>
            <w:vAlign w:val="bottom"/>
          </w:tcPr>
          <w:p>
            <w:pPr>
              <w:ind w:left="140"/>
              <w:spacing w:after="0"/>
              <w:rPr>
                <w:sz w:val="20"/>
                <w:szCs w:val="20"/>
                <w:color w:val="auto"/>
              </w:rPr>
            </w:pPr>
            <w:r>
              <w:rPr>
                <w:rFonts w:ascii="Arial" w:cs="Arial" w:eastAsia="Arial" w:hAnsi="Arial"/>
                <w:sz w:val="13"/>
                <w:szCs w:val="13"/>
                <w:color w:val="auto"/>
              </w:rPr>
              <w:t xml:space="preserve">Payroll and Fringe Benefits Expense </w:t>
            </w:r>
            <w:r>
              <w:rPr>
                <w:rFonts w:ascii="Arial" w:cs="Arial" w:eastAsia="Arial" w:hAnsi="Arial"/>
                <w:sz w:val="16"/>
                <w:szCs w:val="16"/>
                <w:color w:val="auto"/>
                <w:vertAlign w:val="superscript"/>
              </w:rPr>
              <w:t>(3)</w:t>
            </w:r>
          </w:p>
        </w:tc>
        <w:tc>
          <w:tcPr>
            <w:tcW w:w="160" w:type="dxa"/>
            <w:vAlign w:val="bottom"/>
          </w:tcPr>
          <w:p>
            <w:pPr>
              <w:spacing w:after="0"/>
              <w:rPr>
                <w:sz w:val="17"/>
                <w:szCs w:val="17"/>
                <w:color w:val="auto"/>
              </w:rPr>
            </w:pPr>
          </w:p>
        </w:tc>
        <w:tc>
          <w:tcPr>
            <w:tcW w:w="1100" w:type="dxa"/>
            <w:vAlign w:val="bottom"/>
          </w:tcPr>
          <w:p>
            <w:pPr>
              <w:jc w:val="right"/>
              <w:ind w:right="37"/>
              <w:spacing w:after="0"/>
              <w:rPr>
                <w:sz w:val="20"/>
                <w:szCs w:val="20"/>
                <w:color w:val="auto"/>
              </w:rPr>
            </w:pPr>
            <w:r>
              <w:rPr>
                <w:rFonts w:ascii="Arial" w:cs="Arial" w:eastAsia="Arial" w:hAnsi="Arial"/>
                <w:sz w:val="13"/>
                <w:szCs w:val="13"/>
                <w:b w:val="1"/>
                <w:bCs w:val="1"/>
                <w:color w:val="auto"/>
              </w:rPr>
              <w:t>70,666</w:t>
            </w:r>
          </w:p>
        </w:tc>
        <w:tc>
          <w:tcPr>
            <w:tcW w:w="500" w:type="dxa"/>
            <w:vAlign w:val="bottom"/>
          </w:tcPr>
          <w:p>
            <w:pPr>
              <w:spacing w:after="0"/>
              <w:rPr>
                <w:sz w:val="17"/>
                <w:szCs w:val="17"/>
                <w:color w:val="auto"/>
              </w:rPr>
            </w:pPr>
          </w:p>
        </w:tc>
        <w:tc>
          <w:tcPr>
            <w:tcW w:w="800" w:type="dxa"/>
            <w:vAlign w:val="bottom"/>
          </w:tcPr>
          <w:p>
            <w:pPr>
              <w:jc w:val="right"/>
              <w:ind w:right="17"/>
              <w:spacing w:after="0"/>
              <w:rPr>
                <w:sz w:val="20"/>
                <w:szCs w:val="20"/>
                <w:color w:val="auto"/>
              </w:rPr>
            </w:pPr>
            <w:r>
              <w:rPr>
                <w:rFonts w:ascii="Arial" w:cs="Arial" w:eastAsia="Arial" w:hAnsi="Arial"/>
                <w:sz w:val="13"/>
                <w:szCs w:val="13"/>
                <w:b w:val="1"/>
                <w:bCs w:val="1"/>
                <w:color w:val="auto"/>
              </w:rPr>
              <w:t>4,477</w:t>
            </w:r>
          </w:p>
        </w:tc>
        <w:tc>
          <w:tcPr>
            <w:tcW w:w="220" w:type="dxa"/>
            <w:vAlign w:val="bottom"/>
          </w:tcPr>
          <w:p>
            <w:pPr>
              <w:spacing w:after="0"/>
              <w:rPr>
                <w:sz w:val="17"/>
                <w:szCs w:val="17"/>
                <w:color w:val="auto"/>
              </w:rPr>
            </w:pPr>
          </w:p>
        </w:tc>
        <w:tc>
          <w:tcPr>
            <w:tcW w:w="1140" w:type="dxa"/>
            <w:vAlign w:val="bottom"/>
          </w:tcPr>
          <w:p>
            <w:pPr>
              <w:jc w:val="right"/>
              <w:ind w:right="17"/>
              <w:spacing w:after="0"/>
              <w:rPr>
                <w:sz w:val="20"/>
                <w:szCs w:val="20"/>
                <w:color w:val="auto"/>
              </w:rPr>
            </w:pPr>
            <w:r>
              <w:rPr>
                <w:rFonts w:ascii="Arial" w:cs="Arial" w:eastAsia="Arial" w:hAnsi="Arial"/>
                <w:sz w:val="13"/>
                <w:szCs w:val="13"/>
                <w:b w:val="1"/>
                <w:bCs w:val="1"/>
                <w:color w:val="auto"/>
              </w:rPr>
              <w:t>33,167</w:t>
            </w:r>
          </w:p>
        </w:tc>
        <w:tc>
          <w:tcPr>
            <w:tcW w:w="180" w:type="dxa"/>
            <w:vAlign w:val="bottom"/>
          </w:tcPr>
          <w:p>
            <w:pPr>
              <w:spacing w:after="0"/>
              <w:rPr>
                <w:sz w:val="17"/>
                <w:szCs w:val="17"/>
                <w:color w:val="auto"/>
              </w:rPr>
            </w:pPr>
          </w:p>
        </w:tc>
        <w:tc>
          <w:tcPr>
            <w:tcW w:w="1180" w:type="dxa"/>
            <w:vAlign w:val="bottom"/>
          </w:tcPr>
          <w:p>
            <w:pPr>
              <w:jc w:val="right"/>
              <w:ind w:right="37"/>
              <w:spacing w:after="0"/>
              <w:rPr>
                <w:sz w:val="20"/>
                <w:szCs w:val="20"/>
                <w:color w:val="auto"/>
              </w:rPr>
            </w:pPr>
            <w:r>
              <w:rPr>
                <w:rFonts w:ascii="Arial" w:cs="Arial" w:eastAsia="Arial" w:hAnsi="Arial"/>
                <w:sz w:val="13"/>
                <w:szCs w:val="13"/>
                <w:b w:val="1"/>
                <w:bCs w:val="1"/>
                <w:color w:val="auto"/>
              </w:rPr>
              <w:t>5,010</w:t>
            </w: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3"/>
                <w:szCs w:val="13"/>
                <w:b w:val="1"/>
                <w:bCs w:val="1"/>
                <w:color w:val="auto"/>
              </w:rPr>
              <w:t>113,320</w:t>
            </w:r>
          </w:p>
        </w:tc>
        <w:tc>
          <w:tcPr>
            <w:tcW w:w="0" w:type="dxa"/>
            <w:vAlign w:val="bottom"/>
          </w:tcPr>
          <w:p>
            <w:pPr>
              <w:spacing w:after="0"/>
              <w:rPr>
                <w:sz w:val="1"/>
                <w:szCs w:val="1"/>
                <w:color w:val="auto"/>
              </w:rPr>
            </w:pPr>
          </w:p>
        </w:tc>
      </w:tr>
      <w:tr>
        <w:trPr>
          <w:trHeight w:val="172"/>
        </w:trPr>
        <w:tc>
          <w:tcPr>
            <w:tcW w:w="3360" w:type="dxa"/>
            <w:vAlign w:val="bottom"/>
          </w:tcPr>
          <w:p>
            <w:pPr>
              <w:ind w:left="140"/>
              <w:spacing w:after="0"/>
              <w:rPr>
                <w:sz w:val="20"/>
                <w:szCs w:val="20"/>
                <w:color w:val="auto"/>
              </w:rPr>
            </w:pPr>
            <w:r>
              <w:rPr>
                <w:rFonts w:ascii="Arial" w:cs="Arial" w:eastAsia="Arial" w:hAnsi="Arial"/>
                <w:sz w:val="13"/>
                <w:szCs w:val="13"/>
                <w:color w:val="auto"/>
              </w:rPr>
              <w:t>Occupancy Expense</w:t>
            </w:r>
          </w:p>
        </w:tc>
        <w:tc>
          <w:tcPr>
            <w:tcW w:w="160" w:type="dxa"/>
            <w:vAlign w:val="bottom"/>
          </w:tcPr>
          <w:p>
            <w:pPr>
              <w:spacing w:after="0"/>
              <w:rPr>
                <w:sz w:val="14"/>
                <w:szCs w:val="14"/>
                <w:color w:val="auto"/>
              </w:rPr>
            </w:pPr>
          </w:p>
        </w:tc>
        <w:tc>
          <w:tcPr>
            <w:tcW w:w="1100" w:type="dxa"/>
            <w:vAlign w:val="bottom"/>
          </w:tcPr>
          <w:p>
            <w:pPr>
              <w:jc w:val="right"/>
              <w:ind w:right="37"/>
              <w:spacing w:after="0"/>
              <w:rPr>
                <w:sz w:val="20"/>
                <w:szCs w:val="20"/>
                <w:color w:val="auto"/>
              </w:rPr>
            </w:pPr>
            <w:r>
              <w:rPr>
                <w:rFonts w:ascii="Arial" w:cs="Arial" w:eastAsia="Arial" w:hAnsi="Arial"/>
                <w:sz w:val="13"/>
                <w:szCs w:val="13"/>
                <w:b w:val="1"/>
                <w:bCs w:val="1"/>
                <w:color w:val="auto"/>
              </w:rPr>
              <w:t>27,025</w:t>
            </w:r>
          </w:p>
        </w:tc>
        <w:tc>
          <w:tcPr>
            <w:tcW w:w="500" w:type="dxa"/>
            <w:vAlign w:val="bottom"/>
          </w:tcPr>
          <w:p>
            <w:pPr>
              <w:spacing w:after="0"/>
              <w:rPr>
                <w:sz w:val="14"/>
                <w:szCs w:val="14"/>
                <w:color w:val="auto"/>
              </w:rPr>
            </w:pPr>
          </w:p>
        </w:tc>
        <w:tc>
          <w:tcPr>
            <w:tcW w:w="800" w:type="dxa"/>
            <w:vAlign w:val="bottom"/>
          </w:tcPr>
          <w:p>
            <w:pPr>
              <w:jc w:val="right"/>
              <w:ind w:right="17"/>
              <w:spacing w:after="0"/>
              <w:rPr>
                <w:sz w:val="20"/>
                <w:szCs w:val="20"/>
                <w:color w:val="auto"/>
              </w:rPr>
            </w:pPr>
            <w:r>
              <w:rPr>
                <w:rFonts w:ascii="Arial" w:cs="Arial" w:eastAsia="Arial" w:hAnsi="Arial"/>
                <w:sz w:val="13"/>
                <w:szCs w:val="13"/>
                <w:b w:val="1"/>
                <w:bCs w:val="1"/>
                <w:color w:val="auto"/>
              </w:rPr>
              <w:t>176</w:t>
            </w:r>
          </w:p>
        </w:tc>
        <w:tc>
          <w:tcPr>
            <w:tcW w:w="220" w:type="dxa"/>
            <w:vAlign w:val="bottom"/>
          </w:tcPr>
          <w:p>
            <w:pPr>
              <w:spacing w:after="0"/>
              <w:rPr>
                <w:sz w:val="14"/>
                <w:szCs w:val="14"/>
                <w:color w:val="auto"/>
              </w:rPr>
            </w:pPr>
          </w:p>
        </w:tc>
        <w:tc>
          <w:tcPr>
            <w:tcW w:w="1140" w:type="dxa"/>
            <w:vAlign w:val="bottom"/>
          </w:tcPr>
          <w:p>
            <w:pPr>
              <w:jc w:val="right"/>
              <w:ind w:right="17"/>
              <w:spacing w:after="0"/>
              <w:rPr>
                <w:sz w:val="20"/>
                <w:szCs w:val="20"/>
                <w:color w:val="auto"/>
              </w:rPr>
            </w:pPr>
            <w:r>
              <w:rPr>
                <w:rFonts w:ascii="Arial" w:cs="Arial" w:eastAsia="Arial" w:hAnsi="Arial"/>
                <w:sz w:val="13"/>
                <w:szCs w:val="13"/>
                <w:b w:val="1"/>
                <w:bCs w:val="1"/>
                <w:color w:val="auto"/>
              </w:rPr>
              <w:t>658</w:t>
            </w:r>
          </w:p>
        </w:tc>
        <w:tc>
          <w:tcPr>
            <w:tcW w:w="180" w:type="dxa"/>
            <w:vAlign w:val="bottom"/>
          </w:tcPr>
          <w:p>
            <w:pPr>
              <w:spacing w:after="0"/>
              <w:rPr>
                <w:sz w:val="14"/>
                <w:szCs w:val="14"/>
                <w:color w:val="auto"/>
              </w:rPr>
            </w:pPr>
          </w:p>
        </w:tc>
        <w:tc>
          <w:tcPr>
            <w:tcW w:w="1180" w:type="dxa"/>
            <w:vAlign w:val="bottom"/>
          </w:tcPr>
          <w:p>
            <w:pPr>
              <w:jc w:val="right"/>
              <w:ind w:right="37"/>
              <w:spacing w:after="0"/>
              <w:rPr>
                <w:sz w:val="20"/>
                <w:szCs w:val="20"/>
                <w:color w:val="auto"/>
              </w:rPr>
            </w:pPr>
            <w:r>
              <w:rPr>
                <w:rFonts w:ascii="Arial" w:cs="Arial" w:eastAsia="Arial" w:hAnsi="Arial"/>
                <w:sz w:val="13"/>
                <w:szCs w:val="13"/>
                <w:b w:val="1"/>
                <w:bCs w:val="1"/>
                <w:color w:val="auto"/>
              </w:rPr>
              <w:t>63</w:t>
            </w: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b w:val="1"/>
                <w:bCs w:val="1"/>
                <w:color w:val="auto"/>
              </w:rPr>
              <w:t>27,922</w:t>
            </w:r>
          </w:p>
        </w:tc>
        <w:tc>
          <w:tcPr>
            <w:tcW w:w="0" w:type="dxa"/>
            <w:vAlign w:val="bottom"/>
          </w:tcPr>
          <w:p>
            <w:pPr>
              <w:spacing w:after="0"/>
              <w:rPr>
                <w:sz w:val="1"/>
                <w:szCs w:val="1"/>
                <w:color w:val="auto"/>
              </w:rPr>
            </w:pPr>
          </w:p>
        </w:tc>
      </w:tr>
      <w:tr>
        <w:trPr>
          <w:trHeight w:val="189"/>
        </w:trPr>
        <w:tc>
          <w:tcPr>
            <w:tcW w:w="3360" w:type="dxa"/>
            <w:vAlign w:val="bottom"/>
          </w:tcPr>
          <w:p>
            <w:pPr>
              <w:ind w:left="140"/>
              <w:spacing w:after="0"/>
              <w:rPr>
                <w:sz w:val="20"/>
                <w:szCs w:val="20"/>
                <w:color w:val="auto"/>
              </w:rPr>
            </w:pPr>
            <w:r>
              <w:rPr>
                <w:rFonts w:ascii="Arial" w:cs="Arial" w:eastAsia="Arial" w:hAnsi="Arial"/>
                <w:sz w:val="13"/>
                <w:szCs w:val="13"/>
                <w:color w:val="auto"/>
              </w:rPr>
              <w:t>Advertising and Marketing Expense</w:t>
            </w:r>
          </w:p>
        </w:tc>
        <w:tc>
          <w:tcPr>
            <w:tcW w:w="160" w:type="dxa"/>
            <w:vAlign w:val="bottom"/>
          </w:tcPr>
          <w:p>
            <w:pPr>
              <w:spacing w:after="0"/>
              <w:rPr>
                <w:sz w:val="16"/>
                <w:szCs w:val="16"/>
                <w:color w:val="auto"/>
              </w:rPr>
            </w:pPr>
          </w:p>
        </w:tc>
        <w:tc>
          <w:tcPr>
            <w:tcW w:w="1100" w:type="dxa"/>
            <w:vAlign w:val="bottom"/>
          </w:tcPr>
          <w:p>
            <w:pPr>
              <w:jc w:val="right"/>
              <w:ind w:right="37"/>
              <w:spacing w:after="0"/>
              <w:rPr>
                <w:sz w:val="20"/>
                <w:szCs w:val="20"/>
                <w:color w:val="auto"/>
              </w:rPr>
            </w:pPr>
            <w:r>
              <w:rPr>
                <w:rFonts w:ascii="Arial" w:cs="Arial" w:eastAsia="Arial" w:hAnsi="Arial"/>
                <w:sz w:val="13"/>
                <w:szCs w:val="13"/>
                <w:b w:val="1"/>
                <w:bCs w:val="1"/>
                <w:color w:val="auto"/>
              </w:rPr>
              <w:t>8,185</w:t>
            </w:r>
          </w:p>
        </w:tc>
        <w:tc>
          <w:tcPr>
            <w:tcW w:w="500" w:type="dxa"/>
            <w:vAlign w:val="bottom"/>
          </w:tcPr>
          <w:p>
            <w:pPr>
              <w:spacing w:after="0"/>
              <w:rPr>
                <w:sz w:val="16"/>
                <w:szCs w:val="16"/>
                <w:color w:val="auto"/>
              </w:rPr>
            </w:pPr>
          </w:p>
        </w:tc>
        <w:tc>
          <w:tcPr>
            <w:tcW w:w="800" w:type="dxa"/>
            <w:vAlign w:val="bottom"/>
          </w:tcPr>
          <w:p>
            <w:pPr>
              <w:jc w:val="right"/>
              <w:ind w:right="17"/>
              <w:spacing w:after="0"/>
              <w:rPr>
                <w:sz w:val="20"/>
                <w:szCs w:val="20"/>
                <w:color w:val="auto"/>
              </w:rPr>
            </w:pPr>
            <w:r>
              <w:rPr>
                <w:rFonts w:ascii="Arial" w:cs="Arial" w:eastAsia="Arial" w:hAnsi="Arial"/>
                <w:sz w:val="13"/>
                <w:szCs w:val="13"/>
                <w:b w:val="1"/>
                <w:bCs w:val="1"/>
                <w:color w:val="auto"/>
              </w:rPr>
              <w:t>1,877</w:t>
            </w:r>
          </w:p>
        </w:tc>
        <w:tc>
          <w:tcPr>
            <w:tcW w:w="220" w:type="dxa"/>
            <w:vAlign w:val="bottom"/>
          </w:tcPr>
          <w:p>
            <w:pPr>
              <w:spacing w:after="0"/>
              <w:rPr>
                <w:sz w:val="16"/>
                <w:szCs w:val="16"/>
                <w:color w:val="auto"/>
              </w:rPr>
            </w:pPr>
          </w:p>
        </w:tc>
        <w:tc>
          <w:tcPr>
            <w:tcW w:w="1140" w:type="dxa"/>
            <w:vAlign w:val="bottom"/>
          </w:tcPr>
          <w:p>
            <w:pPr>
              <w:jc w:val="right"/>
              <w:ind w:right="17"/>
              <w:spacing w:after="0"/>
              <w:rPr>
                <w:sz w:val="20"/>
                <w:szCs w:val="20"/>
                <w:color w:val="auto"/>
              </w:rPr>
            </w:pPr>
            <w:r>
              <w:rPr>
                <w:rFonts w:ascii="Arial" w:cs="Arial" w:eastAsia="Arial" w:hAnsi="Arial"/>
                <w:sz w:val="13"/>
                <w:szCs w:val="13"/>
                <w:b w:val="1"/>
                <w:bCs w:val="1"/>
                <w:color w:val="auto"/>
              </w:rPr>
              <w:t>9,030</w:t>
            </w:r>
          </w:p>
        </w:tc>
        <w:tc>
          <w:tcPr>
            <w:tcW w:w="180" w:type="dxa"/>
            <w:vAlign w:val="bottom"/>
          </w:tcPr>
          <w:p>
            <w:pPr>
              <w:spacing w:after="0"/>
              <w:rPr>
                <w:sz w:val="16"/>
                <w:szCs w:val="16"/>
                <w:color w:val="auto"/>
              </w:rPr>
            </w:pPr>
          </w:p>
        </w:tc>
        <w:tc>
          <w:tcPr>
            <w:tcW w:w="1180" w:type="dxa"/>
            <w:vAlign w:val="bottom"/>
          </w:tcPr>
          <w:p>
            <w:pPr>
              <w:jc w:val="right"/>
              <w:ind w:right="37"/>
              <w:spacing w:after="0"/>
              <w:rPr>
                <w:sz w:val="20"/>
                <w:szCs w:val="20"/>
                <w:color w:val="auto"/>
              </w:rPr>
            </w:pPr>
            <w:r>
              <w:rPr>
                <w:rFonts w:ascii="Arial" w:cs="Arial" w:eastAsia="Arial" w:hAnsi="Arial"/>
                <w:sz w:val="13"/>
                <w:szCs w:val="13"/>
                <w:b w:val="1"/>
                <w:bCs w:val="1"/>
                <w:color w:val="auto"/>
              </w:rPr>
              <w:t>128</w:t>
            </w: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3"/>
                <w:szCs w:val="13"/>
                <w:b w:val="1"/>
                <w:bCs w:val="1"/>
                <w:color w:val="auto"/>
              </w:rPr>
              <w:t>19,220</w:t>
            </w:r>
          </w:p>
        </w:tc>
        <w:tc>
          <w:tcPr>
            <w:tcW w:w="0" w:type="dxa"/>
            <w:vAlign w:val="bottom"/>
          </w:tcPr>
          <w:p>
            <w:pPr>
              <w:spacing w:after="0"/>
              <w:rPr>
                <w:sz w:val="1"/>
                <w:szCs w:val="1"/>
                <w:color w:val="auto"/>
              </w:rPr>
            </w:pPr>
          </w:p>
        </w:tc>
      </w:tr>
      <w:tr>
        <w:trPr>
          <w:trHeight w:val="197"/>
        </w:trPr>
        <w:tc>
          <w:tcPr>
            <w:tcW w:w="3360" w:type="dxa"/>
            <w:vAlign w:val="bottom"/>
          </w:tcPr>
          <w:p>
            <w:pPr>
              <w:ind w:left="140"/>
              <w:spacing w:after="0"/>
              <w:rPr>
                <w:sz w:val="20"/>
                <w:szCs w:val="20"/>
                <w:color w:val="auto"/>
              </w:rPr>
            </w:pPr>
            <w:r>
              <w:rPr>
                <w:rFonts w:ascii="Arial" w:cs="Arial" w:eastAsia="Arial" w:hAnsi="Arial"/>
                <w:sz w:val="13"/>
                <w:szCs w:val="13"/>
                <w:color w:val="auto"/>
              </w:rPr>
              <w:t xml:space="preserve">Other Segment Items </w:t>
            </w:r>
            <w:r>
              <w:rPr>
                <w:rFonts w:ascii="Arial" w:cs="Arial" w:eastAsia="Arial" w:hAnsi="Arial"/>
                <w:sz w:val="16"/>
                <w:szCs w:val="16"/>
                <w:color w:val="auto"/>
                <w:vertAlign w:val="superscript"/>
              </w:rPr>
              <w:t>(4)</w:t>
            </w: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30,532</w:t>
            </w:r>
          </w:p>
        </w:tc>
        <w:tc>
          <w:tcPr>
            <w:tcW w:w="5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b w:val="1"/>
                <w:bCs w:val="1"/>
                <w:color w:val="auto"/>
              </w:rPr>
              <w:t>224</w:t>
            </w:r>
          </w:p>
        </w:tc>
        <w:tc>
          <w:tcPr>
            <w:tcW w:w="2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b w:val="1"/>
                <w:bCs w:val="1"/>
                <w:color w:val="auto"/>
              </w:rPr>
              <w:t>12,185</w:t>
            </w:r>
          </w:p>
        </w:tc>
        <w:tc>
          <w:tcPr>
            <w:tcW w:w="1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1,065</w:t>
            </w:r>
          </w:p>
        </w:tc>
        <w:tc>
          <w:tcPr>
            <w:tcW w:w="2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b w:val="1"/>
                <w:bCs w:val="1"/>
                <w:color w:val="auto"/>
              </w:rPr>
              <w:t>37</w:t>
            </w: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44,043</w:t>
            </w:r>
          </w:p>
        </w:tc>
        <w:tc>
          <w:tcPr>
            <w:tcW w:w="0" w:type="dxa"/>
            <w:vAlign w:val="bottom"/>
          </w:tcPr>
          <w:p>
            <w:pPr>
              <w:spacing w:after="0"/>
              <w:rPr>
                <w:sz w:val="1"/>
                <w:szCs w:val="1"/>
                <w:color w:val="auto"/>
              </w:rPr>
            </w:pPr>
          </w:p>
        </w:tc>
      </w:tr>
      <w:tr>
        <w:trPr>
          <w:trHeight w:val="178"/>
        </w:trPr>
        <w:tc>
          <w:tcPr>
            <w:tcW w:w="3360" w:type="dxa"/>
            <w:vAlign w:val="bottom"/>
          </w:tcPr>
          <w:p>
            <w:pPr>
              <w:ind w:left="20"/>
              <w:spacing w:after="0"/>
              <w:rPr>
                <w:sz w:val="20"/>
                <w:szCs w:val="20"/>
                <w:color w:val="auto"/>
              </w:rPr>
            </w:pPr>
            <w:r>
              <w:rPr>
                <w:rFonts w:ascii="Arial" w:cs="Arial" w:eastAsia="Arial" w:hAnsi="Arial"/>
                <w:sz w:val="13"/>
                <w:szCs w:val="13"/>
                <w:b w:val="1"/>
                <w:bCs w:val="1"/>
                <w:color w:val="auto"/>
              </w:rPr>
              <w:t>EBITDAP</w:t>
            </w:r>
          </w:p>
        </w:tc>
        <w:tc>
          <w:tcPr>
            <w:tcW w:w="16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b w:val="1"/>
                <w:bCs w:val="1"/>
                <w:color w:val="auto"/>
                <w:w w:val="82"/>
              </w:rPr>
              <w:t>$</w:t>
            </w:r>
          </w:p>
        </w:tc>
        <w:tc>
          <w:tcPr>
            <w:tcW w:w="11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36,751</w:t>
            </w:r>
          </w:p>
        </w:tc>
        <w:tc>
          <w:tcPr>
            <w:tcW w:w="500" w:type="dxa"/>
            <w:vAlign w:val="bottom"/>
            <w:tcBorders>
              <w:bottom w:val="single" w:sz="8" w:color="auto"/>
            </w:tcBorders>
          </w:tcPr>
          <w:p>
            <w:pPr>
              <w:jc w:val="right"/>
              <w:ind w:right="277"/>
              <w:spacing w:after="0"/>
              <w:rPr>
                <w:sz w:val="20"/>
                <w:szCs w:val="20"/>
                <w:color w:val="auto"/>
              </w:rPr>
            </w:pPr>
            <w:r>
              <w:rPr>
                <w:rFonts w:ascii="Arial" w:cs="Arial" w:eastAsia="Arial" w:hAnsi="Arial"/>
                <w:sz w:val="13"/>
                <w:szCs w:val="13"/>
                <w:b w:val="1"/>
                <w:bCs w:val="1"/>
                <w:color w:val="auto"/>
              </w:rPr>
              <w:t>$</w:t>
            </w:r>
          </w:p>
        </w:tc>
        <w:tc>
          <w:tcPr>
            <w:tcW w:w="80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b w:val="1"/>
                <w:bCs w:val="1"/>
                <w:color w:val="auto"/>
              </w:rPr>
              <w:t>15,071</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114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b w:val="1"/>
                <w:bCs w:val="1"/>
                <w:color w:val="auto"/>
              </w:rPr>
              <w:t>8,608</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118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b w:val="1"/>
                <w:bCs w:val="1"/>
                <w:color w:val="auto"/>
              </w:rPr>
              <w:t>(6,254)</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114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b w:val="1"/>
                <w:bCs w:val="1"/>
                <w:color w:val="auto"/>
              </w:rPr>
              <w:t>(37)</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54,139</w:t>
            </w:r>
          </w:p>
        </w:tc>
        <w:tc>
          <w:tcPr>
            <w:tcW w:w="0" w:type="dxa"/>
            <w:vAlign w:val="bottom"/>
          </w:tcPr>
          <w:p>
            <w:pPr>
              <w:spacing w:after="0"/>
              <w:rPr>
                <w:sz w:val="1"/>
                <w:szCs w:val="1"/>
                <w:color w:val="auto"/>
              </w:rPr>
            </w:pPr>
          </w:p>
        </w:tc>
      </w:tr>
      <w:tr>
        <w:trPr>
          <w:trHeight w:val="313"/>
        </w:trPr>
        <w:tc>
          <w:tcPr>
            <w:tcW w:w="3360" w:type="dxa"/>
            <w:vAlign w:val="bottom"/>
          </w:tcPr>
          <w:p>
            <w:pPr>
              <w:ind w:left="20"/>
              <w:spacing w:after="0"/>
              <w:rPr>
                <w:sz w:val="20"/>
                <w:szCs w:val="20"/>
                <w:color w:val="auto"/>
              </w:rPr>
            </w:pPr>
            <w:r>
              <w:rPr>
                <w:rFonts w:ascii="Arial" w:cs="Arial" w:eastAsia="Arial" w:hAnsi="Arial"/>
                <w:sz w:val="13"/>
                <w:szCs w:val="13"/>
                <w:color w:val="auto"/>
              </w:rPr>
              <w:t>Pension Service Cost</w:t>
            </w:r>
          </w:p>
        </w:tc>
        <w:tc>
          <w:tcPr>
            <w:tcW w:w="160" w:type="dxa"/>
            <w:vAlign w:val="bottom"/>
          </w:tcPr>
          <w:p>
            <w:pPr>
              <w:spacing w:after="0"/>
              <w:rPr>
                <w:sz w:val="24"/>
                <w:szCs w:val="24"/>
                <w:color w:val="auto"/>
              </w:rPr>
            </w:pPr>
          </w:p>
        </w:tc>
        <w:tc>
          <w:tcPr>
            <w:tcW w:w="1100" w:type="dxa"/>
            <w:vAlign w:val="bottom"/>
          </w:tcPr>
          <w:p>
            <w:pPr>
              <w:jc w:val="right"/>
              <w:ind w:right="37"/>
              <w:spacing w:after="0"/>
              <w:rPr>
                <w:sz w:val="20"/>
                <w:szCs w:val="20"/>
                <w:color w:val="auto"/>
              </w:rPr>
            </w:pPr>
            <w:r>
              <w:rPr>
                <w:rFonts w:ascii="Arial" w:cs="Arial" w:eastAsia="Arial" w:hAnsi="Arial"/>
                <w:sz w:val="13"/>
                <w:szCs w:val="13"/>
                <w:b w:val="1"/>
                <w:bCs w:val="1"/>
                <w:color w:val="auto"/>
              </w:rPr>
              <w:t>140</w:t>
            </w:r>
          </w:p>
        </w:tc>
        <w:tc>
          <w:tcPr>
            <w:tcW w:w="500" w:type="dxa"/>
            <w:vAlign w:val="bottom"/>
          </w:tcPr>
          <w:p>
            <w:pPr>
              <w:spacing w:after="0"/>
              <w:rPr>
                <w:sz w:val="24"/>
                <w:szCs w:val="24"/>
                <w:color w:val="auto"/>
              </w:rPr>
            </w:pPr>
          </w:p>
        </w:tc>
        <w:tc>
          <w:tcPr>
            <w:tcW w:w="800" w:type="dxa"/>
            <w:vAlign w:val="bottom"/>
          </w:tcPr>
          <w:p>
            <w:pPr>
              <w:jc w:val="right"/>
              <w:ind w:right="17"/>
              <w:spacing w:after="0"/>
              <w:rPr>
                <w:sz w:val="20"/>
                <w:szCs w:val="20"/>
                <w:color w:val="auto"/>
              </w:rPr>
            </w:pPr>
            <w:r>
              <w:rPr>
                <w:rFonts w:ascii="Arial" w:cs="Arial" w:eastAsia="Arial" w:hAnsi="Arial"/>
                <w:sz w:val="13"/>
                <w:szCs w:val="13"/>
                <w:b w:val="1"/>
                <w:bCs w:val="1"/>
                <w:color w:val="auto"/>
              </w:rPr>
              <w:t>1,808</w:t>
            </w:r>
          </w:p>
        </w:tc>
        <w:tc>
          <w:tcPr>
            <w:tcW w:w="220" w:type="dxa"/>
            <w:vAlign w:val="bottom"/>
          </w:tcPr>
          <w:p>
            <w:pPr>
              <w:spacing w:after="0"/>
              <w:rPr>
                <w:sz w:val="24"/>
                <w:szCs w:val="24"/>
                <w:color w:val="auto"/>
              </w:rPr>
            </w:pPr>
          </w:p>
        </w:tc>
        <w:tc>
          <w:tcPr>
            <w:tcW w:w="1140" w:type="dxa"/>
            <w:vAlign w:val="bottom"/>
          </w:tcPr>
          <w:p>
            <w:pPr>
              <w:jc w:val="right"/>
              <w:ind w:right="17"/>
              <w:spacing w:after="0"/>
              <w:rPr>
                <w:sz w:val="20"/>
                <w:szCs w:val="20"/>
                <w:color w:val="auto"/>
              </w:rPr>
            </w:pPr>
            <w:r>
              <w:rPr>
                <w:rFonts w:ascii="Arial" w:cs="Arial" w:eastAsia="Arial" w:hAnsi="Arial"/>
                <w:sz w:val="13"/>
                <w:szCs w:val="13"/>
                <w:b w:val="1"/>
                <w:bCs w:val="1"/>
                <w:color w:val="auto"/>
              </w:rPr>
              <w:t>1,887</w:t>
            </w:r>
          </w:p>
        </w:tc>
        <w:tc>
          <w:tcPr>
            <w:tcW w:w="180" w:type="dxa"/>
            <w:vAlign w:val="bottom"/>
          </w:tcPr>
          <w:p>
            <w:pPr>
              <w:spacing w:after="0"/>
              <w:rPr>
                <w:sz w:val="24"/>
                <w:szCs w:val="24"/>
                <w:color w:val="auto"/>
              </w:rPr>
            </w:pPr>
          </w:p>
        </w:tc>
        <w:tc>
          <w:tcPr>
            <w:tcW w:w="1180" w:type="dxa"/>
            <w:vAlign w:val="bottom"/>
          </w:tcPr>
          <w:p>
            <w:pPr>
              <w:jc w:val="right"/>
              <w:ind w:right="37"/>
              <w:spacing w:after="0"/>
              <w:rPr>
                <w:sz w:val="20"/>
                <w:szCs w:val="20"/>
                <w:color w:val="auto"/>
              </w:rPr>
            </w:pPr>
            <w:r>
              <w:rPr>
                <w:rFonts w:ascii="Arial" w:cs="Arial" w:eastAsia="Arial" w:hAnsi="Arial"/>
                <w:sz w:val="13"/>
                <w:szCs w:val="13"/>
                <w:b w:val="1"/>
                <w:bCs w:val="1"/>
                <w:color w:val="auto"/>
              </w:rPr>
              <w:t>388</w:t>
            </w: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3"/>
                <w:szCs w:val="13"/>
                <w:b w:val="1"/>
                <w:bCs w:val="1"/>
                <w:color w:val="auto"/>
              </w:rPr>
              <w:t>4,223</w:t>
            </w:r>
          </w:p>
        </w:tc>
        <w:tc>
          <w:tcPr>
            <w:tcW w:w="0" w:type="dxa"/>
            <w:vAlign w:val="bottom"/>
          </w:tcPr>
          <w:p>
            <w:pPr>
              <w:spacing w:after="0"/>
              <w:rPr>
                <w:sz w:val="1"/>
                <w:szCs w:val="1"/>
                <w:color w:val="auto"/>
              </w:rPr>
            </w:pPr>
          </w:p>
        </w:tc>
      </w:tr>
      <w:tr>
        <w:trPr>
          <w:trHeight w:val="189"/>
        </w:trPr>
        <w:tc>
          <w:tcPr>
            <w:tcW w:w="3360" w:type="dxa"/>
            <w:vAlign w:val="bottom"/>
          </w:tcPr>
          <w:p>
            <w:pPr>
              <w:ind w:left="20"/>
              <w:spacing w:after="0"/>
              <w:rPr>
                <w:sz w:val="20"/>
                <w:szCs w:val="20"/>
                <w:color w:val="auto"/>
              </w:rPr>
            </w:pPr>
            <w:r>
              <w:rPr>
                <w:rFonts w:ascii="Arial" w:cs="Arial" w:eastAsia="Arial" w:hAnsi="Arial"/>
                <w:sz w:val="13"/>
                <w:szCs w:val="13"/>
                <w:color w:val="auto"/>
              </w:rPr>
              <w:t>Depreciation Expense</w:t>
            </w:r>
          </w:p>
        </w:tc>
        <w:tc>
          <w:tcPr>
            <w:tcW w:w="160" w:type="dxa"/>
            <w:vAlign w:val="bottom"/>
          </w:tcPr>
          <w:p>
            <w:pPr>
              <w:spacing w:after="0"/>
              <w:rPr>
                <w:sz w:val="16"/>
                <w:szCs w:val="16"/>
                <w:color w:val="auto"/>
              </w:rPr>
            </w:pPr>
          </w:p>
        </w:tc>
        <w:tc>
          <w:tcPr>
            <w:tcW w:w="1100" w:type="dxa"/>
            <w:vAlign w:val="bottom"/>
          </w:tcPr>
          <w:p>
            <w:pPr>
              <w:jc w:val="right"/>
              <w:ind w:right="37"/>
              <w:spacing w:after="0"/>
              <w:rPr>
                <w:sz w:val="20"/>
                <w:szCs w:val="20"/>
                <w:color w:val="auto"/>
              </w:rPr>
            </w:pPr>
            <w:r>
              <w:rPr>
                <w:rFonts w:ascii="Arial" w:cs="Arial" w:eastAsia="Arial" w:hAnsi="Arial"/>
                <w:sz w:val="13"/>
                <w:szCs w:val="13"/>
                <w:b w:val="1"/>
                <w:bCs w:val="1"/>
                <w:color w:val="auto"/>
              </w:rPr>
              <w:t>6,549</w:t>
            </w:r>
          </w:p>
        </w:tc>
        <w:tc>
          <w:tcPr>
            <w:tcW w:w="500" w:type="dxa"/>
            <w:vAlign w:val="bottom"/>
          </w:tcPr>
          <w:p>
            <w:pPr>
              <w:spacing w:after="0"/>
              <w:rPr>
                <w:sz w:val="16"/>
                <w:szCs w:val="16"/>
                <w:color w:val="auto"/>
              </w:rPr>
            </w:pPr>
          </w:p>
        </w:tc>
        <w:tc>
          <w:tcPr>
            <w:tcW w:w="800" w:type="dxa"/>
            <w:vAlign w:val="bottom"/>
          </w:tcPr>
          <w:p>
            <w:pPr>
              <w:jc w:val="right"/>
              <w:ind w:right="17"/>
              <w:spacing w:after="0"/>
              <w:rPr>
                <w:sz w:val="20"/>
                <w:szCs w:val="20"/>
                <w:color w:val="auto"/>
              </w:rPr>
            </w:pPr>
            <w:r>
              <w:rPr>
                <w:rFonts w:ascii="Arial" w:cs="Arial" w:eastAsia="Arial" w:hAnsi="Arial"/>
                <w:sz w:val="13"/>
                <w:szCs w:val="13"/>
                <w:b w:val="1"/>
                <w:bCs w:val="1"/>
                <w:color w:val="auto"/>
              </w:rPr>
              <w:t>456</w:t>
            </w:r>
          </w:p>
        </w:tc>
        <w:tc>
          <w:tcPr>
            <w:tcW w:w="220" w:type="dxa"/>
            <w:vAlign w:val="bottom"/>
          </w:tcPr>
          <w:p>
            <w:pPr>
              <w:spacing w:after="0"/>
              <w:rPr>
                <w:sz w:val="16"/>
                <w:szCs w:val="16"/>
                <w:color w:val="auto"/>
              </w:rPr>
            </w:pPr>
          </w:p>
        </w:tc>
        <w:tc>
          <w:tcPr>
            <w:tcW w:w="1140" w:type="dxa"/>
            <w:vAlign w:val="bottom"/>
          </w:tcPr>
          <w:p>
            <w:pPr>
              <w:jc w:val="right"/>
              <w:ind w:right="17"/>
              <w:spacing w:after="0"/>
              <w:rPr>
                <w:sz w:val="20"/>
                <w:szCs w:val="20"/>
                <w:color w:val="auto"/>
              </w:rPr>
            </w:pPr>
            <w:r>
              <w:rPr>
                <w:rFonts w:ascii="Arial" w:cs="Arial" w:eastAsia="Arial" w:hAnsi="Arial"/>
                <w:sz w:val="13"/>
                <w:szCs w:val="13"/>
                <w:b w:val="1"/>
                <w:bCs w:val="1"/>
                <w:color w:val="auto"/>
              </w:rPr>
              <w:t>753</w:t>
            </w:r>
          </w:p>
        </w:tc>
        <w:tc>
          <w:tcPr>
            <w:tcW w:w="180" w:type="dxa"/>
            <w:vAlign w:val="bottom"/>
          </w:tcPr>
          <w:p>
            <w:pPr>
              <w:spacing w:after="0"/>
              <w:rPr>
                <w:sz w:val="16"/>
                <w:szCs w:val="16"/>
                <w:color w:val="auto"/>
              </w:rPr>
            </w:pPr>
          </w:p>
        </w:tc>
        <w:tc>
          <w:tcPr>
            <w:tcW w:w="1180" w:type="dxa"/>
            <w:vAlign w:val="bottom"/>
          </w:tcPr>
          <w:p>
            <w:pPr>
              <w:jc w:val="right"/>
              <w:ind w:right="37"/>
              <w:spacing w:after="0"/>
              <w:rPr>
                <w:sz w:val="20"/>
                <w:szCs w:val="20"/>
                <w:color w:val="auto"/>
              </w:rPr>
            </w:pPr>
            <w:r>
              <w:rPr>
                <w:rFonts w:ascii="Arial" w:cs="Arial" w:eastAsia="Arial" w:hAnsi="Arial"/>
                <w:sz w:val="13"/>
                <w:szCs w:val="13"/>
                <w:b w:val="1"/>
                <w:bCs w:val="1"/>
                <w:color w:val="auto"/>
              </w:rPr>
              <w:t>6</w:t>
            </w: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3"/>
                <w:szCs w:val="13"/>
                <w:b w:val="1"/>
                <w:bCs w:val="1"/>
                <w:color w:val="auto"/>
              </w:rPr>
              <w:t>7,764</w:t>
            </w:r>
          </w:p>
        </w:tc>
        <w:tc>
          <w:tcPr>
            <w:tcW w:w="0" w:type="dxa"/>
            <w:vAlign w:val="bottom"/>
          </w:tcPr>
          <w:p>
            <w:pPr>
              <w:spacing w:after="0"/>
              <w:rPr>
                <w:sz w:val="1"/>
                <w:szCs w:val="1"/>
                <w:color w:val="auto"/>
              </w:rPr>
            </w:pPr>
          </w:p>
        </w:tc>
      </w:tr>
      <w:tr>
        <w:trPr>
          <w:trHeight w:val="157"/>
        </w:trPr>
        <w:tc>
          <w:tcPr>
            <w:tcW w:w="3360" w:type="dxa"/>
            <w:vAlign w:val="bottom"/>
            <w:vMerge w:val="restart"/>
          </w:tcPr>
          <w:p>
            <w:pPr>
              <w:ind w:left="20"/>
              <w:spacing w:after="0"/>
              <w:rPr>
                <w:sz w:val="20"/>
                <w:szCs w:val="20"/>
                <w:color w:val="auto"/>
              </w:rPr>
            </w:pPr>
            <w:r>
              <w:rPr>
                <w:rFonts w:ascii="Arial" w:cs="Arial" w:eastAsia="Arial" w:hAnsi="Arial"/>
                <w:sz w:val="13"/>
                <w:szCs w:val="13"/>
                <w:b w:val="1"/>
                <w:bCs w:val="1"/>
                <w:color w:val="auto"/>
                <w:w w:val="99"/>
              </w:rPr>
              <w:t>Income (Loss) from Operations before Amortization of</w:t>
            </w:r>
          </w:p>
        </w:tc>
        <w:tc>
          <w:tcPr>
            <w:tcW w:w="16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336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3360" w:type="dxa"/>
            <w:vAlign w:val="bottom"/>
          </w:tcPr>
          <w:p>
            <w:pPr>
              <w:ind w:left="100"/>
              <w:spacing w:after="0"/>
              <w:rPr>
                <w:sz w:val="20"/>
                <w:szCs w:val="20"/>
                <w:color w:val="auto"/>
              </w:rPr>
            </w:pPr>
            <w:r>
              <w:rPr>
                <w:rFonts w:ascii="Arial" w:cs="Arial" w:eastAsia="Arial" w:hAnsi="Arial"/>
                <w:sz w:val="13"/>
                <w:szCs w:val="13"/>
                <w:b w:val="1"/>
                <w:bCs w:val="1"/>
                <w:color w:val="auto"/>
              </w:rPr>
              <w:t>Intangible Assets</w:t>
            </w:r>
          </w:p>
        </w:tc>
        <w:tc>
          <w:tcPr>
            <w:tcW w:w="16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b w:val="1"/>
                <w:bCs w:val="1"/>
                <w:color w:val="auto"/>
                <w:w w:val="82"/>
              </w:rPr>
              <w:t>$</w:t>
            </w:r>
          </w:p>
        </w:tc>
        <w:tc>
          <w:tcPr>
            <w:tcW w:w="11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30,062</w:t>
            </w:r>
          </w:p>
        </w:tc>
        <w:tc>
          <w:tcPr>
            <w:tcW w:w="500" w:type="dxa"/>
            <w:vAlign w:val="bottom"/>
            <w:tcBorders>
              <w:bottom w:val="single" w:sz="8" w:color="auto"/>
            </w:tcBorders>
          </w:tcPr>
          <w:p>
            <w:pPr>
              <w:jc w:val="right"/>
              <w:ind w:right="277"/>
              <w:spacing w:after="0"/>
              <w:rPr>
                <w:sz w:val="20"/>
                <w:szCs w:val="20"/>
                <w:color w:val="auto"/>
              </w:rPr>
            </w:pPr>
            <w:r>
              <w:rPr>
                <w:rFonts w:ascii="Arial" w:cs="Arial" w:eastAsia="Arial" w:hAnsi="Arial"/>
                <w:sz w:val="13"/>
                <w:szCs w:val="13"/>
                <w:b w:val="1"/>
                <w:bCs w:val="1"/>
                <w:color w:val="auto"/>
              </w:rPr>
              <w:t>$</w:t>
            </w:r>
          </w:p>
        </w:tc>
        <w:tc>
          <w:tcPr>
            <w:tcW w:w="80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b w:val="1"/>
                <w:bCs w:val="1"/>
                <w:color w:val="auto"/>
              </w:rPr>
              <w:t>12,807</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114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b w:val="1"/>
                <w:bCs w:val="1"/>
                <w:color w:val="auto"/>
              </w:rPr>
              <w:t>5,968</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118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b w:val="1"/>
                <w:bCs w:val="1"/>
                <w:color w:val="auto"/>
              </w:rPr>
              <w:t>(6,648)</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114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b w:val="1"/>
                <w:bCs w:val="1"/>
                <w:color w:val="auto"/>
              </w:rPr>
              <w:t>(37)</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42,152</w:t>
            </w:r>
          </w:p>
        </w:tc>
        <w:tc>
          <w:tcPr>
            <w:tcW w:w="0" w:type="dxa"/>
            <w:vAlign w:val="bottom"/>
          </w:tcPr>
          <w:p>
            <w:pPr>
              <w:spacing w:after="0"/>
              <w:rPr>
                <w:sz w:val="1"/>
                <w:szCs w:val="1"/>
                <w:color w:val="auto"/>
              </w:rPr>
            </w:pPr>
          </w:p>
        </w:tc>
      </w:tr>
      <w:tr>
        <w:trPr>
          <w:trHeight w:val="313"/>
        </w:trPr>
        <w:tc>
          <w:tcPr>
            <w:tcW w:w="3360" w:type="dxa"/>
            <w:vAlign w:val="bottom"/>
          </w:tcPr>
          <w:p>
            <w:pPr>
              <w:ind w:left="20"/>
              <w:spacing w:after="0"/>
              <w:rPr>
                <w:sz w:val="20"/>
                <w:szCs w:val="20"/>
                <w:color w:val="auto"/>
              </w:rPr>
            </w:pPr>
            <w:r>
              <w:rPr>
                <w:rFonts w:ascii="Arial" w:cs="Arial" w:eastAsia="Arial" w:hAnsi="Arial"/>
                <w:sz w:val="13"/>
                <w:szCs w:val="13"/>
                <w:b w:val="1"/>
                <w:bCs w:val="1"/>
                <w:color w:val="auto"/>
              </w:rPr>
              <w:t>Capital Expenditures</w:t>
            </w:r>
          </w:p>
        </w:tc>
        <w:tc>
          <w:tcPr>
            <w:tcW w:w="160" w:type="dxa"/>
            <w:vAlign w:val="bottom"/>
          </w:tcPr>
          <w:p>
            <w:pPr>
              <w:jc w:val="right"/>
              <w:ind w:right="17"/>
              <w:spacing w:after="0"/>
              <w:rPr>
                <w:sz w:val="20"/>
                <w:szCs w:val="20"/>
                <w:color w:val="auto"/>
              </w:rPr>
            </w:pPr>
            <w:r>
              <w:rPr>
                <w:rFonts w:ascii="Arial" w:cs="Arial" w:eastAsia="Arial" w:hAnsi="Arial"/>
                <w:sz w:val="13"/>
                <w:szCs w:val="13"/>
                <w:b w:val="1"/>
                <w:bCs w:val="1"/>
                <w:color w:val="auto"/>
                <w:w w:val="82"/>
              </w:rPr>
              <w:t>$</w:t>
            </w:r>
          </w:p>
        </w:tc>
        <w:tc>
          <w:tcPr>
            <w:tcW w:w="1100" w:type="dxa"/>
            <w:vAlign w:val="bottom"/>
          </w:tcPr>
          <w:p>
            <w:pPr>
              <w:jc w:val="right"/>
              <w:ind w:right="37"/>
              <w:spacing w:after="0"/>
              <w:rPr>
                <w:sz w:val="20"/>
                <w:szCs w:val="20"/>
                <w:color w:val="auto"/>
              </w:rPr>
            </w:pPr>
            <w:r>
              <w:rPr>
                <w:rFonts w:ascii="Arial" w:cs="Arial" w:eastAsia="Arial" w:hAnsi="Arial"/>
                <w:sz w:val="13"/>
                <w:szCs w:val="13"/>
                <w:b w:val="1"/>
                <w:bCs w:val="1"/>
                <w:color w:val="auto"/>
              </w:rPr>
              <w:t>2,787</w:t>
            </w:r>
          </w:p>
        </w:tc>
        <w:tc>
          <w:tcPr>
            <w:tcW w:w="500" w:type="dxa"/>
            <w:vAlign w:val="bottom"/>
          </w:tcPr>
          <w:p>
            <w:pPr>
              <w:jc w:val="right"/>
              <w:ind w:right="277"/>
              <w:spacing w:after="0"/>
              <w:rPr>
                <w:sz w:val="20"/>
                <w:szCs w:val="20"/>
                <w:color w:val="auto"/>
              </w:rPr>
            </w:pPr>
            <w:r>
              <w:rPr>
                <w:rFonts w:ascii="Arial" w:cs="Arial" w:eastAsia="Arial" w:hAnsi="Arial"/>
                <w:sz w:val="13"/>
                <w:szCs w:val="13"/>
                <w:b w:val="1"/>
                <w:bCs w:val="1"/>
                <w:color w:val="auto"/>
              </w:rPr>
              <w:t>$</w:t>
            </w:r>
          </w:p>
        </w:tc>
        <w:tc>
          <w:tcPr>
            <w:tcW w:w="800" w:type="dxa"/>
            <w:vAlign w:val="bottom"/>
          </w:tcPr>
          <w:p>
            <w:pPr>
              <w:jc w:val="right"/>
              <w:ind w:right="17"/>
              <w:spacing w:after="0"/>
              <w:rPr>
                <w:sz w:val="20"/>
                <w:szCs w:val="20"/>
                <w:color w:val="auto"/>
              </w:rPr>
            </w:pPr>
            <w:r>
              <w:rPr>
                <w:rFonts w:ascii="Arial" w:cs="Arial" w:eastAsia="Arial" w:hAnsi="Arial"/>
                <w:sz w:val="13"/>
                <w:szCs w:val="13"/>
                <w:b w:val="1"/>
                <w:bCs w:val="1"/>
                <w:color w:val="auto"/>
              </w:rPr>
              <w:t>173</w:t>
            </w:r>
          </w:p>
        </w:tc>
        <w:tc>
          <w:tcPr>
            <w:tcW w:w="22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1140" w:type="dxa"/>
            <w:vAlign w:val="bottom"/>
          </w:tcPr>
          <w:p>
            <w:pPr>
              <w:jc w:val="right"/>
              <w:ind w:right="17"/>
              <w:spacing w:after="0"/>
              <w:rPr>
                <w:sz w:val="20"/>
                <w:szCs w:val="20"/>
                <w:color w:val="auto"/>
              </w:rPr>
            </w:pPr>
            <w:r>
              <w:rPr>
                <w:rFonts w:ascii="Arial" w:cs="Arial" w:eastAsia="Arial" w:hAnsi="Arial"/>
                <w:sz w:val="13"/>
                <w:szCs w:val="13"/>
                <w:b w:val="1"/>
                <w:bCs w:val="1"/>
                <w:color w:val="auto"/>
              </w:rPr>
              <w:t>1,781</w:t>
            </w:r>
          </w:p>
        </w:tc>
        <w:tc>
          <w:tcPr>
            <w:tcW w:w="18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1180" w:type="dxa"/>
            <w:vAlign w:val="bottom"/>
          </w:tcPr>
          <w:p>
            <w:pPr>
              <w:jc w:val="right"/>
              <w:ind w:right="37"/>
              <w:spacing w:after="0"/>
              <w:rPr>
                <w:sz w:val="20"/>
                <w:szCs w:val="20"/>
                <w:color w:val="auto"/>
              </w:rPr>
            </w:pPr>
            <w:r>
              <w:rPr>
                <w:rFonts w:ascii="Arial" w:cs="Arial" w:eastAsia="Arial" w:hAnsi="Arial"/>
                <w:sz w:val="13"/>
                <w:szCs w:val="13"/>
                <w:b w:val="1"/>
                <w:bCs w:val="1"/>
                <w:color w:val="auto"/>
              </w:rPr>
              <w:t>—</w:t>
            </w: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3"/>
                <w:szCs w:val="13"/>
                <w:b w:val="1"/>
                <w:bCs w:val="1"/>
                <w:color w:val="auto"/>
              </w:rPr>
              <w:t>4,741</w:t>
            </w:r>
          </w:p>
        </w:tc>
        <w:tc>
          <w:tcPr>
            <w:tcW w:w="0" w:type="dxa"/>
            <w:vAlign w:val="bottom"/>
          </w:tcPr>
          <w:p>
            <w:pPr>
              <w:spacing w:after="0"/>
              <w:rPr>
                <w:sz w:val="1"/>
                <w:szCs w:val="1"/>
                <w:color w:val="auto"/>
              </w:rPr>
            </w:pPr>
          </w:p>
        </w:tc>
      </w:tr>
    </w:tbl>
    <w:p>
      <w:pPr>
        <w:spacing w:after="0" w:line="287" w:lineRule="exact"/>
        <w:rPr>
          <w:sz w:val="20"/>
          <w:szCs w:val="20"/>
          <w:color w:val="auto"/>
        </w:rPr>
      </w:pPr>
    </w:p>
    <w:p>
      <w:pPr>
        <w:ind w:left="360" w:hanging="334"/>
        <w:spacing w:after="0"/>
        <w:tabs>
          <w:tab w:leader="none" w:pos="360" w:val="left"/>
        </w:tabs>
        <w:numPr>
          <w:ilvl w:val="0"/>
          <w:numId w:val="14"/>
        </w:numPr>
        <w:rPr>
          <w:rFonts w:ascii="Arial" w:cs="Arial" w:eastAsia="Arial" w:hAnsi="Arial"/>
          <w:sz w:val="13"/>
          <w:szCs w:val="13"/>
          <w:color w:val="auto"/>
        </w:rPr>
      </w:pPr>
      <w:r>
        <w:rPr>
          <w:rFonts w:ascii="Arial" w:cs="Arial" w:eastAsia="Arial" w:hAnsi="Arial"/>
          <w:sz w:val="13"/>
          <w:szCs w:val="13"/>
          <w:color w:val="auto"/>
        </w:rPr>
        <w:t>The significant expense categories and amounts align with the segment-level information that is regularly provided to the CODM.</w:t>
      </w:r>
    </w:p>
    <w:p>
      <w:pPr>
        <w:spacing w:after="0" w:line="39" w:lineRule="exact"/>
        <w:rPr>
          <w:rFonts w:ascii="Arial" w:cs="Arial" w:eastAsia="Arial" w:hAnsi="Arial"/>
          <w:sz w:val="13"/>
          <w:szCs w:val="13"/>
          <w:color w:val="auto"/>
        </w:rPr>
      </w:pPr>
    </w:p>
    <w:p>
      <w:pPr>
        <w:ind w:left="360" w:right="200" w:hanging="334"/>
        <w:spacing w:after="0" w:line="264" w:lineRule="auto"/>
        <w:tabs>
          <w:tab w:leader="none" w:pos="360" w:val="left"/>
        </w:tabs>
        <w:numPr>
          <w:ilvl w:val="0"/>
          <w:numId w:val="14"/>
        </w:numPr>
        <w:rPr>
          <w:rFonts w:ascii="Arial" w:cs="Arial" w:eastAsia="Arial" w:hAnsi="Arial"/>
          <w:sz w:val="13"/>
          <w:szCs w:val="13"/>
          <w:color w:val="auto"/>
        </w:rPr>
      </w:pPr>
      <w:r>
        <w:rPr>
          <w:rFonts w:ascii="Arial" w:cs="Arial" w:eastAsia="Arial" w:hAnsi="Arial"/>
          <w:sz w:val="13"/>
          <w:szCs w:val="13"/>
          <w:color w:val="auto"/>
        </w:rPr>
        <w:t>Cost of revenue reflects the amounts reported and provided to the CODM and does not necessarily reconcile to the Company's Consolidated Statement of Operations or align across reportable segments. Cost of revenue excludes charges related to depreciation, which is shown separately above.</w:t>
      </w:r>
    </w:p>
    <w:p>
      <w:pPr>
        <w:spacing w:after="0" w:line="8" w:lineRule="exact"/>
        <w:rPr>
          <w:rFonts w:ascii="Arial" w:cs="Arial" w:eastAsia="Arial" w:hAnsi="Arial"/>
          <w:sz w:val="13"/>
          <w:szCs w:val="13"/>
          <w:color w:val="auto"/>
        </w:rPr>
      </w:pPr>
    </w:p>
    <w:p>
      <w:pPr>
        <w:ind w:left="360" w:hanging="334"/>
        <w:spacing w:after="0"/>
        <w:tabs>
          <w:tab w:leader="none" w:pos="360" w:val="left"/>
        </w:tabs>
        <w:numPr>
          <w:ilvl w:val="0"/>
          <w:numId w:val="14"/>
        </w:numPr>
        <w:rPr>
          <w:rFonts w:ascii="Arial" w:cs="Arial" w:eastAsia="Arial" w:hAnsi="Arial"/>
          <w:sz w:val="13"/>
          <w:szCs w:val="13"/>
          <w:color w:val="auto"/>
        </w:rPr>
      </w:pPr>
      <w:r>
        <w:rPr>
          <w:rFonts w:ascii="Arial" w:cs="Arial" w:eastAsia="Arial" w:hAnsi="Arial"/>
          <w:sz w:val="13"/>
          <w:szCs w:val="13"/>
          <w:color w:val="auto"/>
        </w:rPr>
        <w:t>Excludes pension service cost, which is shown separately above. Excludes any payroll and related benefits costs captured in cost of revenue.</w:t>
      </w:r>
    </w:p>
    <w:p>
      <w:pPr>
        <w:spacing w:after="0" w:line="39" w:lineRule="exact"/>
        <w:rPr>
          <w:rFonts w:ascii="Arial" w:cs="Arial" w:eastAsia="Arial" w:hAnsi="Arial"/>
          <w:sz w:val="13"/>
          <w:szCs w:val="13"/>
          <w:color w:val="auto"/>
        </w:rPr>
      </w:pPr>
    </w:p>
    <w:p>
      <w:pPr>
        <w:ind w:left="360" w:hanging="334"/>
        <w:spacing w:after="0"/>
        <w:tabs>
          <w:tab w:leader="none" w:pos="360" w:val="left"/>
        </w:tabs>
        <w:numPr>
          <w:ilvl w:val="0"/>
          <w:numId w:val="14"/>
        </w:numPr>
        <w:rPr>
          <w:rFonts w:ascii="Arial" w:cs="Arial" w:eastAsia="Arial" w:hAnsi="Arial"/>
          <w:sz w:val="13"/>
          <w:szCs w:val="13"/>
          <w:color w:val="auto"/>
        </w:rPr>
      </w:pPr>
      <w:r>
        <w:rPr>
          <w:rFonts w:ascii="Arial" w:cs="Arial" w:eastAsia="Arial" w:hAnsi="Arial"/>
          <w:sz w:val="13"/>
          <w:szCs w:val="13"/>
          <w:color w:val="auto"/>
        </w:rPr>
        <w:t>Other segment items for each reportable segment include:</w:t>
      </w:r>
    </w:p>
    <w:p>
      <w:pPr>
        <w:spacing w:after="0" w:line="39" w:lineRule="exact"/>
        <w:rPr>
          <w:rFonts w:ascii="Arial" w:cs="Arial" w:eastAsia="Arial" w:hAnsi="Arial"/>
          <w:sz w:val="13"/>
          <w:szCs w:val="13"/>
          <w:color w:val="auto"/>
        </w:rPr>
      </w:pPr>
    </w:p>
    <w:p>
      <w:pPr>
        <w:ind w:left="680" w:hanging="330"/>
        <w:spacing w:after="0"/>
        <w:tabs>
          <w:tab w:leader="none" w:pos="680" w:val="left"/>
        </w:tabs>
        <w:numPr>
          <w:ilvl w:val="1"/>
          <w:numId w:val="14"/>
        </w:numPr>
        <w:rPr>
          <w:rFonts w:ascii="Arial" w:cs="Arial" w:eastAsia="Arial" w:hAnsi="Arial"/>
          <w:sz w:val="13"/>
          <w:szCs w:val="13"/>
          <w:color w:val="auto"/>
        </w:rPr>
      </w:pPr>
      <w:r>
        <w:rPr>
          <w:rFonts w:ascii="Arial" w:cs="Arial" w:eastAsia="Arial" w:hAnsi="Arial"/>
          <w:sz w:val="13"/>
          <w:szCs w:val="13"/>
          <w:color w:val="auto"/>
        </w:rPr>
        <w:t>Kaplan international - travel meals and entertainment expense, training and employment expense, operating fees and other G&amp;A expenses.</w:t>
      </w:r>
    </w:p>
    <w:p>
      <w:pPr>
        <w:spacing w:after="0" w:line="39" w:lineRule="exact"/>
        <w:rPr>
          <w:rFonts w:ascii="Arial" w:cs="Arial" w:eastAsia="Arial" w:hAnsi="Arial"/>
          <w:sz w:val="13"/>
          <w:szCs w:val="13"/>
          <w:color w:val="auto"/>
        </w:rPr>
      </w:pPr>
    </w:p>
    <w:p>
      <w:pPr>
        <w:ind w:left="680" w:hanging="330"/>
        <w:spacing w:after="0"/>
        <w:tabs>
          <w:tab w:leader="none" w:pos="680" w:val="left"/>
        </w:tabs>
        <w:numPr>
          <w:ilvl w:val="1"/>
          <w:numId w:val="14"/>
        </w:numPr>
        <w:rPr>
          <w:rFonts w:ascii="Arial" w:cs="Arial" w:eastAsia="Arial" w:hAnsi="Arial"/>
          <w:sz w:val="13"/>
          <w:szCs w:val="13"/>
          <w:color w:val="auto"/>
        </w:rPr>
      </w:pPr>
      <w:r>
        <w:rPr>
          <w:rFonts w:ascii="Arial" w:cs="Arial" w:eastAsia="Arial" w:hAnsi="Arial"/>
          <w:sz w:val="13"/>
          <w:szCs w:val="13"/>
          <w:color w:val="auto"/>
        </w:rPr>
        <w:t>Higher education - training and employment expense, operating fees and other G&amp;A expenses.</w:t>
      </w:r>
    </w:p>
    <w:p>
      <w:pPr>
        <w:spacing w:after="0" w:line="39" w:lineRule="exact"/>
        <w:rPr>
          <w:rFonts w:ascii="Arial" w:cs="Arial" w:eastAsia="Arial" w:hAnsi="Arial"/>
          <w:sz w:val="13"/>
          <w:szCs w:val="13"/>
          <w:color w:val="auto"/>
        </w:rPr>
      </w:pPr>
    </w:p>
    <w:p>
      <w:pPr>
        <w:ind w:left="680" w:hanging="330"/>
        <w:spacing w:after="0"/>
        <w:tabs>
          <w:tab w:leader="none" w:pos="680" w:val="left"/>
        </w:tabs>
        <w:numPr>
          <w:ilvl w:val="1"/>
          <w:numId w:val="14"/>
        </w:numPr>
        <w:rPr>
          <w:rFonts w:ascii="Arial" w:cs="Arial" w:eastAsia="Arial" w:hAnsi="Arial"/>
          <w:sz w:val="13"/>
          <w:szCs w:val="13"/>
          <w:color w:val="auto"/>
        </w:rPr>
      </w:pPr>
      <w:r>
        <w:rPr>
          <w:rFonts w:ascii="Arial" w:cs="Arial" w:eastAsia="Arial" w:hAnsi="Arial"/>
          <w:sz w:val="13"/>
          <w:szCs w:val="13"/>
          <w:color w:val="auto"/>
        </w:rPr>
        <w:t>Supplemental education - training and employment expense, operating fees and other G&amp;A expenses.</w:t>
      </w:r>
    </w:p>
    <w:p>
      <w:pPr>
        <w:sectPr>
          <w:pgSz w:w="11900" w:h="16838" w:orient="portrait"/>
          <w:cols w:equalWidth="0" w:num="1">
            <w:col w:w="11240"/>
          </w:cols>
          <w:pgMar w:left="320" w:top="93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183515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type w:val="continuous"/>
        </w:sectPr>
      </w:pPr>
    </w:p>
    <w:bookmarkStart w:id="22" w:name="page23"/>
    <w:bookmarkEnd w:id="22"/>
    <w:p>
      <w:pPr>
        <w:spacing w:after="0"/>
        <w:rPr>
          <w:sz w:val="20"/>
          <w:szCs w:val="20"/>
          <w:color w:val="auto"/>
        </w:rPr>
      </w:pPr>
      <w:r>
        <w:rPr>
          <w:rFonts w:ascii="Arial" w:cs="Arial" w:eastAsia="Arial" w:hAnsi="Arial"/>
          <w:sz w:val="18"/>
          <w:szCs w:val="18"/>
          <w:color w:val="auto"/>
        </w:rPr>
        <w:t>Company information broken down by operating segment and education division:</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3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480" w:type="dxa"/>
            <w:vAlign w:val="bottom"/>
            <w:tcBorders>
              <w:bottom w:val="single" w:sz="8" w:color="auto"/>
            </w:tcBorders>
            <w:gridSpan w:val="3"/>
          </w:tcPr>
          <w:p>
            <w:pPr>
              <w:jc w:val="right"/>
              <w:ind w:right="177"/>
              <w:spacing w:after="0"/>
              <w:rPr>
                <w:sz w:val="20"/>
                <w:szCs w:val="20"/>
                <w:color w:val="auto"/>
              </w:rPr>
            </w:pPr>
            <w:r>
              <w:rPr>
                <w:rFonts w:ascii="Arial" w:cs="Arial" w:eastAsia="Arial" w:hAnsi="Arial"/>
                <w:sz w:val="13"/>
                <w:szCs w:val="13"/>
                <w:b w:val="1"/>
                <w:bCs w:val="1"/>
                <w:color w:val="auto"/>
                <w:w w:val="98"/>
              </w:rPr>
              <w:t>Three Months Ended March 31, 2024</w:t>
            </w:r>
          </w:p>
        </w:tc>
        <w:tc>
          <w:tcPr>
            <w:tcW w:w="2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jc w:val="right"/>
              <w:ind w:right="297"/>
              <w:spacing w:after="0" w:line="142" w:lineRule="exact"/>
              <w:rPr>
                <w:sz w:val="20"/>
                <w:szCs w:val="20"/>
                <w:color w:val="auto"/>
              </w:rPr>
            </w:pPr>
            <w:r>
              <w:rPr>
                <w:rFonts w:ascii="Arial" w:cs="Arial" w:eastAsia="Arial" w:hAnsi="Arial"/>
                <w:sz w:val="13"/>
                <w:szCs w:val="13"/>
                <w:b w:val="1"/>
                <w:bCs w:val="1"/>
                <w:color w:val="auto"/>
              </w:rPr>
              <w:t>Television</w:t>
            </w:r>
          </w:p>
        </w:tc>
        <w:tc>
          <w:tcPr>
            <w:tcW w:w="2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332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(in thousands)</w:t>
            </w: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277"/>
              <w:spacing w:after="0"/>
              <w:rPr>
                <w:sz w:val="20"/>
                <w:szCs w:val="20"/>
                <w:color w:val="auto"/>
              </w:rPr>
            </w:pPr>
            <w:r>
              <w:rPr>
                <w:rFonts w:ascii="Arial" w:cs="Arial" w:eastAsia="Arial" w:hAnsi="Arial"/>
                <w:sz w:val="13"/>
                <w:szCs w:val="13"/>
                <w:b w:val="1"/>
                <w:bCs w:val="1"/>
                <w:color w:val="auto"/>
              </w:rPr>
              <w:t>Education</w:t>
            </w: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b w:val="1"/>
                <w:bCs w:val="1"/>
                <w:color w:val="auto"/>
              </w:rPr>
              <w:t>Broadcasting</w:t>
            </w:r>
          </w:p>
        </w:tc>
        <w:tc>
          <w:tcPr>
            <w:tcW w:w="2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157"/>
              <w:spacing w:after="0"/>
              <w:rPr>
                <w:sz w:val="20"/>
                <w:szCs w:val="20"/>
                <w:color w:val="auto"/>
              </w:rPr>
            </w:pPr>
            <w:r>
              <w:rPr>
                <w:rFonts w:ascii="Arial" w:cs="Arial" w:eastAsia="Arial" w:hAnsi="Arial"/>
                <w:sz w:val="13"/>
                <w:szCs w:val="13"/>
                <w:b w:val="1"/>
                <w:bCs w:val="1"/>
                <w:color w:val="auto"/>
              </w:rPr>
              <w:t>Manufacturing</w:t>
            </w:r>
          </w:p>
        </w:tc>
        <w:tc>
          <w:tcPr>
            <w:tcW w:w="2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257"/>
              <w:spacing w:after="0"/>
              <w:rPr>
                <w:sz w:val="20"/>
                <w:szCs w:val="20"/>
                <w:color w:val="auto"/>
              </w:rPr>
            </w:pPr>
            <w:r>
              <w:rPr>
                <w:rFonts w:ascii="Arial" w:cs="Arial" w:eastAsia="Arial" w:hAnsi="Arial"/>
                <w:sz w:val="13"/>
                <w:szCs w:val="13"/>
                <w:b w:val="1"/>
                <w:bCs w:val="1"/>
                <w:color w:val="auto"/>
              </w:rPr>
              <w:t>Healthcare</w:t>
            </w:r>
          </w:p>
        </w:tc>
        <w:tc>
          <w:tcPr>
            <w:tcW w:w="2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317"/>
              <w:spacing w:after="0"/>
              <w:rPr>
                <w:sz w:val="20"/>
                <w:szCs w:val="20"/>
                <w:color w:val="auto"/>
              </w:rPr>
            </w:pPr>
            <w:r>
              <w:rPr>
                <w:rFonts w:ascii="Arial" w:cs="Arial" w:eastAsia="Arial" w:hAnsi="Arial"/>
                <w:sz w:val="13"/>
                <w:szCs w:val="13"/>
                <w:b w:val="1"/>
                <w:bCs w:val="1"/>
                <w:color w:val="auto"/>
              </w:rPr>
              <w:t>Automotive</w:t>
            </w: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b w:val="1"/>
                <w:bCs w:val="1"/>
                <w:color w:val="auto"/>
                <w:w w:val="97"/>
              </w:rPr>
              <w:t>Total Segments</w:t>
            </w:r>
          </w:p>
        </w:tc>
        <w:tc>
          <w:tcPr>
            <w:tcW w:w="0" w:type="dxa"/>
            <w:vAlign w:val="bottom"/>
          </w:tcPr>
          <w:p>
            <w:pPr>
              <w:spacing w:after="0"/>
              <w:rPr>
                <w:sz w:val="1"/>
                <w:szCs w:val="1"/>
                <w:color w:val="auto"/>
              </w:rPr>
            </w:pPr>
          </w:p>
        </w:tc>
      </w:tr>
      <w:tr>
        <w:trPr>
          <w:trHeight w:val="178"/>
        </w:trPr>
        <w:tc>
          <w:tcPr>
            <w:tcW w:w="3320" w:type="dxa"/>
            <w:vAlign w:val="bottom"/>
          </w:tcPr>
          <w:p>
            <w:pPr>
              <w:ind w:left="20"/>
              <w:spacing w:after="0"/>
              <w:rPr>
                <w:sz w:val="20"/>
                <w:szCs w:val="20"/>
                <w:color w:val="auto"/>
              </w:rPr>
            </w:pPr>
            <w:r>
              <w:rPr>
                <w:rFonts w:ascii="Arial" w:cs="Arial" w:eastAsia="Arial" w:hAnsi="Arial"/>
                <w:sz w:val="13"/>
                <w:szCs w:val="13"/>
                <w:b w:val="1"/>
                <w:bCs w:val="1"/>
                <w:color w:val="auto"/>
              </w:rPr>
              <w:t>Operating Revenues</w:t>
            </w:r>
          </w:p>
        </w:tc>
        <w:tc>
          <w:tcPr>
            <w:tcW w:w="200" w:type="dxa"/>
            <w:vAlign w:val="bottom"/>
          </w:tcPr>
          <w:p>
            <w:pPr>
              <w:jc w:val="right"/>
              <w:ind w:right="57"/>
              <w:spacing w:after="0"/>
              <w:rPr>
                <w:sz w:val="20"/>
                <w:szCs w:val="20"/>
                <w:color w:val="auto"/>
              </w:rPr>
            </w:pPr>
            <w:r>
              <w:rPr>
                <w:rFonts w:ascii="Arial" w:cs="Arial" w:eastAsia="Arial" w:hAnsi="Arial"/>
                <w:sz w:val="13"/>
                <w:szCs w:val="13"/>
                <w:color w:val="auto"/>
                <w:w w:val="82"/>
              </w:rPr>
              <w:t>$</w:t>
            </w:r>
          </w:p>
        </w:tc>
        <w:tc>
          <w:tcPr>
            <w:tcW w:w="1060" w:type="dxa"/>
            <w:vAlign w:val="bottom"/>
          </w:tcPr>
          <w:p>
            <w:pPr>
              <w:jc w:val="right"/>
              <w:ind w:right="37"/>
              <w:spacing w:after="0"/>
              <w:rPr>
                <w:sz w:val="20"/>
                <w:szCs w:val="20"/>
                <w:color w:val="auto"/>
              </w:rPr>
            </w:pPr>
            <w:r>
              <w:rPr>
                <w:rFonts w:ascii="Arial" w:cs="Arial" w:eastAsia="Arial" w:hAnsi="Arial"/>
                <w:sz w:val="13"/>
                <w:szCs w:val="13"/>
                <w:color w:val="auto"/>
              </w:rPr>
              <w:t>422,598</w:t>
            </w:r>
          </w:p>
        </w:tc>
        <w:tc>
          <w:tcPr>
            <w:tcW w:w="220" w:type="dxa"/>
            <w:vAlign w:val="bottom"/>
          </w:tcPr>
          <w:p>
            <w:pPr>
              <w:jc w:val="right"/>
              <w:spacing w:after="0"/>
              <w:rPr>
                <w:sz w:val="20"/>
                <w:szCs w:val="20"/>
                <w:color w:val="auto"/>
              </w:rPr>
            </w:pPr>
            <w:r>
              <w:rPr>
                <w:rFonts w:ascii="Arial" w:cs="Arial" w:eastAsia="Arial" w:hAnsi="Arial"/>
                <w:sz w:val="13"/>
                <w:szCs w:val="13"/>
                <w:color w:val="auto"/>
              </w:rPr>
              <w:t>$</w:t>
            </w:r>
          </w:p>
        </w:tc>
        <w:tc>
          <w:tcPr>
            <w:tcW w:w="1120" w:type="dxa"/>
            <w:vAlign w:val="bottom"/>
          </w:tcPr>
          <w:p>
            <w:pPr>
              <w:jc w:val="right"/>
              <w:ind w:right="37"/>
              <w:spacing w:after="0"/>
              <w:rPr>
                <w:sz w:val="20"/>
                <w:szCs w:val="20"/>
                <w:color w:val="auto"/>
              </w:rPr>
            </w:pPr>
            <w:r>
              <w:rPr>
                <w:rFonts w:ascii="Arial" w:cs="Arial" w:eastAsia="Arial" w:hAnsi="Arial"/>
                <w:sz w:val="13"/>
                <w:szCs w:val="13"/>
                <w:color w:val="auto"/>
              </w:rPr>
              <w:t>113,058</w:t>
            </w: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1140" w:type="dxa"/>
            <w:vAlign w:val="bottom"/>
          </w:tcPr>
          <w:p>
            <w:pPr>
              <w:jc w:val="right"/>
              <w:ind w:right="37"/>
              <w:spacing w:after="0"/>
              <w:rPr>
                <w:sz w:val="20"/>
                <w:szCs w:val="20"/>
                <w:color w:val="auto"/>
              </w:rPr>
            </w:pPr>
            <w:r>
              <w:rPr>
                <w:rFonts w:ascii="Arial" w:cs="Arial" w:eastAsia="Arial" w:hAnsi="Arial"/>
                <w:sz w:val="13"/>
                <w:szCs w:val="13"/>
                <w:color w:val="auto"/>
              </w:rPr>
              <w:t>101,903</w:t>
            </w:r>
          </w:p>
        </w:tc>
        <w:tc>
          <w:tcPr>
            <w:tcW w:w="26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080" w:type="dxa"/>
            <w:vAlign w:val="bottom"/>
          </w:tcPr>
          <w:p>
            <w:pPr>
              <w:jc w:val="right"/>
              <w:ind w:right="37"/>
              <w:spacing w:after="0"/>
              <w:rPr>
                <w:sz w:val="20"/>
                <w:szCs w:val="20"/>
                <w:color w:val="auto"/>
              </w:rPr>
            </w:pPr>
            <w:r>
              <w:rPr>
                <w:rFonts w:ascii="Arial" w:cs="Arial" w:eastAsia="Arial" w:hAnsi="Arial"/>
                <w:sz w:val="13"/>
                <w:szCs w:val="13"/>
                <w:color w:val="auto"/>
              </w:rPr>
              <w:t>128,201</w:t>
            </w:r>
          </w:p>
        </w:tc>
        <w:tc>
          <w:tcPr>
            <w:tcW w:w="26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160" w:type="dxa"/>
            <w:vAlign w:val="bottom"/>
          </w:tcPr>
          <w:p>
            <w:pPr>
              <w:jc w:val="right"/>
              <w:ind w:right="117"/>
              <w:spacing w:after="0"/>
              <w:rPr>
                <w:sz w:val="20"/>
                <w:szCs w:val="20"/>
                <w:color w:val="auto"/>
              </w:rPr>
            </w:pPr>
            <w:r>
              <w:rPr>
                <w:rFonts w:ascii="Arial" w:cs="Arial" w:eastAsia="Arial" w:hAnsi="Arial"/>
                <w:sz w:val="13"/>
                <w:szCs w:val="13"/>
                <w:color w:val="auto"/>
              </w:rPr>
              <w:t>303,840</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100" w:type="dxa"/>
            <w:vAlign w:val="bottom"/>
          </w:tcPr>
          <w:p>
            <w:pPr>
              <w:jc w:val="right"/>
              <w:spacing w:after="0"/>
              <w:rPr>
                <w:sz w:val="20"/>
                <w:szCs w:val="20"/>
                <w:color w:val="auto"/>
              </w:rPr>
            </w:pPr>
            <w:r>
              <w:rPr>
                <w:rFonts w:ascii="Arial" w:cs="Arial" w:eastAsia="Arial" w:hAnsi="Arial"/>
                <w:sz w:val="13"/>
                <w:szCs w:val="13"/>
                <w:color w:val="auto"/>
              </w:rPr>
              <w:t>1,069,600</w:t>
            </w:r>
          </w:p>
        </w:tc>
        <w:tc>
          <w:tcPr>
            <w:tcW w:w="0" w:type="dxa"/>
            <w:vAlign w:val="bottom"/>
          </w:tcPr>
          <w:p>
            <w:pPr>
              <w:spacing w:after="0"/>
              <w:rPr>
                <w:sz w:val="1"/>
                <w:szCs w:val="1"/>
                <w:color w:val="auto"/>
              </w:rPr>
            </w:pPr>
          </w:p>
        </w:tc>
      </w:tr>
      <w:tr>
        <w:trPr>
          <w:trHeight w:val="183"/>
        </w:trPr>
        <w:tc>
          <w:tcPr>
            <w:tcW w:w="3320" w:type="dxa"/>
            <w:vAlign w:val="bottom"/>
          </w:tcPr>
          <w:p>
            <w:pPr>
              <w:ind w:left="20"/>
              <w:spacing w:after="0"/>
              <w:rPr>
                <w:sz w:val="20"/>
                <w:szCs w:val="20"/>
                <w:color w:val="auto"/>
              </w:rPr>
            </w:pPr>
            <w:r>
              <w:rPr>
                <w:rFonts w:ascii="Arial" w:cs="Arial" w:eastAsia="Arial" w:hAnsi="Arial"/>
                <w:sz w:val="13"/>
                <w:szCs w:val="13"/>
                <w:i w:val="1"/>
                <w:iCs w:val="1"/>
                <w:color w:val="auto"/>
              </w:rPr>
              <w:t>Reconciliation of Revenue</w:t>
            </w: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3320" w:type="dxa"/>
            <w:vAlign w:val="bottom"/>
          </w:tcPr>
          <w:p>
            <w:pPr>
              <w:ind w:left="100"/>
              <w:spacing w:after="0"/>
              <w:rPr>
                <w:sz w:val="20"/>
                <w:szCs w:val="20"/>
                <w:color w:val="auto"/>
              </w:rPr>
            </w:pPr>
            <w:r>
              <w:rPr>
                <w:rFonts w:ascii="Arial" w:cs="Arial" w:eastAsia="Arial" w:hAnsi="Arial"/>
                <w:sz w:val="13"/>
                <w:szCs w:val="13"/>
                <w:color w:val="auto"/>
              </w:rPr>
              <w:t xml:space="preserve">Other Businesses and Corporate Office Revenues </w:t>
            </w:r>
            <w:r>
              <w:rPr>
                <w:rFonts w:ascii="Arial" w:cs="Arial" w:eastAsia="Arial" w:hAnsi="Arial"/>
                <w:sz w:val="16"/>
                <w:szCs w:val="16"/>
                <w:color w:val="auto"/>
                <w:vertAlign w:val="superscript"/>
              </w:rPr>
              <w:t>(1)</w:t>
            </w: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83,874</w:t>
            </w:r>
          </w:p>
        </w:tc>
        <w:tc>
          <w:tcPr>
            <w:tcW w:w="0" w:type="dxa"/>
            <w:vAlign w:val="bottom"/>
          </w:tcPr>
          <w:p>
            <w:pPr>
              <w:spacing w:after="0"/>
              <w:rPr>
                <w:sz w:val="1"/>
                <w:szCs w:val="1"/>
                <w:color w:val="auto"/>
              </w:rPr>
            </w:pPr>
          </w:p>
        </w:tc>
      </w:tr>
      <w:tr>
        <w:trPr>
          <w:trHeight w:val="173"/>
        </w:trPr>
        <w:tc>
          <w:tcPr>
            <w:tcW w:w="3320" w:type="dxa"/>
            <w:vAlign w:val="bottom"/>
          </w:tcPr>
          <w:p>
            <w:pPr>
              <w:ind w:left="140"/>
              <w:spacing w:after="0"/>
              <w:rPr>
                <w:sz w:val="20"/>
                <w:szCs w:val="20"/>
                <w:color w:val="auto"/>
              </w:rPr>
            </w:pPr>
            <w:r>
              <w:rPr>
                <w:rFonts w:ascii="Arial" w:cs="Arial" w:eastAsia="Arial" w:hAnsi="Arial"/>
                <w:sz w:val="13"/>
                <w:szCs w:val="13"/>
                <w:color w:val="auto"/>
              </w:rPr>
              <w:t>Intersegment Elimination</w:t>
            </w: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(812)</w:t>
            </w:r>
          </w:p>
        </w:tc>
        <w:tc>
          <w:tcPr>
            <w:tcW w:w="0" w:type="dxa"/>
            <w:vAlign w:val="bottom"/>
          </w:tcPr>
          <w:p>
            <w:pPr>
              <w:spacing w:after="0"/>
              <w:rPr>
                <w:sz w:val="1"/>
                <w:szCs w:val="1"/>
                <w:color w:val="auto"/>
              </w:rPr>
            </w:pPr>
          </w:p>
        </w:tc>
      </w:tr>
      <w:tr>
        <w:trPr>
          <w:trHeight w:val="183"/>
        </w:trPr>
        <w:tc>
          <w:tcPr>
            <w:tcW w:w="3320" w:type="dxa"/>
            <w:vAlign w:val="bottom"/>
          </w:tcPr>
          <w:p>
            <w:pPr>
              <w:ind w:left="20"/>
              <w:spacing w:after="0"/>
              <w:rPr>
                <w:sz w:val="20"/>
                <w:szCs w:val="20"/>
                <w:color w:val="auto"/>
              </w:rPr>
            </w:pPr>
            <w:r>
              <w:rPr>
                <w:rFonts w:ascii="Arial" w:cs="Arial" w:eastAsia="Arial" w:hAnsi="Arial"/>
                <w:sz w:val="13"/>
                <w:szCs w:val="13"/>
                <w:b w:val="1"/>
                <w:bCs w:val="1"/>
                <w:color w:val="auto"/>
              </w:rPr>
              <w:t>Total Consolidated Revenues</w:t>
            </w: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1,152,662</w:t>
            </w:r>
          </w:p>
        </w:tc>
        <w:tc>
          <w:tcPr>
            <w:tcW w:w="0" w:type="dxa"/>
            <w:vAlign w:val="bottom"/>
          </w:tcPr>
          <w:p>
            <w:pPr>
              <w:spacing w:after="0"/>
              <w:rPr>
                <w:sz w:val="1"/>
                <w:szCs w:val="1"/>
                <w:color w:val="auto"/>
              </w:rPr>
            </w:pPr>
          </w:p>
        </w:tc>
      </w:tr>
      <w:tr>
        <w:trPr>
          <w:trHeight w:val="228"/>
        </w:trPr>
        <w:tc>
          <w:tcPr>
            <w:tcW w:w="3320" w:type="dxa"/>
            <w:vAlign w:val="bottom"/>
          </w:tcPr>
          <w:p>
            <w:pPr>
              <w:ind w:left="20"/>
              <w:spacing w:after="0"/>
              <w:rPr>
                <w:sz w:val="20"/>
                <w:szCs w:val="20"/>
                <w:color w:val="auto"/>
              </w:rPr>
            </w:pPr>
            <w:r>
              <w:rPr>
                <w:rFonts w:ascii="Arial" w:cs="Arial" w:eastAsia="Arial" w:hAnsi="Arial"/>
                <w:sz w:val="13"/>
                <w:szCs w:val="13"/>
                <w:i w:val="1"/>
                <w:iCs w:val="1"/>
                <w:color w:val="auto"/>
              </w:rPr>
              <w:t xml:space="preserve">Less: Significant Expenses </w:t>
            </w:r>
            <w:r>
              <w:rPr>
                <w:rFonts w:ascii="Arial" w:cs="Arial" w:eastAsia="Arial" w:hAnsi="Arial"/>
                <w:sz w:val="16"/>
                <w:szCs w:val="16"/>
                <w:i w:val="1"/>
                <w:iCs w:val="1"/>
                <w:color w:val="auto"/>
                <w:vertAlign w:val="superscript"/>
              </w:rPr>
              <w:t>(2)</w:t>
            </w: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3320" w:type="dxa"/>
            <w:vAlign w:val="bottom"/>
          </w:tcPr>
          <w:p>
            <w:pPr>
              <w:ind w:left="140"/>
              <w:spacing w:after="0"/>
              <w:rPr>
                <w:sz w:val="20"/>
                <w:szCs w:val="20"/>
                <w:color w:val="auto"/>
              </w:rPr>
            </w:pPr>
            <w:r>
              <w:rPr>
                <w:rFonts w:ascii="Arial" w:cs="Arial" w:eastAsia="Arial" w:hAnsi="Arial"/>
                <w:sz w:val="13"/>
                <w:szCs w:val="13"/>
                <w:color w:val="auto"/>
              </w:rPr>
              <w:t xml:space="preserve">Cost of Revenue </w:t>
            </w:r>
            <w:r>
              <w:rPr>
                <w:rFonts w:ascii="Arial" w:cs="Arial" w:eastAsia="Arial" w:hAnsi="Arial"/>
                <w:sz w:val="16"/>
                <w:szCs w:val="16"/>
                <w:color w:val="auto"/>
                <w:vertAlign w:val="superscript"/>
              </w:rPr>
              <w:t>(3)</w:t>
            </w:r>
          </w:p>
        </w:tc>
        <w:tc>
          <w:tcPr>
            <w:tcW w:w="200" w:type="dxa"/>
            <w:vAlign w:val="bottom"/>
          </w:tcPr>
          <w:p>
            <w:pPr>
              <w:spacing w:after="0"/>
              <w:rPr>
                <w:sz w:val="16"/>
                <w:szCs w:val="16"/>
                <w:color w:val="auto"/>
              </w:rPr>
            </w:pPr>
          </w:p>
        </w:tc>
        <w:tc>
          <w:tcPr>
            <w:tcW w:w="1060" w:type="dxa"/>
            <w:vAlign w:val="bottom"/>
          </w:tcPr>
          <w:p>
            <w:pPr>
              <w:jc w:val="right"/>
              <w:ind w:right="37"/>
              <w:spacing w:after="0"/>
              <w:rPr>
                <w:sz w:val="20"/>
                <w:szCs w:val="20"/>
                <w:color w:val="auto"/>
              </w:rPr>
            </w:pPr>
            <w:r>
              <w:rPr>
                <w:rFonts w:ascii="Arial" w:cs="Arial" w:eastAsia="Arial" w:hAnsi="Arial"/>
                <w:sz w:val="13"/>
                <w:szCs w:val="13"/>
                <w:color w:val="auto"/>
              </w:rPr>
              <w:t>169,539</w:t>
            </w: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jc w:val="right"/>
              <w:ind w:right="37"/>
              <w:spacing w:after="0"/>
              <w:rPr>
                <w:sz w:val="20"/>
                <w:szCs w:val="20"/>
                <w:color w:val="auto"/>
              </w:rPr>
            </w:pPr>
            <w:r>
              <w:rPr>
                <w:rFonts w:ascii="Arial" w:cs="Arial" w:eastAsia="Arial" w:hAnsi="Arial"/>
                <w:sz w:val="13"/>
                <w:szCs w:val="13"/>
                <w:color w:val="auto"/>
              </w:rPr>
              <w:t>75,264</w:t>
            </w:r>
          </w:p>
        </w:tc>
        <w:tc>
          <w:tcPr>
            <w:tcW w:w="260" w:type="dxa"/>
            <w:vAlign w:val="bottom"/>
          </w:tcPr>
          <w:p>
            <w:pPr>
              <w:spacing w:after="0"/>
              <w:rPr>
                <w:sz w:val="16"/>
                <w:szCs w:val="16"/>
                <w:color w:val="auto"/>
              </w:rPr>
            </w:pPr>
          </w:p>
        </w:tc>
        <w:tc>
          <w:tcPr>
            <w:tcW w:w="1080" w:type="dxa"/>
            <w:vAlign w:val="bottom"/>
          </w:tcPr>
          <w:p>
            <w:pPr>
              <w:jc w:val="right"/>
              <w:ind w:right="37"/>
              <w:spacing w:after="0"/>
              <w:rPr>
                <w:sz w:val="20"/>
                <w:szCs w:val="20"/>
                <w:color w:val="auto"/>
              </w:rPr>
            </w:pPr>
            <w:r>
              <w:rPr>
                <w:rFonts w:ascii="Arial" w:cs="Arial" w:eastAsia="Arial" w:hAnsi="Arial"/>
                <w:sz w:val="13"/>
                <w:szCs w:val="13"/>
                <w:color w:val="auto"/>
              </w:rPr>
              <w:t>71,057</w:t>
            </w:r>
          </w:p>
        </w:tc>
        <w:tc>
          <w:tcPr>
            <w:tcW w:w="260" w:type="dxa"/>
            <w:vAlign w:val="bottom"/>
          </w:tcPr>
          <w:p>
            <w:pPr>
              <w:spacing w:after="0"/>
              <w:rPr>
                <w:sz w:val="16"/>
                <w:szCs w:val="16"/>
                <w:color w:val="auto"/>
              </w:rPr>
            </w:pPr>
          </w:p>
        </w:tc>
        <w:tc>
          <w:tcPr>
            <w:tcW w:w="1160" w:type="dxa"/>
            <w:vAlign w:val="bottom"/>
          </w:tcPr>
          <w:p>
            <w:pPr>
              <w:jc w:val="right"/>
              <w:ind w:right="117"/>
              <w:spacing w:after="0"/>
              <w:rPr>
                <w:sz w:val="20"/>
                <w:szCs w:val="20"/>
                <w:color w:val="auto"/>
              </w:rPr>
            </w:pPr>
            <w:r>
              <w:rPr>
                <w:rFonts w:ascii="Arial" w:cs="Arial" w:eastAsia="Arial" w:hAnsi="Arial"/>
                <w:sz w:val="13"/>
                <w:szCs w:val="13"/>
                <w:color w:val="auto"/>
              </w:rPr>
              <w:t>258,961</w:t>
            </w:r>
          </w:p>
        </w:tc>
        <w:tc>
          <w:tcPr>
            <w:tcW w:w="1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574,821</w:t>
            </w:r>
          </w:p>
        </w:tc>
        <w:tc>
          <w:tcPr>
            <w:tcW w:w="0" w:type="dxa"/>
            <w:vAlign w:val="bottom"/>
          </w:tcPr>
          <w:p>
            <w:pPr>
              <w:spacing w:after="0"/>
              <w:rPr>
                <w:sz w:val="1"/>
                <w:szCs w:val="1"/>
                <w:color w:val="auto"/>
              </w:rPr>
            </w:pPr>
          </w:p>
        </w:tc>
      </w:tr>
      <w:tr>
        <w:trPr>
          <w:trHeight w:val="199"/>
        </w:trPr>
        <w:tc>
          <w:tcPr>
            <w:tcW w:w="3320" w:type="dxa"/>
            <w:vAlign w:val="bottom"/>
          </w:tcPr>
          <w:p>
            <w:pPr>
              <w:ind w:left="140"/>
              <w:spacing w:after="0"/>
              <w:rPr>
                <w:sz w:val="20"/>
                <w:szCs w:val="20"/>
                <w:color w:val="auto"/>
              </w:rPr>
            </w:pPr>
            <w:r>
              <w:rPr>
                <w:rFonts w:ascii="Arial" w:cs="Arial" w:eastAsia="Arial" w:hAnsi="Arial"/>
                <w:sz w:val="13"/>
                <w:szCs w:val="13"/>
                <w:color w:val="auto"/>
              </w:rPr>
              <w:t xml:space="preserve">Payroll and Fringe Benefits Expense </w:t>
            </w:r>
            <w:r>
              <w:rPr>
                <w:rFonts w:ascii="Arial" w:cs="Arial" w:eastAsia="Arial" w:hAnsi="Arial"/>
                <w:sz w:val="16"/>
                <w:szCs w:val="16"/>
                <w:color w:val="auto"/>
                <w:vertAlign w:val="superscript"/>
              </w:rPr>
              <w:t>(4)</w:t>
            </w:r>
          </w:p>
        </w:tc>
        <w:tc>
          <w:tcPr>
            <w:tcW w:w="200" w:type="dxa"/>
            <w:vAlign w:val="bottom"/>
          </w:tcPr>
          <w:p>
            <w:pPr>
              <w:spacing w:after="0"/>
              <w:rPr>
                <w:sz w:val="17"/>
                <w:szCs w:val="17"/>
                <w:color w:val="auto"/>
              </w:rPr>
            </w:pPr>
          </w:p>
        </w:tc>
        <w:tc>
          <w:tcPr>
            <w:tcW w:w="1060" w:type="dxa"/>
            <w:vAlign w:val="bottom"/>
          </w:tcPr>
          <w:p>
            <w:pPr>
              <w:jc w:val="right"/>
              <w:ind w:right="37"/>
              <w:spacing w:after="0"/>
              <w:rPr>
                <w:sz w:val="20"/>
                <w:szCs w:val="20"/>
                <w:color w:val="auto"/>
              </w:rPr>
            </w:pPr>
            <w:r>
              <w:rPr>
                <w:rFonts w:ascii="Arial" w:cs="Arial" w:eastAsia="Arial" w:hAnsi="Arial"/>
                <w:sz w:val="13"/>
                <w:szCs w:val="13"/>
                <w:color w:val="auto"/>
              </w:rPr>
              <w:t>113,897</w:t>
            </w:r>
          </w:p>
        </w:tc>
        <w:tc>
          <w:tcPr>
            <w:tcW w:w="220" w:type="dxa"/>
            <w:vAlign w:val="bottom"/>
          </w:tcPr>
          <w:p>
            <w:pPr>
              <w:spacing w:after="0"/>
              <w:rPr>
                <w:sz w:val="17"/>
                <w:szCs w:val="17"/>
                <w:color w:val="auto"/>
              </w:rPr>
            </w:pPr>
          </w:p>
        </w:tc>
        <w:tc>
          <w:tcPr>
            <w:tcW w:w="1120" w:type="dxa"/>
            <w:vAlign w:val="bottom"/>
          </w:tcPr>
          <w:p>
            <w:pPr>
              <w:jc w:val="right"/>
              <w:ind w:right="37"/>
              <w:spacing w:after="0"/>
              <w:rPr>
                <w:sz w:val="20"/>
                <w:szCs w:val="20"/>
                <w:color w:val="auto"/>
              </w:rPr>
            </w:pPr>
            <w:r>
              <w:rPr>
                <w:rFonts w:ascii="Arial" w:cs="Arial" w:eastAsia="Arial" w:hAnsi="Arial"/>
                <w:sz w:val="13"/>
                <w:szCs w:val="13"/>
                <w:color w:val="auto"/>
              </w:rPr>
              <w:t>29,276</w:t>
            </w: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jc w:val="right"/>
              <w:ind w:right="117"/>
              <w:spacing w:after="0"/>
              <w:rPr>
                <w:sz w:val="20"/>
                <w:szCs w:val="20"/>
                <w:color w:val="auto"/>
              </w:rPr>
            </w:pPr>
            <w:r>
              <w:rPr>
                <w:rFonts w:ascii="Arial" w:cs="Arial" w:eastAsia="Arial" w:hAnsi="Arial"/>
                <w:sz w:val="13"/>
                <w:szCs w:val="13"/>
                <w:color w:val="auto"/>
              </w:rPr>
              <w:t>21,810</w:t>
            </w:r>
          </w:p>
        </w:tc>
        <w:tc>
          <w:tcPr>
            <w:tcW w:w="1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164,983</w:t>
            </w:r>
          </w:p>
        </w:tc>
        <w:tc>
          <w:tcPr>
            <w:tcW w:w="0" w:type="dxa"/>
            <w:vAlign w:val="bottom"/>
          </w:tcPr>
          <w:p>
            <w:pPr>
              <w:spacing w:after="0"/>
              <w:rPr>
                <w:sz w:val="1"/>
                <w:szCs w:val="1"/>
                <w:color w:val="auto"/>
              </w:rPr>
            </w:pPr>
          </w:p>
        </w:tc>
      </w:tr>
      <w:tr>
        <w:trPr>
          <w:trHeight w:val="166"/>
        </w:trPr>
        <w:tc>
          <w:tcPr>
            <w:tcW w:w="3320" w:type="dxa"/>
            <w:vAlign w:val="bottom"/>
          </w:tcPr>
          <w:p>
            <w:pPr>
              <w:ind w:left="140"/>
              <w:spacing w:after="0"/>
              <w:rPr>
                <w:sz w:val="20"/>
                <w:szCs w:val="20"/>
                <w:color w:val="auto"/>
              </w:rPr>
            </w:pPr>
            <w:r>
              <w:rPr>
                <w:rFonts w:ascii="Arial" w:cs="Arial" w:eastAsia="Arial" w:hAnsi="Arial"/>
                <w:sz w:val="13"/>
                <w:szCs w:val="13"/>
                <w:color w:val="auto"/>
              </w:rPr>
              <w:t>Occupancy Expense</w:t>
            </w:r>
          </w:p>
        </w:tc>
        <w:tc>
          <w:tcPr>
            <w:tcW w:w="200" w:type="dxa"/>
            <w:vAlign w:val="bottom"/>
          </w:tcPr>
          <w:p>
            <w:pPr>
              <w:spacing w:after="0"/>
              <w:rPr>
                <w:sz w:val="14"/>
                <w:szCs w:val="14"/>
                <w:color w:val="auto"/>
              </w:rPr>
            </w:pPr>
          </w:p>
        </w:tc>
        <w:tc>
          <w:tcPr>
            <w:tcW w:w="1060" w:type="dxa"/>
            <w:vAlign w:val="bottom"/>
          </w:tcPr>
          <w:p>
            <w:pPr>
              <w:jc w:val="right"/>
              <w:ind w:right="37"/>
              <w:spacing w:after="0"/>
              <w:rPr>
                <w:sz w:val="20"/>
                <w:szCs w:val="20"/>
                <w:color w:val="auto"/>
              </w:rPr>
            </w:pPr>
            <w:r>
              <w:rPr>
                <w:rFonts w:ascii="Arial" w:cs="Arial" w:eastAsia="Arial" w:hAnsi="Arial"/>
                <w:sz w:val="13"/>
                <w:szCs w:val="13"/>
                <w:color w:val="auto"/>
              </w:rPr>
              <w:t>30,529</w:t>
            </w: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tcPr>
          <w:p>
            <w:pPr>
              <w:jc w:val="right"/>
              <w:ind w:right="117"/>
              <w:spacing w:after="0"/>
              <w:rPr>
                <w:sz w:val="20"/>
                <w:szCs w:val="20"/>
                <w:color w:val="auto"/>
              </w:rPr>
            </w:pPr>
            <w:r>
              <w:rPr>
                <w:rFonts w:ascii="Arial" w:cs="Arial" w:eastAsia="Arial" w:hAnsi="Arial"/>
                <w:sz w:val="13"/>
                <w:szCs w:val="13"/>
                <w:color w:val="auto"/>
              </w:rPr>
              <w:t>1,856</w:t>
            </w:r>
          </w:p>
        </w:tc>
        <w:tc>
          <w:tcPr>
            <w:tcW w:w="1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32,385</w:t>
            </w:r>
          </w:p>
        </w:tc>
        <w:tc>
          <w:tcPr>
            <w:tcW w:w="0" w:type="dxa"/>
            <w:vAlign w:val="bottom"/>
          </w:tcPr>
          <w:p>
            <w:pPr>
              <w:spacing w:after="0"/>
              <w:rPr>
                <w:sz w:val="1"/>
                <w:szCs w:val="1"/>
                <w:color w:val="auto"/>
              </w:rPr>
            </w:pPr>
          </w:p>
        </w:tc>
      </w:tr>
      <w:tr>
        <w:trPr>
          <w:trHeight w:val="189"/>
        </w:trPr>
        <w:tc>
          <w:tcPr>
            <w:tcW w:w="3320" w:type="dxa"/>
            <w:vAlign w:val="bottom"/>
          </w:tcPr>
          <w:p>
            <w:pPr>
              <w:ind w:left="140"/>
              <w:spacing w:after="0"/>
              <w:rPr>
                <w:sz w:val="20"/>
                <w:szCs w:val="20"/>
                <w:color w:val="auto"/>
              </w:rPr>
            </w:pPr>
            <w:r>
              <w:rPr>
                <w:rFonts w:ascii="Arial" w:cs="Arial" w:eastAsia="Arial" w:hAnsi="Arial"/>
                <w:sz w:val="13"/>
                <w:szCs w:val="13"/>
                <w:color w:val="auto"/>
              </w:rPr>
              <w:t>Advertising and Marketing Expense</w:t>
            </w:r>
          </w:p>
        </w:tc>
        <w:tc>
          <w:tcPr>
            <w:tcW w:w="200" w:type="dxa"/>
            <w:vAlign w:val="bottom"/>
          </w:tcPr>
          <w:p>
            <w:pPr>
              <w:spacing w:after="0"/>
              <w:rPr>
                <w:sz w:val="16"/>
                <w:szCs w:val="16"/>
                <w:color w:val="auto"/>
              </w:rPr>
            </w:pPr>
          </w:p>
        </w:tc>
        <w:tc>
          <w:tcPr>
            <w:tcW w:w="1060" w:type="dxa"/>
            <w:vAlign w:val="bottom"/>
          </w:tcPr>
          <w:p>
            <w:pPr>
              <w:jc w:val="right"/>
              <w:ind w:right="37"/>
              <w:spacing w:after="0"/>
              <w:rPr>
                <w:sz w:val="20"/>
                <w:szCs w:val="20"/>
                <w:color w:val="auto"/>
              </w:rPr>
            </w:pPr>
            <w:r>
              <w:rPr>
                <w:rFonts w:ascii="Arial" w:cs="Arial" w:eastAsia="Arial" w:hAnsi="Arial"/>
                <w:sz w:val="13"/>
                <w:szCs w:val="13"/>
                <w:color w:val="auto"/>
              </w:rPr>
              <w:t>17,025</w:t>
            </w: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17,025</w:t>
            </w:r>
          </w:p>
        </w:tc>
        <w:tc>
          <w:tcPr>
            <w:tcW w:w="0" w:type="dxa"/>
            <w:vAlign w:val="bottom"/>
          </w:tcPr>
          <w:p>
            <w:pPr>
              <w:spacing w:after="0"/>
              <w:rPr>
                <w:sz w:val="1"/>
                <w:szCs w:val="1"/>
                <w:color w:val="auto"/>
              </w:rPr>
            </w:pPr>
          </w:p>
        </w:tc>
      </w:tr>
      <w:tr>
        <w:trPr>
          <w:trHeight w:val="189"/>
        </w:trPr>
        <w:tc>
          <w:tcPr>
            <w:tcW w:w="3320" w:type="dxa"/>
            <w:vAlign w:val="bottom"/>
          </w:tcPr>
          <w:p>
            <w:pPr>
              <w:ind w:left="140"/>
              <w:spacing w:after="0"/>
              <w:rPr>
                <w:sz w:val="20"/>
                <w:szCs w:val="20"/>
                <w:color w:val="auto"/>
              </w:rPr>
            </w:pPr>
            <w:r>
              <w:rPr>
                <w:rFonts w:ascii="Arial" w:cs="Arial" w:eastAsia="Arial" w:hAnsi="Arial"/>
                <w:sz w:val="13"/>
                <w:szCs w:val="13"/>
                <w:color w:val="auto"/>
              </w:rPr>
              <w:t>Networking and Programming Expense</w:t>
            </w: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jc w:val="right"/>
              <w:ind w:right="37"/>
              <w:spacing w:after="0"/>
              <w:rPr>
                <w:sz w:val="20"/>
                <w:szCs w:val="20"/>
                <w:color w:val="auto"/>
              </w:rPr>
            </w:pPr>
            <w:r>
              <w:rPr>
                <w:rFonts w:ascii="Arial" w:cs="Arial" w:eastAsia="Arial" w:hAnsi="Arial"/>
                <w:sz w:val="13"/>
                <w:szCs w:val="13"/>
                <w:color w:val="auto"/>
              </w:rPr>
              <w:t>31,890</w:t>
            </w: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31,890</w:t>
            </w:r>
          </w:p>
        </w:tc>
        <w:tc>
          <w:tcPr>
            <w:tcW w:w="0" w:type="dxa"/>
            <w:vAlign w:val="bottom"/>
          </w:tcPr>
          <w:p>
            <w:pPr>
              <w:spacing w:after="0"/>
              <w:rPr>
                <w:sz w:val="1"/>
                <w:szCs w:val="1"/>
                <w:color w:val="auto"/>
              </w:rPr>
            </w:pPr>
          </w:p>
        </w:tc>
      </w:tr>
      <w:tr>
        <w:trPr>
          <w:trHeight w:val="202"/>
        </w:trPr>
        <w:tc>
          <w:tcPr>
            <w:tcW w:w="3320" w:type="dxa"/>
            <w:vAlign w:val="bottom"/>
          </w:tcPr>
          <w:p>
            <w:pPr>
              <w:ind w:left="140"/>
              <w:spacing w:after="0"/>
              <w:rPr>
                <w:sz w:val="20"/>
                <w:szCs w:val="20"/>
                <w:color w:val="auto"/>
              </w:rPr>
            </w:pPr>
            <w:r>
              <w:rPr>
                <w:rFonts w:ascii="Arial" w:cs="Arial" w:eastAsia="Arial" w:hAnsi="Arial"/>
                <w:sz w:val="13"/>
                <w:szCs w:val="13"/>
                <w:color w:val="auto"/>
              </w:rPr>
              <w:t xml:space="preserve">Management Services </w:t>
            </w:r>
            <w:r>
              <w:rPr>
                <w:rFonts w:ascii="Arial" w:cs="Arial" w:eastAsia="Arial" w:hAnsi="Arial"/>
                <w:sz w:val="16"/>
                <w:szCs w:val="16"/>
                <w:color w:val="auto"/>
                <w:vertAlign w:val="superscript"/>
              </w:rPr>
              <w:t>(5)</w:t>
            </w: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jc w:val="right"/>
              <w:ind w:right="117"/>
              <w:spacing w:after="0"/>
              <w:rPr>
                <w:sz w:val="20"/>
                <w:szCs w:val="20"/>
                <w:color w:val="auto"/>
              </w:rPr>
            </w:pPr>
            <w:r>
              <w:rPr>
                <w:rFonts w:ascii="Arial" w:cs="Arial" w:eastAsia="Arial" w:hAnsi="Arial"/>
                <w:sz w:val="13"/>
                <w:szCs w:val="13"/>
                <w:color w:val="auto"/>
              </w:rPr>
              <w:t>2,007</w:t>
            </w:r>
          </w:p>
        </w:tc>
        <w:tc>
          <w:tcPr>
            <w:tcW w:w="1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2,007</w:t>
            </w:r>
          </w:p>
        </w:tc>
        <w:tc>
          <w:tcPr>
            <w:tcW w:w="0" w:type="dxa"/>
            <w:vAlign w:val="bottom"/>
          </w:tcPr>
          <w:p>
            <w:pPr>
              <w:spacing w:after="0"/>
              <w:rPr>
                <w:sz w:val="1"/>
                <w:szCs w:val="1"/>
                <w:color w:val="auto"/>
              </w:rPr>
            </w:pPr>
          </w:p>
        </w:tc>
      </w:tr>
      <w:tr>
        <w:trPr>
          <w:trHeight w:val="190"/>
        </w:trPr>
        <w:tc>
          <w:tcPr>
            <w:tcW w:w="3320" w:type="dxa"/>
            <w:vAlign w:val="bottom"/>
          </w:tcPr>
          <w:p>
            <w:pPr>
              <w:ind w:left="140"/>
              <w:spacing w:after="0"/>
              <w:rPr>
                <w:sz w:val="20"/>
                <w:szCs w:val="20"/>
                <w:color w:val="auto"/>
              </w:rPr>
            </w:pPr>
            <w:r>
              <w:rPr>
                <w:rFonts w:ascii="Arial" w:cs="Arial" w:eastAsia="Arial" w:hAnsi="Arial"/>
                <w:sz w:val="13"/>
                <w:szCs w:val="13"/>
                <w:color w:val="auto"/>
              </w:rPr>
              <w:t xml:space="preserve">Other Segment Items </w:t>
            </w:r>
            <w:r>
              <w:rPr>
                <w:rFonts w:ascii="Arial" w:cs="Arial" w:eastAsia="Arial" w:hAnsi="Arial"/>
                <w:sz w:val="16"/>
                <w:szCs w:val="16"/>
                <w:color w:val="auto"/>
                <w:vertAlign w:val="superscript"/>
              </w:rPr>
              <w:t>(6)</w:t>
            </w: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44,632</w:t>
            </w: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16,402</w:t>
            </w:r>
          </w:p>
        </w:tc>
        <w:tc>
          <w:tcPr>
            <w:tcW w:w="2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17,108</w:t>
            </w:r>
          </w:p>
        </w:tc>
        <w:tc>
          <w:tcPr>
            <w:tcW w:w="2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44,065</w:t>
            </w:r>
          </w:p>
        </w:tc>
        <w:tc>
          <w:tcPr>
            <w:tcW w:w="2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color w:val="auto"/>
              </w:rPr>
              <w:t>7,826</w:t>
            </w: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130,033</w:t>
            </w:r>
          </w:p>
        </w:tc>
        <w:tc>
          <w:tcPr>
            <w:tcW w:w="0" w:type="dxa"/>
            <w:vAlign w:val="bottom"/>
          </w:tcPr>
          <w:p>
            <w:pPr>
              <w:spacing w:after="0"/>
              <w:rPr>
                <w:sz w:val="1"/>
                <w:szCs w:val="1"/>
                <w:color w:val="auto"/>
              </w:rPr>
            </w:pPr>
          </w:p>
        </w:tc>
      </w:tr>
      <w:tr>
        <w:trPr>
          <w:trHeight w:val="178"/>
        </w:trPr>
        <w:tc>
          <w:tcPr>
            <w:tcW w:w="3320" w:type="dxa"/>
            <w:vAlign w:val="bottom"/>
          </w:tcPr>
          <w:p>
            <w:pPr>
              <w:ind w:left="20"/>
              <w:spacing w:after="0"/>
              <w:rPr>
                <w:sz w:val="20"/>
                <w:szCs w:val="20"/>
                <w:color w:val="auto"/>
              </w:rPr>
            </w:pPr>
            <w:r>
              <w:rPr>
                <w:rFonts w:ascii="Arial" w:cs="Arial" w:eastAsia="Arial" w:hAnsi="Arial"/>
                <w:sz w:val="13"/>
                <w:szCs w:val="13"/>
                <w:b w:val="1"/>
                <w:bCs w:val="1"/>
                <w:color w:val="auto"/>
              </w:rPr>
              <w:t>EBITDAP</w:t>
            </w:r>
          </w:p>
        </w:tc>
        <w:tc>
          <w:tcPr>
            <w:tcW w:w="2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w w:val="82"/>
              </w:rPr>
              <w:t>$</w:t>
            </w:r>
          </w:p>
        </w:tc>
        <w:tc>
          <w:tcPr>
            <w:tcW w:w="10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46,976</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12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35,490</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14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9,531</w:t>
            </w:r>
          </w:p>
        </w:tc>
        <w:tc>
          <w:tcPr>
            <w:tcW w:w="2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0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13,079</w:t>
            </w:r>
          </w:p>
        </w:tc>
        <w:tc>
          <w:tcPr>
            <w:tcW w:w="2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16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color w:val="auto"/>
              </w:rPr>
              <w:t>11,380</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116,456</w:t>
            </w:r>
          </w:p>
        </w:tc>
        <w:tc>
          <w:tcPr>
            <w:tcW w:w="0" w:type="dxa"/>
            <w:vAlign w:val="bottom"/>
          </w:tcPr>
          <w:p>
            <w:pPr>
              <w:spacing w:after="0"/>
              <w:rPr>
                <w:sz w:val="1"/>
                <w:szCs w:val="1"/>
                <w:color w:val="auto"/>
              </w:rPr>
            </w:pPr>
          </w:p>
        </w:tc>
      </w:tr>
      <w:tr>
        <w:trPr>
          <w:trHeight w:val="213"/>
        </w:trPr>
        <w:tc>
          <w:tcPr>
            <w:tcW w:w="3320" w:type="dxa"/>
            <w:vAlign w:val="bottom"/>
          </w:tcPr>
          <w:p>
            <w:pPr>
              <w:ind w:left="20"/>
              <w:spacing w:after="0"/>
              <w:rPr>
                <w:sz w:val="20"/>
                <w:szCs w:val="20"/>
                <w:color w:val="auto"/>
              </w:rPr>
            </w:pPr>
            <w:r>
              <w:rPr>
                <w:rFonts w:ascii="Arial" w:cs="Arial" w:eastAsia="Arial" w:hAnsi="Arial"/>
                <w:sz w:val="13"/>
                <w:szCs w:val="13"/>
                <w:color w:val="auto"/>
              </w:rPr>
              <w:t>Pension Service Cost</w:t>
            </w:r>
          </w:p>
        </w:tc>
        <w:tc>
          <w:tcPr>
            <w:tcW w:w="200" w:type="dxa"/>
            <w:vAlign w:val="bottom"/>
          </w:tcPr>
          <w:p>
            <w:pPr>
              <w:spacing w:after="0"/>
              <w:rPr>
                <w:sz w:val="18"/>
                <w:szCs w:val="18"/>
                <w:color w:val="auto"/>
              </w:rPr>
            </w:pPr>
          </w:p>
        </w:tc>
        <w:tc>
          <w:tcPr>
            <w:tcW w:w="1060" w:type="dxa"/>
            <w:vAlign w:val="bottom"/>
          </w:tcPr>
          <w:p>
            <w:pPr>
              <w:jc w:val="right"/>
              <w:ind w:right="37"/>
              <w:spacing w:after="0"/>
              <w:rPr>
                <w:sz w:val="20"/>
                <w:szCs w:val="20"/>
                <w:color w:val="auto"/>
              </w:rPr>
            </w:pPr>
            <w:r>
              <w:rPr>
                <w:rFonts w:ascii="Arial" w:cs="Arial" w:eastAsia="Arial" w:hAnsi="Arial"/>
                <w:sz w:val="13"/>
                <w:szCs w:val="13"/>
                <w:color w:val="auto"/>
              </w:rPr>
              <w:t>4,110</w:t>
            </w:r>
          </w:p>
        </w:tc>
        <w:tc>
          <w:tcPr>
            <w:tcW w:w="220" w:type="dxa"/>
            <w:vAlign w:val="bottom"/>
          </w:tcPr>
          <w:p>
            <w:pPr>
              <w:spacing w:after="0"/>
              <w:rPr>
                <w:sz w:val="18"/>
                <w:szCs w:val="18"/>
                <w:color w:val="auto"/>
              </w:rPr>
            </w:pPr>
          </w:p>
        </w:tc>
        <w:tc>
          <w:tcPr>
            <w:tcW w:w="1120" w:type="dxa"/>
            <w:vAlign w:val="bottom"/>
          </w:tcPr>
          <w:p>
            <w:pPr>
              <w:jc w:val="right"/>
              <w:ind w:right="37"/>
              <w:spacing w:after="0"/>
              <w:rPr>
                <w:sz w:val="20"/>
                <w:szCs w:val="20"/>
                <w:color w:val="auto"/>
              </w:rPr>
            </w:pPr>
            <w:r>
              <w:rPr>
                <w:rFonts w:ascii="Arial" w:cs="Arial" w:eastAsia="Arial" w:hAnsi="Arial"/>
                <w:sz w:val="13"/>
                <w:szCs w:val="13"/>
                <w:color w:val="auto"/>
              </w:rPr>
              <w:t>1,639</w:t>
            </w:r>
          </w:p>
        </w:tc>
        <w:tc>
          <w:tcPr>
            <w:tcW w:w="200" w:type="dxa"/>
            <w:vAlign w:val="bottom"/>
          </w:tcPr>
          <w:p>
            <w:pPr>
              <w:spacing w:after="0"/>
              <w:rPr>
                <w:sz w:val="18"/>
                <w:szCs w:val="18"/>
                <w:color w:val="auto"/>
              </w:rPr>
            </w:pPr>
          </w:p>
        </w:tc>
        <w:tc>
          <w:tcPr>
            <w:tcW w:w="1140" w:type="dxa"/>
            <w:vAlign w:val="bottom"/>
          </w:tcPr>
          <w:p>
            <w:pPr>
              <w:jc w:val="right"/>
              <w:ind w:right="37"/>
              <w:spacing w:after="0"/>
              <w:rPr>
                <w:sz w:val="20"/>
                <w:szCs w:val="20"/>
                <w:color w:val="auto"/>
              </w:rPr>
            </w:pPr>
            <w:r>
              <w:rPr>
                <w:rFonts w:ascii="Arial" w:cs="Arial" w:eastAsia="Arial" w:hAnsi="Arial"/>
                <w:sz w:val="13"/>
                <w:szCs w:val="13"/>
                <w:color w:val="auto"/>
              </w:rPr>
              <w:t>627</w:t>
            </w:r>
          </w:p>
        </w:tc>
        <w:tc>
          <w:tcPr>
            <w:tcW w:w="260" w:type="dxa"/>
            <w:vAlign w:val="bottom"/>
          </w:tcPr>
          <w:p>
            <w:pPr>
              <w:spacing w:after="0"/>
              <w:rPr>
                <w:sz w:val="18"/>
                <w:szCs w:val="18"/>
                <w:color w:val="auto"/>
              </w:rPr>
            </w:pPr>
          </w:p>
        </w:tc>
        <w:tc>
          <w:tcPr>
            <w:tcW w:w="1080" w:type="dxa"/>
            <w:vAlign w:val="bottom"/>
          </w:tcPr>
          <w:p>
            <w:pPr>
              <w:jc w:val="right"/>
              <w:ind w:right="37"/>
              <w:spacing w:after="0"/>
              <w:rPr>
                <w:sz w:val="20"/>
                <w:szCs w:val="20"/>
                <w:color w:val="auto"/>
              </w:rPr>
            </w:pPr>
            <w:r>
              <w:rPr>
                <w:rFonts w:ascii="Arial" w:cs="Arial" w:eastAsia="Arial" w:hAnsi="Arial"/>
                <w:sz w:val="13"/>
                <w:szCs w:val="13"/>
                <w:color w:val="auto"/>
              </w:rPr>
              <w:t>4,758</w:t>
            </w:r>
          </w:p>
        </w:tc>
        <w:tc>
          <w:tcPr>
            <w:tcW w:w="260" w:type="dxa"/>
            <w:vAlign w:val="bottom"/>
          </w:tcPr>
          <w:p>
            <w:pPr>
              <w:spacing w:after="0"/>
              <w:rPr>
                <w:sz w:val="18"/>
                <w:szCs w:val="18"/>
                <w:color w:val="auto"/>
              </w:rPr>
            </w:pPr>
          </w:p>
        </w:tc>
        <w:tc>
          <w:tcPr>
            <w:tcW w:w="1160" w:type="dxa"/>
            <w:vAlign w:val="bottom"/>
          </w:tcPr>
          <w:p>
            <w:pPr>
              <w:jc w:val="right"/>
              <w:ind w:right="117"/>
              <w:spacing w:after="0"/>
              <w:rPr>
                <w:sz w:val="20"/>
                <w:szCs w:val="20"/>
                <w:color w:val="auto"/>
              </w:rPr>
            </w:pPr>
            <w:r>
              <w:rPr>
                <w:rFonts w:ascii="Arial" w:cs="Arial" w:eastAsia="Arial" w:hAnsi="Arial"/>
                <w:sz w:val="13"/>
                <w:szCs w:val="13"/>
                <w:color w:val="auto"/>
              </w:rPr>
              <w:t>15</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100" w:type="dxa"/>
            <w:vAlign w:val="bottom"/>
          </w:tcPr>
          <w:p>
            <w:pPr>
              <w:jc w:val="right"/>
              <w:spacing w:after="0"/>
              <w:rPr>
                <w:sz w:val="20"/>
                <w:szCs w:val="20"/>
                <w:color w:val="auto"/>
              </w:rPr>
            </w:pPr>
            <w:r>
              <w:rPr>
                <w:rFonts w:ascii="Arial" w:cs="Arial" w:eastAsia="Arial" w:hAnsi="Arial"/>
                <w:sz w:val="13"/>
                <w:szCs w:val="13"/>
                <w:color w:val="auto"/>
              </w:rPr>
              <w:t>11,149</w:t>
            </w:r>
          </w:p>
        </w:tc>
        <w:tc>
          <w:tcPr>
            <w:tcW w:w="0" w:type="dxa"/>
            <w:vAlign w:val="bottom"/>
          </w:tcPr>
          <w:p>
            <w:pPr>
              <w:spacing w:after="0"/>
              <w:rPr>
                <w:sz w:val="1"/>
                <w:szCs w:val="1"/>
                <w:color w:val="auto"/>
              </w:rPr>
            </w:pPr>
          </w:p>
        </w:tc>
      </w:tr>
      <w:tr>
        <w:trPr>
          <w:trHeight w:val="189"/>
        </w:trPr>
        <w:tc>
          <w:tcPr>
            <w:tcW w:w="3320" w:type="dxa"/>
            <w:vAlign w:val="bottom"/>
          </w:tcPr>
          <w:p>
            <w:pPr>
              <w:ind w:left="20"/>
              <w:spacing w:after="0"/>
              <w:rPr>
                <w:sz w:val="20"/>
                <w:szCs w:val="20"/>
                <w:color w:val="auto"/>
              </w:rPr>
            </w:pPr>
            <w:r>
              <w:rPr>
                <w:rFonts w:ascii="Arial" w:cs="Arial" w:eastAsia="Arial" w:hAnsi="Arial"/>
                <w:sz w:val="13"/>
                <w:szCs w:val="13"/>
                <w:color w:val="auto"/>
              </w:rPr>
              <w:t>Depreciation Expense</w:t>
            </w:r>
          </w:p>
        </w:tc>
        <w:tc>
          <w:tcPr>
            <w:tcW w:w="200" w:type="dxa"/>
            <w:vAlign w:val="bottom"/>
          </w:tcPr>
          <w:p>
            <w:pPr>
              <w:spacing w:after="0"/>
              <w:rPr>
                <w:sz w:val="16"/>
                <w:szCs w:val="16"/>
                <w:color w:val="auto"/>
              </w:rPr>
            </w:pPr>
          </w:p>
        </w:tc>
        <w:tc>
          <w:tcPr>
            <w:tcW w:w="1060" w:type="dxa"/>
            <w:vAlign w:val="bottom"/>
          </w:tcPr>
          <w:p>
            <w:pPr>
              <w:jc w:val="right"/>
              <w:ind w:right="37"/>
              <w:spacing w:after="0"/>
              <w:rPr>
                <w:sz w:val="20"/>
                <w:szCs w:val="20"/>
                <w:color w:val="auto"/>
              </w:rPr>
            </w:pPr>
            <w:r>
              <w:rPr>
                <w:rFonts w:ascii="Arial" w:cs="Arial" w:eastAsia="Arial" w:hAnsi="Arial"/>
                <w:sz w:val="13"/>
                <w:szCs w:val="13"/>
                <w:color w:val="auto"/>
              </w:rPr>
              <w:t>9,305</w:t>
            </w:r>
          </w:p>
        </w:tc>
        <w:tc>
          <w:tcPr>
            <w:tcW w:w="220" w:type="dxa"/>
            <w:vAlign w:val="bottom"/>
          </w:tcPr>
          <w:p>
            <w:pPr>
              <w:spacing w:after="0"/>
              <w:rPr>
                <w:sz w:val="16"/>
                <w:szCs w:val="16"/>
                <w:color w:val="auto"/>
              </w:rPr>
            </w:pPr>
          </w:p>
        </w:tc>
        <w:tc>
          <w:tcPr>
            <w:tcW w:w="1120" w:type="dxa"/>
            <w:vAlign w:val="bottom"/>
          </w:tcPr>
          <w:p>
            <w:pPr>
              <w:jc w:val="right"/>
              <w:ind w:right="37"/>
              <w:spacing w:after="0"/>
              <w:rPr>
                <w:sz w:val="20"/>
                <w:szCs w:val="20"/>
                <w:color w:val="auto"/>
              </w:rPr>
            </w:pPr>
            <w:r>
              <w:rPr>
                <w:rFonts w:ascii="Arial" w:cs="Arial" w:eastAsia="Arial" w:hAnsi="Arial"/>
                <w:sz w:val="13"/>
                <w:szCs w:val="13"/>
                <w:color w:val="auto"/>
              </w:rPr>
              <w:t>2,868</w:t>
            </w:r>
          </w:p>
        </w:tc>
        <w:tc>
          <w:tcPr>
            <w:tcW w:w="200" w:type="dxa"/>
            <w:vAlign w:val="bottom"/>
          </w:tcPr>
          <w:p>
            <w:pPr>
              <w:spacing w:after="0"/>
              <w:rPr>
                <w:sz w:val="16"/>
                <w:szCs w:val="16"/>
                <w:color w:val="auto"/>
              </w:rPr>
            </w:pPr>
          </w:p>
        </w:tc>
        <w:tc>
          <w:tcPr>
            <w:tcW w:w="1140" w:type="dxa"/>
            <w:vAlign w:val="bottom"/>
          </w:tcPr>
          <w:p>
            <w:pPr>
              <w:jc w:val="right"/>
              <w:ind w:right="37"/>
              <w:spacing w:after="0"/>
              <w:rPr>
                <w:sz w:val="20"/>
                <w:szCs w:val="20"/>
                <w:color w:val="auto"/>
              </w:rPr>
            </w:pPr>
            <w:r>
              <w:rPr>
                <w:rFonts w:ascii="Arial" w:cs="Arial" w:eastAsia="Arial" w:hAnsi="Arial"/>
                <w:sz w:val="13"/>
                <w:szCs w:val="13"/>
                <w:color w:val="auto"/>
              </w:rPr>
              <w:t>2,715</w:t>
            </w:r>
          </w:p>
        </w:tc>
        <w:tc>
          <w:tcPr>
            <w:tcW w:w="260" w:type="dxa"/>
            <w:vAlign w:val="bottom"/>
          </w:tcPr>
          <w:p>
            <w:pPr>
              <w:spacing w:after="0"/>
              <w:rPr>
                <w:sz w:val="16"/>
                <w:szCs w:val="16"/>
                <w:color w:val="auto"/>
              </w:rPr>
            </w:pPr>
          </w:p>
        </w:tc>
        <w:tc>
          <w:tcPr>
            <w:tcW w:w="1080" w:type="dxa"/>
            <w:vAlign w:val="bottom"/>
          </w:tcPr>
          <w:p>
            <w:pPr>
              <w:jc w:val="right"/>
              <w:ind w:right="37"/>
              <w:spacing w:after="0"/>
              <w:rPr>
                <w:sz w:val="20"/>
                <w:szCs w:val="20"/>
                <w:color w:val="auto"/>
              </w:rPr>
            </w:pPr>
            <w:r>
              <w:rPr>
                <w:rFonts w:ascii="Arial" w:cs="Arial" w:eastAsia="Arial" w:hAnsi="Arial"/>
                <w:sz w:val="13"/>
                <w:szCs w:val="13"/>
                <w:color w:val="auto"/>
              </w:rPr>
              <w:t>1,594</w:t>
            </w:r>
          </w:p>
        </w:tc>
        <w:tc>
          <w:tcPr>
            <w:tcW w:w="260" w:type="dxa"/>
            <w:vAlign w:val="bottom"/>
          </w:tcPr>
          <w:p>
            <w:pPr>
              <w:spacing w:after="0"/>
              <w:rPr>
                <w:sz w:val="16"/>
                <w:szCs w:val="16"/>
                <w:color w:val="auto"/>
              </w:rPr>
            </w:pPr>
          </w:p>
        </w:tc>
        <w:tc>
          <w:tcPr>
            <w:tcW w:w="1160" w:type="dxa"/>
            <w:vAlign w:val="bottom"/>
          </w:tcPr>
          <w:p>
            <w:pPr>
              <w:jc w:val="right"/>
              <w:ind w:right="117"/>
              <w:spacing w:after="0"/>
              <w:rPr>
                <w:sz w:val="20"/>
                <w:szCs w:val="20"/>
                <w:color w:val="auto"/>
              </w:rPr>
            </w:pPr>
            <w:r>
              <w:rPr>
                <w:rFonts w:ascii="Arial" w:cs="Arial" w:eastAsia="Arial" w:hAnsi="Arial"/>
                <w:sz w:val="13"/>
                <w:szCs w:val="13"/>
                <w:color w:val="auto"/>
              </w:rPr>
              <w:t>1,713</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100" w:type="dxa"/>
            <w:vAlign w:val="bottom"/>
          </w:tcPr>
          <w:p>
            <w:pPr>
              <w:jc w:val="right"/>
              <w:spacing w:after="0"/>
              <w:rPr>
                <w:sz w:val="20"/>
                <w:szCs w:val="20"/>
                <w:color w:val="auto"/>
              </w:rPr>
            </w:pPr>
            <w:r>
              <w:rPr>
                <w:rFonts w:ascii="Arial" w:cs="Arial" w:eastAsia="Arial" w:hAnsi="Arial"/>
                <w:sz w:val="13"/>
                <w:szCs w:val="13"/>
                <w:color w:val="auto"/>
              </w:rPr>
              <w:t>18,195</w:t>
            </w:r>
          </w:p>
        </w:tc>
        <w:tc>
          <w:tcPr>
            <w:tcW w:w="0" w:type="dxa"/>
            <w:vAlign w:val="bottom"/>
          </w:tcPr>
          <w:p>
            <w:pPr>
              <w:spacing w:after="0"/>
              <w:rPr>
                <w:sz w:val="1"/>
                <w:szCs w:val="1"/>
                <w:color w:val="auto"/>
              </w:rPr>
            </w:pPr>
          </w:p>
        </w:tc>
      </w:tr>
      <w:tr>
        <w:trPr>
          <w:trHeight w:val="68"/>
        </w:trPr>
        <w:tc>
          <w:tcPr>
            <w:tcW w:w="332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Income from Operations before Amortization of</w:t>
            </w:r>
          </w:p>
        </w:tc>
        <w:tc>
          <w:tcPr>
            <w:tcW w:w="20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4"/>
        </w:trPr>
        <w:tc>
          <w:tcPr>
            <w:tcW w:w="332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7"/>
        </w:trPr>
        <w:tc>
          <w:tcPr>
            <w:tcW w:w="3320" w:type="dxa"/>
            <w:vAlign w:val="bottom"/>
          </w:tcPr>
          <w:p>
            <w:pPr>
              <w:ind w:left="100"/>
              <w:spacing w:after="0"/>
              <w:rPr>
                <w:sz w:val="20"/>
                <w:szCs w:val="20"/>
                <w:color w:val="auto"/>
              </w:rPr>
            </w:pPr>
            <w:r>
              <w:rPr>
                <w:rFonts w:ascii="Arial" w:cs="Arial" w:eastAsia="Arial" w:hAnsi="Arial"/>
                <w:sz w:val="13"/>
                <w:szCs w:val="13"/>
                <w:b w:val="1"/>
                <w:bCs w:val="1"/>
                <w:color w:val="auto"/>
              </w:rPr>
              <w:t>Intangible Assets</w:t>
            </w:r>
          </w:p>
        </w:tc>
        <w:tc>
          <w:tcPr>
            <w:tcW w:w="2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w w:val="82"/>
              </w:rPr>
              <w:t>$</w:t>
            </w:r>
          </w:p>
        </w:tc>
        <w:tc>
          <w:tcPr>
            <w:tcW w:w="10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33,561</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12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30,983</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14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6,189</w:t>
            </w:r>
          </w:p>
        </w:tc>
        <w:tc>
          <w:tcPr>
            <w:tcW w:w="2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0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6,727</w:t>
            </w:r>
          </w:p>
        </w:tc>
        <w:tc>
          <w:tcPr>
            <w:tcW w:w="2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16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color w:val="auto"/>
              </w:rPr>
              <w:t>9,652</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87,112</w:t>
            </w:r>
          </w:p>
        </w:tc>
        <w:tc>
          <w:tcPr>
            <w:tcW w:w="0" w:type="dxa"/>
            <w:vAlign w:val="bottom"/>
          </w:tcPr>
          <w:p>
            <w:pPr>
              <w:spacing w:after="0"/>
              <w:rPr>
                <w:sz w:val="1"/>
                <w:szCs w:val="1"/>
                <w:color w:val="auto"/>
              </w:rPr>
            </w:pPr>
          </w:p>
        </w:tc>
      </w:tr>
      <w:tr>
        <w:trPr>
          <w:trHeight w:val="239"/>
        </w:trPr>
        <w:tc>
          <w:tcPr>
            <w:tcW w:w="3320" w:type="dxa"/>
            <w:vAlign w:val="bottom"/>
          </w:tcPr>
          <w:p>
            <w:pPr>
              <w:ind w:left="20"/>
              <w:spacing w:after="0"/>
              <w:rPr>
                <w:sz w:val="20"/>
                <w:szCs w:val="20"/>
                <w:color w:val="auto"/>
              </w:rPr>
            </w:pPr>
            <w:r>
              <w:rPr>
                <w:rFonts w:ascii="Arial" w:cs="Arial" w:eastAsia="Arial" w:hAnsi="Arial"/>
                <w:sz w:val="13"/>
                <w:szCs w:val="13"/>
                <w:b w:val="1"/>
                <w:bCs w:val="1"/>
                <w:color w:val="auto"/>
              </w:rPr>
              <w:t xml:space="preserve">Other Businesses </w:t>
            </w:r>
            <w:r>
              <w:rPr>
                <w:rFonts w:ascii="Arial" w:cs="Arial" w:eastAsia="Arial" w:hAnsi="Arial"/>
                <w:sz w:val="16"/>
                <w:szCs w:val="16"/>
                <w:b w:val="1"/>
                <w:bCs w:val="1"/>
                <w:color w:val="auto"/>
                <w:vertAlign w:val="superscript"/>
              </w:rPr>
              <w:t>(7)</w:t>
            </w: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(26,283)</w:t>
            </w:r>
          </w:p>
        </w:tc>
        <w:tc>
          <w:tcPr>
            <w:tcW w:w="0" w:type="dxa"/>
            <w:vAlign w:val="bottom"/>
          </w:tcPr>
          <w:p>
            <w:pPr>
              <w:spacing w:after="0"/>
              <w:rPr>
                <w:sz w:val="1"/>
                <w:szCs w:val="1"/>
                <w:color w:val="auto"/>
              </w:rPr>
            </w:pPr>
          </w:p>
        </w:tc>
      </w:tr>
      <w:tr>
        <w:trPr>
          <w:trHeight w:val="172"/>
        </w:trPr>
        <w:tc>
          <w:tcPr>
            <w:tcW w:w="3320" w:type="dxa"/>
            <w:vAlign w:val="bottom"/>
          </w:tcPr>
          <w:p>
            <w:pPr>
              <w:ind w:left="20"/>
              <w:spacing w:after="0"/>
              <w:rPr>
                <w:sz w:val="20"/>
                <w:szCs w:val="20"/>
                <w:color w:val="auto"/>
              </w:rPr>
            </w:pPr>
            <w:r>
              <w:rPr>
                <w:rFonts w:ascii="Arial" w:cs="Arial" w:eastAsia="Arial" w:hAnsi="Arial"/>
                <w:sz w:val="13"/>
                <w:szCs w:val="13"/>
                <w:b w:val="1"/>
                <w:bCs w:val="1"/>
                <w:color w:val="auto"/>
              </w:rPr>
              <w:t>Corporate Costs</w:t>
            </w: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(14,636)</w:t>
            </w:r>
          </w:p>
        </w:tc>
        <w:tc>
          <w:tcPr>
            <w:tcW w:w="0" w:type="dxa"/>
            <w:vAlign w:val="bottom"/>
          </w:tcPr>
          <w:p>
            <w:pPr>
              <w:spacing w:after="0"/>
              <w:rPr>
                <w:sz w:val="1"/>
                <w:szCs w:val="1"/>
                <w:color w:val="auto"/>
              </w:rPr>
            </w:pPr>
          </w:p>
        </w:tc>
      </w:tr>
      <w:tr>
        <w:trPr>
          <w:trHeight w:val="190"/>
        </w:trPr>
        <w:tc>
          <w:tcPr>
            <w:tcW w:w="3320" w:type="dxa"/>
            <w:vAlign w:val="bottom"/>
          </w:tcPr>
          <w:p>
            <w:pPr>
              <w:ind w:left="20"/>
              <w:spacing w:after="0"/>
              <w:rPr>
                <w:sz w:val="20"/>
                <w:szCs w:val="20"/>
                <w:color w:val="auto"/>
              </w:rPr>
            </w:pPr>
            <w:r>
              <w:rPr>
                <w:rFonts w:ascii="Arial" w:cs="Arial" w:eastAsia="Arial" w:hAnsi="Arial"/>
                <w:sz w:val="13"/>
                <w:szCs w:val="13"/>
                <w:b w:val="1"/>
                <w:bCs w:val="1"/>
                <w:color w:val="auto"/>
              </w:rPr>
              <w:t>Amortization of Intangible Assets</w:t>
            </w: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(10,751)</w:t>
            </w:r>
          </w:p>
        </w:tc>
        <w:tc>
          <w:tcPr>
            <w:tcW w:w="0" w:type="dxa"/>
            <w:vAlign w:val="bottom"/>
          </w:tcPr>
          <w:p>
            <w:pPr>
              <w:spacing w:after="0"/>
              <w:rPr>
                <w:sz w:val="1"/>
                <w:szCs w:val="1"/>
                <w:color w:val="auto"/>
              </w:rPr>
            </w:pPr>
          </w:p>
        </w:tc>
      </w:tr>
      <w:tr>
        <w:trPr>
          <w:trHeight w:val="183"/>
        </w:trPr>
        <w:tc>
          <w:tcPr>
            <w:tcW w:w="3320" w:type="dxa"/>
            <w:vAlign w:val="bottom"/>
          </w:tcPr>
          <w:p>
            <w:pPr>
              <w:ind w:left="20"/>
              <w:spacing w:after="0"/>
              <w:rPr>
                <w:sz w:val="20"/>
                <w:szCs w:val="20"/>
                <w:color w:val="auto"/>
              </w:rPr>
            </w:pPr>
            <w:r>
              <w:rPr>
                <w:rFonts w:ascii="Arial" w:cs="Arial" w:eastAsia="Arial" w:hAnsi="Arial"/>
                <w:sz w:val="13"/>
                <w:szCs w:val="13"/>
                <w:b w:val="1"/>
                <w:bCs w:val="1"/>
                <w:color w:val="auto"/>
              </w:rPr>
              <w:t>Income from Operations</w:t>
            </w: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35,442</w:t>
            </w:r>
          </w:p>
        </w:tc>
        <w:tc>
          <w:tcPr>
            <w:tcW w:w="0" w:type="dxa"/>
            <w:vAlign w:val="bottom"/>
          </w:tcPr>
          <w:p>
            <w:pPr>
              <w:spacing w:after="0"/>
              <w:rPr>
                <w:sz w:val="1"/>
                <w:szCs w:val="1"/>
                <w:color w:val="auto"/>
              </w:rPr>
            </w:pPr>
          </w:p>
        </w:tc>
      </w:tr>
      <w:tr>
        <w:trPr>
          <w:trHeight w:val="181"/>
        </w:trPr>
        <w:tc>
          <w:tcPr>
            <w:tcW w:w="3320" w:type="dxa"/>
            <w:vAlign w:val="bottom"/>
          </w:tcPr>
          <w:p>
            <w:pPr>
              <w:ind w:left="20"/>
              <w:spacing w:after="0"/>
              <w:rPr>
                <w:sz w:val="20"/>
                <w:szCs w:val="20"/>
                <w:color w:val="auto"/>
              </w:rPr>
            </w:pPr>
            <w:r>
              <w:rPr>
                <w:rFonts w:ascii="Arial" w:cs="Arial" w:eastAsia="Arial" w:hAnsi="Arial"/>
                <w:sz w:val="13"/>
                <w:szCs w:val="13"/>
                <w:b w:val="1"/>
                <w:bCs w:val="1"/>
                <w:color w:val="auto"/>
              </w:rPr>
              <w:t>Equity in Earnings of Affiliates, Net</w:t>
            </w: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2,331</w:t>
            </w:r>
          </w:p>
        </w:tc>
        <w:tc>
          <w:tcPr>
            <w:tcW w:w="0" w:type="dxa"/>
            <w:vAlign w:val="bottom"/>
          </w:tcPr>
          <w:p>
            <w:pPr>
              <w:spacing w:after="0"/>
              <w:rPr>
                <w:sz w:val="1"/>
                <w:szCs w:val="1"/>
                <w:color w:val="auto"/>
              </w:rPr>
            </w:pPr>
          </w:p>
        </w:tc>
      </w:tr>
      <w:tr>
        <w:trPr>
          <w:trHeight w:val="189"/>
        </w:trPr>
        <w:tc>
          <w:tcPr>
            <w:tcW w:w="3320" w:type="dxa"/>
            <w:vAlign w:val="bottom"/>
          </w:tcPr>
          <w:p>
            <w:pPr>
              <w:ind w:left="20"/>
              <w:spacing w:after="0"/>
              <w:rPr>
                <w:sz w:val="20"/>
                <w:szCs w:val="20"/>
                <w:color w:val="auto"/>
              </w:rPr>
            </w:pPr>
            <w:r>
              <w:rPr>
                <w:rFonts w:ascii="Arial" w:cs="Arial" w:eastAsia="Arial" w:hAnsi="Arial"/>
                <w:sz w:val="13"/>
                <w:szCs w:val="13"/>
                <w:b w:val="1"/>
                <w:bCs w:val="1"/>
                <w:color w:val="auto"/>
              </w:rPr>
              <w:t>Interest Expense, Net</w:t>
            </w: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(17,150)</w:t>
            </w:r>
          </w:p>
        </w:tc>
        <w:tc>
          <w:tcPr>
            <w:tcW w:w="0" w:type="dxa"/>
            <w:vAlign w:val="bottom"/>
          </w:tcPr>
          <w:p>
            <w:pPr>
              <w:spacing w:after="0"/>
              <w:rPr>
                <w:sz w:val="1"/>
                <w:szCs w:val="1"/>
                <w:color w:val="auto"/>
              </w:rPr>
            </w:pPr>
          </w:p>
        </w:tc>
      </w:tr>
      <w:tr>
        <w:trPr>
          <w:trHeight w:val="152"/>
        </w:trPr>
        <w:tc>
          <w:tcPr>
            <w:tcW w:w="3320" w:type="dxa"/>
            <w:vAlign w:val="bottom"/>
          </w:tcPr>
          <w:p>
            <w:pPr>
              <w:ind w:left="20"/>
              <w:spacing w:after="0"/>
              <w:rPr>
                <w:sz w:val="20"/>
                <w:szCs w:val="20"/>
                <w:color w:val="auto"/>
              </w:rPr>
            </w:pPr>
            <w:r>
              <w:rPr>
                <w:rFonts w:ascii="Arial" w:cs="Arial" w:eastAsia="Arial" w:hAnsi="Arial"/>
                <w:sz w:val="13"/>
                <w:szCs w:val="13"/>
                <w:b w:val="1"/>
                <w:bCs w:val="1"/>
                <w:color w:val="auto"/>
              </w:rPr>
              <w:t>Non-Operating Pension and Postretirement Benefit</w:t>
            </w:r>
          </w:p>
        </w:tc>
        <w:tc>
          <w:tcPr>
            <w:tcW w:w="2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3320" w:type="dxa"/>
            <w:vAlign w:val="bottom"/>
          </w:tcPr>
          <w:p>
            <w:pPr>
              <w:ind w:left="100"/>
              <w:spacing w:after="0"/>
              <w:rPr>
                <w:sz w:val="20"/>
                <w:szCs w:val="20"/>
                <w:color w:val="auto"/>
              </w:rPr>
            </w:pPr>
            <w:r>
              <w:rPr>
                <w:rFonts w:ascii="Arial" w:cs="Arial" w:eastAsia="Arial" w:hAnsi="Arial"/>
                <w:sz w:val="13"/>
                <w:szCs w:val="13"/>
                <w:b w:val="1"/>
                <w:bCs w:val="1"/>
                <w:color w:val="auto"/>
              </w:rPr>
              <w:t>Income, Net</w:t>
            </w: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42,417</w:t>
            </w:r>
          </w:p>
        </w:tc>
        <w:tc>
          <w:tcPr>
            <w:tcW w:w="0" w:type="dxa"/>
            <w:vAlign w:val="bottom"/>
          </w:tcPr>
          <w:p>
            <w:pPr>
              <w:spacing w:after="0"/>
              <w:rPr>
                <w:sz w:val="1"/>
                <w:szCs w:val="1"/>
                <w:color w:val="auto"/>
              </w:rPr>
            </w:pPr>
          </w:p>
        </w:tc>
      </w:tr>
      <w:tr>
        <w:trPr>
          <w:trHeight w:val="195"/>
        </w:trPr>
        <w:tc>
          <w:tcPr>
            <w:tcW w:w="3320" w:type="dxa"/>
            <w:vAlign w:val="bottom"/>
          </w:tcPr>
          <w:p>
            <w:pPr>
              <w:ind w:left="20"/>
              <w:spacing w:after="0"/>
              <w:rPr>
                <w:sz w:val="20"/>
                <w:szCs w:val="20"/>
                <w:color w:val="auto"/>
              </w:rPr>
            </w:pPr>
            <w:r>
              <w:rPr>
                <w:rFonts w:ascii="Arial" w:cs="Arial" w:eastAsia="Arial" w:hAnsi="Arial"/>
                <w:sz w:val="13"/>
                <w:szCs w:val="13"/>
                <w:b w:val="1"/>
                <w:bCs w:val="1"/>
                <w:color w:val="auto"/>
              </w:rPr>
              <w:t>Gain on Marketable Equity Securities, Net</w:t>
            </w: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104,152</w:t>
            </w:r>
          </w:p>
        </w:tc>
        <w:tc>
          <w:tcPr>
            <w:tcW w:w="0" w:type="dxa"/>
            <w:vAlign w:val="bottom"/>
          </w:tcPr>
          <w:p>
            <w:pPr>
              <w:spacing w:after="0"/>
              <w:rPr>
                <w:sz w:val="1"/>
                <w:szCs w:val="1"/>
                <w:color w:val="auto"/>
              </w:rPr>
            </w:pPr>
          </w:p>
        </w:tc>
      </w:tr>
      <w:tr>
        <w:trPr>
          <w:trHeight w:val="193"/>
        </w:trPr>
        <w:tc>
          <w:tcPr>
            <w:tcW w:w="3320" w:type="dxa"/>
            <w:vAlign w:val="bottom"/>
          </w:tcPr>
          <w:p>
            <w:pPr>
              <w:ind w:left="20"/>
              <w:spacing w:after="0"/>
              <w:rPr>
                <w:sz w:val="20"/>
                <w:szCs w:val="20"/>
                <w:color w:val="auto"/>
              </w:rPr>
            </w:pPr>
            <w:r>
              <w:rPr>
                <w:rFonts w:ascii="Arial" w:cs="Arial" w:eastAsia="Arial" w:hAnsi="Arial"/>
                <w:sz w:val="13"/>
                <w:szCs w:val="13"/>
                <w:b w:val="1"/>
                <w:bCs w:val="1"/>
                <w:color w:val="auto"/>
              </w:rPr>
              <w:t>Other Income, Net</w:t>
            </w: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1,647</w:t>
            </w:r>
          </w:p>
        </w:tc>
        <w:tc>
          <w:tcPr>
            <w:tcW w:w="0" w:type="dxa"/>
            <w:vAlign w:val="bottom"/>
          </w:tcPr>
          <w:p>
            <w:pPr>
              <w:spacing w:after="0"/>
              <w:rPr>
                <w:sz w:val="1"/>
                <w:szCs w:val="1"/>
                <w:color w:val="auto"/>
              </w:rPr>
            </w:pPr>
          </w:p>
        </w:tc>
      </w:tr>
      <w:tr>
        <w:trPr>
          <w:trHeight w:val="187"/>
        </w:trPr>
        <w:tc>
          <w:tcPr>
            <w:tcW w:w="3320" w:type="dxa"/>
            <w:vAlign w:val="bottom"/>
          </w:tcPr>
          <w:p>
            <w:pPr>
              <w:ind w:left="20"/>
              <w:spacing w:after="0"/>
              <w:rPr>
                <w:sz w:val="20"/>
                <w:szCs w:val="20"/>
                <w:color w:val="auto"/>
              </w:rPr>
            </w:pPr>
            <w:r>
              <w:rPr>
                <w:rFonts w:ascii="Arial" w:cs="Arial" w:eastAsia="Arial" w:hAnsi="Arial"/>
                <w:sz w:val="13"/>
                <w:szCs w:val="13"/>
                <w:b w:val="1"/>
                <w:bCs w:val="1"/>
                <w:color w:val="auto"/>
              </w:rPr>
              <w:t>Income Before Income Taxes</w:t>
            </w: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168,839</w:t>
            </w: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09"/>
        </w:trPr>
        <w:tc>
          <w:tcPr>
            <w:tcW w:w="3320" w:type="dxa"/>
            <w:vAlign w:val="bottom"/>
          </w:tcPr>
          <w:p>
            <w:pPr>
              <w:ind w:left="20"/>
              <w:spacing w:after="0"/>
              <w:rPr>
                <w:sz w:val="20"/>
                <w:szCs w:val="20"/>
                <w:color w:val="auto"/>
              </w:rPr>
            </w:pPr>
            <w:r>
              <w:rPr>
                <w:rFonts w:ascii="Arial" w:cs="Arial" w:eastAsia="Arial" w:hAnsi="Arial"/>
                <w:sz w:val="13"/>
                <w:szCs w:val="13"/>
                <w:b w:val="1"/>
                <w:bCs w:val="1"/>
                <w:color w:val="auto"/>
              </w:rPr>
              <w:t>Capital Expenditures</w:t>
            </w:r>
          </w:p>
        </w:tc>
        <w:tc>
          <w:tcPr>
            <w:tcW w:w="200" w:type="dxa"/>
            <w:vAlign w:val="bottom"/>
          </w:tcPr>
          <w:p>
            <w:pPr>
              <w:jc w:val="right"/>
              <w:ind w:right="57"/>
              <w:spacing w:after="0"/>
              <w:rPr>
                <w:sz w:val="20"/>
                <w:szCs w:val="20"/>
                <w:color w:val="auto"/>
              </w:rPr>
            </w:pPr>
            <w:r>
              <w:rPr>
                <w:rFonts w:ascii="Arial" w:cs="Arial" w:eastAsia="Arial" w:hAnsi="Arial"/>
                <w:sz w:val="13"/>
                <w:szCs w:val="13"/>
                <w:color w:val="auto"/>
                <w:w w:val="82"/>
              </w:rPr>
              <w:t>$</w:t>
            </w:r>
          </w:p>
        </w:tc>
        <w:tc>
          <w:tcPr>
            <w:tcW w:w="1060" w:type="dxa"/>
            <w:vAlign w:val="bottom"/>
          </w:tcPr>
          <w:p>
            <w:pPr>
              <w:jc w:val="right"/>
              <w:ind w:right="37"/>
              <w:spacing w:after="0"/>
              <w:rPr>
                <w:sz w:val="20"/>
                <w:szCs w:val="20"/>
                <w:color w:val="auto"/>
              </w:rPr>
            </w:pPr>
            <w:r>
              <w:rPr>
                <w:rFonts w:ascii="Arial" w:cs="Arial" w:eastAsia="Arial" w:hAnsi="Arial"/>
                <w:sz w:val="13"/>
                <w:szCs w:val="13"/>
                <w:color w:val="auto"/>
              </w:rPr>
              <w:t>7,519</w:t>
            </w:r>
          </w:p>
        </w:tc>
        <w:tc>
          <w:tcPr>
            <w:tcW w:w="220" w:type="dxa"/>
            <w:vAlign w:val="bottom"/>
          </w:tcPr>
          <w:p>
            <w:pPr>
              <w:jc w:val="right"/>
              <w:spacing w:after="0"/>
              <w:rPr>
                <w:sz w:val="20"/>
                <w:szCs w:val="20"/>
                <w:color w:val="auto"/>
              </w:rPr>
            </w:pPr>
            <w:r>
              <w:rPr>
                <w:rFonts w:ascii="Arial" w:cs="Arial" w:eastAsia="Arial" w:hAnsi="Arial"/>
                <w:sz w:val="13"/>
                <w:szCs w:val="13"/>
                <w:color w:val="auto"/>
              </w:rPr>
              <w:t>$</w:t>
            </w:r>
          </w:p>
        </w:tc>
        <w:tc>
          <w:tcPr>
            <w:tcW w:w="1120" w:type="dxa"/>
            <w:vAlign w:val="bottom"/>
          </w:tcPr>
          <w:p>
            <w:pPr>
              <w:jc w:val="right"/>
              <w:ind w:right="37"/>
              <w:spacing w:after="0"/>
              <w:rPr>
                <w:sz w:val="20"/>
                <w:szCs w:val="20"/>
                <w:color w:val="auto"/>
              </w:rPr>
            </w:pPr>
            <w:r>
              <w:rPr>
                <w:rFonts w:ascii="Arial" w:cs="Arial" w:eastAsia="Arial" w:hAnsi="Arial"/>
                <w:sz w:val="13"/>
                <w:szCs w:val="13"/>
                <w:color w:val="auto"/>
              </w:rPr>
              <w:t>1,629</w:t>
            </w: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1140" w:type="dxa"/>
            <w:vAlign w:val="bottom"/>
          </w:tcPr>
          <w:p>
            <w:pPr>
              <w:jc w:val="right"/>
              <w:ind w:right="37"/>
              <w:spacing w:after="0"/>
              <w:rPr>
                <w:sz w:val="20"/>
                <w:szCs w:val="20"/>
                <w:color w:val="auto"/>
              </w:rPr>
            </w:pPr>
            <w:r>
              <w:rPr>
                <w:rFonts w:ascii="Arial" w:cs="Arial" w:eastAsia="Arial" w:hAnsi="Arial"/>
                <w:sz w:val="13"/>
                <w:szCs w:val="13"/>
                <w:color w:val="auto"/>
              </w:rPr>
              <w:t>5,660</w:t>
            </w:r>
          </w:p>
        </w:tc>
        <w:tc>
          <w:tcPr>
            <w:tcW w:w="26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080" w:type="dxa"/>
            <w:vAlign w:val="bottom"/>
          </w:tcPr>
          <w:p>
            <w:pPr>
              <w:jc w:val="right"/>
              <w:ind w:right="37"/>
              <w:spacing w:after="0"/>
              <w:rPr>
                <w:sz w:val="20"/>
                <w:szCs w:val="20"/>
                <w:color w:val="auto"/>
              </w:rPr>
            </w:pPr>
            <w:r>
              <w:rPr>
                <w:rFonts w:ascii="Arial" w:cs="Arial" w:eastAsia="Arial" w:hAnsi="Arial"/>
                <w:sz w:val="13"/>
                <w:szCs w:val="13"/>
                <w:color w:val="auto"/>
              </w:rPr>
              <w:t>1,936</w:t>
            </w:r>
          </w:p>
        </w:tc>
        <w:tc>
          <w:tcPr>
            <w:tcW w:w="26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160" w:type="dxa"/>
            <w:vAlign w:val="bottom"/>
          </w:tcPr>
          <w:p>
            <w:pPr>
              <w:jc w:val="right"/>
              <w:ind w:right="117"/>
              <w:spacing w:after="0"/>
              <w:rPr>
                <w:sz w:val="20"/>
                <w:szCs w:val="20"/>
                <w:color w:val="auto"/>
              </w:rPr>
            </w:pPr>
            <w:r>
              <w:rPr>
                <w:rFonts w:ascii="Arial" w:cs="Arial" w:eastAsia="Arial" w:hAnsi="Arial"/>
                <w:sz w:val="13"/>
                <w:szCs w:val="13"/>
                <w:color w:val="auto"/>
              </w:rPr>
              <w:t>1,204</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100" w:type="dxa"/>
            <w:vAlign w:val="bottom"/>
          </w:tcPr>
          <w:p>
            <w:pPr>
              <w:jc w:val="right"/>
              <w:spacing w:after="0"/>
              <w:rPr>
                <w:sz w:val="20"/>
                <w:szCs w:val="20"/>
                <w:color w:val="auto"/>
              </w:rPr>
            </w:pPr>
            <w:r>
              <w:rPr>
                <w:rFonts w:ascii="Arial" w:cs="Arial" w:eastAsia="Arial" w:hAnsi="Arial"/>
                <w:sz w:val="13"/>
                <w:szCs w:val="13"/>
                <w:color w:val="auto"/>
              </w:rPr>
              <w:t>17,948</w:t>
            </w:r>
          </w:p>
        </w:tc>
        <w:tc>
          <w:tcPr>
            <w:tcW w:w="0" w:type="dxa"/>
            <w:vAlign w:val="bottom"/>
          </w:tcPr>
          <w:p>
            <w:pPr>
              <w:spacing w:after="0"/>
              <w:rPr>
                <w:sz w:val="1"/>
                <w:szCs w:val="1"/>
                <w:color w:val="auto"/>
              </w:rPr>
            </w:pPr>
          </w:p>
        </w:tc>
      </w:tr>
      <w:tr>
        <w:trPr>
          <w:trHeight w:val="183"/>
        </w:trPr>
        <w:tc>
          <w:tcPr>
            <w:tcW w:w="3320" w:type="dxa"/>
            <w:vAlign w:val="bottom"/>
          </w:tcPr>
          <w:p>
            <w:pPr>
              <w:ind w:left="20"/>
              <w:spacing w:after="0"/>
              <w:rPr>
                <w:sz w:val="20"/>
                <w:szCs w:val="20"/>
                <w:color w:val="auto"/>
              </w:rPr>
            </w:pPr>
            <w:r>
              <w:rPr>
                <w:rFonts w:ascii="Arial" w:cs="Arial" w:eastAsia="Arial" w:hAnsi="Arial"/>
                <w:sz w:val="13"/>
                <w:szCs w:val="13"/>
                <w:i w:val="1"/>
                <w:iCs w:val="1"/>
                <w:color w:val="auto"/>
              </w:rPr>
              <w:t>Reconciliation of Capital Expenditures</w:t>
            </w: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8"/>
        </w:trPr>
        <w:tc>
          <w:tcPr>
            <w:tcW w:w="3320" w:type="dxa"/>
            <w:vAlign w:val="bottom"/>
          </w:tcPr>
          <w:p>
            <w:pPr>
              <w:ind w:left="140"/>
              <w:spacing w:after="0"/>
              <w:rPr>
                <w:sz w:val="20"/>
                <w:szCs w:val="20"/>
                <w:color w:val="auto"/>
              </w:rPr>
            </w:pPr>
            <w:r>
              <w:rPr>
                <w:rFonts w:ascii="Arial" w:cs="Arial" w:eastAsia="Arial" w:hAnsi="Arial"/>
                <w:sz w:val="13"/>
                <w:szCs w:val="13"/>
                <w:color w:val="auto"/>
              </w:rPr>
              <w:t>Other Businesses and Corporate Office Capital</w:t>
            </w:r>
          </w:p>
        </w:tc>
        <w:tc>
          <w:tcPr>
            <w:tcW w:w="2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3"/>
        </w:trPr>
        <w:tc>
          <w:tcPr>
            <w:tcW w:w="3320" w:type="dxa"/>
            <w:vAlign w:val="bottom"/>
          </w:tcPr>
          <w:p>
            <w:pPr>
              <w:ind w:left="220"/>
              <w:spacing w:after="0"/>
              <w:rPr>
                <w:sz w:val="20"/>
                <w:szCs w:val="20"/>
                <w:color w:val="auto"/>
              </w:rPr>
            </w:pPr>
            <w:r>
              <w:rPr>
                <w:rFonts w:ascii="Arial" w:cs="Arial" w:eastAsia="Arial" w:hAnsi="Arial"/>
                <w:sz w:val="13"/>
                <w:szCs w:val="13"/>
                <w:color w:val="auto"/>
              </w:rPr>
              <w:t xml:space="preserve">Expenditures </w:t>
            </w:r>
            <w:r>
              <w:rPr>
                <w:rFonts w:ascii="Arial" w:cs="Arial" w:eastAsia="Arial" w:hAnsi="Arial"/>
                <w:sz w:val="16"/>
                <w:szCs w:val="16"/>
                <w:color w:val="auto"/>
                <w:vertAlign w:val="superscript"/>
              </w:rPr>
              <w:t>(8)</w:t>
            </w: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3,525</w:t>
            </w:r>
          </w:p>
        </w:tc>
        <w:tc>
          <w:tcPr>
            <w:tcW w:w="0" w:type="dxa"/>
            <w:vAlign w:val="bottom"/>
          </w:tcPr>
          <w:p>
            <w:pPr>
              <w:spacing w:after="0"/>
              <w:rPr>
                <w:sz w:val="1"/>
                <w:szCs w:val="1"/>
                <w:color w:val="auto"/>
              </w:rPr>
            </w:pPr>
          </w:p>
        </w:tc>
      </w:tr>
      <w:tr>
        <w:trPr>
          <w:trHeight w:val="178"/>
        </w:trPr>
        <w:tc>
          <w:tcPr>
            <w:tcW w:w="3320" w:type="dxa"/>
            <w:vAlign w:val="bottom"/>
          </w:tcPr>
          <w:p>
            <w:pPr>
              <w:ind w:left="20"/>
              <w:spacing w:after="0"/>
              <w:rPr>
                <w:sz w:val="20"/>
                <w:szCs w:val="20"/>
                <w:color w:val="auto"/>
              </w:rPr>
            </w:pPr>
            <w:r>
              <w:rPr>
                <w:rFonts w:ascii="Arial" w:cs="Arial" w:eastAsia="Arial" w:hAnsi="Arial"/>
                <w:sz w:val="13"/>
                <w:szCs w:val="13"/>
                <w:b w:val="1"/>
                <w:bCs w:val="1"/>
                <w:color w:val="auto"/>
              </w:rPr>
              <w:t>Total Capital Expenditures</w:t>
            </w: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21,473</w:t>
            </w:r>
          </w:p>
        </w:tc>
        <w:tc>
          <w:tcPr>
            <w:tcW w:w="0" w:type="dxa"/>
            <w:vAlign w:val="bottom"/>
          </w:tcPr>
          <w:p>
            <w:pPr>
              <w:spacing w:after="0"/>
              <w:rPr>
                <w:sz w:val="1"/>
                <w:szCs w:val="1"/>
                <w:color w:val="auto"/>
              </w:rPr>
            </w:pPr>
          </w:p>
        </w:tc>
      </w:tr>
    </w:tbl>
    <w:p>
      <w:pPr>
        <w:spacing w:after="0" w:line="257" w:lineRule="exact"/>
        <w:rPr>
          <w:sz w:val="20"/>
          <w:szCs w:val="20"/>
          <w:color w:val="auto"/>
        </w:rPr>
      </w:pPr>
    </w:p>
    <w:p>
      <w:pPr>
        <w:ind w:left="360" w:right="200" w:hanging="334"/>
        <w:spacing w:after="0" w:line="259" w:lineRule="auto"/>
        <w:tabs>
          <w:tab w:leader="none" w:pos="360" w:val="left"/>
        </w:tabs>
        <w:numPr>
          <w:ilvl w:val="0"/>
          <w:numId w:val="15"/>
        </w:numPr>
        <w:rPr>
          <w:rFonts w:ascii="Arial" w:cs="Arial" w:eastAsia="Arial" w:hAnsi="Arial"/>
          <w:sz w:val="11"/>
          <w:szCs w:val="11"/>
          <w:color w:val="auto"/>
        </w:rPr>
      </w:pPr>
      <w:r>
        <w:rPr>
          <w:rFonts w:ascii="Arial" w:cs="Arial" w:eastAsia="Arial" w:hAnsi="Arial"/>
          <w:sz w:val="11"/>
          <w:szCs w:val="11"/>
          <w:color w:val="auto"/>
        </w:rPr>
        <w:t>Revenue from segments below the quantitative thresholds is attributable to Other Businesses and the Corporate Office, as described above. None of these operating segments meet the quantitative thresholds for determining reportable segments.</w:t>
      </w:r>
    </w:p>
    <w:p>
      <w:pPr>
        <w:spacing w:after="0" w:line="24" w:lineRule="exact"/>
        <w:rPr>
          <w:rFonts w:ascii="Arial" w:cs="Arial" w:eastAsia="Arial" w:hAnsi="Arial"/>
          <w:sz w:val="11"/>
          <w:szCs w:val="11"/>
          <w:color w:val="auto"/>
        </w:rPr>
      </w:pPr>
    </w:p>
    <w:p>
      <w:pPr>
        <w:ind w:left="360" w:hanging="334"/>
        <w:spacing w:after="0"/>
        <w:tabs>
          <w:tab w:leader="none" w:pos="360" w:val="left"/>
        </w:tabs>
        <w:numPr>
          <w:ilvl w:val="0"/>
          <w:numId w:val="15"/>
        </w:numPr>
        <w:rPr>
          <w:rFonts w:ascii="Arial" w:cs="Arial" w:eastAsia="Arial" w:hAnsi="Arial"/>
          <w:sz w:val="11"/>
          <w:szCs w:val="11"/>
          <w:color w:val="auto"/>
        </w:rPr>
      </w:pPr>
      <w:r>
        <w:rPr>
          <w:rFonts w:ascii="Arial" w:cs="Arial" w:eastAsia="Arial" w:hAnsi="Arial"/>
          <w:sz w:val="11"/>
          <w:szCs w:val="11"/>
          <w:color w:val="auto"/>
        </w:rPr>
        <w:t>The significant expense categories and amounts align with the segment-level information that is regularly provided to the CODM.</w:t>
      </w:r>
    </w:p>
    <w:p>
      <w:pPr>
        <w:spacing w:after="0" w:line="49" w:lineRule="exact"/>
        <w:rPr>
          <w:rFonts w:ascii="Arial" w:cs="Arial" w:eastAsia="Arial" w:hAnsi="Arial"/>
          <w:sz w:val="11"/>
          <w:szCs w:val="11"/>
          <w:color w:val="auto"/>
        </w:rPr>
      </w:pPr>
    </w:p>
    <w:p>
      <w:pPr>
        <w:ind w:left="360" w:right="400" w:hanging="334"/>
        <w:spacing w:after="0" w:line="259" w:lineRule="auto"/>
        <w:tabs>
          <w:tab w:leader="none" w:pos="360" w:val="left"/>
        </w:tabs>
        <w:numPr>
          <w:ilvl w:val="0"/>
          <w:numId w:val="15"/>
        </w:numPr>
        <w:rPr>
          <w:rFonts w:ascii="Arial" w:cs="Arial" w:eastAsia="Arial" w:hAnsi="Arial"/>
          <w:sz w:val="11"/>
          <w:szCs w:val="11"/>
          <w:color w:val="auto"/>
        </w:rPr>
      </w:pPr>
      <w:r>
        <w:rPr>
          <w:rFonts w:ascii="Arial" w:cs="Arial" w:eastAsia="Arial" w:hAnsi="Arial"/>
          <w:sz w:val="11"/>
          <w:szCs w:val="11"/>
          <w:color w:val="auto"/>
        </w:rPr>
        <w:t>Cost of revenue reflects the amounts reported and provided to the CODM and does not necessarily reconcile to the Company's Consolidated Statement of Operations or align across reportable segments. Cost of revenue excludes charges related to depreciation, which is shown separately above.</w:t>
      </w:r>
    </w:p>
    <w:p>
      <w:pPr>
        <w:spacing w:after="0" w:line="24" w:lineRule="exact"/>
        <w:rPr>
          <w:rFonts w:ascii="Arial" w:cs="Arial" w:eastAsia="Arial" w:hAnsi="Arial"/>
          <w:sz w:val="11"/>
          <w:szCs w:val="11"/>
          <w:color w:val="auto"/>
        </w:rPr>
      </w:pPr>
    </w:p>
    <w:p>
      <w:pPr>
        <w:ind w:left="360" w:hanging="334"/>
        <w:spacing w:after="0"/>
        <w:tabs>
          <w:tab w:leader="none" w:pos="360" w:val="left"/>
        </w:tabs>
        <w:numPr>
          <w:ilvl w:val="0"/>
          <w:numId w:val="15"/>
        </w:numPr>
        <w:rPr>
          <w:rFonts w:ascii="Arial" w:cs="Arial" w:eastAsia="Arial" w:hAnsi="Arial"/>
          <w:sz w:val="11"/>
          <w:szCs w:val="11"/>
          <w:color w:val="auto"/>
        </w:rPr>
      </w:pPr>
      <w:r>
        <w:rPr>
          <w:rFonts w:ascii="Arial" w:cs="Arial" w:eastAsia="Arial" w:hAnsi="Arial"/>
          <w:sz w:val="11"/>
          <w:szCs w:val="11"/>
          <w:color w:val="auto"/>
        </w:rPr>
        <w:t>Excludes pension service cost, which is shown separately above. Excludes any payroll and related benefits costs captured in cost of revenue.</w:t>
      </w:r>
    </w:p>
    <w:p>
      <w:pPr>
        <w:spacing w:after="0" w:line="49" w:lineRule="exact"/>
        <w:rPr>
          <w:rFonts w:ascii="Arial" w:cs="Arial" w:eastAsia="Arial" w:hAnsi="Arial"/>
          <w:sz w:val="11"/>
          <w:szCs w:val="11"/>
          <w:color w:val="auto"/>
        </w:rPr>
      </w:pPr>
    </w:p>
    <w:p>
      <w:pPr>
        <w:ind w:left="360" w:hanging="334"/>
        <w:spacing w:after="0"/>
        <w:tabs>
          <w:tab w:leader="none" w:pos="360" w:val="left"/>
        </w:tabs>
        <w:numPr>
          <w:ilvl w:val="0"/>
          <w:numId w:val="15"/>
        </w:numPr>
        <w:rPr>
          <w:rFonts w:ascii="Arial" w:cs="Arial" w:eastAsia="Arial" w:hAnsi="Arial"/>
          <w:sz w:val="11"/>
          <w:szCs w:val="11"/>
          <w:color w:val="auto"/>
        </w:rPr>
      </w:pPr>
      <w:r>
        <w:rPr>
          <w:rFonts w:ascii="Arial" w:cs="Arial" w:eastAsia="Arial" w:hAnsi="Arial"/>
          <w:sz w:val="11"/>
          <w:szCs w:val="11"/>
          <w:color w:val="auto"/>
        </w:rPr>
        <w:t>Management and operating services provided by Christopher J. Ourisman and his team of industry professionals.</w:t>
      </w:r>
    </w:p>
    <w:p>
      <w:pPr>
        <w:spacing w:after="0" w:line="49" w:lineRule="exact"/>
        <w:rPr>
          <w:rFonts w:ascii="Arial" w:cs="Arial" w:eastAsia="Arial" w:hAnsi="Arial"/>
          <w:sz w:val="11"/>
          <w:szCs w:val="11"/>
          <w:color w:val="auto"/>
        </w:rPr>
      </w:pPr>
    </w:p>
    <w:p>
      <w:pPr>
        <w:ind w:left="360" w:hanging="334"/>
        <w:spacing w:after="0"/>
        <w:tabs>
          <w:tab w:leader="none" w:pos="360" w:val="left"/>
        </w:tabs>
        <w:numPr>
          <w:ilvl w:val="0"/>
          <w:numId w:val="15"/>
        </w:numPr>
        <w:rPr>
          <w:rFonts w:ascii="Arial" w:cs="Arial" w:eastAsia="Arial" w:hAnsi="Arial"/>
          <w:sz w:val="11"/>
          <w:szCs w:val="11"/>
          <w:color w:val="auto"/>
        </w:rPr>
      </w:pPr>
      <w:r>
        <w:rPr>
          <w:rFonts w:ascii="Arial" w:cs="Arial" w:eastAsia="Arial" w:hAnsi="Arial"/>
          <w:sz w:val="11"/>
          <w:szCs w:val="11"/>
          <w:color w:val="auto"/>
        </w:rPr>
        <w:t>Other segment items for each reportable segment include:</w:t>
      </w:r>
    </w:p>
    <w:p>
      <w:pPr>
        <w:spacing w:after="0" w:line="49" w:lineRule="exact"/>
        <w:rPr>
          <w:rFonts w:ascii="Arial" w:cs="Arial" w:eastAsia="Arial" w:hAnsi="Arial"/>
          <w:sz w:val="11"/>
          <w:szCs w:val="11"/>
          <w:color w:val="auto"/>
        </w:rPr>
      </w:pPr>
    </w:p>
    <w:p>
      <w:pPr>
        <w:ind w:left="660" w:right="400" w:hanging="310"/>
        <w:spacing w:after="0" w:line="259" w:lineRule="auto"/>
        <w:tabs>
          <w:tab w:leader="none" w:pos="660" w:val="left"/>
        </w:tabs>
        <w:numPr>
          <w:ilvl w:val="1"/>
          <w:numId w:val="15"/>
        </w:numPr>
        <w:rPr>
          <w:rFonts w:ascii="Arial" w:cs="Arial" w:eastAsia="Arial" w:hAnsi="Arial"/>
          <w:sz w:val="11"/>
          <w:szCs w:val="11"/>
          <w:color w:val="auto"/>
        </w:rPr>
      </w:pPr>
      <w:r>
        <w:rPr>
          <w:rFonts w:ascii="Arial" w:cs="Arial" w:eastAsia="Arial" w:hAnsi="Arial"/>
          <w:sz w:val="11"/>
          <w:szCs w:val="11"/>
          <w:color w:val="auto"/>
        </w:rPr>
        <w:t>Education (includes Kaplan International, Kaplan Higher Education and Kaplan Supplemental Education) - training and employment expense, travel meals and entertainment expense, operating fees and other G&amp;A expenses.</w:t>
      </w:r>
    </w:p>
    <w:p>
      <w:pPr>
        <w:spacing w:after="0" w:line="24" w:lineRule="exact"/>
        <w:rPr>
          <w:rFonts w:ascii="Arial" w:cs="Arial" w:eastAsia="Arial" w:hAnsi="Arial"/>
          <w:sz w:val="11"/>
          <w:szCs w:val="11"/>
          <w:color w:val="auto"/>
        </w:rPr>
      </w:pPr>
    </w:p>
    <w:p>
      <w:pPr>
        <w:ind w:left="660" w:hanging="310"/>
        <w:spacing w:after="0"/>
        <w:tabs>
          <w:tab w:leader="none" w:pos="660" w:val="left"/>
        </w:tabs>
        <w:numPr>
          <w:ilvl w:val="1"/>
          <w:numId w:val="15"/>
        </w:numPr>
        <w:rPr>
          <w:rFonts w:ascii="Arial" w:cs="Arial" w:eastAsia="Arial" w:hAnsi="Arial"/>
          <w:sz w:val="11"/>
          <w:szCs w:val="11"/>
          <w:color w:val="auto"/>
        </w:rPr>
      </w:pPr>
      <w:r>
        <w:rPr>
          <w:rFonts w:ascii="Arial" w:cs="Arial" w:eastAsia="Arial" w:hAnsi="Arial"/>
          <w:sz w:val="11"/>
          <w:szCs w:val="11"/>
          <w:color w:val="auto"/>
        </w:rPr>
        <w:t>Television Broadcasting - other broadcast expenses, facilities expenses, third-party commission costs and other SG&amp;A expenses.</w:t>
      </w:r>
    </w:p>
    <w:p>
      <w:pPr>
        <w:spacing w:after="0" w:line="49" w:lineRule="exact"/>
        <w:rPr>
          <w:rFonts w:ascii="Arial" w:cs="Arial" w:eastAsia="Arial" w:hAnsi="Arial"/>
          <w:sz w:val="11"/>
          <w:szCs w:val="11"/>
          <w:color w:val="auto"/>
        </w:rPr>
      </w:pPr>
    </w:p>
    <w:p>
      <w:pPr>
        <w:ind w:left="660" w:hanging="310"/>
        <w:spacing w:after="0"/>
        <w:tabs>
          <w:tab w:leader="none" w:pos="660" w:val="left"/>
        </w:tabs>
        <w:numPr>
          <w:ilvl w:val="1"/>
          <w:numId w:val="15"/>
        </w:numPr>
        <w:rPr>
          <w:rFonts w:ascii="Arial" w:cs="Arial" w:eastAsia="Arial" w:hAnsi="Arial"/>
          <w:sz w:val="11"/>
          <w:szCs w:val="11"/>
          <w:color w:val="auto"/>
        </w:rPr>
      </w:pPr>
      <w:r>
        <w:rPr>
          <w:rFonts w:ascii="Arial" w:cs="Arial" w:eastAsia="Arial" w:hAnsi="Arial"/>
          <w:sz w:val="11"/>
          <w:szCs w:val="11"/>
          <w:color w:val="auto"/>
        </w:rPr>
        <w:t>Manufacturing - payroll and fringe benefits expense (SG&amp;A) and other SG&amp;A expenses.</w:t>
      </w:r>
    </w:p>
    <w:p>
      <w:pPr>
        <w:spacing w:after="0" w:line="49" w:lineRule="exact"/>
        <w:rPr>
          <w:rFonts w:ascii="Arial" w:cs="Arial" w:eastAsia="Arial" w:hAnsi="Arial"/>
          <w:sz w:val="11"/>
          <w:szCs w:val="11"/>
          <w:color w:val="auto"/>
        </w:rPr>
      </w:pPr>
    </w:p>
    <w:p>
      <w:pPr>
        <w:ind w:left="660" w:hanging="310"/>
        <w:spacing w:after="0"/>
        <w:tabs>
          <w:tab w:leader="none" w:pos="660" w:val="left"/>
        </w:tabs>
        <w:numPr>
          <w:ilvl w:val="1"/>
          <w:numId w:val="15"/>
        </w:numPr>
        <w:rPr>
          <w:rFonts w:ascii="Arial" w:cs="Arial" w:eastAsia="Arial" w:hAnsi="Arial"/>
          <w:sz w:val="11"/>
          <w:szCs w:val="11"/>
          <w:color w:val="auto"/>
        </w:rPr>
      </w:pPr>
      <w:r>
        <w:rPr>
          <w:rFonts w:ascii="Arial" w:cs="Arial" w:eastAsia="Arial" w:hAnsi="Arial"/>
          <w:sz w:val="11"/>
          <w:szCs w:val="11"/>
          <w:color w:val="auto"/>
        </w:rPr>
        <w:t>Healthcare - indirect costs (e.g. payroll and benefits expenses, general and administrative expenses) and other SG&amp;A expenses.</w:t>
      </w:r>
    </w:p>
    <w:p>
      <w:pPr>
        <w:spacing w:after="0" w:line="49" w:lineRule="exact"/>
        <w:rPr>
          <w:rFonts w:ascii="Arial" w:cs="Arial" w:eastAsia="Arial" w:hAnsi="Arial"/>
          <w:sz w:val="11"/>
          <w:szCs w:val="11"/>
          <w:color w:val="auto"/>
        </w:rPr>
      </w:pPr>
    </w:p>
    <w:p>
      <w:pPr>
        <w:ind w:left="660" w:hanging="310"/>
        <w:spacing w:after="0"/>
        <w:tabs>
          <w:tab w:leader="none" w:pos="660" w:val="left"/>
        </w:tabs>
        <w:numPr>
          <w:ilvl w:val="1"/>
          <w:numId w:val="15"/>
        </w:numPr>
        <w:rPr>
          <w:rFonts w:ascii="Arial" w:cs="Arial" w:eastAsia="Arial" w:hAnsi="Arial"/>
          <w:sz w:val="11"/>
          <w:szCs w:val="11"/>
          <w:color w:val="auto"/>
        </w:rPr>
      </w:pPr>
      <w:r>
        <w:rPr>
          <w:rFonts w:ascii="Arial" w:cs="Arial" w:eastAsia="Arial" w:hAnsi="Arial"/>
          <w:sz w:val="11"/>
          <w:szCs w:val="11"/>
          <w:color w:val="auto"/>
        </w:rPr>
        <w:t>Automotive - advertising and marketing expense and other G&amp;A expenses.</w:t>
      </w:r>
    </w:p>
    <w:p>
      <w:pPr>
        <w:spacing w:after="0" w:line="49" w:lineRule="exact"/>
        <w:rPr>
          <w:rFonts w:ascii="Arial" w:cs="Arial" w:eastAsia="Arial" w:hAnsi="Arial"/>
          <w:sz w:val="11"/>
          <w:szCs w:val="11"/>
          <w:color w:val="auto"/>
        </w:rPr>
      </w:pPr>
    </w:p>
    <w:p>
      <w:pPr>
        <w:ind w:left="360" w:right="600" w:hanging="334"/>
        <w:spacing w:after="0" w:line="259" w:lineRule="auto"/>
        <w:tabs>
          <w:tab w:leader="none" w:pos="360" w:val="left"/>
        </w:tabs>
        <w:numPr>
          <w:ilvl w:val="0"/>
          <w:numId w:val="15"/>
        </w:numPr>
        <w:rPr>
          <w:rFonts w:ascii="Arial" w:cs="Arial" w:eastAsia="Arial" w:hAnsi="Arial"/>
          <w:sz w:val="11"/>
          <w:szCs w:val="11"/>
          <w:color w:val="auto"/>
        </w:rPr>
      </w:pPr>
      <w:r>
        <w:rPr>
          <w:rFonts w:ascii="Arial" w:cs="Arial" w:eastAsia="Arial" w:hAnsi="Arial"/>
          <w:sz w:val="11"/>
          <w:szCs w:val="11"/>
          <w:color w:val="auto"/>
        </w:rPr>
        <w:t>Profit or loss from operating segments below the quantitative thresholds attributable to Other Businesses as described above. These operating segments did not meet any of the quantitative thresholds for determining reportable segments.</w:t>
      </w:r>
    </w:p>
    <w:p>
      <w:pPr>
        <w:spacing w:after="0" w:line="24" w:lineRule="exact"/>
        <w:rPr>
          <w:rFonts w:ascii="Arial" w:cs="Arial" w:eastAsia="Arial" w:hAnsi="Arial"/>
          <w:sz w:val="11"/>
          <w:szCs w:val="11"/>
          <w:color w:val="auto"/>
        </w:rPr>
      </w:pPr>
    </w:p>
    <w:p>
      <w:pPr>
        <w:ind w:left="360" w:right="360" w:hanging="334"/>
        <w:spacing w:after="0" w:line="259" w:lineRule="auto"/>
        <w:tabs>
          <w:tab w:leader="none" w:pos="360" w:val="left"/>
        </w:tabs>
        <w:numPr>
          <w:ilvl w:val="0"/>
          <w:numId w:val="15"/>
        </w:numPr>
        <w:rPr>
          <w:rFonts w:ascii="Arial" w:cs="Arial" w:eastAsia="Arial" w:hAnsi="Arial"/>
          <w:sz w:val="11"/>
          <w:szCs w:val="11"/>
          <w:color w:val="auto"/>
        </w:rPr>
      </w:pPr>
      <w:r>
        <w:rPr>
          <w:rFonts w:ascii="Arial" w:cs="Arial" w:eastAsia="Arial" w:hAnsi="Arial"/>
          <w:sz w:val="11"/>
          <w:szCs w:val="11"/>
          <w:color w:val="auto"/>
        </w:rPr>
        <w:t>Capital Expenditures from operating segments below the quantitative thresholds are attributable to Other Businesses and the Corporate Office, as described above. None of these operating segments meet the quantitative thresholds for determining reportable segments.</w:t>
      </w:r>
    </w:p>
    <w:p>
      <w:pPr>
        <w:sectPr>
          <w:pgSz w:w="11900" w:h="16838" w:orient="portrait"/>
          <w:cols w:equalWidth="0" w:num="1">
            <w:col w:w="11240"/>
          </w:cols>
          <w:pgMar w:left="320" w:top="93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183515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type w:val="continuous"/>
        </w:sectPr>
      </w:pPr>
    </w:p>
    <w:bookmarkStart w:id="23" w:name="page24"/>
    <w:bookmarkEnd w:id="23"/>
    <w:p>
      <w:pPr>
        <w:spacing w:after="0"/>
        <w:rPr>
          <w:sz w:val="20"/>
          <w:szCs w:val="20"/>
          <w:color w:val="auto"/>
        </w:rPr>
      </w:pPr>
      <w:r>
        <w:rPr>
          <w:rFonts w:ascii="Arial" w:cs="Arial" w:eastAsia="Arial" w:hAnsi="Arial"/>
          <w:sz w:val="18"/>
          <w:szCs w:val="18"/>
          <w:color w:val="auto"/>
        </w:rPr>
        <w:t>The Company’s education division comprises the following operating segments: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3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500" w:type="dxa"/>
            <w:vAlign w:val="bottom"/>
            <w:tcBorders>
              <w:bottom w:val="single" w:sz="8" w:color="auto"/>
            </w:tcBorders>
            <w:gridSpan w:val="3"/>
          </w:tcPr>
          <w:p>
            <w:pPr>
              <w:jc w:val="right"/>
              <w:ind w:right="197"/>
              <w:spacing w:after="0"/>
              <w:rPr>
                <w:sz w:val="20"/>
                <w:szCs w:val="20"/>
                <w:color w:val="auto"/>
              </w:rPr>
            </w:pPr>
            <w:r>
              <w:rPr>
                <w:rFonts w:ascii="Arial" w:cs="Arial" w:eastAsia="Arial" w:hAnsi="Arial"/>
                <w:sz w:val="13"/>
                <w:szCs w:val="13"/>
                <w:b w:val="1"/>
                <w:bCs w:val="1"/>
                <w:color w:val="auto"/>
                <w:w w:val="98"/>
              </w:rPr>
              <w:t>Three Months Ended March 31, 2024</w:t>
            </w:r>
          </w:p>
        </w:tc>
        <w:tc>
          <w:tcPr>
            <w:tcW w:w="2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jc w:val="right"/>
              <w:ind w:right="377"/>
              <w:spacing w:after="0" w:line="142" w:lineRule="exact"/>
              <w:rPr>
                <w:sz w:val="20"/>
                <w:szCs w:val="20"/>
                <w:color w:val="auto"/>
              </w:rPr>
            </w:pPr>
            <w:r>
              <w:rPr>
                <w:rFonts w:ascii="Arial" w:cs="Arial" w:eastAsia="Arial" w:hAnsi="Arial"/>
                <w:sz w:val="13"/>
                <w:szCs w:val="13"/>
                <w:b w:val="1"/>
                <w:bCs w:val="1"/>
                <w:color w:val="auto"/>
              </w:rPr>
              <w:t>Kaplan</w:t>
            </w:r>
          </w:p>
        </w:tc>
        <w:tc>
          <w:tcPr>
            <w:tcW w:w="5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jc w:val="right"/>
              <w:ind w:right="177"/>
              <w:spacing w:after="0" w:line="142" w:lineRule="exact"/>
              <w:rPr>
                <w:sz w:val="20"/>
                <w:szCs w:val="20"/>
                <w:color w:val="auto"/>
              </w:rPr>
            </w:pPr>
            <w:r>
              <w:rPr>
                <w:rFonts w:ascii="Arial" w:cs="Arial" w:eastAsia="Arial" w:hAnsi="Arial"/>
                <w:sz w:val="13"/>
                <w:szCs w:val="13"/>
                <w:b w:val="1"/>
                <w:bCs w:val="1"/>
                <w:color w:val="auto"/>
              </w:rPr>
              <w:t>Supplemental</w:t>
            </w:r>
          </w:p>
        </w:tc>
        <w:tc>
          <w:tcPr>
            <w:tcW w:w="180" w:type="dxa"/>
            <w:vAlign w:val="bottom"/>
          </w:tcPr>
          <w:p>
            <w:pPr>
              <w:spacing w:after="0"/>
              <w:rPr>
                <w:sz w:val="12"/>
                <w:szCs w:val="12"/>
                <w:color w:val="auto"/>
              </w:rPr>
            </w:pPr>
          </w:p>
        </w:tc>
        <w:tc>
          <w:tcPr>
            <w:tcW w:w="1180" w:type="dxa"/>
            <w:vAlign w:val="bottom"/>
          </w:tcPr>
          <w:p>
            <w:pPr>
              <w:jc w:val="right"/>
              <w:ind w:right="77"/>
              <w:spacing w:after="0" w:line="142" w:lineRule="exact"/>
              <w:rPr>
                <w:sz w:val="20"/>
                <w:szCs w:val="20"/>
                <w:color w:val="auto"/>
              </w:rPr>
            </w:pPr>
            <w:r>
              <w:rPr>
                <w:rFonts w:ascii="Arial" w:cs="Arial" w:eastAsia="Arial" w:hAnsi="Arial"/>
                <w:sz w:val="13"/>
                <w:szCs w:val="13"/>
                <w:b w:val="1"/>
                <w:bCs w:val="1"/>
                <w:color w:val="auto"/>
                <w:w w:val="93"/>
              </w:rPr>
              <w:t>Kaplan Corporate</w:t>
            </w:r>
          </w:p>
        </w:tc>
        <w:tc>
          <w:tcPr>
            <w:tcW w:w="220" w:type="dxa"/>
            <w:vAlign w:val="bottom"/>
          </w:tcPr>
          <w:p>
            <w:pPr>
              <w:spacing w:after="0"/>
              <w:rPr>
                <w:sz w:val="12"/>
                <w:szCs w:val="12"/>
                <w:color w:val="auto"/>
              </w:rPr>
            </w:pPr>
          </w:p>
        </w:tc>
        <w:tc>
          <w:tcPr>
            <w:tcW w:w="1140" w:type="dxa"/>
            <w:vAlign w:val="bottom"/>
          </w:tcPr>
          <w:p>
            <w:pPr>
              <w:jc w:val="right"/>
              <w:ind w:right="217"/>
              <w:spacing w:after="0" w:line="142" w:lineRule="exact"/>
              <w:rPr>
                <w:sz w:val="20"/>
                <w:szCs w:val="20"/>
                <w:color w:val="auto"/>
              </w:rPr>
            </w:pPr>
            <w:r>
              <w:rPr>
                <w:rFonts w:ascii="Arial" w:cs="Arial" w:eastAsia="Arial" w:hAnsi="Arial"/>
                <w:sz w:val="13"/>
                <w:szCs w:val="13"/>
                <w:b w:val="1"/>
                <w:bCs w:val="1"/>
                <w:color w:val="auto"/>
              </w:rPr>
              <w:t>Intersegment</w:t>
            </w: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336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(in thousands)</w:t>
            </w: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217"/>
              <w:spacing w:after="0"/>
              <w:rPr>
                <w:sz w:val="20"/>
                <w:szCs w:val="20"/>
                <w:color w:val="auto"/>
              </w:rPr>
            </w:pPr>
            <w:r>
              <w:rPr>
                <w:rFonts w:ascii="Arial" w:cs="Arial" w:eastAsia="Arial" w:hAnsi="Arial"/>
                <w:sz w:val="13"/>
                <w:szCs w:val="13"/>
                <w:b w:val="1"/>
                <w:bCs w:val="1"/>
                <w:color w:val="auto"/>
              </w:rPr>
              <w:t>International</w:t>
            </w:r>
          </w:p>
        </w:tc>
        <w:tc>
          <w:tcPr>
            <w:tcW w:w="1300" w:type="dxa"/>
            <w:vAlign w:val="bottom"/>
            <w:tcBorders>
              <w:bottom w:val="single" w:sz="8" w:color="auto"/>
            </w:tcBorders>
            <w:gridSpan w:val="2"/>
          </w:tcPr>
          <w:p>
            <w:pPr>
              <w:jc w:val="right"/>
              <w:ind w:right="37"/>
              <w:spacing w:after="0"/>
              <w:rPr>
                <w:sz w:val="20"/>
                <w:szCs w:val="20"/>
                <w:color w:val="auto"/>
              </w:rPr>
            </w:pPr>
            <w:r>
              <w:rPr>
                <w:rFonts w:ascii="Arial" w:cs="Arial" w:eastAsia="Arial" w:hAnsi="Arial"/>
                <w:sz w:val="13"/>
                <w:szCs w:val="13"/>
                <w:b w:val="1"/>
                <w:bCs w:val="1"/>
                <w:color w:val="auto"/>
              </w:rPr>
              <w:t>Higher Education</w:t>
            </w: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277"/>
              <w:spacing w:after="0"/>
              <w:rPr>
                <w:sz w:val="20"/>
                <w:szCs w:val="20"/>
                <w:color w:val="auto"/>
              </w:rPr>
            </w:pPr>
            <w:r>
              <w:rPr>
                <w:rFonts w:ascii="Arial" w:cs="Arial" w:eastAsia="Arial" w:hAnsi="Arial"/>
                <w:sz w:val="13"/>
                <w:szCs w:val="13"/>
                <w:b w:val="1"/>
                <w:bCs w:val="1"/>
                <w:color w:val="auto"/>
              </w:rPr>
              <w:t>Education</w:t>
            </w: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297"/>
              <w:spacing w:after="0"/>
              <w:rPr>
                <w:sz w:val="20"/>
                <w:szCs w:val="20"/>
                <w:color w:val="auto"/>
              </w:rPr>
            </w:pPr>
            <w:r>
              <w:rPr>
                <w:rFonts w:ascii="Arial" w:cs="Arial" w:eastAsia="Arial" w:hAnsi="Arial"/>
                <w:sz w:val="13"/>
                <w:szCs w:val="13"/>
                <w:b w:val="1"/>
                <w:bCs w:val="1"/>
                <w:color w:val="auto"/>
              </w:rPr>
              <w:t>and Other</w:t>
            </w: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277"/>
              <w:spacing w:after="0"/>
              <w:rPr>
                <w:sz w:val="20"/>
                <w:szCs w:val="20"/>
                <w:color w:val="auto"/>
              </w:rPr>
            </w:pPr>
            <w:r>
              <w:rPr>
                <w:rFonts w:ascii="Arial" w:cs="Arial" w:eastAsia="Arial" w:hAnsi="Arial"/>
                <w:sz w:val="13"/>
                <w:szCs w:val="13"/>
                <w:b w:val="1"/>
                <w:bCs w:val="1"/>
                <w:color w:val="auto"/>
              </w:rPr>
              <w:t>Elimination</w:t>
            </w: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b w:val="1"/>
                <w:bCs w:val="1"/>
                <w:color w:val="auto"/>
                <w:w w:val="96"/>
              </w:rPr>
              <w:t>Total Education</w:t>
            </w:r>
          </w:p>
        </w:tc>
        <w:tc>
          <w:tcPr>
            <w:tcW w:w="0" w:type="dxa"/>
            <w:vAlign w:val="bottom"/>
          </w:tcPr>
          <w:p>
            <w:pPr>
              <w:spacing w:after="0"/>
              <w:rPr>
                <w:sz w:val="1"/>
                <w:szCs w:val="1"/>
                <w:color w:val="auto"/>
              </w:rPr>
            </w:pPr>
          </w:p>
        </w:tc>
      </w:tr>
      <w:tr>
        <w:trPr>
          <w:trHeight w:val="178"/>
        </w:trPr>
        <w:tc>
          <w:tcPr>
            <w:tcW w:w="3360" w:type="dxa"/>
            <w:vAlign w:val="bottom"/>
          </w:tcPr>
          <w:p>
            <w:pPr>
              <w:ind w:left="20"/>
              <w:spacing w:after="0"/>
              <w:rPr>
                <w:sz w:val="20"/>
                <w:szCs w:val="20"/>
                <w:color w:val="auto"/>
              </w:rPr>
            </w:pPr>
            <w:r>
              <w:rPr>
                <w:rFonts w:ascii="Arial" w:cs="Arial" w:eastAsia="Arial" w:hAnsi="Arial"/>
                <w:sz w:val="13"/>
                <w:szCs w:val="13"/>
                <w:b w:val="1"/>
                <w:bCs w:val="1"/>
                <w:color w:val="auto"/>
              </w:rPr>
              <w:t>Operating Revenues</w:t>
            </w:r>
          </w:p>
        </w:tc>
        <w:tc>
          <w:tcPr>
            <w:tcW w:w="160" w:type="dxa"/>
            <w:vAlign w:val="bottom"/>
          </w:tcPr>
          <w:p>
            <w:pPr>
              <w:jc w:val="right"/>
              <w:ind w:right="17"/>
              <w:spacing w:after="0"/>
              <w:rPr>
                <w:sz w:val="20"/>
                <w:szCs w:val="20"/>
                <w:color w:val="auto"/>
              </w:rPr>
            </w:pPr>
            <w:r>
              <w:rPr>
                <w:rFonts w:ascii="Arial" w:cs="Arial" w:eastAsia="Arial" w:hAnsi="Arial"/>
                <w:sz w:val="13"/>
                <w:szCs w:val="13"/>
                <w:b w:val="1"/>
                <w:bCs w:val="1"/>
                <w:color w:val="auto"/>
                <w:w w:val="82"/>
              </w:rPr>
              <w:t>$</w:t>
            </w:r>
          </w:p>
        </w:tc>
        <w:tc>
          <w:tcPr>
            <w:tcW w:w="1100" w:type="dxa"/>
            <w:vAlign w:val="bottom"/>
          </w:tcPr>
          <w:p>
            <w:pPr>
              <w:jc w:val="right"/>
              <w:ind w:right="37"/>
              <w:spacing w:after="0"/>
              <w:rPr>
                <w:sz w:val="20"/>
                <w:szCs w:val="20"/>
                <w:color w:val="auto"/>
              </w:rPr>
            </w:pPr>
            <w:r>
              <w:rPr>
                <w:rFonts w:ascii="Arial" w:cs="Arial" w:eastAsia="Arial" w:hAnsi="Arial"/>
                <w:sz w:val="13"/>
                <w:szCs w:val="13"/>
                <w:b w:val="1"/>
                <w:bCs w:val="1"/>
                <w:color w:val="auto"/>
              </w:rPr>
              <w:t>269,798</w:t>
            </w:r>
          </w:p>
        </w:tc>
        <w:tc>
          <w:tcPr>
            <w:tcW w:w="500" w:type="dxa"/>
            <w:vAlign w:val="bottom"/>
          </w:tcPr>
          <w:p>
            <w:pPr>
              <w:jc w:val="right"/>
              <w:ind w:right="277"/>
              <w:spacing w:after="0"/>
              <w:rPr>
                <w:sz w:val="20"/>
                <w:szCs w:val="20"/>
                <w:color w:val="auto"/>
              </w:rPr>
            </w:pPr>
            <w:r>
              <w:rPr>
                <w:rFonts w:ascii="Arial" w:cs="Arial" w:eastAsia="Arial" w:hAnsi="Arial"/>
                <w:sz w:val="13"/>
                <w:szCs w:val="13"/>
                <w:b w:val="1"/>
                <w:bCs w:val="1"/>
                <w:color w:val="auto"/>
              </w:rPr>
              <w:t>$</w:t>
            </w:r>
          </w:p>
        </w:tc>
        <w:tc>
          <w:tcPr>
            <w:tcW w:w="800" w:type="dxa"/>
            <w:vAlign w:val="bottom"/>
          </w:tcPr>
          <w:p>
            <w:pPr>
              <w:jc w:val="right"/>
              <w:ind w:right="17"/>
              <w:spacing w:after="0"/>
              <w:rPr>
                <w:sz w:val="20"/>
                <w:szCs w:val="20"/>
                <w:color w:val="auto"/>
              </w:rPr>
            </w:pPr>
            <w:r>
              <w:rPr>
                <w:rFonts w:ascii="Arial" w:cs="Arial" w:eastAsia="Arial" w:hAnsi="Arial"/>
                <w:sz w:val="13"/>
                <w:szCs w:val="13"/>
                <w:b w:val="1"/>
                <w:bCs w:val="1"/>
                <w:color w:val="auto"/>
              </w:rPr>
              <w:t>80,122</w:t>
            </w:r>
          </w:p>
        </w:tc>
        <w:tc>
          <w:tcPr>
            <w:tcW w:w="22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1140" w:type="dxa"/>
            <w:vAlign w:val="bottom"/>
          </w:tcPr>
          <w:p>
            <w:pPr>
              <w:jc w:val="right"/>
              <w:ind w:right="17"/>
              <w:spacing w:after="0"/>
              <w:rPr>
                <w:sz w:val="20"/>
                <w:szCs w:val="20"/>
                <w:color w:val="auto"/>
              </w:rPr>
            </w:pPr>
            <w:r>
              <w:rPr>
                <w:rFonts w:ascii="Arial" w:cs="Arial" w:eastAsia="Arial" w:hAnsi="Arial"/>
                <w:sz w:val="13"/>
                <w:szCs w:val="13"/>
                <w:b w:val="1"/>
                <w:bCs w:val="1"/>
                <w:color w:val="auto"/>
              </w:rPr>
              <w:t>72,122</w:t>
            </w:r>
          </w:p>
        </w:tc>
        <w:tc>
          <w:tcPr>
            <w:tcW w:w="18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1180" w:type="dxa"/>
            <w:vAlign w:val="bottom"/>
          </w:tcPr>
          <w:p>
            <w:pPr>
              <w:jc w:val="right"/>
              <w:ind w:right="37"/>
              <w:spacing w:after="0"/>
              <w:rPr>
                <w:sz w:val="20"/>
                <w:szCs w:val="20"/>
                <w:color w:val="auto"/>
              </w:rPr>
            </w:pPr>
            <w:r>
              <w:rPr>
                <w:rFonts w:ascii="Arial" w:cs="Arial" w:eastAsia="Arial" w:hAnsi="Arial"/>
                <w:sz w:val="13"/>
                <w:szCs w:val="13"/>
                <w:b w:val="1"/>
                <w:bCs w:val="1"/>
                <w:color w:val="auto"/>
              </w:rPr>
              <w:t>2,588</w:t>
            </w:r>
          </w:p>
        </w:tc>
        <w:tc>
          <w:tcPr>
            <w:tcW w:w="22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1140" w:type="dxa"/>
            <w:vAlign w:val="bottom"/>
          </w:tcPr>
          <w:p>
            <w:pPr>
              <w:jc w:val="right"/>
              <w:ind w:right="17"/>
              <w:spacing w:after="0"/>
              <w:rPr>
                <w:sz w:val="20"/>
                <w:szCs w:val="20"/>
                <w:color w:val="auto"/>
              </w:rPr>
            </w:pPr>
            <w:r>
              <w:rPr>
                <w:rFonts w:ascii="Arial" w:cs="Arial" w:eastAsia="Arial" w:hAnsi="Arial"/>
                <w:sz w:val="13"/>
                <w:szCs w:val="13"/>
                <w:b w:val="1"/>
                <w:bCs w:val="1"/>
                <w:color w:val="auto"/>
              </w:rPr>
              <w:t>(2,032)</w:t>
            </w:r>
          </w:p>
        </w:tc>
        <w:tc>
          <w:tcPr>
            <w:tcW w:w="16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3"/>
                <w:szCs w:val="13"/>
                <w:b w:val="1"/>
                <w:bCs w:val="1"/>
                <w:color w:val="auto"/>
              </w:rPr>
              <w:t>422,598</w:t>
            </w:r>
          </w:p>
        </w:tc>
        <w:tc>
          <w:tcPr>
            <w:tcW w:w="0" w:type="dxa"/>
            <w:vAlign w:val="bottom"/>
          </w:tcPr>
          <w:p>
            <w:pPr>
              <w:spacing w:after="0"/>
              <w:rPr>
                <w:sz w:val="1"/>
                <w:szCs w:val="1"/>
                <w:color w:val="auto"/>
              </w:rPr>
            </w:pPr>
          </w:p>
        </w:tc>
      </w:tr>
      <w:tr>
        <w:trPr>
          <w:trHeight w:val="304"/>
        </w:trPr>
        <w:tc>
          <w:tcPr>
            <w:tcW w:w="3360" w:type="dxa"/>
            <w:vAlign w:val="bottom"/>
          </w:tcPr>
          <w:p>
            <w:pPr>
              <w:ind w:left="20"/>
              <w:spacing w:after="0"/>
              <w:rPr>
                <w:sz w:val="20"/>
                <w:szCs w:val="20"/>
                <w:color w:val="auto"/>
              </w:rPr>
            </w:pPr>
            <w:r>
              <w:rPr>
                <w:rFonts w:ascii="Arial" w:cs="Arial" w:eastAsia="Arial" w:hAnsi="Arial"/>
                <w:sz w:val="13"/>
                <w:szCs w:val="13"/>
                <w:i w:val="1"/>
                <w:iCs w:val="1"/>
                <w:color w:val="auto"/>
              </w:rPr>
              <w:t xml:space="preserve">Less: Significant Expenses </w:t>
            </w:r>
            <w:r>
              <w:rPr>
                <w:rFonts w:ascii="Arial" w:cs="Arial" w:eastAsia="Arial" w:hAnsi="Arial"/>
                <w:sz w:val="16"/>
                <w:szCs w:val="16"/>
                <w:i w:val="1"/>
                <w:iCs w:val="1"/>
                <w:color w:val="auto"/>
                <w:vertAlign w:val="superscript"/>
              </w:rPr>
              <w:t>(1)</w:t>
            </w: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3360" w:type="dxa"/>
            <w:vAlign w:val="bottom"/>
          </w:tcPr>
          <w:p>
            <w:pPr>
              <w:ind w:left="140"/>
              <w:spacing w:after="0"/>
              <w:rPr>
                <w:sz w:val="20"/>
                <w:szCs w:val="20"/>
                <w:color w:val="auto"/>
              </w:rPr>
            </w:pPr>
            <w:r>
              <w:rPr>
                <w:rFonts w:ascii="Arial" w:cs="Arial" w:eastAsia="Arial" w:hAnsi="Arial"/>
                <w:sz w:val="13"/>
                <w:szCs w:val="13"/>
                <w:color w:val="auto"/>
              </w:rPr>
              <w:t xml:space="preserve">Cost of Revenue </w:t>
            </w:r>
            <w:r>
              <w:rPr>
                <w:rFonts w:ascii="Arial" w:cs="Arial" w:eastAsia="Arial" w:hAnsi="Arial"/>
                <w:sz w:val="16"/>
                <w:szCs w:val="16"/>
                <w:color w:val="auto"/>
                <w:vertAlign w:val="superscript"/>
              </w:rPr>
              <w:t>(2)</w:t>
            </w:r>
          </w:p>
        </w:tc>
        <w:tc>
          <w:tcPr>
            <w:tcW w:w="160" w:type="dxa"/>
            <w:vAlign w:val="bottom"/>
          </w:tcPr>
          <w:p>
            <w:pPr>
              <w:spacing w:after="0"/>
              <w:rPr>
                <w:sz w:val="16"/>
                <w:szCs w:val="16"/>
                <w:color w:val="auto"/>
              </w:rPr>
            </w:pPr>
          </w:p>
        </w:tc>
        <w:tc>
          <w:tcPr>
            <w:tcW w:w="1100" w:type="dxa"/>
            <w:vAlign w:val="bottom"/>
          </w:tcPr>
          <w:p>
            <w:pPr>
              <w:jc w:val="right"/>
              <w:ind w:right="37"/>
              <w:spacing w:after="0"/>
              <w:rPr>
                <w:sz w:val="20"/>
                <w:szCs w:val="20"/>
                <w:color w:val="auto"/>
              </w:rPr>
            </w:pPr>
            <w:r>
              <w:rPr>
                <w:rFonts w:ascii="Arial" w:cs="Arial" w:eastAsia="Arial" w:hAnsi="Arial"/>
                <w:sz w:val="13"/>
                <w:szCs w:val="13"/>
                <w:color w:val="auto"/>
              </w:rPr>
              <w:t>91,653</w:t>
            </w:r>
          </w:p>
        </w:tc>
        <w:tc>
          <w:tcPr>
            <w:tcW w:w="500" w:type="dxa"/>
            <w:vAlign w:val="bottom"/>
          </w:tcPr>
          <w:p>
            <w:pPr>
              <w:spacing w:after="0"/>
              <w:rPr>
                <w:sz w:val="16"/>
                <w:szCs w:val="16"/>
                <w:color w:val="auto"/>
              </w:rPr>
            </w:pPr>
          </w:p>
        </w:tc>
        <w:tc>
          <w:tcPr>
            <w:tcW w:w="800" w:type="dxa"/>
            <w:vAlign w:val="bottom"/>
          </w:tcPr>
          <w:p>
            <w:pPr>
              <w:jc w:val="right"/>
              <w:ind w:right="17"/>
              <w:spacing w:after="0"/>
              <w:rPr>
                <w:sz w:val="20"/>
                <w:szCs w:val="20"/>
                <w:color w:val="auto"/>
              </w:rPr>
            </w:pPr>
            <w:r>
              <w:rPr>
                <w:rFonts w:ascii="Arial" w:cs="Arial" w:eastAsia="Arial" w:hAnsi="Arial"/>
                <w:sz w:val="13"/>
                <w:szCs w:val="13"/>
                <w:color w:val="auto"/>
              </w:rPr>
              <w:t>65,987</w:t>
            </w:r>
          </w:p>
        </w:tc>
        <w:tc>
          <w:tcPr>
            <w:tcW w:w="220" w:type="dxa"/>
            <w:vAlign w:val="bottom"/>
          </w:tcPr>
          <w:p>
            <w:pPr>
              <w:spacing w:after="0"/>
              <w:rPr>
                <w:sz w:val="16"/>
                <w:szCs w:val="16"/>
                <w:color w:val="auto"/>
              </w:rPr>
            </w:pPr>
          </w:p>
        </w:tc>
        <w:tc>
          <w:tcPr>
            <w:tcW w:w="1140" w:type="dxa"/>
            <w:vAlign w:val="bottom"/>
          </w:tcPr>
          <w:p>
            <w:pPr>
              <w:jc w:val="right"/>
              <w:ind w:right="17"/>
              <w:spacing w:after="0"/>
              <w:rPr>
                <w:sz w:val="20"/>
                <w:szCs w:val="20"/>
                <w:color w:val="auto"/>
              </w:rPr>
            </w:pPr>
            <w:r>
              <w:rPr>
                <w:rFonts w:ascii="Arial" w:cs="Arial" w:eastAsia="Arial" w:hAnsi="Arial"/>
                <w:sz w:val="13"/>
                <w:szCs w:val="13"/>
                <w:color w:val="auto"/>
              </w:rPr>
              <w:t>13,834</w:t>
            </w: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jc w:val="right"/>
              <w:ind w:right="17"/>
              <w:spacing w:after="0"/>
              <w:rPr>
                <w:sz w:val="20"/>
                <w:szCs w:val="20"/>
                <w:color w:val="auto"/>
              </w:rPr>
            </w:pPr>
            <w:r>
              <w:rPr>
                <w:rFonts w:ascii="Arial" w:cs="Arial" w:eastAsia="Arial" w:hAnsi="Arial"/>
                <w:sz w:val="13"/>
                <w:szCs w:val="13"/>
                <w:color w:val="auto"/>
              </w:rPr>
              <w:t>(1,935)</w:t>
            </w:r>
          </w:p>
        </w:tc>
        <w:tc>
          <w:tcPr>
            <w:tcW w:w="1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169,539</w:t>
            </w:r>
          </w:p>
        </w:tc>
        <w:tc>
          <w:tcPr>
            <w:tcW w:w="0" w:type="dxa"/>
            <w:vAlign w:val="bottom"/>
          </w:tcPr>
          <w:p>
            <w:pPr>
              <w:spacing w:after="0"/>
              <w:rPr>
                <w:sz w:val="1"/>
                <w:szCs w:val="1"/>
                <w:color w:val="auto"/>
              </w:rPr>
            </w:pPr>
          </w:p>
        </w:tc>
      </w:tr>
      <w:tr>
        <w:trPr>
          <w:trHeight w:val="199"/>
        </w:trPr>
        <w:tc>
          <w:tcPr>
            <w:tcW w:w="3360" w:type="dxa"/>
            <w:vAlign w:val="bottom"/>
          </w:tcPr>
          <w:p>
            <w:pPr>
              <w:ind w:left="140"/>
              <w:spacing w:after="0"/>
              <w:rPr>
                <w:sz w:val="20"/>
                <w:szCs w:val="20"/>
                <w:color w:val="auto"/>
              </w:rPr>
            </w:pPr>
            <w:r>
              <w:rPr>
                <w:rFonts w:ascii="Arial" w:cs="Arial" w:eastAsia="Arial" w:hAnsi="Arial"/>
                <w:sz w:val="13"/>
                <w:szCs w:val="13"/>
                <w:color w:val="auto"/>
              </w:rPr>
              <w:t xml:space="preserve">Payroll and Fringe Benefits Expense </w:t>
            </w:r>
            <w:r>
              <w:rPr>
                <w:rFonts w:ascii="Arial" w:cs="Arial" w:eastAsia="Arial" w:hAnsi="Arial"/>
                <w:sz w:val="16"/>
                <w:szCs w:val="16"/>
                <w:color w:val="auto"/>
                <w:vertAlign w:val="superscript"/>
              </w:rPr>
              <w:t>(3)</w:t>
            </w:r>
          </w:p>
        </w:tc>
        <w:tc>
          <w:tcPr>
            <w:tcW w:w="160" w:type="dxa"/>
            <w:vAlign w:val="bottom"/>
          </w:tcPr>
          <w:p>
            <w:pPr>
              <w:spacing w:after="0"/>
              <w:rPr>
                <w:sz w:val="17"/>
                <w:szCs w:val="17"/>
                <w:color w:val="auto"/>
              </w:rPr>
            </w:pPr>
          </w:p>
        </w:tc>
        <w:tc>
          <w:tcPr>
            <w:tcW w:w="1100" w:type="dxa"/>
            <w:vAlign w:val="bottom"/>
          </w:tcPr>
          <w:p>
            <w:pPr>
              <w:jc w:val="right"/>
              <w:ind w:right="37"/>
              <w:spacing w:after="0"/>
              <w:rPr>
                <w:sz w:val="20"/>
                <w:szCs w:val="20"/>
                <w:color w:val="auto"/>
              </w:rPr>
            </w:pPr>
            <w:r>
              <w:rPr>
                <w:rFonts w:ascii="Arial" w:cs="Arial" w:eastAsia="Arial" w:hAnsi="Arial"/>
                <w:sz w:val="13"/>
                <w:szCs w:val="13"/>
                <w:color w:val="auto"/>
              </w:rPr>
              <w:t>73,114</w:t>
            </w:r>
          </w:p>
        </w:tc>
        <w:tc>
          <w:tcPr>
            <w:tcW w:w="500" w:type="dxa"/>
            <w:vAlign w:val="bottom"/>
          </w:tcPr>
          <w:p>
            <w:pPr>
              <w:spacing w:after="0"/>
              <w:rPr>
                <w:sz w:val="17"/>
                <w:szCs w:val="17"/>
                <w:color w:val="auto"/>
              </w:rPr>
            </w:pPr>
          </w:p>
        </w:tc>
        <w:tc>
          <w:tcPr>
            <w:tcW w:w="800" w:type="dxa"/>
            <w:vAlign w:val="bottom"/>
          </w:tcPr>
          <w:p>
            <w:pPr>
              <w:jc w:val="right"/>
              <w:ind w:right="17"/>
              <w:spacing w:after="0"/>
              <w:rPr>
                <w:sz w:val="20"/>
                <w:szCs w:val="20"/>
                <w:color w:val="auto"/>
              </w:rPr>
            </w:pPr>
            <w:r>
              <w:rPr>
                <w:rFonts w:ascii="Arial" w:cs="Arial" w:eastAsia="Arial" w:hAnsi="Arial"/>
                <w:sz w:val="13"/>
                <w:szCs w:val="13"/>
                <w:color w:val="auto"/>
              </w:rPr>
              <w:t>4,001</w:t>
            </w:r>
          </w:p>
        </w:tc>
        <w:tc>
          <w:tcPr>
            <w:tcW w:w="220" w:type="dxa"/>
            <w:vAlign w:val="bottom"/>
          </w:tcPr>
          <w:p>
            <w:pPr>
              <w:spacing w:after="0"/>
              <w:rPr>
                <w:sz w:val="17"/>
                <w:szCs w:val="17"/>
                <w:color w:val="auto"/>
              </w:rPr>
            </w:pPr>
          </w:p>
        </w:tc>
        <w:tc>
          <w:tcPr>
            <w:tcW w:w="1140" w:type="dxa"/>
            <w:vAlign w:val="bottom"/>
          </w:tcPr>
          <w:p>
            <w:pPr>
              <w:jc w:val="right"/>
              <w:ind w:right="17"/>
              <w:spacing w:after="0"/>
              <w:rPr>
                <w:sz w:val="20"/>
                <w:szCs w:val="20"/>
                <w:color w:val="auto"/>
              </w:rPr>
            </w:pPr>
            <w:r>
              <w:rPr>
                <w:rFonts w:ascii="Arial" w:cs="Arial" w:eastAsia="Arial" w:hAnsi="Arial"/>
                <w:sz w:val="13"/>
                <w:szCs w:val="13"/>
                <w:color w:val="auto"/>
              </w:rPr>
              <w:t>31,109</w:t>
            </w:r>
          </w:p>
        </w:tc>
        <w:tc>
          <w:tcPr>
            <w:tcW w:w="180" w:type="dxa"/>
            <w:vAlign w:val="bottom"/>
          </w:tcPr>
          <w:p>
            <w:pPr>
              <w:spacing w:after="0"/>
              <w:rPr>
                <w:sz w:val="17"/>
                <w:szCs w:val="17"/>
                <w:color w:val="auto"/>
              </w:rPr>
            </w:pPr>
          </w:p>
        </w:tc>
        <w:tc>
          <w:tcPr>
            <w:tcW w:w="1180" w:type="dxa"/>
            <w:vAlign w:val="bottom"/>
          </w:tcPr>
          <w:p>
            <w:pPr>
              <w:jc w:val="right"/>
              <w:ind w:right="37"/>
              <w:spacing w:after="0"/>
              <w:rPr>
                <w:sz w:val="20"/>
                <w:szCs w:val="20"/>
                <w:color w:val="auto"/>
              </w:rPr>
            </w:pPr>
            <w:r>
              <w:rPr>
                <w:rFonts w:ascii="Arial" w:cs="Arial" w:eastAsia="Arial" w:hAnsi="Arial"/>
                <w:sz w:val="13"/>
                <w:szCs w:val="13"/>
                <w:color w:val="auto"/>
              </w:rPr>
              <w:t>5,673</w:t>
            </w: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113,897</w:t>
            </w:r>
          </w:p>
        </w:tc>
        <w:tc>
          <w:tcPr>
            <w:tcW w:w="0" w:type="dxa"/>
            <w:vAlign w:val="bottom"/>
          </w:tcPr>
          <w:p>
            <w:pPr>
              <w:spacing w:after="0"/>
              <w:rPr>
                <w:sz w:val="1"/>
                <w:szCs w:val="1"/>
                <w:color w:val="auto"/>
              </w:rPr>
            </w:pPr>
          </w:p>
        </w:tc>
      </w:tr>
      <w:tr>
        <w:trPr>
          <w:trHeight w:val="166"/>
        </w:trPr>
        <w:tc>
          <w:tcPr>
            <w:tcW w:w="3360" w:type="dxa"/>
            <w:vAlign w:val="bottom"/>
          </w:tcPr>
          <w:p>
            <w:pPr>
              <w:ind w:left="140"/>
              <w:spacing w:after="0"/>
              <w:rPr>
                <w:sz w:val="20"/>
                <w:szCs w:val="20"/>
                <w:color w:val="auto"/>
              </w:rPr>
            </w:pPr>
            <w:r>
              <w:rPr>
                <w:rFonts w:ascii="Arial" w:cs="Arial" w:eastAsia="Arial" w:hAnsi="Arial"/>
                <w:sz w:val="13"/>
                <w:szCs w:val="13"/>
                <w:color w:val="auto"/>
              </w:rPr>
              <w:t>Occupancy Expense</w:t>
            </w:r>
          </w:p>
        </w:tc>
        <w:tc>
          <w:tcPr>
            <w:tcW w:w="160" w:type="dxa"/>
            <w:vAlign w:val="bottom"/>
          </w:tcPr>
          <w:p>
            <w:pPr>
              <w:spacing w:after="0"/>
              <w:rPr>
                <w:sz w:val="14"/>
                <w:szCs w:val="14"/>
                <w:color w:val="auto"/>
              </w:rPr>
            </w:pPr>
          </w:p>
        </w:tc>
        <w:tc>
          <w:tcPr>
            <w:tcW w:w="1100" w:type="dxa"/>
            <w:vAlign w:val="bottom"/>
          </w:tcPr>
          <w:p>
            <w:pPr>
              <w:jc w:val="right"/>
              <w:ind w:right="37"/>
              <w:spacing w:after="0"/>
              <w:rPr>
                <w:sz w:val="20"/>
                <w:szCs w:val="20"/>
                <w:color w:val="auto"/>
              </w:rPr>
            </w:pPr>
            <w:r>
              <w:rPr>
                <w:rFonts w:ascii="Arial" w:cs="Arial" w:eastAsia="Arial" w:hAnsi="Arial"/>
                <w:sz w:val="13"/>
                <w:szCs w:val="13"/>
                <w:color w:val="auto"/>
              </w:rPr>
              <w:t>26,996</w:t>
            </w:r>
          </w:p>
        </w:tc>
        <w:tc>
          <w:tcPr>
            <w:tcW w:w="500" w:type="dxa"/>
            <w:vAlign w:val="bottom"/>
          </w:tcPr>
          <w:p>
            <w:pPr>
              <w:spacing w:after="0"/>
              <w:rPr>
                <w:sz w:val="14"/>
                <w:szCs w:val="14"/>
                <w:color w:val="auto"/>
              </w:rPr>
            </w:pPr>
          </w:p>
        </w:tc>
        <w:tc>
          <w:tcPr>
            <w:tcW w:w="800" w:type="dxa"/>
            <w:vAlign w:val="bottom"/>
          </w:tcPr>
          <w:p>
            <w:pPr>
              <w:jc w:val="right"/>
              <w:ind w:right="17"/>
              <w:spacing w:after="0"/>
              <w:rPr>
                <w:sz w:val="20"/>
                <w:szCs w:val="20"/>
                <w:color w:val="auto"/>
              </w:rPr>
            </w:pPr>
            <w:r>
              <w:rPr>
                <w:rFonts w:ascii="Arial" w:cs="Arial" w:eastAsia="Arial" w:hAnsi="Arial"/>
                <w:sz w:val="13"/>
                <w:szCs w:val="13"/>
                <w:color w:val="auto"/>
              </w:rPr>
              <w:t>174</w:t>
            </w:r>
          </w:p>
        </w:tc>
        <w:tc>
          <w:tcPr>
            <w:tcW w:w="220" w:type="dxa"/>
            <w:vAlign w:val="bottom"/>
          </w:tcPr>
          <w:p>
            <w:pPr>
              <w:spacing w:after="0"/>
              <w:rPr>
                <w:sz w:val="14"/>
                <w:szCs w:val="14"/>
                <w:color w:val="auto"/>
              </w:rPr>
            </w:pPr>
          </w:p>
        </w:tc>
        <w:tc>
          <w:tcPr>
            <w:tcW w:w="1140" w:type="dxa"/>
            <w:vAlign w:val="bottom"/>
          </w:tcPr>
          <w:p>
            <w:pPr>
              <w:jc w:val="right"/>
              <w:ind w:right="17"/>
              <w:spacing w:after="0"/>
              <w:rPr>
                <w:sz w:val="20"/>
                <w:szCs w:val="20"/>
                <w:color w:val="auto"/>
              </w:rPr>
            </w:pPr>
            <w:r>
              <w:rPr>
                <w:rFonts w:ascii="Arial" w:cs="Arial" w:eastAsia="Arial" w:hAnsi="Arial"/>
                <w:sz w:val="13"/>
                <w:szCs w:val="13"/>
                <w:color w:val="auto"/>
              </w:rPr>
              <w:t>639</w:t>
            </w:r>
          </w:p>
        </w:tc>
        <w:tc>
          <w:tcPr>
            <w:tcW w:w="180" w:type="dxa"/>
            <w:vAlign w:val="bottom"/>
          </w:tcPr>
          <w:p>
            <w:pPr>
              <w:spacing w:after="0"/>
              <w:rPr>
                <w:sz w:val="14"/>
                <w:szCs w:val="14"/>
                <w:color w:val="auto"/>
              </w:rPr>
            </w:pPr>
          </w:p>
        </w:tc>
        <w:tc>
          <w:tcPr>
            <w:tcW w:w="1180" w:type="dxa"/>
            <w:vAlign w:val="bottom"/>
          </w:tcPr>
          <w:p>
            <w:pPr>
              <w:jc w:val="right"/>
              <w:ind w:right="37"/>
              <w:spacing w:after="0"/>
              <w:rPr>
                <w:sz w:val="20"/>
                <w:szCs w:val="20"/>
                <w:color w:val="auto"/>
              </w:rPr>
            </w:pPr>
            <w:r>
              <w:rPr>
                <w:rFonts w:ascii="Arial" w:cs="Arial" w:eastAsia="Arial" w:hAnsi="Arial"/>
                <w:sz w:val="13"/>
                <w:szCs w:val="13"/>
                <w:color w:val="auto"/>
              </w:rPr>
              <w:t>2,720</w:t>
            </w: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30,529</w:t>
            </w:r>
          </w:p>
        </w:tc>
        <w:tc>
          <w:tcPr>
            <w:tcW w:w="0" w:type="dxa"/>
            <w:vAlign w:val="bottom"/>
          </w:tcPr>
          <w:p>
            <w:pPr>
              <w:spacing w:after="0"/>
              <w:rPr>
                <w:sz w:val="1"/>
                <w:szCs w:val="1"/>
                <w:color w:val="auto"/>
              </w:rPr>
            </w:pPr>
          </w:p>
        </w:tc>
      </w:tr>
      <w:tr>
        <w:trPr>
          <w:trHeight w:val="189"/>
        </w:trPr>
        <w:tc>
          <w:tcPr>
            <w:tcW w:w="3360" w:type="dxa"/>
            <w:vAlign w:val="bottom"/>
          </w:tcPr>
          <w:p>
            <w:pPr>
              <w:ind w:left="140"/>
              <w:spacing w:after="0"/>
              <w:rPr>
                <w:sz w:val="20"/>
                <w:szCs w:val="20"/>
                <w:color w:val="auto"/>
              </w:rPr>
            </w:pPr>
            <w:r>
              <w:rPr>
                <w:rFonts w:ascii="Arial" w:cs="Arial" w:eastAsia="Arial" w:hAnsi="Arial"/>
                <w:sz w:val="13"/>
                <w:szCs w:val="13"/>
                <w:color w:val="auto"/>
              </w:rPr>
              <w:t>Advertising and Marketing Expense</w:t>
            </w:r>
          </w:p>
        </w:tc>
        <w:tc>
          <w:tcPr>
            <w:tcW w:w="160" w:type="dxa"/>
            <w:vAlign w:val="bottom"/>
          </w:tcPr>
          <w:p>
            <w:pPr>
              <w:spacing w:after="0"/>
              <w:rPr>
                <w:sz w:val="16"/>
                <w:szCs w:val="16"/>
                <w:color w:val="auto"/>
              </w:rPr>
            </w:pPr>
          </w:p>
        </w:tc>
        <w:tc>
          <w:tcPr>
            <w:tcW w:w="1100" w:type="dxa"/>
            <w:vAlign w:val="bottom"/>
          </w:tcPr>
          <w:p>
            <w:pPr>
              <w:jc w:val="right"/>
              <w:ind w:right="37"/>
              <w:spacing w:after="0"/>
              <w:rPr>
                <w:sz w:val="20"/>
                <w:szCs w:val="20"/>
                <w:color w:val="auto"/>
              </w:rPr>
            </w:pPr>
            <w:r>
              <w:rPr>
                <w:rFonts w:ascii="Arial" w:cs="Arial" w:eastAsia="Arial" w:hAnsi="Arial"/>
                <w:sz w:val="13"/>
                <w:szCs w:val="13"/>
                <w:color w:val="auto"/>
              </w:rPr>
              <w:t>7,910</w:t>
            </w:r>
          </w:p>
        </w:tc>
        <w:tc>
          <w:tcPr>
            <w:tcW w:w="500" w:type="dxa"/>
            <w:vAlign w:val="bottom"/>
          </w:tcPr>
          <w:p>
            <w:pPr>
              <w:spacing w:after="0"/>
              <w:rPr>
                <w:sz w:val="16"/>
                <w:szCs w:val="16"/>
                <w:color w:val="auto"/>
              </w:rPr>
            </w:pPr>
          </w:p>
        </w:tc>
        <w:tc>
          <w:tcPr>
            <w:tcW w:w="800" w:type="dxa"/>
            <w:vAlign w:val="bottom"/>
          </w:tcPr>
          <w:p>
            <w:pPr>
              <w:jc w:val="right"/>
              <w:ind w:right="17"/>
              <w:spacing w:after="0"/>
              <w:rPr>
                <w:sz w:val="20"/>
                <w:szCs w:val="20"/>
                <w:color w:val="auto"/>
              </w:rPr>
            </w:pPr>
            <w:r>
              <w:rPr>
                <w:rFonts w:ascii="Arial" w:cs="Arial" w:eastAsia="Arial" w:hAnsi="Arial"/>
                <w:sz w:val="13"/>
                <w:szCs w:val="13"/>
                <w:color w:val="auto"/>
              </w:rPr>
              <w:t>1,623</w:t>
            </w:r>
          </w:p>
        </w:tc>
        <w:tc>
          <w:tcPr>
            <w:tcW w:w="220" w:type="dxa"/>
            <w:vAlign w:val="bottom"/>
          </w:tcPr>
          <w:p>
            <w:pPr>
              <w:spacing w:after="0"/>
              <w:rPr>
                <w:sz w:val="16"/>
                <w:szCs w:val="16"/>
                <w:color w:val="auto"/>
              </w:rPr>
            </w:pPr>
          </w:p>
        </w:tc>
        <w:tc>
          <w:tcPr>
            <w:tcW w:w="1140" w:type="dxa"/>
            <w:vAlign w:val="bottom"/>
          </w:tcPr>
          <w:p>
            <w:pPr>
              <w:jc w:val="right"/>
              <w:ind w:right="17"/>
              <w:spacing w:after="0"/>
              <w:rPr>
                <w:sz w:val="20"/>
                <w:szCs w:val="20"/>
                <w:color w:val="auto"/>
              </w:rPr>
            </w:pPr>
            <w:r>
              <w:rPr>
                <w:rFonts w:ascii="Arial" w:cs="Arial" w:eastAsia="Arial" w:hAnsi="Arial"/>
                <w:sz w:val="13"/>
                <w:szCs w:val="13"/>
                <w:color w:val="auto"/>
              </w:rPr>
              <w:t>7,394</w:t>
            </w:r>
          </w:p>
        </w:tc>
        <w:tc>
          <w:tcPr>
            <w:tcW w:w="180" w:type="dxa"/>
            <w:vAlign w:val="bottom"/>
          </w:tcPr>
          <w:p>
            <w:pPr>
              <w:spacing w:after="0"/>
              <w:rPr>
                <w:sz w:val="16"/>
                <w:szCs w:val="16"/>
                <w:color w:val="auto"/>
              </w:rPr>
            </w:pPr>
          </w:p>
        </w:tc>
        <w:tc>
          <w:tcPr>
            <w:tcW w:w="1180" w:type="dxa"/>
            <w:vAlign w:val="bottom"/>
          </w:tcPr>
          <w:p>
            <w:pPr>
              <w:jc w:val="right"/>
              <w:ind w:right="37"/>
              <w:spacing w:after="0"/>
              <w:rPr>
                <w:sz w:val="20"/>
                <w:szCs w:val="20"/>
                <w:color w:val="auto"/>
              </w:rPr>
            </w:pPr>
            <w:r>
              <w:rPr>
                <w:rFonts w:ascii="Arial" w:cs="Arial" w:eastAsia="Arial" w:hAnsi="Arial"/>
                <w:sz w:val="13"/>
                <w:szCs w:val="13"/>
                <w:color w:val="auto"/>
              </w:rPr>
              <w:t>98</w:t>
            </w: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17,025</w:t>
            </w:r>
          </w:p>
        </w:tc>
        <w:tc>
          <w:tcPr>
            <w:tcW w:w="0" w:type="dxa"/>
            <w:vAlign w:val="bottom"/>
          </w:tcPr>
          <w:p>
            <w:pPr>
              <w:spacing w:after="0"/>
              <w:rPr>
                <w:sz w:val="1"/>
                <w:szCs w:val="1"/>
                <w:color w:val="auto"/>
              </w:rPr>
            </w:pPr>
          </w:p>
        </w:tc>
      </w:tr>
      <w:tr>
        <w:trPr>
          <w:trHeight w:val="203"/>
        </w:trPr>
        <w:tc>
          <w:tcPr>
            <w:tcW w:w="3360" w:type="dxa"/>
            <w:vAlign w:val="bottom"/>
          </w:tcPr>
          <w:p>
            <w:pPr>
              <w:ind w:left="140"/>
              <w:spacing w:after="0"/>
              <w:rPr>
                <w:sz w:val="20"/>
                <w:szCs w:val="20"/>
                <w:color w:val="auto"/>
              </w:rPr>
            </w:pPr>
            <w:r>
              <w:rPr>
                <w:rFonts w:ascii="Arial" w:cs="Arial" w:eastAsia="Arial" w:hAnsi="Arial"/>
                <w:sz w:val="13"/>
                <w:szCs w:val="13"/>
                <w:color w:val="auto"/>
              </w:rPr>
              <w:t xml:space="preserve">Other Segment Items </w:t>
            </w:r>
            <w:r>
              <w:rPr>
                <w:rFonts w:ascii="Arial" w:cs="Arial" w:eastAsia="Arial" w:hAnsi="Arial"/>
                <w:sz w:val="16"/>
                <w:szCs w:val="16"/>
                <w:color w:val="auto"/>
                <w:vertAlign w:val="superscript"/>
              </w:rPr>
              <w:t>(4)</w:t>
            </w: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31,294</w:t>
            </w:r>
          </w:p>
        </w:tc>
        <w:tc>
          <w:tcPr>
            <w:tcW w:w="5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134</w:t>
            </w:r>
          </w:p>
        </w:tc>
        <w:tc>
          <w:tcPr>
            <w:tcW w:w="2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11,729</w:t>
            </w:r>
          </w:p>
        </w:tc>
        <w:tc>
          <w:tcPr>
            <w:tcW w:w="1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1,307</w:t>
            </w:r>
          </w:p>
        </w:tc>
        <w:tc>
          <w:tcPr>
            <w:tcW w:w="2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168</w:t>
            </w: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44,632</w:t>
            </w:r>
          </w:p>
        </w:tc>
        <w:tc>
          <w:tcPr>
            <w:tcW w:w="0" w:type="dxa"/>
            <w:vAlign w:val="bottom"/>
          </w:tcPr>
          <w:p>
            <w:pPr>
              <w:spacing w:after="0"/>
              <w:rPr>
                <w:sz w:val="1"/>
                <w:szCs w:val="1"/>
                <w:color w:val="auto"/>
              </w:rPr>
            </w:pPr>
          </w:p>
        </w:tc>
      </w:tr>
      <w:tr>
        <w:trPr>
          <w:trHeight w:val="178"/>
        </w:trPr>
        <w:tc>
          <w:tcPr>
            <w:tcW w:w="3360" w:type="dxa"/>
            <w:vAlign w:val="bottom"/>
          </w:tcPr>
          <w:p>
            <w:pPr>
              <w:ind w:left="20"/>
              <w:spacing w:after="0"/>
              <w:rPr>
                <w:sz w:val="20"/>
                <w:szCs w:val="20"/>
                <w:color w:val="auto"/>
              </w:rPr>
            </w:pPr>
            <w:r>
              <w:rPr>
                <w:rFonts w:ascii="Arial" w:cs="Arial" w:eastAsia="Arial" w:hAnsi="Arial"/>
                <w:sz w:val="13"/>
                <w:szCs w:val="13"/>
                <w:b w:val="1"/>
                <w:bCs w:val="1"/>
                <w:color w:val="auto"/>
              </w:rPr>
              <w:t>EBITDAP</w:t>
            </w:r>
          </w:p>
        </w:tc>
        <w:tc>
          <w:tcPr>
            <w:tcW w:w="16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w w:val="82"/>
              </w:rPr>
              <w:t>$</w:t>
            </w:r>
          </w:p>
        </w:tc>
        <w:tc>
          <w:tcPr>
            <w:tcW w:w="11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38,831</w:t>
            </w:r>
          </w:p>
        </w:tc>
        <w:tc>
          <w:tcPr>
            <w:tcW w:w="500" w:type="dxa"/>
            <w:vAlign w:val="bottom"/>
            <w:tcBorders>
              <w:bottom w:val="single" w:sz="8" w:color="auto"/>
            </w:tcBorders>
          </w:tcPr>
          <w:p>
            <w:pPr>
              <w:jc w:val="right"/>
              <w:ind w:right="277"/>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8,203</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14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7,417</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18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(7,210)</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14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(265)</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46,976</w:t>
            </w:r>
          </w:p>
        </w:tc>
        <w:tc>
          <w:tcPr>
            <w:tcW w:w="0" w:type="dxa"/>
            <w:vAlign w:val="bottom"/>
          </w:tcPr>
          <w:p>
            <w:pPr>
              <w:spacing w:after="0"/>
              <w:rPr>
                <w:sz w:val="1"/>
                <w:szCs w:val="1"/>
                <w:color w:val="auto"/>
              </w:rPr>
            </w:pPr>
          </w:p>
        </w:tc>
      </w:tr>
      <w:tr>
        <w:trPr>
          <w:trHeight w:val="308"/>
        </w:trPr>
        <w:tc>
          <w:tcPr>
            <w:tcW w:w="3360" w:type="dxa"/>
            <w:vAlign w:val="bottom"/>
          </w:tcPr>
          <w:p>
            <w:pPr>
              <w:ind w:left="20"/>
              <w:spacing w:after="0"/>
              <w:rPr>
                <w:sz w:val="20"/>
                <w:szCs w:val="20"/>
                <w:color w:val="auto"/>
              </w:rPr>
            </w:pPr>
            <w:r>
              <w:rPr>
                <w:rFonts w:ascii="Arial" w:cs="Arial" w:eastAsia="Arial" w:hAnsi="Arial"/>
                <w:sz w:val="13"/>
                <w:szCs w:val="13"/>
                <w:color w:val="auto"/>
              </w:rPr>
              <w:t>Pension Service Cost</w:t>
            </w:r>
          </w:p>
        </w:tc>
        <w:tc>
          <w:tcPr>
            <w:tcW w:w="160" w:type="dxa"/>
            <w:vAlign w:val="bottom"/>
          </w:tcPr>
          <w:p>
            <w:pPr>
              <w:spacing w:after="0"/>
              <w:rPr>
                <w:sz w:val="24"/>
                <w:szCs w:val="24"/>
                <w:color w:val="auto"/>
              </w:rPr>
            </w:pPr>
          </w:p>
        </w:tc>
        <w:tc>
          <w:tcPr>
            <w:tcW w:w="1100" w:type="dxa"/>
            <w:vAlign w:val="bottom"/>
          </w:tcPr>
          <w:p>
            <w:pPr>
              <w:jc w:val="right"/>
              <w:ind w:right="37"/>
              <w:spacing w:after="0"/>
              <w:rPr>
                <w:sz w:val="20"/>
                <w:szCs w:val="20"/>
                <w:color w:val="auto"/>
              </w:rPr>
            </w:pPr>
            <w:r>
              <w:rPr>
                <w:rFonts w:ascii="Arial" w:cs="Arial" w:eastAsia="Arial" w:hAnsi="Arial"/>
                <w:sz w:val="13"/>
                <w:szCs w:val="13"/>
                <w:color w:val="auto"/>
              </w:rPr>
              <w:t>163</w:t>
            </w:r>
          </w:p>
        </w:tc>
        <w:tc>
          <w:tcPr>
            <w:tcW w:w="500" w:type="dxa"/>
            <w:vAlign w:val="bottom"/>
          </w:tcPr>
          <w:p>
            <w:pPr>
              <w:spacing w:after="0"/>
              <w:rPr>
                <w:sz w:val="24"/>
                <w:szCs w:val="24"/>
                <w:color w:val="auto"/>
              </w:rPr>
            </w:pPr>
          </w:p>
        </w:tc>
        <w:tc>
          <w:tcPr>
            <w:tcW w:w="800" w:type="dxa"/>
            <w:vAlign w:val="bottom"/>
          </w:tcPr>
          <w:p>
            <w:pPr>
              <w:jc w:val="right"/>
              <w:ind w:right="17"/>
              <w:spacing w:after="0"/>
              <w:rPr>
                <w:sz w:val="20"/>
                <w:szCs w:val="20"/>
                <w:color w:val="auto"/>
              </w:rPr>
            </w:pPr>
            <w:r>
              <w:rPr>
                <w:rFonts w:ascii="Arial" w:cs="Arial" w:eastAsia="Arial" w:hAnsi="Arial"/>
                <w:sz w:val="13"/>
                <w:szCs w:val="13"/>
                <w:color w:val="auto"/>
              </w:rPr>
              <w:t>1,781</w:t>
            </w:r>
          </w:p>
        </w:tc>
        <w:tc>
          <w:tcPr>
            <w:tcW w:w="220" w:type="dxa"/>
            <w:vAlign w:val="bottom"/>
          </w:tcPr>
          <w:p>
            <w:pPr>
              <w:spacing w:after="0"/>
              <w:rPr>
                <w:sz w:val="24"/>
                <w:szCs w:val="24"/>
                <w:color w:val="auto"/>
              </w:rPr>
            </w:pPr>
          </w:p>
        </w:tc>
        <w:tc>
          <w:tcPr>
            <w:tcW w:w="1140" w:type="dxa"/>
            <w:vAlign w:val="bottom"/>
          </w:tcPr>
          <w:p>
            <w:pPr>
              <w:jc w:val="right"/>
              <w:ind w:right="17"/>
              <w:spacing w:after="0"/>
              <w:rPr>
                <w:sz w:val="20"/>
                <w:szCs w:val="20"/>
                <w:color w:val="auto"/>
              </w:rPr>
            </w:pPr>
            <w:r>
              <w:rPr>
                <w:rFonts w:ascii="Arial" w:cs="Arial" w:eastAsia="Arial" w:hAnsi="Arial"/>
                <w:sz w:val="13"/>
                <w:szCs w:val="13"/>
                <w:color w:val="auto"/>
              </w:rPr>
              <w:t>1,818</w:t>
            </w:r>
          </w:p>
        </w:tc>
        <w:tc>
          <w:tcPr>
            <w:tcW w:w="180" w:type="dxa"/>
            <w:vAlign w:val="bottom"/>
          </w:tcPr>
          <w:p>
            <w:pPr>
              <w:spacing w:after="0"/>
              <w:rPr>
                <w:sz w:val="24"/>
                <w:szCs w:val="24"/>
                <w:color w:val="auto"/>
              </w:rPr>
            </w:pPr>
          </w:p>
        </w:tc>
        <w:tc>
          <w:tcPr>
            <w:tcW w:w="1180" w:type="dxa"/>
            <w:vAlign w:val="bottom"/>
          </w:tcPr>
          <w:p>
            <w:pPr>
              <w:jc w:val="right"/>
              <w:ind w:right="37"/>
              <w:spacing w:after="0"/>
              <w:rPr>
                <w:sz w:val="20"/>
                <w:szCs w:val="20"/>
                <w:color w:val="auto"/>
              </w:rPr>
            </w:pPr>
            <w:r>
              <w:rPr>
                <w:rFonts w:ascii="Arial" w:cs="Arial" w:eastAsia="Arial" w:hAnsi="Arial"/>
                <w:sz w:val="13"/>
                <w:szCs w:val="13"/>
                <w:color w:val="auto"/>
              </w:rPr>
              <w:t>348</w:t>
            </w: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4,110</w:t>
            </w:r>
          </w:p>
        </w:tc>
        <w:tc>
          <w:tcPr>
            <w:tcW w:w="0" w:type="dxa"/>
            <w:vAlign w:val="bottom"/>
          </w:tcPr>
          <w:p>
            <w:pPr>
              <w:spacing w:after="0"/>
              <w:rPr>
                <w:sz w:val="1"/>
                <w:szCs w:val="1"/>
                <w:color w:val="auto"/>
              </w:rPr>
            </w:pPr>
          </w:p>
        </w:tc>
      </w:tr>
      <w:tr>
        <w:trPr>
          <w:trHeight w:val="189"/>
        </w:trPr>
        <w:tc>
          <w:tcPr>
            <w:tcW w:w="3360" w:type="dxa"/>
            <w:vAlign w:val="bottom"/>
          </w:tcPr>
          <w:p>
            <w:pPr>
              <w:ind w:left="20"/>
              <w:spacing w:after="0"/>
              <w:rPr>
                <w:sz w:val="20"/>
                <w:szCs w:val="20"/>
                <w:color w:val="auto"/>
              </w:rPr>
            </w:pPr>
            <w:r>
              <w:rPr>
                <w:rFonts w:ascii="Arial" w:cs="Arial" w:eastAsia="Arial" w:hAnsi="Arial"/>
                <w:sz w:val="13"/>
                <w:szCs w:val="13"/>
                <w:color w:val="auto"/>
              </w:rPr>
              <w:t>Depreciation Expense</w:t>
            </w:r>
          </w:p>
        </w:tc>
        <w:tc>
          <w:tcPr>
            <w:tcW w:w="160" w:type="dxa"/>
            <w:vAlign w:val="bottom"/>
          </w:tcPr>
          <w:p>
            <w:pPr>
              <w:spacing w:after="0"/>
              <w:rPr>
                <w:sz w:val="16"/>
                <w:szCs w:val="16"/>
                <w:color w:val="auto"/>
              </w:rPr>
            </w:pPr>
          </w:p>
        </w:tc>
        <w:tc>
          <w:tcPr>
            <w:tcW w:w="1100" w:type="dxa"/>
            <w:vAlign w:val="bottom"/>
          </w:tcPr>
          <w:p>
            <w:pPr>
              <w:jc w:val="right"/>
              <w:ind w:right="37"/>
              <w:spacing w:after="0"/>
              <w:rPr>
                <w:sz w:val="20"/>
                <w:szCs w:val="20"/>
                <w:color w:val="auto"/>
              </w:rPr>
            </w:pPr>
            <w:r>
              <w:rPr>
                <w:rFonts w:ascii="Arial" w:cs="Arial" w:eastAsia="Arial" w:hAnsi="Arial"/>
                <w:sz w:val="13"/>
                <w:szCs w:val="13"/>
                <w:color w:val="auto"/>
              </w:rPr>
              <w:t>7,356</w:t>
            </w:r>
          </w:p>
        </w:tc>
        <w:tc>
          <w:tcPr>
            <w:tcW w:w="500" w:type="dxa"/>
            <w:vAlign w:val="bottom"/>
          </w:tcPr>
          <w:p>
            <w:pPr>
              <w:spacing w:after="0"/>
              <w:rPr>
                <w:sz w:val="16"/>
                <w:szCs w:val="16"/>
                <w:color w:val="auto"/>
              </w:rPr>
            </w:pPr>
          </w:p>
        </w:tc>
        <w:tc>
          <w:tcPr>
            <w:tcW w:w="800" w:type="dxa"/>
            <w:vAlign w:val="bottom"/>
          </w:tcPr>
          <w:p>
            <w:pPr>
              <w:jc w:val="right"/>
              <w:ind w:right="17"/>
              <w:spacing w:after="0"/>
              <w:rPr>
                <w:sz w:val="20"/>
                <w:szCs w:val="20"/>
                <w:color w:val="auto"/>
              </w:rPr>
            </w:pPr>
            <w:r>
              <w:rPr>
                <w:rFonts w:ascii="Arial" w:cs="Arial" w:eastAsia="Arial" w:hAnsi="Arial"/>
                <w:sz w:val="13"/>
                <w:szCs w:val="13"/>
                <w:color w:val="auto"/>
              </w:rPr>
              <w:t>903</w:t>
            </w:r>
          </w:p>
        </w:tc>
        <w:tc>
          <w:tcPr>
            <w:tcW w:w="220" w:type="dxa"/>
            <w:vAlign w:val="bottom"/>
          </w:tcPr>
          <w:p>
            <w:pPr>
              <w:spacing w:after="0"/>
              <w:rPr>
                <w:sz w:val="16"/>
                <w:szCs w:val="16"/>
                <w:color w:val="auto"/>
              </w:rPr>
            </w:pPr>
          </w:p>
        </w:tc>
        <w:tc>
          <w:tcPr>
            <w:tcW w:w="1140" w:type="dxa"/>
            <w:vAlign w:val="bottom"/>
          </w:tcPr>
          <w:p>
            <w:pPr>
              <w:jc w:val="right"/>
              <w:ind w:right="17"/>
              <w:spacing w:after="0"/>
              <w:rPr>
                <w:sz w:val="20"/>
                <w:szCs w:val="20"/>
                <w:color w:val="auto"/>
              </w:rPr>
            </w:pPr>
            <w:r>
              <w:rPr>
                <w:rFonts w:ascii="Arial" w:cs="Arial" w:eastAsia="Arial" w:hAnsi="Arial"/>
                <w:sz w:val="13"/>
                <w:szCs w:val="13"/>
                <w:color w:val="auto"/>
              </w:rPr>
              <w:t>1,019</w:t>
            </w:r>
          </w:p>
        </w:tc>
        <w:tc>
          <w:tcPr>
            <w:tcW w:w="180" w:type="dxa"/>
            <w:vAlign w:val="bottom"/>
          </w:tcPr>
          <w:p>
            <w:pPr>
              <w:spacing w:after="0"/>
              <w:rPr>
                <w:sz w:val="16"/>
                <w:szCs w:val="16"/>
                <w:color w:val="auto"/>
              </w:rPr>
            </w:pPr>
          </w:p>
        </w:tc>
        <w:tc>
          <w:tcPr>
            <w:tcW w:w="1180" w:type="dxa"/>
            <w:vAlign w:val="bottom"/>
          </w:tcPr>
          <w:p>
            <w:pPr>
              <w:jc w:val="right"/>
              <w:ind w:right="37"/>
              <w:spacing w:after="0"/>
              <w:rPr>
                <w:sz w:val="20"/>
                <w:szCs w:val="20"/>
                <w:color w:val="auto"/>
              </w:rPr>
            </w:pPr>
            <w:r>
              <w:rPr>
                <w:rFonts w:ascii="Arial" w:cs="Arial" w:eastAsia="Arial" w:hAnsi="Arial"/>
                <w:sz w:val="13"/>
                <w:szCs w:val="13"/>
                <w:color w:val="auto"/>
              </w:rPr>
              <w:t>27</w:t>
            </w: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9,305</w:t>
            </w:r>
          </w:p>
        </w:tc>
        <w:tc>
          <w:tcPr>
            <w:tcW w:w="0" w:type="dxa"/>
            <w:vAlign w:val="bottom"/>
          </w:tcPr>
          <w:p>
            <w:pPr>
              <w:spacing w:after="0"/>
              <w:rPr>
                <w:sz w:val="1"/>
                <w:szCs w:val="1"/>
                <w:color w:val="auto"/>
              </w:rPr>
            </w:pPr>
          </w:p>
        </w:tc>
      </w:tr>
      <w:tr>
        <w:trPr>
          <w:trHeight w:val="163"/>
        </w:trPr>
        <w:tc>
          <w:tcPr>
            <w:tcW w:w="3360" w:type="dxa"/>
            <w:vAlign w:val="bottom"/>
            <w:vMerge w:val="restart"/>
          </w:tcPr>
          <w:p>
            <w:pPr>
              <w:ind w:left="20"/>
              <w:spacing w:after="0"/>
              <w:rPr>
                <w:sz w:val="20"/>
                <w:szCs w:val="20"/>
                <w:color w:val="auto"/>
              </w:rPr>
            </w:pPr>
            <w:r>
              <w:rPr>
                <w:rFonts w:ascii="Arial" w:cs="Arial" w:eastAsia="Arial" w:hAnsi="Arial"/>
                <w:sz w:val="13"/>
                <w:szCs w:val="13"/>
                <w:b w:val="1"/>
                <w:bCs w:val="1"/>
                <w:color w:val="auto"/>
                <w:w w:val="99"/>
              </w:rPr>
              <w:t>Income (Loss) from Operations before Amortization of</w:t>
            </w:r>
          </w:p>
        </w:tc>
        <w:tc>
          <w:tcPr>
            <w:tcW w:w="1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4"/>
        </w:trPr>
        <w:tc>
          <w:tcPr>
            <w:tcW w:w="336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7"/>
        </w:trPr>
        <w:tc>
          <w:tcPr>
            <w:tcW w:w="3360" w:type="dxa"/>
            <w:vAlign w:val="bottom"/>
          </w:tcPr>
          <w:p>
            <w:pPr>
              <w:ind w:left="100"/>
              <w:spacing w:after="0"/>
              <w:rPr>
                <w:sz w:val="20"/>
                <w:szCs w:val="20"/>
                <w:color w:val="auto"/>
              </w:rPr>
            </w:pPr>
            <w:r>
              <w:rPr>
                <w:rFonts w:ascii="Arial" w:cs="Arial" w:eastAsia="Arial" w:hAnsi="Arial"/>
                <w:sz w:val="13"/>
                <w:szCs w:val="13"/>
                <w:b w:val="1"/>
                <w:bCs w:val="1"/>
                <w:color w:val="auto"/>
              </w:rPr>
              <w:t>Intangible Assets</w:t>
            </w:r>
          </w:p>
        </w:tc>
        <w:tc>
          <w:tcPr>
            <w:tcW w:w="16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w w:val="82"/>
              </w:rPr>
              <w:t>$</w:t>
            </w:r>
          </w:p>
        </w:tc>
        <w:tc>
          <w:tcPr>
            <w:tcW w:w="11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31,312</w:t>
            </w:r>
          </w:p>
        </w:tc>
        <w:tc>
          <w:tcPr>
            <w:tcW w:w="500" w:type="dxa"/>
            <w:vAlign w:val="bottom"/>
            <w:tcBorders>
              <w:bottom w:val="single" w:sz="8" w:color="auto"/>
            </w:tcBorders>
          </w:tcPr>
          <w:p>
            <w:pPr>
              <w:jc w:val="right"/>
              <w:ind w:right="277"/>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5,519</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14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4,580</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18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(7,585)</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14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(265)</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33,561</w:t>
            </w:r>
          </w:p>
        </w:tc>
        <w:tc>
          <w:tcPr>
            <w:tcW w:w="0" w:type="dxa"/>
            <w:vAlign w:val="bottom"/>
          </w:tcPr>
          <w:p>
            <w:pPr>
              <w:spacing w:after="0"/>
              <w:rPr>
                <w:sz w:val="1"/>
                <w:szCs w:val="1"/>
                <w:color w:val="auto"/>
              </w:rPr>
            </w:pPr>
          </w:p>
        </w:tc>
      </w:tr>
      <w:tr>
        <w:trPr>
          <w:trHeight w:val="316"/>
        </w:trPr>
        <w:tc>
          <w:tcPr>
            <w:tcW w:w="3360" w:type="dxa"/>
            <w:vAlign w:val="bottom"/>
          </w:tcPr>
          <w:p>
            <w:pPr>
              <w:ind w:left="20"/>
              <w:spacing w:after="0"/>
              <w:rPr>
                <w:sz w:val="20"/>
                <w:szCs w:val="20"/>
                <w:color w:val="auto"/>
              </w:rPr>
            </w:pPr>
            <w:r>
              <w:rPr>
                <w:rFonts w:ascii="Arial" w:cs="Arial" w:eastAsia="Arial" w:hAnsi="Arial"/>
                <w:sz w:val="13"/>
                <w:szCs w:val="13"/>
                <w:b w:val="1"/>
                <w:bCs w:val="1"/>
                <w:color w:val="auto"/>
              </w:rPr>
              <w:t>Capital Expenditures</w:t>
            </w: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1100" w:type="dxa"/>
            <w:vAlign w:val="bottom"/>
          </w:tcPr>
          <w:p>
            <w:pPr>
              <w:jc w:val="right"/>
              <w:ind w:right="37"/>
              <w:spacing w:after="0"/>
              <w:rPr>
                <w:sz w:val="20"/>
                <w:szCs w:val="20"/>
                <w:color w:val="auto"/>
              </w:rPr>
            </w:pPr>
            <w:r>
              <w:rPr>
                <w:rFonts w:ascii="Arial" w:cs="Arial" w:eastAsia="Arial" w:hAnsi="Arial"/>
                <w:sz w:val="13"/>
                <w:szCs w:val="13"/>
                <w:color w:val="auto"/>
              </w:rPr>
              <w:t>7,017</w:t>
            </w:r>
          </w:p>
        </w:tc>
        <w:tc>
          <w:tcPr>
            <w:tcW w:w="500" w:type="dxa"/>
            <w:vAlign w:val="bottom"/>
          </w:tcPr>
          <w:p>
            <w:pPr>
              <w:jc w:val="right"/>
              <w:ind w:right="277"/>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17"/>
              <w:spacing w:after="0"/>
              <w:rPr>
                <w:sz w:val="20"/>
                <w:szCs w:val="20"/>
                <w:color w:val="auto"/>
              </w:rPr>
            </w:pPr>
            <w:r>
              <w:rPr>
                <w:rFonts w:ascii="Arial" w:cs="Arial" w:eastAsia="Arial" w:hAnsi="Arial"/>
                <w:sz w:val="13"/>
                <w:szCs w:val="13"/>
                <w:color w:val="auto"/>
              </w:rPr>
              <w:t>59</w:t>
            </w:r>
          </w:p>
        </w:tc>
        <w:tc>
          <w:tcPr>
            <w:tcW w:w="220" w:type="dxa"/>
            <w:vAlign w:val="bottom"/>
          </w:tcPr>
          <w:p>
            <w:pPr>
              <w:jc w:val="right"/>
              <w:spacing w:after="0"/>
              <w:rPr>
                <w:sz w:val="20"/>
                <w:szCs w:val="20"/>
                <w:color w:val="auto"/>
              </w:rPr>
            </w:pPr>
            <w:r>
              <w:rPr>
                <w:rFonts w:ascii="Arial" w:cs="Arial" w:eastAsia="Arial" w:hAnsi="Arial"/>
                <w:sz w:val="13"/>
                <w:szCs w:val="13"/>
                <w:color w:val="auto"/>
              </w:rPr>
              <w:t>$</w:t>
            </w:r>
          </w:p>
        </w:tc>
        <w:tc>
          <w:tcPr>
            <w:tcW w:w="1140" w:type="dxa"/>
            <w:vAlign w:val="bottom"/>
          </w:tcPr>
          <w:p>
            <w:pPr>
              <w:jc w:val="right"/>
              <w:ind w:right="17"/>
              <w:spacing w:after="0"/>
              <w:rPr>
                <w:sz w:val="20"/>
                <w:szCs w:val="20"/>
                <w:color w:val="auto"/>
              </w:rPr>
            </w:pPr>
            <w:r>
              <w:rPr>
                <w:rFonts w:ascii="Arial" w:cs="Arial" w:eastAsia="Arial" w:hAnsi="Arial"/>
                <w:sz w:val="13"/>
                <w:szCs w:val="13"/>
                <w:color w:val="auto"/>
              </w:rPr>
              <w:t>443</w:t>
            </w: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118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1080" w:type="dxa"/>
            <w:vAlign w:val="bottom"/>
          </w:tcPr>
          <w:p>
            <w:pPr>
              <w:jc w:val="right"/>
              <w:spacing w:after="0"/>
              <w:rPr>
                <w:sz w:val="20"/>
                <w:szCs w:val="20"/>
                <w:color w:val="auto"/>
              </w:rPr>
            </w:pPr>
            <w:r>
              <w:rPr>
                <w:rFonts w:ascii="Arial" w:cs="Arial" w:eastAsia="Arial" w:hAnsi="Arial"/>
                <w:sz w:val="13"/>
                <w:szCs w:val="13"/>
                <w:color w:val="auto"/>
              </w:rPr>
              <w:t>7,519</w:t>
            </w:r>
          </w:p>
        </w:tc>
        <w:tc>
          <w:tcPr>
            <w:tcW w:w="0" w:type="dxa"/>
            <w:vAlign w:val="bottom"/>
          </w:tcPr>
          <w:p>
            <w:pPr>
              <w:spacing w:after="0"/>
              <w:rPr>
                <w:sz w:val="1"/>
                <w:szCs w:val="1"/>
                <w:color w:val="auto"/>
              </w:rPr>
            </w:pPr>
          </w:p>
        </w:tc>
      </w:tr>
    </w:tbl>
    <w:p>
      <w:pPr>
        <w:spacing w:after="0" w:line="287" w:lineRule="exact"/>
        <w:rPr>
          <w:sz w:val="20"/>
          <w:szCs w:val="20"/>
          <w:color w:val="auto"/>
        </w:rPr>
      </w:pPr>
    </w:p>
    <w:p>
      <w:pPr>
        <w:ind w:left="360" w:hanging="334"/>
        <w:spacing w:after="0"/>
        <w:tabs>
          <w:tab w:leader="none" w:pos="360" w:val="left"/>
        </w:tabs>
        <w:numPr>
          <w:ilvl w:val="0"/>
          <w:numId w:val="16"/>
        </w:numPr>
        <w:rPr>
          <w:rFonts w:ascii="Arial" w:cs="Arial" w:eastAsia="Arial" w:hAnsi="Arial"/>
          <w:sz w:val="13"/>
          <w:szCs w:val="13"/>
          <w:color w:val="auto"/>
        </w:rPr>
      </w:pPr>
      <w:r>
        <w:rPr>
          <w:rFonts w:ascii="Arial" w:cs="Arial" w:eastAsia="Arial" w:hAnsi="Arial"/>
          <w:sz w:val="13"/>
          <w:szCs w:val="13"/>
          <w:color w:val="auto"/>
        </w:rPr>
        <w:t>The significant expense categories and amounts align with the segment-level information that is regularly provided to the CODM.</w:t>
      </w:r>
    </w:p>
    <w:p>
      <w:pPr>
        <w:spacing w:after="0" w:line="39" w:lineRule="exact"/>
        <w:rPr>
          <w:rFonts w:ascii="Arial" w:cs="Arial" w:eastAsia="Arial" w:hAnsi="Arial"/>
          <w:sz w:val="13"/>
          <w:szCs w:val="13"/>
          <w:color w:val="auto"/>
        </w:rPr>
      </w:pPr>
    </w:p>
    <w:p>
      <w:pPr>
        <w:ind w:left="360" w:right="200" w:hanging="334"/>
        <w:spacing w:after="0" w:line="264" w:lineRule="auto"/>
        <w:tabs>
          <w:tab w:leader="none" w:pos="360" w:val="left"/>
        </w:tabs>
        <w:numPr>
          <w:ilvl w:val="0"/>
          <w:numId w:val="16"/>
        </w:numPr>
        <w:rPr>
          <w:rFonts w:ascii="Arial" w:cs="Arial" w:eastAsia="Arial" w:hAnsi="Arial"/>
          <w:sz w:val="13"/>
          <w:szCs w:val="13"/>
          <w:color w:val="auto"/>
        </w:rPr>
      </w:pPr>
      <w:r>
        <w:rPr>
          <w:rFonts w:ascii="Arial" w:cs="Arial" w:eastAsia="Arial" w:hAnsi="Arial"/>
          <w:sz w:val="13"/>
          <w:szCs w:val="13"/>
          <w:color w:val="auto"/>
        </w:rPr>
        <w:t>Cost of revenue reflects the amounts reported and provided to the CODM and does not necessarily reconcile to the Company's Consolidated Statement of Operations or align across reportable segments. Cost of revenue excludes charges related to depreciation, which is shown separately above.</w:t>
      </w:r>
    </w:p>
    <w:p>
      <w:pPr>
        <w:spacing w:after="0" w:line="8" w:lineRule="exact"/>
        <w:rPr>
          <w:rFonts w:ascii="Arial" w:cs="Arial" w:eastAsia="Arial" w:hAnsi="Arial"/>
          <w:sz w:val="13"/>
          <w:szCs w:val="13"/>
          <w:color w:val="auto"/>
        </w:rPr>
      </w:pPr>
    </w:p>
    <w:p>
      <w:pPr>
        <w:ind w:left="360" w:hanging="334"/>
        <w:spacing w:after="0"/>
        <w:tabs>
          <w:tab w:leader="none" w:pos="360" w:val="left"/>
        </w:tabs>
        <w:numPr>
          <w:ilvl w:val="0"/>
          <w:numId w:val="16"/>
        </w:numPr>
        <w:rPr>
          <w:rFonts w:ascii="Arial" w:cs="Arial" w:eastAsia="Arial" w:hAnsi="Arial"/>
          <w:sz w:val="13"/>
          <w:szCs w:val="13"/>
          <w:color w:val="auto"/>
        </w:rPr>
      </w:pPr>
      <w:r>
        <w:rPr>
          <w:rFonts w:ascii="Arial" w:cs="Arial" w:eastAsia="Arial" w:hAnsi="Arial"/>
          <w:sz w:val="13"/>
          <w:szCs w:val="13"/>
          <w:color w:val="auto"/>
        </w:rPr>
        <w:t>Excludes pension service cost, which is shown separately above. Excludes any payroll and related benefits costs captured in cost of revenue.</w:t>
      </w:r>
    </w:p>
    <w:p>
      <w:pPr>
        <w:spacing w:after="0" w:line="39" w:lineRule="exact"/>
        <w:rPr>
          <w:rFonts w:ascii="Arial" w:cs="Arial" w:eastAsia="Arial" w:hAnsi="Arial"/>
          <w:sz w:val="13"/>
          <w:szCs w:val="13"/>
          <w:color w:val="auto"/>
        </w:rPr>
      </w:pPr>
    </w:p>
    <w:p>
      <w:pPr>
        <w:ind w:left="360" w:hanging="334"/>
        <w:spacing w:after="0"/>
        <w:tabs>
          <w:tab w:leader="none" w:pos="360" w:val="left"/>
        </w:tabs>
        <w:numPr>
          <w:ilvl w:val="0"/>
          <w:numId w:val="16"/>
        </w:numPr>
        <w:rPr>
          <w:rFonts w:ascii="Arial" w:cs="Arial" w:eastAsia="Arial" w:hAnsi="Arial"/>
          <w:sz w:val="13"/>
          <w:szCs w:val="13"/>
          <w:color w:val="auto"/>
        </w:rPr>
      </w:pPr>
      <w:r>
        <w:rPr>
          <w:rFonts w:ascii="Arial" w:cs="Arial" w:eastAsia="Arial" w:hAnsi="Arial"/>
          <w:sz w:val="13"/>
          <w:szCs w:val="13"/>
          <w:color w:val="auto"/>
        </w:rPr>
        <w:t>Other segment items for each reportable segment include:</w:t>
      </w:r>
    </w:p>
    <w:p>
      <w:pPr>
        <w:spacing w:after="0" w:line="39" w:lineRule="exact"/>
        <w:rPr>
          <w:rFonts w:ascii="Arial" w:cs="Arial" w:eastAsia="Arial" w:hAnsi="Arial"/>
          <w:sz w:val="13"/>
          <w:szCs w:val="13"/>
          <w:color w:val="auto"/>
        </w:rPr>
      </w:pPr>
    </w:p>
    <w:p>
      <w:pPr>
        <w:ind w:left="680" w:hanging="330"/>
        <w:spacing w:after="0"/>
        <w:tabs>
          <w:tab w:leader="none" w:pos="680" w:val="left"/>
        </w:tabs>
        <w:numPr>
          <w:ilvl w:val="1"/>
          <w:numId w:val="16"/>
        </w:numPr>
        <w:rPr>
          <w:rFonts w:ascii="Arial" w:cs="Arial" w:eastAsia="Arial" w:hAnsi="Arial"/>
          <w:sz w:val="13"/>
          <w:szCs w:val="13"/>
          <w:color w:val="auto"/>
        </w:rPr>
      </w:pPr>
      <w:r>
        <w:rPr>
          <w:rFonts w:ascii="Arial" w:cs="Arial" w:eastAsia="Arial" w:hAnsi="Arial"/>
          <w:sz w:val="13"/>
          <w:szCs w:val="13"/>
          <w:color w:val="auto"/>
        </w:rPr>
        <w:t>Kaplan international - travel meals and entertainment expense, training and employment expense, operating fees and other G&amp;A expenses.</w:t>
      </w:r>
    </w:p>
    <w:p>
      <w:pPr>
        <w:spacing w:after="0" w:line="39" w:lineRule="exact"/>
        <w:rPr>
          <w:rFonts w:ascii="Arial" w:cs="Arial" w:eastAsia="Arial" w:hAnsi="Arial"/>
          <w:sz w:val="13"/>
          <w:szCs w:val="13"/>
          <w:color w:val="auto"/>
        </w:rPr>
      </w:pPr>
    </w:p>
    <w:p>
      <w:pPr>
        <w:ind w:left="680" w:hanging="330"/>
        <w:spacing w:after="0"/>
        <w:tabs>
          <w:tab w:leader="none" w:pos="680" w:val="left"/>
        </w:tabs>
        <w:numPr>
          <w:ilvl w:val="1"/>
          <w:numId w:val="16"/>
        </w:numPr>
        <w:rPr>
          <w:rFonts w:ascii="Arial" w:cs="Arial" w:eastAsia="Arial" w:hAnsi="Arial"/>
          <w:sz w:val="13"/>
          <w:szCs w:val="13"/>
          <w:color w:val="auto"/>
        </w:rPr>
      </w:pPr>
      <w:r>
        <w:rPr>
          <w:rFonts w:ascii="Arial" w:cs="Arial" w:eastAsia="Arial" w:hAnsi="Arial"/>
          <w:sz w:val="13"/>
          <w:szCs w:val="13"/>
          <w:color w:val="auto"/>
        </w:rPr>
        <w:t>Higher education - training and employment expense, operating fees and other G&amp;A expenses.</w:t>
      </w:r>
    </w:p>
    <w:p>
      <w:pPr>
        <w:spacing w:after="0" w:line="39" w:lineRule="exact"/>
        <w:rPr>
          <w:rFonts w:ascii="Arial" w:cs="Arial" w:eastAsia="Arial" w:hAnsi="Arial"/>
          <w:sz w:val="13"/>
          <w:szCs w:val="13"/>
          <w:color w:val="auto"/>
        </w:rPr>
      </w:pPr>
    </w:p>
    <w:p>
      <w:pPr>
        <w:ind w:left="680" w:hanging="330"/>
        <w:spacing w:after="0"/>
        <w:tabs>
          <w:tab w:leader="none" w:pos="680" w:val="left"/>
        </w:tabs>
        <w:numPr>
          <w:ilvl w:val="1"/>
          <w:numId w:val="16"/>
        </w:numPr>
        <w:rPr>
          <w:rFonts w:ascii="Arial" w:cs="Arial" w:eastAsia="Arial" w:hAnsi="Arial"/>
          <w:sz w:val="13"/>
          <w:szCs w:val="13"/>
          <w:color w:val="auto"/>
        </w:rPr>
      </w:pPr>
      <w:r>
        <w:rPr>
          <w:rFonts w:ascii="Arial" w:cs="Arial" w:eastAsia="Arial" w:hAnsi="Arial"/>
          <w:sz w:val="13"/>
          <w:szCs w:val="13"/>
          <w:color w:val="auto"/>
        </w:rPr>
        <w:t>Supplemental education - training and employment expense, operating fees and other G&amp;A expenses.</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Asset information for the Company’s business segments and education division is as follows: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9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As of</w:t>
            </w:r>
          </w:p>
        </w:tc>
        <w:tc>
          <w:tcPr>
            <w:tcW w:w="1420" w:type="dxa"/>
            <w:vAlign w:val="bottom"/>
            <w:tcBorders>
              <w:bottom w:val="single" w:sz="8" w:color="auto"/>
            </w:tcBorders>
          </w:tcPr>
          <w:p>
            <w:pPr>
              <w:spacing w:after="0"/>
              <w:rPr>
                <w:sz w:val="15"/>
                <w:szCs w:val="15"/>
                <w:color w:val="auto"/>
              </w:rPr>
            </w:pPr>
          </w:p>
        </w:tc>
      </w:tr>
      <w:tr>
        <w:trPr>
          <w:trHeight w:val="183"/>
        </w:trPr>
        <w:tc>
          <w:tcPr>
            <w:tcW w:w="792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(in thousands)</w:t>
            </w:r>
          </w:p>
        </w:tc>
        <w:tc>
          <w:tcPr>
            <w:tcW w:w="22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317"/>
              <w:spacing w:after="0"/>
              <w:rPr>
                <w:sz w:val="20"/>
                <w:szCs w:val="20"/>
                <w:color w:val="auto"/>
              </w:rPr>
            </w:pPr>
            <w:r>
              <w:rPr>
                <w:rFonts w:ascii="Arial" w:cs="Arial" w:eastAsia="Arial" w:hAnsi="Arial"/>
                <w:sz w:val="13"/>
                <w:szCs w:val="13"/>
                <w:b w:val="1"/>
                <w:bCs w:val="1"/>
                <w:color w:val="auto"/>
              </w:rPr>
              <w:t>March 31, 2025</w:t>
            </w:r>
          </w:p>
        </w:tc>
        <w:tc>
          <w:tcPr>
            <w:tcW w:w="22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157"/>
              <w:spacing w:after="0"/>
              <w:rPr>
                <w:sz w:val="20"/>
                <w:szCs w:val="20"/>
                <w:color w:val="auto"/>
              </w:rPr>
            </w:pPr>
            <w:r>
              <w:rPr>
                <w:rFonts w:ascii="Arial" w:cs="Arial" w:eastAsia="Arial" w:hAnsi="Arial"/>
                <w:sz w:val="13"/>
                <w:szCs w:val="13"/>
                <w:b w:val="1"/>
                <w:bCs w:val="1"/>
                <w:color w:val="auto"/>
              </w:rPr>
              <w:t>December 31, 2024</w:t>
            </w:r>
          </w:p>
        </w:tc>
      </w:tr>
      <w:tr>
        <w:trPr>
          <w:trHeight w:val="178"/>
        </w:trPr>
        <w:tc>
          <w:tcPr>
            <w:tcW w:w="7920" w:type="dxa"/>
            <w:vAlign w:val="bottom"/>
          </w:tcPr>
          <w:p>
            <w:pPr>
              <w:ind w:left="20"/>
              <w:spacing w:after="0"/>
              <w:rPr>
                <w:sz w:val="20"/>
                <w:szCs w:val="20"/>
                <w:color w:val="auto"/>
              </w:rPr>
            </w:pPr>
            <w:r>
              <w:rPr>
                <w:rFonts w:ascii="Arial" w:cs="Arial" w:eastAsia="Arial" w:hAnsi="Arial"/>
                <w:sz w:val="13"/>
                <w:szCs w:val="13"/>
                <w:b w:val="1"/>
                <w:bCs w:val="1"/>
                <w:color w:val="auto"/>
              </w:rPr>
              <w:t>Identifiable Assets</w:t>
            </w:r>
          </w:p>
        </w:tc>
        <w:tc>
          <w:tcPr>
            <w:tcW w:w="2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20" w:type="dxa"/>
            <w:vAlign w:val="bottom"/>
          </w:tcPr>
          <w:p>
            <w:pPr>
              <w:spacing w:after="0"/>
              <w:rPr>
                <w:sz w:val="15"/>
                <w:szCs w:val="15"/>
                <w:color w:val="auto"/>
              </w:rPr>
            </w:pPr>
          </w:p>
        </w:tc>
      </w:tr>
      <w:tr>
        <w:trPr>
          <w:trHeight w:val="189"/>
        </w:trPr>
        <w:tc>
          <w:tcPr>
            <w:tcW w:w="7920" w:type="dxa"/>
            <w:vAlign w:val="bottom"/>
          </w:tcPr>
          <w:p>
            <w:pPr>
              <w:ind w:left="220"/>
              <w:spacing w:after="0"/>
              <w:rPr>
                <w:sz w:val="20"/>
                <w:szCs w:val="20"/>
                <w:color w:val="auto"/>
              </w:rPr>
            </w:pPr>
            <w:r>
              <w:rPr>
                <w:rFonts w:ascii="Arial" w:cs="Arial" w:eastAsia="Arial" w:hAnsi="Arial"/>
                <w:sz w:val="13"/>
                <w:szCs w:val="13"/>
                <w:color w:val="auto"/>
              </w:rPr>
              <w:t>Kaplan international</w:t>
            </w:r>
          </w:p>
        </w:tc>
        <w:tc>
          <w:tcPr>
            <w:tcW w:w="220" w:type="dxa"/>
            <w:vAlign w:val="bottom"/>
          </w:tcPr>
          <w:p>
            <w:pPr>
              <w:jc w:val="right"/>
              <w:ind w:right="77"/>
              <w:spacing w:after="0"/>
              <w:rPr>
                <w:sz w:val="20"/>
                <w:szCs w:val="20"/>
                <w:color w:val="auto"/>
              </w:rPr>
            </w:pPr>
            <w:r>
              <w:rPr>
                <w:rFonts w:ascii="Arial" w:cs="Arial" w:eastAsia="Arial" w:hAnsi="Arial"/>
                <w:sz w:val="13"/>
                <w:szCs w:val="13"/>
                <w:b w:val="1"/>
                <w:bCs w:val="1"/>
                <w:color w:val="auto"/>
                <w:w w:val="82"/>
              </w:rPr>
              <w:t>$</w:t>
            </w:r>
          </w:p>
        </w:tc>
        <w:tc>
          <w:tcPr>
            <w:tcW w:w="1400" w:type="dxa"/>
            <w:vAlign w:val="bottom"/>
          </w:tcPr>
          <w:p>
            <w:pPr>
              <w:jc w:val="right"/>
              <w:ind w:right="37"/>
              <w:spacing w:after="0"/>
              <w:rPr>
                <w:sz w:val="20"/>
                <w:szCs w:val="20"/>
                <w:color w:val="auto"/>
              </w:rPr>
            </w:pPr>
            <w:r>
              <w:rPr>
                <w:rFonts w:ascii="Arial" w:cs="Arial" w:eastAsia="Arial" w:hAnsi="Arial"/>
                <w:sz w:val="13"/>
                <w:szCs w:val="13"/>
                <w:b w:val="1"/>
                <w:bCs w:val="1"/>
                <w:color w:val="auto"/>
              </w:rPr>
              <w:t>1,420,247</w:t>
            </w:r>
          </w:p>
        </w:tc>
        <w:tc>
          <w:tcPr>
            <w:tcW w:w="220" w:type="dxa"/>
            <w:vAlign w:val="bottom"/>
          </w:tcPr>
          <w:p>
            <w:pPr>
              <w:jc w:val="right"/>
              <w:spacing w:after="0"/>
              <w:rPr>
                <w:sz w:val="20"/>
                <w:szCs w:val="20"/>
                <w:color w:val="auto"/>
              </w:rPr>
            </w:pPr>
            <w:r>
              <w:rPr>
                <w:rFonts w:ascii="Arial" w:cs="Arial" w:eastAsia="Arial" w:hAnsi="Arial"/>
                <w:sz w:val="13"/>
                <w:szCs w:val="13"/>
                <w:color w:val="auto"/>
              </w:rPr>
              <w:t>$</w:t>
            </w:r>
          </w:p>
        </w:tc>
        <w:tc>
          <w:tcPr>
            <w:tcW w:w="1420" w:type="dxa"/>
            <w:vAlign w:val="bottom"/>
          </w:tcPr>
          <w:p>
            <w:pPr>
              <w:jc w:val="right"/>
              <w:spacing w:after="0"/>
              <w:rPr>
                <w:sz w:val="20"/>
                <w:szCs w:val="20"/>
                <w:color w:val="auto"/>
              </w:rPr>
            </w:pPr>
            <w:r>
              <w:rPr>
                <w:rFonts w:ascii="Arial" w:cs="Arial" w:eastAsia="Arial" w:hAnsi="Arial"/>
                <w:sz w:val="13"/>
                <w:szCs w:val="13"/>
                <w:color w:val="auto"/>
              </w:rPr>
              <w:t>1,500,846</w:t>
            </w:r>
          </w:p>
        </w:tc>
      </w:tr>
      <w:tr>
        <w:trPr>
          <w:trHeight w:val="189"/>
        </w:trPr>
        <w:tc>
          <w:tcPr>
            <w:tcW w:w="7920" w:type="dxa"/>
            <w:vAlign w:val="bottom"/>
          </w:tcPr>
          <w:p>
            <w:pPr>
              <w:ind w:left="220"/>
              <w:spacing w:after="0"/>
              <w:rPr>
                <w:sz w:val="20"/>
                <w:szCs w:val="20"/>
                <w:color w:val="auto"/>
              </w:rPr>
            </w:pPr>
            <w:r>
              <w:rPr>
                <w:rFonts w:ascii="Arial" w:cs="Arial" w:eastAsia="Arial" w:hAnsi="Arial"/>
                <w:sz w:val="13"/>
                <w:szCs w:val="13"/>
                <w:color w:val="auto"/>
              </w:rPr>
              <w:t>Higher education</w:t>
            </w:r>
          </w:p>
        </w:tc>
        <w:tc>
          <w:tcPr>
            <w:tcW w:w="220" w:type="dxa"/>
            <w:vAlign w:val="bottom"/>
          </w:tcPr>
          <w:p>
            <w:pPr>
              <w:spacing w:after="0"/>
              <w:rPr>
                <w:sz w:val="16"/>
                <w:szCs w:val="16"/>
                <w:color w:val="auto"/>
              </w:rPr>
            </w:pPr>
          </w:p>
        </w:tc>
        <w:tc>
          <w:tcPr>
            <w:tcW w:w="1400" w:type="dxa"/>
            <w:vAlign w:val="bottom"/>
          </w:tcPr>
          <w:p>
            <w:pPr>
              <w:jc w:val="right"/>
              <w:ind w:right="37"/>
              <w:spacing w:after="0"/>
              <w:rPr>
                <w:sz w:val="20"/>
                <w:szCs w:val="20"/>
                <w:color w:val="auto"/>
              </w:rPr>
            </w:pPr>
            <w:r>
              <w:rPr>
                <w:rFonts w:ascii="Arial" w:cs="Arial" w:eastAsia="Arial" w:hAnsi="Arial"/>
                <w:sz w:val="13"/>
                <w:szCs w:val="13"/>
                <w:b w:val="1"/>
                <w:bCs w:val="1"/>
                <w:color w:val="auto"/>
              </w:rPr>
              <w:t>194,830</w:t>
            </w:r>
          </w:p>
        </w:tc>
        <w:tc>
          <w:tcPr>
            <w:tcW w:w="22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3"/>
                <w:szCs w:val="13"/>
                <w:color w:val="auto"/>
              </w:rPr>
              <w:t>182,442</w:t>
            </w:r>
          </w:p>
        </w:tc>
      </w:tr>
      <w:tr>
        <w:trPr>
          <w:trHeight w:val="189"/>
        </w:trPr>
        <w:tc>
          <w:tcPr>
            <w:tcW w:w="7920" w:type="dxa"/>
            <w:vAlign w:val="bottom"/>
          </w:tcPr>
          <w:p>
            <w:pPr>
              <w:ind w:left="220"/>
              <w:spacing w:after="0"/>
              <w:rPr>
                <w:sz w:val="20"/>
                <w:szCs w:val="20"/>
                <w:color w:val="auto"/>
              </w:rPr>
            </w:pPr>
            <w:r>
              <w:rPr>
                <w:rFonts w:ascii="Arial" w:cs="Arial" w:eastAsia="Arial" w:hAnsi="Arial"/>
                <w:sz w:val="13"/>
                <w:szCs w:val="13"/>
                <w:color w:val="auto"/>
              </w:rPr>
              <w:t>Supplemental education</w:t>
            </w:r>
          </w:p>
        </w:tc>
        <w:tc>
          <w:tcPr>
            <w:tcW w:w="220" w:type="dxa"/>
            <w:vAlign w:val="bottom"/>
          </w:tcPr>
          <w:p>
            <w:pPr>
              <w:spacing w:after="0"/>
              <w:rPr>
                <w:sz w:val="16"/>
                <w:szCs w:val="16"/>
                <w:color w:val="auto"/>
              </w:rPr>
            </w:pPr>
          </w:p>
        </w:tc>
        <w:tc>
          <w:tcPr>
            <w:tcW w:w="1400" w:type="dxa"/>
            <w:vAlign w:val="bottom"/>
          </w:tcPr>
          <w:p>
            <w:pPr>
              <w:jc w:val="right"/>
              <w:ind w:right="37"/>
              <w:spacing w:after="0"/>
              <w:rPr>
                <w:sz w:val="20"/>
                <w:szCs w:val="20"/>
                <w:color w:val="auto"/>
              </w:rPr>
            </w:pPr>
            <w:r>
              <w:rPr>
                <w:rFonts w:ascii="Arial" w:cs="Arial" w:eastAsia="Arial" w:hAnsi="Arial"/>
                <w:sz w:val="13"/>
                <w:szCs w:val="13"/>
                <w:b w:val="1"/>
                <w:bCs w:val="1"/>
                <w:color w:val="auto"/>
              </w:rPr>
              <w:t>229,815</w:t>
            </w:r>
          </w:p>
        </w:tc>
        <w:tc>
          <w:tcPr>
            <w:tcW w:w="22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3"/>
                <w:szCs w:val="13"/>
                <w:color w:val="auto"/>
              </w:rPr>
              <w:t>238,836</w:t>
            </w:r>
          </w:p>
        </w:tc>
      </w:tr>
      <w:tr>
        <w:trPr>
          <w:trHeight w:val="191"/>
        </w:trPr>
        <w:tc>
          <w:tcPr>
            <w:tcW w:w="7920" w:type="dxa"/>
            <w:vAlign w:val="bottom"/>
          </w:tcPr>
          <w:p>
            <w:pPr>
              <w:ind w:left="220"/>
              <w:spacing w:after="0"/>
              <w:rPr>
                <w:sz w:val="20"/>
                <w:szCs w:val="20"/>
                <w:color w:val="auto"/>
              </w:rPr>
            </w:pPr>
            <w:r>
              <w:rPr>
                <w:rFonts w:ascii="Arial" w:cs="Arial" w:eastAsia="Arial" w:hAnsi="Arial"/>
                <w:sz w:val="13"/>
                <w:szCs w:val="13"/>
                <w:color w:val="auto"/>
              </w:rPr>
              <w:t>Kaplan corporate and other</w:t>
            </w:r>
          </w:p>
        </w:tc>
        <w:tc>
          <w:tcPr>
            <w:tcW w:w="2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49,134</w:t>
            </w:r>
          </w:p>
        </w:tc>
        <w:tc>
          <w:tcPr>
            <w:tcW w:w="2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41,754</w:t>
            </w:r>
          </w:p>
        </w:tc>
      </w:tr>
      <w:tr>
        <w:trPr>
          <w:trHeight w:val="181"/>
        </w:trPr>
        <w:tc>
          <w:tcPr>
            <w:tcW w:w="7920" w:type="dxa"/>
            <w:vAlign w:val="bottom"/>
          </w:tcPr>
          <w:p>
            <w:pPr>
              <w:ind w:left="440"/>
              <w:spacing w:after="0"/>
              <w:rPr>
                <w:sz w:val="20"/>
                <w:szCs w:val="20"/>
                <w:color w:val="auto"/>
              </w:rPr>
            </w:pPr>
            <w:r>
              <w:rPr>
                <w:rFonts w:ascii="Arial" w:cs="Arial" w:eastAsia="Arial" w:hAnsi="Arial"/>
                <w:sz w:val="13"/>
                <w:szCs w:val="13"/>
                <w:color w:val="auto"/>
              </w:rPr>
              <w:t>Education</w:t>
            </w:r>
          </w:p>
        </w:tc>
        <w:tc>
          <w:tcPr>
            <w:tcW w:w="220" w:type="dxa"/>
            <w:vAlign w:val="bottom"/>
          </w:tcPr>
          <w:p>
            <w:pPr>
              <w:spacing w:after="0"/>
              <w:rPr>
                <w:sz w:val="15"/>
                <w:szCs w:val="15"/>
                <w:color w:val="auto"/>
              </w:rPr>
            </w:pPr>
          </w:p>
        </w:tc>
        <w:tc>
          <w:tcPr>
            <w:tcW w:w="1400" w:type="dxa"/>
            <w:vAlign w:val="bottom"/>
          </w:tcPr>
          <w:p>
            <w:pPr>
              <w:jc w:val="right"/>
              <w:ind w:right="37"/>
              <w:spacing w:after="0"/>
              <w:rPr>
                <w:sz w:val="20"/>
                <w:szCs w:val="20"/>
                <w:color w:val="auto"/>
              </w:rPr>
            </w:pPr>
            <w:r>
              <w:rPr>
                <w:rFonts w:ascii="Arial" w:cs="Arial" w:eastAsia="Arial" w:hAnsi="Arial"/>
                <w:sz w:val="13"/>
                <w:szCs w:val="13"/>
                <w:b w:val="1"/>
                <w:bCs w:val="1"/>
                <w:color w:val="auto"/>
              </w:rPr>
              <w:t>1,894,026</w:t>
            </w:r>
          </w:p>
        </w:tc>
        <w:tc>
          <w:tcPr>
            <w:tcW w:w="22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3"/>
                <w:szCs w:val="13"/>
                <w:color w:val="auto"/>
              </w:rPr>
              <w:t>1,963,878</w:t>
            </w:r>
          </w:p>
        </w:tc>
      </w:tr>
      <w:tr>
        <w:trPr>
          <w:trHeight w:val="189"/>
        </w:trPr>
        <w:tc>
          <w:tcPr>
            <w:tcW w:w="7920" w:type="dxa"/>
            <w:vAlign w:val="bottom"/>
          </w:tcPr>
          <w:p>
            <w:pPr>
              <w:ind w:left="220"/>
              <w:spacing w:after="0"/>
              <w:rPr>
                <w:sz w:val="20"/>
                <w:szCs w:val="20"/>
                <w:color w:val="auto"/>
              </w:rPr>
            </w:pPr>
            <w:r>
              <w:rPr>
                <w:rFonts w:ascii="Arial" w:cs="Arial" w:eastAsia="Arial" w:hAnsi="Arial"/>
                <w:sz w:val="13"/>
                <w:szCs w:val="13"/>
                <w:color w:val="auto"/>
              </w:rPr>
              <w:t>Television broadcasting</w:t>
            </w:r>
          </w:p>
        </w:tc>
        <w:tc>
          <w:tcPr>
            <w:tcW w:w="220" w:type="dxa"/>
            <w:vAlign w:val="bottom"/>
          </w:tcPr>
          <w:p>
            <w:pPr>
              <w:spacing w:after="0"/>
              <w:rPr>
                <w:sz w:val="16"/>
                <w:szCs w:val="16"/>
                <w:color w:val="auto"/>
              </w:rPr>
            </w:pPr>
          </w:p>
        </w:tc>
        <w:tc>
          <w:tcPr>
            <w:tcW w:w="1400" w:type="dxa"/>
            <w:vAlign w:val="bottom"/>
          </w:tcPr>
          <w:p>
            <w:pPr>
              <w:jc w:val="right"/>
              <w:ind w:right="37"/>
              <w:spacing w:after="0"/>
              <w:rPr>
                <w:sz w:val="20"/>
                <w:szCs w:val="20"/>
                <w:color w:val="auto"/>
              </w:rPr>
            </w:pPr>
            <w:r>
              <w:rPr>
                <w:rFonts w:ascii="Arial" w:cs="Arial" w:eastAsia="Arial" w:hAnsi="Arial"/>
                <w:sz w:val="13"/>
                <w:szCs w:val="13"/>
                <w:b w:val="1"/>
                <w:bCs w:val="1"/>
                <w:color w:val="auto"/>
              </w:rPr>
              <w:t>399,304</w:t>
            </w:r>
          </w:p>
        </w:tc>
        <w:tc>
          <w:tcPr>
            <w:tcW w:w="22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3"/>
                <w:szCs w:val="13"/>
                <w:color w:val="auto"/>
              </w:rPr>
              <w:t>402,200</w:t>
            </w:r>
          </w:p>
        </w:tc>
      </w:tr>
      <w:tr>
        <w:trPr>
          <w:trHeight w:val="189"/>
        </w:trPr>
        <w:tc>
          <w:tcPr>
            <w:tcW w:w="7920" w:type="dxa"/>
            <w:vAlign w:val="bottom"/>
          </w:tcPr>
          <w:p>
            <w:pPr>
              <w:ind w:left="220"/>
              <w:spacing w:after="0"/>
              <w:rPr>
                <w:sz w:val="20"/>
                <w:szCs w:val="20"/>
                <w:color w:val="auto"/>
              </w:rPr>
            </w:pPr>
            <w:r>
              <w:rPr>
                <w:rFonts w:ascii="Arial" w:cs="Arial" w:eastAsia="Arial" w:hAnsi="Arial"/>
                <w:sz w:val="13"/>
                <w:szCs w:val="13"/>
                <w:color w:val="auto"/>
              </w:rPr>
              <w:t>Manufacturing</w:t>
            </w:r>
          </w:p>
        </w:tc>
        <w:tc>
          <w:tcPr>
            <w:tcW w:w="220" w:type="dxa"/>
            <w:vAlign w:val="bottom"/>
          </w:tcPr>
          <w:p>
            <w:pPr>
              <w:spacing w:after="0"/>
              <w:rPr>
                <w:sz w:val="16"/>
                <w:szCs w:val="16"/>
                <w:color w:val="auto"/>
              </w:rPr>
            </w:pPr>
          </w:p>
        </w:tc>
        <w:tc>
          <w:tcPr>
            <w:tcW w:w="1400" w:type="dxa"/>
            <w:vAlign w:val="bottom"/>
          </w:tcPr>
          <w:p>
            <w:pPr>
              <w:jc w:val="right"/>
              <w:ind w:right="37"/>
              <w:spacing w:after="0"/>
              <w:rPr>
                <w:sz w:val="20"/>
                <w:szCs w:val="20"/>
                <w:color w:val="auto"/>
              </w:rPr>
            </w:pPr>
            <w:r>
              <w:rPr>
                <w:rFonts w:ascii="Arial" w:cs="Arial" w:eastAsia="Arial" w:hAnsi="Arial"/>
                <w:sz w:val="13"/>
                <w:szCs w:val="13"/>
                <w:b w:val="1"/>
                <w:bCs w:val="1"/>
                <w:color w:val="auto"/>
              </w:rPr>
              <w:t>415,822</w:t>
            </w:r>
          </w:p>
        </w:tc>
        <w:tc>
          <w:tcPr>
            <w:tcW w:w="22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3"/>
                <w:szCs w:val="13"/>
                <w:color w:val="auto"/>
              </w:rPr>
              <w:t>411,137</w:t>
            </w:r>
          </w:p>
        </w:tc>
      </w:tr>
      <w:tr>
        <w:trPr>
          <w:trHeight w:val="189"/>
        </w:trPr>
        <w:tc>
          <w:tcPr>
            <w:tcW w:w="7920" w:type="dxa"/>
            <w:vAlign w:val="bottom"/>
          </w:tcPr>
          <w:p>
            <w:pPr>
              <w:ind w:left="220"/>
              <w:spacing w:after="0"/>
              <w:rPr>
                <w:sz w:val="20"/>
                <w:szCs w:val="20"/>
                <w:color w:val="auto"/>
              </w:rPr>
            </w:pPr>
            <w:r>
              <w:rPr>
                <w:rFonts w:ascii="Arial" w:cs="Arial" w:eastAsia="Arial" w:hAnsi="Arial"/>
                <w:sz w:val="13"/>
                <w:szCs w:val="13"/>
                <w:color w:val="auto"/>
              </w:rPr>
              <w:t>Healthcare</w:t>
            </w:r>
          </w:p>
        </w:tc>
        <w:tc>
          <w:tcPr>
            <w:tcW w:w="220" w:type="dxa"/>
            <w:vAlign w:val="bottom"/>
          </w:tcPr>
          <w:p>
            <w:pPr>
              <w:spacing w:after="0"/>
              <w:rPr>
                <w:sz w:val="16"/>
                <w:szCs w:val="16"/>
                <w:color w:val="auto"/>
              </w:rPr>
            </w:pPr>
          </w:p>
        </w:tc>
        <w:tc>
          <w:tcPr>
            <w:tcW w:w="1400" w:type="dxa"/>
            <w:vAlign w:val="bottom"/>
          </w:tcPr>
          <w:p>
            <w:pPr>
              <w:jc w:val="right"/>
              <w:ind w:right="37"/>
              <w:spacing w:after="0"/>
              <w:rPr>
                <w:sz w:val="20"/>
                <w:szCs w:val="20"/>
                <w:color w:val="auto"/>
              </w:rPr>
            </w:pPr>
            <w:r>
              <w:rPr>
                <w:rFonts w:ascii="Arial" w:cs="Arial" w:eastAsia="Arial" w:hAnsi="Arial"/>
                <w:sz w:val="13"/>
                <w:szCs w:val="13"/>
                <w:b w:val="1"/>
                <w:bCs w:val="1"/>
                <w:color w:val="auto"/>
              </w:rPr>
              <w:t>317,663</w:t>
            </w:r>
          </w:p>
        </w:tc>
        <w:tc>
          <w:tcPr>
            <w:tcW w:w="22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3"/>
                <w:szCs w:val="13"/>
                <w:color w:val="auto"/>
              </w:rPr>
              <w:t>308,591</w:t>
            </w:r>
          </w:p>
        </w:tc>
      </w:tr>
      <w:tr>
        <w:trPr>
          <w:trHeight w:val="190"/>
        </w:trPr>
        <w:tc>
          <w:tcPr>
            <w:tcW w:w="7920" w:type="dxa"/>
            <w:vAlign w:val="bottom"/>
          </w:tcPr>
          <w:p>
            <w:pPr>
              <w:ind w:left="220"/>
              <w:spacing w:after="0"/>
              <w:rPr>
                <w:sz w:val="20"/>
                <w:szCs w:val="20"/>
                <w:color w:val="auto"/>
              </w:rPr>
            </w:pPr>
            <w:r>
              <w:rPr>
                <w:rFonts w:ascii="Arial" w:cs="Arial" w:eastAsia="Arial" w:hAnsi="Arial"/>
                <w:sz w:val="13"/>
                <w:szCs w:val="13"/>
                <w:color w:val="auto"/>
              </w:rPr>
              <w:t>Automotive</w:t>
            </w:r>
          </w:p>
        </w:tc>
        <w:tc>
          <w:tcPr>
            <w:tcW w:w="2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548,738</w:t>
            </w:r>
          </w:p>
        </w:tc>
        <w:tc>
          <w:tcPr>
            <w:tcW w:w="2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582,105</w:t>
            </w:r>
          </w:p>
        </w:tc>
      </w:tr>
      <w:tr>
        <w:trPr>
          <w:trHeight w:val="181"/>
        </w:trPr>
        <w:tc>
          <w:tcPr>
            <w:tcW w:w="7920" w:type="dxa"/>
            <w:vAlign w:val="bottom"/>
          </w:tcPr>
          <w:p>
            <w:pPr>
              <w:ind w:left="20"/>
              <w:spacing w:after="0"/>
              <w:rPr>
                <w:sz w:val="20"/>
                <w:szCs w:val="20"/>
                <w:color w:val="auto"/>
              </w:rPr>
            </w:pPr>
            <w:r>
              <w:rPr>
                <w:rFonts w:ascii="Arial" w:cs="Arial" w:eastAsia="Arial" w:hAnsi="Arial"/>
                <w:sz w:val="13"/>
                <w:szCs w:val="13"/>
                <w:b w:val="1"/>
                <w:bCs w:val="1"/>
                <w:color w:val="auto"/>
              </w:rPr>
              <w:t>Total Segments</w:t>
            </w:r>
          </w:p>
        </w:tc>
        <w:tc>
          <w:tcPr>
            <w:tcW w:w="220" w:type="dxa"/>
            <w:vAlign w:val="bottom"/>
          </w:tcPr>
          <w:p>
            <w:pPr>
              <w:spacing w:after="0"/>
              <w:rPr>
                <w:sz w:val="15"/>
                <w:szCs w:val="15"/>
                <w:color w:val="auto"/>
              </w:rPr>
            </w:pPr>
          </w:p>
        </w:tc>
        <w:tc>
          <w:tcPr>
            <w:tcW w:w="1400" w:type="dxa"/>
            <w:vAlign w:val="bottom"/>
          </w:tcPr>
          <w:p>
            <w:pPr>
              <w:jc w:val="right"/>
              <w:ind w:right="37"/>
              <w:spacing w:after="0"/>
              <w:rPr>
                <w:sz w:val="20"/>
                <w:szCs w:val="20"/>
                <w:color w:val="auto"/>
              </w:rPr>
            </w:pPr>
            <w:r>
              <w:rPr>
                <w:rFonts w:ascii="Arial" w:cs="Arial" w:eastAsia="Arial" w:hAnsi="Arial"/>
                <w:sz w:val="13"/>
                <w:szCs w:val="13"/>
                <w:b w:val="1"/>
                <w:bCs w:val="1"/>
                <w:color w:val="auto"/>
              </w:rPr>
              <w:t>3,575,553</w:t>
            </w:r>
          </w:p>
        </w:tc>
        <w:tc>
          <w:tcPr>
            <w:tcW w:w="22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3"/>
                <w:szCs w:val="13"/>
                <w:color w:val="auto"/>
              </w:rPr>
              <w:t>3,667,911</w:t>
            </w:r>
          </w:p>
        </w:tc>
      </w:tr>
      <w:tr>
        <w:trPr>
          <w:trHeight w:val="189"/>
        </w:trPr>
        <w:tc>
          <w:tcPr>
            <w:tcW w:w="7920" w:type="dxa"/>
            <w:vAlign w:val="bottom"/>
          </w:tcPr>
          <w:p>
            <w:pPr>
              <w:ind w:left="20"/>
              <w:spacing w:after="0"/>
              <w:rPr>
                <w:sz w:val="20"/>
                <w:szCs w:val="20"/>
                <w:color w:val="auto"/>
              </w:rPr>
            </w:pPr>
            <w:r>
              <w:rPr>
                <w:rFonts w:ascii="Arial" w:cs="Arial" w:eastAsia="Arial" w:hAnsi="Arial"/>
                <w:sz w:val="13"/>
                <w:szCs w:val="13"/>
                <w:b w:val="1"/>
                <w:bCs w:val="1"/>
                <w:color w:val="auto"/>
              </w:rPr>
              <w:t>Other businesses</w:t>
            </w:r>
          </w:p>
        </w:tc>
        <w:tc>
          <w:tcPr>
            <w:tcW w:w="220" w:type="dxa"/>
            <w:vAlign w:val="bottom"/>
          </w:tcPr>
          <w:p>
            <w:pPr>
              <w:spacing w:after="0"/>
              <w:rPr>
                <w:sz w:val="16"/>
                <w:szCs w:val="16"/>
                <w:color w:val="auto"/>
              </w:rPr>
            </w:pPr>
          </w:p>
        </w:tc>
        <w:tc>
          <w:tcPr>
            <w:tcW w:w="1400" w:type="dxa"/>
            <w:vAlign w:val="bottom"/>
          </w:tcPr>
          <w:p>
            <w:pPr>
              <w:jc w:val="right"/>
              <w:ind w:right="37"/>
              <w:spacing w:after="0"/>
              <w:rPr>
                <w:sz w:val="20"/>
                <w:szCs w:val="20"/>
                <w:color w:val="auto"/>
              </w:rPr>
            </w:pPr>
            <w:r>
              <w:rPr>
                <w:rFonts w:ascii="Arial" w:cs="Arial" w:eastAsia="Arial" w:hAnsi="Arial"/>
                <w:sz w:val="13"/>
                <w:szCs w:val="13"/>
                <w:b w:val="1"/>
                <w:bCs w:val="1"/>
                <w:color w:val="auto"/>
              </w:rPr>
              <w:t>335,956</w:t>
            </w:r>
          </w:p>
        </w:tc>
        <w:tc>
          <w:tcPr>
            <w:tcW w:w="22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3"/>
                <w:szCs w:val="13"/>
                <w:color w:val="auto"/>
              </w:rPr>
              <w:t>338,089</w:t>
            </w:r>
          </w:p>
        </w:tc>
      </w:tr>
      <w:tr>
        <w:trPr>
          <w:trHeight w:val="189"/>
        </w:trPr>
        <w:tc>
          <w:tcPr>
            <w:tcW w:w="7920" w:type="dxa"/>
            <w:vAlign w:val="bottom"/>
          </w:tcPr>
          <w:p>
            <w:pPr>
              <w:ind w:left="20"/>
              <w:spacing w:after="0"/>
              <w:rPr>
                <w:sz w:val="20"/>
                <w:szCs w:val="20"/>
                <w:color w:val="auto"/>
              </w:rPr>
            </w:pPr>
            <w:r>
              <w:rPr>
                <w:rFonts w:ascii="Arial" w:cs="Arial" w:eastAsia="Arial" w:hAnsi="Arial"/>
                <w:sz w:val="13"/>
                <w:szCs w:val="13"/>
                <w:b w:val="1"/>
                <w:bCs w:val="1"/>
                <w:color w:val="auto"/>
              </w:rPr>
              <w:t>Corporate office</w:t>
            </w:r>
          </w:p>
        </w:tc>
        <w:tc>
          <w:tcPr>
            <w:tcW w:w="220" w:type="dxa"/>
            <w:vAlign w:val="bottom"/>
          </w:tcPr>
          <w:p>
            <w:pPr>
              <w:spacing w:after="0"/>
              <w:rPr>
                <w:sz w:val="16"/>
                <w:szCs w:val="16"/>
                <w:color w:val="auto"/>
              </w:rPr>
            </w:pPr>
          </w:p>
        </w:tc>
        <w:tc>
          <w:tcPr>
            <w:tcW w:w="1400" w:type="dxa"/>
            <w:vAlign w:val="bottom"/>
          </w:tcPr>
          <w:p>
            <w:pPr>
              <w:jc w:val="right"/>
              <w:ind w:right="37"/>
              <w:spacing w:after="0"/>
              <w:rPr>
                <w:sz w:val="20"/>
                <w:szCs w:val="20"/>
                <w:color w:val="auto"/>
              </w:rPr>
            </w:pPr>
            <w:r>
              <w:rPr>
                <w:rFonts w:ascii="Arial" w:cs="Arial" w:eastAsia="Arial" w:hAnsi="Arial"/>
                <w:sz w:val="13"/>
                <w:szCs w:val="13"/>
                <w:b w:val="1"/>
                <w:bCs w:val="1"/>
                <w:color w:val="auto"/>
              </w:rPr>
              <w:t>113,142</w:t>
            </w:r>
          </w:p>
        </w:tc>
        <w:tc>
          <w:tcPr>
            <w:tcW w:w="22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3"/>
                <w:szCs w:val="13"/>
                <w:color w:val="auto"/>
              </w:rPr>
              <w:t>139,126</w:t>
            </w:r>
          </w:p>
        </w:tc>
      </w:tr>
      <w:tr>
        <w:trPr>
          <w:trHeight w:val="189"/>
        </w:trPr>
        <w:tc>
          <w:tcPr>
            <w:tcW w:w="7920" w:type="dxa"/>
            <w:vAlign w:val="bottom"/>
          </w:tcPr>
          <w:p>
            <w:pPr>
              <w:ind w:left="20"/>
              <w:spacing w:after="0"/>
              <w:rPr>
                <w:sz w:val="20"/>
                <w:szCs w:val="20"/>
                <w:color w:val="auto"/>
              </w:rPr>
            </w:pPr>
            <w:r>
              <w:rPr>
                <w:rFonts w:ascii="Arial" w:cs="Arial" w:eastAsia="Arial" w:hAnsi="Arial"/>
                <w:sz w:val="13"/>
                <w:szCs w:val="13"/>
                <w:b w:val="1"/>
                <w:bCs w:val="1"/>
                <w:color w:val="auto"/>
              </w:rPr>
              <w:t>Investments in Marketable Equity Securities</w:t>
            </w:r>
          </w:p>
        </w:tc>
        <w:tc>
          <w:tcPr>
            <w:tcW w:w="220" w:type="dxa"/>
            <w:vAlign w:val="bottom"/>
          </w:tcPr>
          <w:p>
            <w:pPr>
              <w:spacing w:after="0"/>
              <w:rPr>
                <w:sz w:val="16"/>
                <w:szCs w:val="16"/>
                <w:color w:val="auto"/>
              </w:rPr>
            </w:pPr>
          </w:p>
        </w:tc>
        <w:tc>
          <w:tcPr>
            <w:tcW w:w="1400" w:type="dxa"/>
            <w:vAlign w:val="bottom"/>
          </w:tcPr>
          <w:p>
            <w:pPr>
              <w:jc w:val="right"/>
              <w:ind w:right="37"/>
              <w:spacing w:after="0"/>
              <w:rPr>
                <w:sz w:val="20"/>
                <w:szCs w:val="20"/>
                <w:color w:val="auto"/>
              </w:rPr>
            </w:pPr>
            <w:r>
              <w:rPr>
                <w:rFonts w:ascii="Arial" w:cs="Arial" w:eastAsia="Arial" w:hAnsi="Arial"/>
                <w:sz w:val="13"/>
                <w:szCs w:val="13"/>
                <w:b w:val="1"/>
                <w:bCs w:val="1"/>
                <w:color w:val="auto"/>
              </w:rPr>
              <w:t>901,059</w:t>
            </w:r>
          </w:p>
        </w:tc>
        <w:tc>
          <w:tcPr>
            <w:tcW w:w="22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3"/>
                <w:szCs w:val="13"/>
                <w:color w:val="auto"/>
              </w:rPr>
              <w:t>852,434</w:t>
            </w:r>
          </w:p>
        </w:tc>
      </w:tr>
      <w:tr>
        <w:trPr>
          <w:trHeight w:val="189"/>
        </w:trPr>
        <w:tc>
          <w:tcPr>
            <w:tcW w:w="7920" w:type="dxa"/>
            <w:vAlign w:val="bottom"/>
          </w:tcPr>
          <w:p>
            <w:pPr>
              <w:ind w:left="20"/>
              <w:spacing w:after="0"/>
              <w:rPr>
                <w:sz w:val="20"/>
                <w:szCs w:val="20"/>
                <w:color w:val="auto"/>
              </w:rPr>
            </w:pPr>
            <w:r>
              <w:rPr>
                <w:rFonts w:ascii="Arial" w:cs="Arial" w:eastAsia="Arial" w:hAnsi="Arial"/>
                <w:sz w:val="13"/>
                <w:szCs w:val="13"/>
                <w:b w:val="1"/>
                <w:bCs w:val="1"/>
                <w:color w:val="auto"/>
              </w:rPr>
              <w:t>Investments in Affiliates</w:t>
            </w:r>
          </w:p>
        </w:tc>
        <w:tc>
          <w:tcPr>
            <w:tcW w:w="220" w:type="dxa"/>
            <w:vAlign w:val="bottom"/>
          </w:tcPr>
          <w:p>
            <w:pPr>
              <w:spacing w:after="0"/>
              <w:rPr>
                <w:sz w:val="16"/>
                <w:szCs w:val="16"/>
                <w:color w:val="auto"/>
              </w:rPr>
            </w:pPr>
          </w:p>
        </w:tc>
        <w:tc>
          <w:tcPr>
            <w:tcW w:w="1400" w:type="dxa"/>
            <w:vAlign w:val="bottom"/>
          </w:tcPr>
          <w:p>
            <w:pPr>
              <w:jc w:val="right"/>
              <w:ind w:right="37"/>
              <w:spacing w:after="0"/>
              <w:rPr>
                <w:sz w:val="20"/>
                <w:szCs w:val="20"/>
                <w:color w:val="auto"/>
              </w:rPr>
            </w:pPr>
            <w:r>
              <w:rPr>
                <w:rFonts w:ascii="Arial" w:cs="Arial" w:eastAsia="Arial" w:hAnsi="Arial"/>
                <w:sz w:val="13"/>
                <w:szCs w:val="13"/>
                <w:b w:val="1"/>
                <w:bCs w:val="1"/>
                <w:color w:val="auto"/>
              </w:rPr>
              <w:t>156,935</w:t>
            </w:r>
          </w:p>
        </w:tc>
        <w:tc>
          <w:tcPr>
            <w:tcW w:w="22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3"/>
                <w:szCs w:val="13"/>
                <w:color w:val="auto"/>
              </w:rPr>
              <w:t>169,125</w:t>
            </w:r>
          </w:p>
        </w:tc>
      </w:tr>
      <w:tr>
        <w:trPr>
          <w:trHeight w:val="191"/>
        </w:trPr>
        <w:tc>
          <w:tcPr>
            <w:tcW w:w="7920" w:type="dxa"/>
            <w:vAlign w:val="bottom"/>
          </w:tcPr>
          <w:p>
            <w:pPr>
              <w:ind w:left="20"/>
              <w:spacing w:after="0"/>
              <w:rPr>
                <w:sz w:val="20"/>
                <w:szCs w:val="20"/>
                <w:color w:val="auto"/>
              </w:rPr>
            </w:pPr>
            <w:r>
              <w:rPr>
                <w:rFonts w:ascii="Arial" w:cs="Arial" w:eastAsia="Arial" w:hAnsi="Arial"/>
                <w:sz w:val="13"/>
                <w:szCs w:val="13"/>
                <w:b w:val="1"/>
                <w:bCs w:val="1"/>
                <w:color w:val="auto"/>
              </w:rPr>
              <w:t>Prepaid Pension Cost</w:t>
            </w:r>
          </w:p>
        </w:tc>
        <w:tc>
          <w:tcPr>
            <w:tcW w:w="2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2,533,255</w:t>
            </w:r>
          </w:p>
        </w:tc>
        <w:tc>
          <w:tcPr>
            <w:tcW w:w="2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2,510,520</w:t>
            </w:r>
          </w:p>
        </w:tc>
      </w:tr>
      <w:tr>
        <w:trPr>
          <w:trHeight w:val="185"/>
        </w:trPr>
        <w:tc>
          <w:tcPr>
            <w:tcW w:w="7920" w:type="dxa"/>
            <w:vAlign w:val="bottom"/>
          </w:tcPr>
          <w:p>
            <w:pPr>
              <w:ind w:left="20"/>
              <w:spacing w:after="0"/>
              <w:rPr>
                <w:sz w:val="20"/>
                <w:szCs w:val="20"/>
                <w:color w:val="auto"/>
              </w:rPr>
            </w:pPr>
            <w:r>
              <w:rPr>
                <w:rFonts w:ascii="Arial" w:cs="Arial" w:eastAsia="Arial" w:hAnsi="Arial"/>
                <w:sz w:val="13"/>
                <w:szCs w:val="13"/>
                <w:b w:val="1"/>
                <w:bCs w:val="1"/>
                <w:color w:val="auto"/>
              </w:rPr>
              <w:t>Total Assets</w:t>
            </w:r>
          </w:p>
        </w:tc>
        <w:tc>
          <w:tcPr>
            <w:tcW w:w="22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b w:val="1"/>
                <w:bCs w:val="1"/>
                <w:color w:val="auto"/>
                <w:w w:val="82"/>
              </w:rPr>
              <w:t>$</w:t>
            </w:r>
          </w:p>
        </w:tc>
        <w:tc>
          <w:tcPr>
            <w:tcW w:w="14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7,615,900</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7,677,205</w:t>
            </w:r>
          </w:p>
        </w:tc>
      </w:tr>
      <w:tr>
        <w:trPr>
          <w:trHeight w:val="25"/>
        </w:trPr>
        <w:tc>
          <w:tcPr>
            <w:tcW w:w="79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Item 2. Management’s Discussion and Analysis of Results of Operations and Financial Condition.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This analysis should be read in conjunction with the condensed consolidated financial statements and the notes thereto.</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Operations</w:t>
      </w:r>
    </w:p>
    <w:p>
      <w:pPr>
        <w:spacing w:after="0" w:line="156"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The Company reported net income attributable to common shares of $23.9 million ($5.45 per share) for the first quarter of 2025, compared to $124.4 million ($27.72 per share) for the first quarter of 2024.</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Items included in the Company’s net income for the first quarter of 2025:</w:t>
      </w:r>
    </w:p>
    <w:p>
      <w:pPr>
        <w:spacing w:after="0" w:line="158" w:lineRule="exact"/>
        <w:rPr>
          <w:sz w:val="20"/>
          <w:szCs w:val="20"/>
          <w:color w:val="auto"/>
        </w:rPr>
      </w:pPr>
    </w:p>
    <w:p>
      <w:pPr>
        <w:ind w:left="180" w:right="540" w:hanging="172"/>
        <w:spacing w:after="0" w:line="271" w:lineRule="auto"/>
        <w:tabs>
          <w:tab w:leader="none" w:pos="175" w:val="left"/>
        </w:tabs>
        <w:numPr>
          <w:ilvl w:val="0"/>
          <w:numId w:val="17"/>
        </w:numPr>
        <w:rPr>
          <w:rFonts w:ascii="Arial" w:cs="Arial" w:eastAsia="Arial" w:hAnsi="Arial"/>
          <w:sz w:val="18"/>
          <w:szCs w:val="18"/>
          <w:color w:val="auto"/>
        </w:rPr>
      </w:pPr>
      <w:r>
        <w:rPr>
          <w:rFonts w:ascii="Arial" w:cs="Arial" w:eastAsia="Arial" w:hAnsi="Arial"/>
          <w:sz w:val="18"/>
          <w:szCs w:val="18"/>
          <w:color w:val="auto"/>
        </w:rPr>
        <w:t>$0.6 million in non-operating expenses related to Separation Incentive Programs (SIPs) at other businesses (after tax-impact of $0.5 million, or $0.11 per share);</w:t>
      </w:r>
    </w:p>
    <w:p>
      <w:pPr>
        <w:spacing w:after="0" w:line="86" w:lineRule="exact"/>
        <w:rPr>
          <w:rFonts w:ascii="Arial" w:cs="Arial" w:eastAsia="Arial" w:hAnsi="Arial"/>
          <w:sz w:val="18"/>
          <w:szCs w:val="18"/>
          <w:color w:val="auto"/>
        </w:rPr>
      </w:pPr>
    </w:p>
    <w:p>
      <w:pPr>
        <w:ind w:left="160" w:hanging="152"/>
        <w:spacing w:after="0"/>
        <w:tabs>
          <w:tab w:leader="none" w:pos="1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$43.8 million in net gains on marketable equity securities (after-tax impact of $32.6 million, or $7.43 per share);</w:t>
      </w:r>
    </w:p>
    <w:p>
      <w:pPr>
        <w:spacing w:after="0" w:line="157" w:lineRule="exact"/>
        <w:rPr>
          <w:rFonts w:ascii="Arial" w:cs="Arial" w:eastAsia="Arial" w:hAnsi="Arial"/>
          <w:sz w:val="18"/>
          <w:szCs w:val="18"/>
          <w:color w:val="auto"/>
        </w:rPr>
      </w:pPr>
    </w:p>
    <w:p>
      <w:pPr>
        <w:ind w:left="180" w:right="280" w:hanging="172"/>
        <w:spacing w:after="0" w:line="271" w:lineRule="auto"/>
        <w:tabs>
          <w:tab w:leader="none" w:pos="175" w:val="left"/>
        </w:tabs>
        <w:numPr>
          <w:ilvl w:val="0"/>
          <w:numId w:val="17"/>
        </w:numPr>
        <w:rPr>
          <w:rFonts w:ascii="Arial" w:cs="Arial" w:eastAsia="Arial" w:hAnsi="Arial"/>
          <w:sz w:val="18"/>
          <w:szCs w:val="18"/>
          <w:color w:val="auto"/>
        </w:rPr>
      </w:pPr>
      <w:r>
        <w:rPr>
          <w:rFonts w:ascii="Arial" w:cs="Arial" w:eastAsia="Arial" w:hAnsi="Arial"/>
          <w:sz w:val="18"/>
          <w:szCs w:val="18"/>
          <w:color w:val="auto"/>
        </w:rPr>
        <w:t>$11.9 million in net losses of affiliates whose operations are not managed by the Company (after-tax impact of $8.9 million, or $2.02 per share); and</w:t>
      </w:r>
    </w:p>
    <w:p>
      <w:pPr>
        <w:spacing w:after="0" w:line="86" w:lineRule="exact"/>
        <w:rPr>
          <w:rFonts w:ascii="Arial" w:cs="Arial" w:eastAsia="Arial" w:hAnsi="Arial"/>
          <w:sz w:val="18"/>
          <w:szCs w:val="18"/>
          <w:color w:val="auto"/>
        </w:rPr>
      </w:pPr>
    </w:p>
    <w:p>
      <w:pPr>
        <w:ind w:left="180" w:right="340" w:hanging="172"/>
        <w:spacing w:after="0" w:line="271" w:lineRule="auto"/>
        <w:tabs>
          <w:tab w:leader="none" w:pos="175" w:val="left"/>
        </w:tabs>
        <w:numPr>
          <w:ilvl w:val="0"/>
          <w:numId w:val="17"/>
        </w:numPr>
        <w:rPr>
          <w:rFonts w:ascii="Arial" w:cs="Arial" w:eastAsia="Arial" w:hAnsi="Arial"/>
          <w:sz w:val="18"/>
          <w:szCs w:val="18"/>
          <w:color w:val="auto"/>
        </w:rPr>
      </w:pPr>
      <w:r>
        <w:rPr>
          <w:rFonts w:ascii="Arial" w:cs="Arial" w:eastAsia="Arial" w:hAnsi="Arial"/>
          <w:sz w:val="18"/>
          <w:szCs w:val="18"/>
          <w:color w:val="auto"/>
        </w:rPr>
        <w:t>$66.4 million in interest expense to adjust the fair value of the mandatorily redeemable noncontrolling interest (after-tax impact of $50.4 million, or $11.49 per share).</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Items included in the Company’s net income for the first quarter of 2024:</w:t>
      </w:r>
    </w:p>
    <w:p>
      <w:pPr>
        <w:spacing w:after="0" w:line="144" w:lineRule="exact"/>
        <w:rPr>
          <w:sz w:val="20"/>
          <w:szCs w:val="20"/>
          <w:color w:val="auto"/>
        </w:rPr>
      </w:pPr>
    </w:p>
    <w:p>
      <w:pPr>
        <w:ind w:left="160" w:hanging="152"/>
        <w:spacing w:after="0"/>
        <w:tabs>
          <w:tab w:leader="none" w:pos="1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$0.4 million in non-operating expenses related to a SIP at other businesses (after tax-impact of $0.3 million, or $0.07 per share);</w:t>
      </w:r>
    </w:p>
    <w:p>
      <w:pPr>
        <w:spacing w:after="0" w:line="157" w:lineRule="exact"/>
        <w:rPr>
          <w:rFonts w:ascii="Arial" w:cs="Arial" w:eastAsia="Arial" w:hAnsi="Arial"/>
          <w:sz w:val="18"/>
          <w:szCs w:val="18"/>
          <w:color w:val="auto"/>
        </w:rPr>
      </w:pPr>
    </w:p>
    <w:p>
      <w:pPr>
        <w:ind w:left="160" w:hanging="152"/>
        <w:spacing w:after="0"/>
        <w:tabs>
          <w:tab w:leader="none" w:pos="1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$104.2 million in net gains on marketable equity securities (after-tax impact of $77.5 million, or $17.27 per share);</w:t>
      </w:r>
    </w:p>
    <w:p>
      <w:pPr>
        <w:spacing w:after="0" w:line="157" w:lineRule="exact"/>
        <w:rPr>
          <w:rFonts w:ascii="Arial" w:cs="Arial" w:eastAsia="Arial" w:hAnsi="Arial"/>
          <w:sz w:val="18"/>
          <w:szCs w:val="18"/>
          <w:color w:val="auto"/>
        </w:rPr>
      </w:pPr>
    </w:p>
    <w:p>
      <w:pPr>
        <w:ind w:left="180" w:right="380" w:hanging="172"/>
        <w:spacing w:after="0" w:line="256" w:lineRule="auto"/>
        <w:tabs>
          <w:tab w:leader="none" w:pos="175" w:val="left"/>
        </w:tabs>
        <w:numPr>
          <w:ilvl w:val="0"/>
          <w:numId w:val="18"/>
        </w:numPr>
        <w:rPr>
          <w:rFonts w:ascii="Arial" w:cs="Arial" w:eastAsia="Arial" w:hAnsi="Arial"/>
          <w:sz w:val="18"/>
          <w:szCs w:val="18"/>
          <w:color w:val="auto"/>
        </w:rPr>
      </w:pPr>
      <w:r>
        <w:rPr>
          <w:rFonts w:ascii="Arial" w:cs="Arial" w:eastAsia="Arial" w:hAnsi="Arial"/>
          <w:sz w:val="18"/>
          <w:szCs w:val="18"/>
          <w:color w:val="auto"/>
        </w:rPr>
        <w:t>$1.5 million in net losses of affiliates whose operations are not managed by the Company (after-tax impact of $1.1 million, or $0.25 per share);</w:t>
      </w:r>
    </w:p>
    <w:p>
      <w:pPr>
        <w:spacing w:after="0" w:line="111" w:lineRule="exact"/>
        <w:rPr>
          <w:rFonts w:ascii="Arial" w:cs="Arial" w:eastAsia="Arial" w:hAnsi="Arial"/>
          <w:sz w:val="18"/>
          <w:szCs w:val="18"/>
          <w:color w:val="auto"/>
        </w:rPr>
      </w:pPr>
    </w:p>
    <w:p>
      <w:pPr>
        <w:ind w:left="180" w:right="280" w:hanging="172"/>
        <w:spacing w:after="0" w:line="256" w:lineRule="auto"/>
        <w:tabs>
          <w:tab w:leader="none" w:pos="175" w:val="left"/>
        </w:tabs>
        <w:numPr>
          <w:ilvl w:val="0"/>
          <w:numId w:val="18"/>
        </w:numPr>
        <w:rPr>
          <w:rFonts w:ascii="Arial" w:cs="Arial" w:eastAsia="Arial" w:hAnsi="Arial"/>
          <w:sz w:val="18"/>
          <w:szCs w:val="18"/>
          <w:color w:val="auto"/>
        </w:rPr>
      </w:pPr>
      <w:r>
        <w:rPr>
          <w:rFonts w:ascii="Arial" w:cs="Arial" w:eastAsia="Arial" w:hAnsi="Arial"/>
          <w:sz w:val="18"/>
          <w:szCs w:val="18"/>
          <w:color w:val="auto"/>
        </w:rPr>
        <w:t>non-operating loss of $0.4 million from the impairment of a cost method investment (after-tax impact of $0.3 million, or $0.07 per share), and</w:t>
      </w:r>
    </w:p>
    <w:p>
      <w:pPr>
        <w:spacing w:after="0" w:line="111" w:lineRule="exact"/>
        <w:rPr>
          <w:rFonts w:ascii="Arial" w:cs="Arial" w:eastAsia="Arial" w:hAnsi="Arial"/>
          <w:sz w:val="18"/>
          <w:szCs w:val="18"/>
          <w:color w:val="auto"/>
        </w:rPr>
      </w:pPr>
    </w:p>
    <w:p>
      <w:pPr>
        <w:ind w:left="180" w:right="540" w:hanging="172"/>
        <w:spacing w:after="0" w:line="271" w:lineRule="auto"/>
        <w:tabs>
          <w:tab w:leader="none" w:pos="175" w:val="left"/>
        </w:tabs>
        <w:numPr>
          <w:ilvl w:val="0"/>
          <w:numId w:val="18"/>
        </w:numPr>
        <w:rPr>
          <w:rFonts w:ascii="Arial" w:cs="Arial" w:eastAsia="Arial" w:hAnsi="Arial"/>
          <w:sz w:val="18"/>
          <w:szCs w:val="18"/>
          <w:color w:val="auto"/>
        </w:rPr>
      </w:pPr>
      <w:r>
        <w:rPr>
          <w:rFonts w:ascii="Arial" w:cs="Arial" w:eastAsia="Arial" w:hAnsi="Arial"/>
          <w:sz w:val="18"/>
          <w:szCs w:val="18"/>
          <w:color w:val="auto"/>
        </w:rPr>
        <w:t>$1.9 million in interest expense to adjust the fair value of the mandatorily redeemable noncontrolling interest (after-tax impact of $1.8 million, or $0.40 per share).</w:t>
      </w:r>
    </w:p>
    <w:p>
      <w:pPr>
        <w:spacing w:after="0" w:line="86" w:lineRule="exact"/>
        <w:rPr>
          <w:sz w:val="20"/>
          <w:szCs w:val="20"/>
          <w:color w:val="auto"/>
        </w:rPr>
      </w:pPr>
    </w:p>
    <w:p>
      <w:pPr>
        <w:ind w:right="260"/>
        <w:spacing w:after="0" w:line="245" w:lineRule="auto"/>
        <w:rPr>
          <w:sz w:val="20"/>
          <w:szCs w:val="20"/>
          <w:color w:val="auto"/>
        </w:rPr>
      </w:pPr>
      <w:r>
        <w:rPr>
          <w:rFonts w:ascii="Arial" w:cs="Arial" w:eastAsia="Arial" w:hAnsi="Arial"/>
          <w:sz w:val="18"/>
          <w:szCs w:val="18"/>
          <w:color w:val="auto"/>
        </w:rPr>
        <w:t>Revenue for the first quarter of 2025 was $1,165.9 million, up 1% from $1,152.7 million in the first quarter of 2024. Revenues increased at education, healthcare and other businesses, partially offset by declines at television broadcasting, manufacturing and automotive. The</w:t>
      </w:r>
    </w:p>
    <w:p>
      <w:pPr>
        <w:ind w:right="120"/>
        <w:spacing w:after="0" w:line="226" w:lineRule="auto"/>
        <w:rPr>
          <w:sz w:val="20"/>
          <w:szCs w:val="20"/>
          <w:color w:val="auto"/>
        </w:rPr>
      </w:pPr>
      <w:r>
        <w:rPr>
          <w:rFonts w:ascii="Arial" w:cs="Arial" w:eastAsia="Arial" w:hAnsi="Arial"/>
          <w:sz w:val="18"/>
          <w:szCs w:val="18"/>
          <w:color w:val="auto"/>
        </w:rPr>
        <w:t>Company reported operating income of $47.5 million for the first quarter of 2025, compared to $35.4 million for the first quarter of 2024. The improvement in operating results is due to increases at education, manufacturing and healthcare, partially offset by declines at television</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broadcasting, automotive and other businesses.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Division Results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Education</w:t>
      </w:r>
    </w:p>
    <w:p>
      <w:pPr>
        <w:spacing w:after="0" w:line="156"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Education division revenue totaled $424.7 million for the first quarter of 2025, up 1% from $422.6 million for the same period of 2024. Kaplan, Inc. (Kaplan) reported operating income of $40.0 million for the first quarter of 2025, compared to $30.6 million for the first quarter of 2024.</w:t>
      </w: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31" w:right="359" w:bottom="1440" w:gutter="0" w:footer="0" w:header="0"/>
        </w:sectPr>
      </w:pPr>
    </w:p>
    <w:bookmarkStart w:id="25" w:name="page26"/>
    <w:bookmarkEnd w:id="25"/>
    <w:p>
      <w:pPr>
        <w:spacing w:after="0"/>
        <w:rPr>
          <w:sz w:val="20"/>
          <w:szCs w:val="20"/>
          <w:color w:val="auto"/>
        </w:rPr>
      </w:pPr>
      <w:r>
        <w:rPr>
          <w:rFonts w:ascii="Arial" w:cs="Arial" w:eastAsia="Arial" w:hAnsi="Arial"/>
          <w:sz w:val="18"/>
          <w:szCs w:val="18"/>
          <w:color w:val="auto"/>
        </w:rPr>
        <w:t>A summary of Kaplan’s operating results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120" w:type="dxa"/>
            <w:vAlign w:val="bottom"/>
            <w:gridSpan w:val="3"/>
          </w:tcPr>
          <w:p>
            <w:pPr>
              <w:jc w:val="right"/>
              <w:ind w:right="400"/>
              <w:spacing w:after="0"/>
              <w:rPr>
                <w:sz w:val="20"/>
                <w:szCs w:val="20"/>
                <w:color w:val="auto"/>
              </w:rPr>
            </w:pPr>
            <w:r>
              <w:rPr>
                <w:rFonts w:ascii="Arial" w:cs="Arial" w:eastAsia="Arial" w:hAnsi="Arial"/>
                <w:sz w:val="14"/>
                <w:szCs w:val="14"/>
                <w:b w:val="1"/>
                <w:bCs w:val="1"/>
                <w:color w:val="auto"/>
              </w:rPr>
              <w:t>Three Months Ended</w:t>
            </w: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76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March 31</w:t>
            </w:r>
          </w:p>
        </w:tc>
        <w:tc>
          <w:tcPr>
            <w:tcW w:w="800" w:type="dxa"/>
            <w:vAlign w:val="bottom"/>
            <w:tcBorders>
              <w:bottom w:val="single" w:sz="8" w:color="auto"/>
            </w:tcBorders>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6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2025</w:t>
            </w:r>
          </w:p>
        </w:tc>
        <w:tc>
          <w:tcPr>
            <w:tcW w:w="3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color w:val="auto"/>
              </w:rPr>
              <w:t>2024</w:t>
            </w:r>
          </w:p>
        </w:tc>
        <w:tc>
          <w:tcPr>
            <w:tcW w:w="1220" w:type="dxa"/>
            <w:vAlign w:val="bottom"/>
            <w:tcBorders>
              <w:bottom w:val="single" w:sz="8" w:color="auto"/>
            </w:tcBorders>
          </w:tcPr>
          <w:p>
            <w:pPr>
              <w:jc w:val="right"/>
              <w:ind w:right="140"/>
              <w:spacing w:after="0"/>
              <w:rPr>
                <w:sz w:val="20"/>
                <w:szCs w:val="20"/>
                <w:color w:val="auto"/>
              </w:rPr>
            </w:pPr>
            <w:r>
              <w:rPr>
                <w:rFonts w:ascii="Arial" w:cs="Arial" w:eastAsia="Arial" w:hAnsi="Arial"/>
                <w:sz w:val="14"/>
                <w:szCs w:val="14"/>
                <w:color w:val="auto"/>
              </w:rPr>
              <w:t>% Change</w:t>
            </w:r>
          </w:p>
        </w:tc>
        <w:tc>
          <w:tcPr>
            <w:tcW w:w="0" w:type="dxa"/>
            <w:vAlign w:val="bottom"/>
          </w:tcPr>
          <w:p>
            <w:pPr>
              <w:spacing w:after="0"/>
              <w:rPr>
                <w:sz w:val="1"/>
                <w:szCs w:val="1"/>
                <w:color w:val="auto"/>
              </w:rPr>
            </w:pPr>
          </w:p>
        </w:tc>
      </w:tr>
      <w:tr>
        <w:trPr>
          <w:trHeight w:val="223"/>
        </w:trPr>
        <w:tc>
          <w:tcPr>
            <w:tcW w:w="7640" w:type="dxa"/>
            <w:vAlign w:val="bottom"/>
          </w:tcPr>
          <w:p>
            <w:pPr>
              <w:ind w:left="20"/>
              <w:spacing w:after="0"/>
              <w:rPr>
                <w:sz w:val="20"/>
                <w:szCs w:val="20"/>
                <w:color w:val="auto"/>
              </w:rPr>
            </w:pPr>
            <w:r>
              <w:rPr>
                <w:rFonts w:ascii="Arial" w:cs="Arial" w:eastAsia="Arial" w:hAnsi="Arial"/>
                <w:sz w:val="16"/>
                <w:szCs w:val="16"/>
                <w:b w:val="1"/>
                <w:bCs w:val="1"/>
                <w:color w:val="auto"/>
              </w:rPr>
              <w:t>Revenue</w:t>
            </w: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40" w:type="dxa"/>
            <w:vAlign w:val="bottom"/>
          </w:tcPr>
          <w:p>
            <w:pPr>
              <w:ind w:left="220"/>
              <w:spacing w:after="0"/>
              <w:rPr>
                <w:sz w:val="20"/>
                <w:szCs w:val="20"/>
                <w:color w:val="auto"/>
              </w:rPr>
            </w:pPr>
            <w:r>
              <w:rPr>
                <w:rFonts w:ascii="Arial" w:cs="Arial" w:eastAsia="Arial" w:hAnsi="Arial"/>
                <w:sz w:val="16"/>
                <w:szCs w:val="16"/>
                <w:color w:val="auto"/>
              </w:rPr>
              <w:t>Kaplan international</w:t>
            </w: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41"/>
              <w:spacing w:after="0"/>
              <w:rPr>
                <w:sz w:val="20"/>
                <w:szCs w:val="20"/>
                <w:color w:val="auto"/>
              </w:rPr>
            </w:pPr>
            <w:r>
              <w:rPr>
                <w:rFonts w:ascii="Arial" w:cs="Arial" w:eastAsia="Arial" w:hAnsi="Arial"/>
                <w:sz w:val="16"/>
                <w:szCs w:val="16"/>
                <w:b w:val="1"/>
                <w:bCs w:val="1"/>
                <w:color w:val="auto"/>
              </w:rPr>
              <w:t>261,256</w:t>
            </w:r>
          </w:p>
        </w:tc>
        <w:tc>
          <w:tcPr>
            <w:tcW w:w="38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269,798</w:t>
            </w:r>
          </w:p>
        </w:tc>
        <w:tc>
          <w:tcPr>
            <w:tcW w:w="1220" w:type="dxa"/>
            <w:vAlign w:val="bottom"/>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30"/>
        </w:trPr>
        <w:tc>
          <w:tcPr>
            <w:tcW w:w="7640" w:type="dxa"/>
            <w:vAlign w:val="bottom"/>
          </w:tcPr>
          <w:p>
            <w:pPr>
              <w:ind w:left="220"/>
              <w:spacing w:after="0"/>
              <w:rPr>
                <w:sz w:val="20"/>
                <w:szCs w:val="20"/>
                <w:color w:val="auto"/>
              </w:rPr>
            </w:pPr>
            <w:r>
              <w:rPr>
                <w:rFonts w:ascii="Arial" w:cs="Arial" w:eastAsia="Arial" w:hAnsi="Arial"/>
                <w:sz w:val="16"/>
                <w:szCs w:val="16"/>
                <w:color w:val="auto"/>
              </w:rPr>
              <w:t>Higher education</w:t>
            </w:r>
          </w:p>
        </w:tc>
        <w:tc>
          <w:tcPr>
            <w:tcW w:w="260" w:type="dxa"/>
            <w:vAlign w:val="bottom"/>
          </w:tcPr>
          <w:p>
            <w:pPr>
              <w:spacing w:after="0"/>
              <w:rPr>
                <w:sz w:val="19"/>
                <w:szCs w:val="19"/>
                <w:color w:val="auto"/>
              </w:rPr>
            </w:pPr>
          </w:p>
        </w:tc>
        <w:tc>
          <w:tcPr>
            <w:tcW w:w="940" w:type="dxa"/>
            <w:vAlign w:val="bottom"/>
          </w:tcPr>
          <w:p>
            <w:pPr>
              <w:jc w:val="right"/>
              <w:ind w:right="41"/>
              <w:spacing w:after="0"/>
              <w:rPr>
                <w:sz w:val="20"/>
                <w:szCs w:val="20"/>
                <w:color w:val="auto"/>
              </w:rPr>
            </w:pPr>
            <w:r>
              <w:rPr>
                <w:rFonts w:ascii="Arial" w:cs="Arial" w:eastAsia="Arial" w:hAnsi="Arial"/>
                <w:sz w:val="16"/>
                <w:szCs w:val="16"/>
                <w:b w:val="1"/>
                <w:bCs w:val="1"/>
                <w:color w:val="auto"/>
              </w:rPr>
              <w:t>88,487</w:t>
            </w: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80,122</w:t>
            </w:r>
          </w:p>
        </w:tc>
        <w:tc>
          <w:tcPr>
            <w:tcW w:w="1220" w:type="dxa"/>
            <w:vAlign w:val="bottom"/>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29"/>
        </w:trPr>
        <w:tc>
          <w:tcPr>
            <w:tcW w:w="7640" w:type="dxa"/>
            <w:vAlign w:val="bottom"/>
          </w:tcPr>
          <w:p>
            <w:pPr>
              <w:ind w:left="220"/>
              <w:spacing w:after="0"/>
              <w:rPr>
                <w:sz w:val="20"/>
                <w:szCs w:val="20"/>
                <w:color w:val="auto"/>
              </w:rPr>
            </w:pPr>
            <w:r>
              <w:rPr>
                <w:rFonts w:ascii="Arial" w:cs="Arial" w:eastAsia="Arial" w:hAnsi="Arial"/>
                <w:sz w:val="16"/>
                <w:szCs w:val="16"/>
                <w:color w:val="auto"/>
              </w:rPr>
              <w:t>Supplemental education</w:t>
            </w:r>
          </w:p>
        </w:tc>
        <w:tc>
          <w:tcPr>
            <w:tcW w:w="260" w:type="dxa"/>
            <w:vAlign w:val="bottom"/>
          </w:tcPr>
          <w:p>
            <w:pPr>
              <w:spacing w:after="0"/>
              <w:rPr>
                <w:sz w:val="19"/>
                <w:szCs w:val="19"/>
                <w:color w:val="auto"/>
              </w:rPr>
            </w:pPr>
          </w:p>
        </w:tc>
        <w:tc>
          <w:tcPr>
            <w:tcW w:w="940" w:type="dxa"/>
            <w:vAlign w:val="bottom"/>
          </w:tcPr>
          <w:p>
            <w:pPr>
              <w:jc w:val="right"/>
              <w:ind w:right="41"/>
              <w:spacing w:after="0"/>
              <w:rPr>
                <w:sz w:val="20"/>
                <w:szCs w:val="20"/>
                <w:color w:val="auto"/>
              </w:rPr>
            </w:pPr>
            <w:r>
              <w:rPr>
                <w:rFonts w:ascii="Arial" w:cs="Arial" w:eastAsia="Arial" w:hAnsi="Arial"/>
                <w:sz w:val="16"/>
                <w:szCs w:val="16"/>
                <w:b w:val="1"/>
                <w:bCs w:val="1"/>
                <w:color w:val="auto"/>
              </w:rPr>
              <w:t>75,403</w:t>
            </w: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72,122</w:t>
            </w:r>
          </w:p>
        </w:tc>
        <w:tc>
          <w:tcPr>
            <w:tcW w:w="1220" w:type="dxa"/>
            <w:vAlign w:val="bottom"/>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30"/>
        </w:trPr>
        <w:tc>
          <w:tcPr>
            <w:tcW w:w="7640" w:type="dxa"/>
            <w:vAlign w:val="bottom"/>
          </w:tcPr>
          <w:p>
            <w:pPr>
              <w:ind w:left="220"/>
              <w:spacing w:after="0"/>
              <w:rPr>
                <w:sz w:val="20"/>
                <w:szCs w:val="20"/>
                <w:color w:val="auto"/>
              </w:rPr>
            </w:pPr>
            <w:r>
              <w:rPr>
                <w:rFonts w:ascii="Arial" w:cs="Arial" w:eastAsia="Arial" w:hAnsi="Arial"/>
                <w:sz w:val="16"/>
                <w:szCs w:val="16"/>
                <w:color w:val="auto"/>
              </w:rPr>
              <w:t>Kaplan corporate and other</w:t>
            </w:r>
          </w:p>
        </w:tc>
        <w:tc>
          <w:tcPr>
            <w:tcW w:w="260" w:type="dxa"/>
            <w:vAlign w:val="bottom"/>
          </w:tcPr>
          <w:p>
            <w:pPr>
              <w:spacing w:after="0"/>
              <w:rPr>
                <w:sz w:val="19"/>
                <w:szCs w:val="19"/>
                <w:color w:val="auto"/>
              </w:rPr>
            </w:pPr>
          </w:p>
        </w:tc>
        <w:tc>
          <w:tcPr>
            <w:tcW w:w="940" w:type="dxa"/>
            <w:vAlign w:val="bottom"/>
          </w:tcPr>
          <w:p>
            <w:pPr>
              <w:jc w:val="right"/>
              <w:ind w:right="41"/>
              <w:spacing w:after="0"/>
              <w:rPr>
                <w:sz w:val="20"/>
                <w:szCs w:val="20"/>
                <w:color w:val="auto"/>
              </w:rPr>
            </w:pPr>
            <w:r>
              <w:rPr>
                <w:rFonts w:ascii="Arial" w:cs="Arial" w:eastAsia="Arial" w:hAnsi="Arial"/>
                <w:sz w:val="16"/>
                <w:szCs w:val="16"/>
                <w:b w:val="1"/>
                <w:bCs w:val="1"/>
                <w:color w:val="auto"/>
              </w:rPr>
              <w:t>12</w:t>
            </w: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2,588</w:t>
            </w: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3"/>
        </w:trPr>
        <w:tc>
          <w:tcPr>
            <w:tcW w:w="7640" w:type="dxa"/>
            <w:vAlign w:val="bottom"/>
          </w:tcPr>
          <w:p>
            <w:pPr>
              <w:ind w:left="220"/>
              <w:spacing w:after="0"/>
              <w:rPr>
                <w:sz w:val="20"/>
                <w:szCs w:val="20"/>
                <w:color w:val="auto"/>
              </w:rPr>
            </w:pPr>
            <w:r>
              <w:rPr>
                <w:rFonts w:ascii="Arial" w:cs="Arial" w:eastAsia="Arial" w:hAnsi="Arial"/>
                <w:sz w:val="16"/>
                <w:szCs w:val="16"/>
                <w:color w:val="auto"/>
              </w:rPr>
              <w:t>Intersegment elimination</w:t>
            </w: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(427)</w:t>
            </w:r>
          </w:p>
        </w:tc>
        <w:tc>
          <w:tcPr>
            <w:tcW w:w="3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(2,032)</w:t>
            </w: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7"/>
        </w:trPr>
        <w:tc>
          <w:tcPr>
            <w:tcW w:w="7640" w:type="dxa"/>
            <w:vAlign w:val="bottom"/>
          </w:tcPr>
          <w:p>
            <w:pPr>
              <w:spacing w:after="0"/>
              <w:rPr>
                <w:sz w:val="19"/>
                <w:szCs w:val="19"/>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424,731</w:t>
            </w:r>
          </w:p>
        </w:tc>
        <w:tc>
          <w:tcPr>
            <w:tcW w:w="3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422,598</w:t>
            </w:r>
          </w:p>
        </w:tc>
        <w:tc>
          <w:tcPr>
            <w:tcW w:w="122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0"/>
        </w:trPr>
        <w:tc>
          <w:tcPr>
            <w:tcW w:w="764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Operating Income (Loss)</w:t>
            </w: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764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640" w:type="dxa"/>
            <w:vAlign w:val="bottom"/>
          </w:tcPr>
          <w:p>
            <w:pPr>
              <w:ind w:left="220"/>
              <w:spacing w:after="0"/>
              <w:rPr>
                <w:sz w:val="20"/>
                <w:szCs w:val="20"/>
                <w:color w:val="auto"/>
              </w:rPr>
            </w:pPr>
            <w:r>
              <w:rPr>
                <w:rFonts w:ascii="Arial" w:cs="Arial" w:eastAsia="Arial" w:hAnsi="Arial"/>
                <w:sz w:val="16"/>
                <w:szCs w:val="16"/>
                <w:color w:val="auto"/>
              </w:rPr>
              <w:t>Kaplan international</w:t>
            </w: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41"/>
              <w:spacing w:after="0"/>
              <w:rPr>
                <w:sz w:val="20"/>
                <w:szCs w:val="20"/>
                <w:color w:val="auto"/>
              </w:rPr>
            </w:pPr>
            <w:r>
              <w:rPr>
                <w:rFonts w:ascii="Arial" w:cs="Arial" w:eastAsia="Arial" w:hAnsi="Arial"/>
                <w:sz w:val="16"/>
                <w:szCs w:val="16"/>
                <w:b w:val="1"/>
                <w:bCs w:val="1"/>
                <w:color w:val="auto"/>
              </w:rPr>
              <w:t>30,062</w:t>
            </w:r>
          </w:p>
        </w:tc>
        <w:tc>
          <w:tcPr>
            <w:tcW w:w="38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31,312</w:t>
            </w:r>
          </w:p>
        </w:tc>
        <w:tc>
          <w:tcPr>
            <w:tcW w:w="1220" w:type="dxa"/>
            <w:vAlign w:val="bottom"/>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29"/>
        </w:trPr>
        <w:tc>
          <w:tcPr>
            <w:tcW w:w="7640" w:type="dxa"/>
            <w:vAlign w:val="bottom"/>
          </w:tcPr>
          <w:p>
            <w:pPr>
              <w:ind w:left="220"/>
              <w:spacing w:after="0"/>
              <w:rPr>
                <w:sz w:val="20"/>
                <w:szCs w:val="20"/>
                <w:color w:val="auto"/>
              </w:rPr>
            </w:pPr>
            <w:r>
              <w:rPr>
                <w:rFonts w:ascii="Arial" w:cs="Arial" w:eastAsia="Arial" w:hAnsi="Arial"/>
                <w:sz w:val="16"/>
                <w:szCs w:val="16"/>
                <w:color w:val="auto"/>
              </w:rPr>
              <w:t>Higher education</w:t>
            </w:r>
          </w:p>
        </w:tc>
        <w:tc>
          <w:tcPr>
            <w:tcW w:w="260" w:type="dxa"/>
            <w:vAlign w:val="bottom"/>
          </w:tcPr>
          <w:p>
            <w:pPr>
              <w:spacing w:after="0"/>
              <w:rPr>
                <w:sz w:val="19"/>
                <w:szCs w:val="19"/>
                <w:color w:val="auto"/>
              </w:rPr>
            </w:pPr>
          </w:p>
        </w:tc>
        <w:tc>
          <w:tcPr>
            <w:tcW w:w="940" w:type="dxa"/>
            <w:vAlign w:val="bottom"/>
          </w:tcPr>
          <w:p>
            <w:pPr>
              <w:jc w:val="right"/>
              <w:ind w:right="41"/>
              <w:spacing w:after="0"/>
              <w:rPr>
                <w:sz w:val="20"/>
                <w:szCs w:val="20"/>
                <w:color w:val="auto"/>
              </w:rPr>
            </w:pPr>
            <w:r>
              <w:rPr>
                <w:rFonts w:ascii="Arial" w:cs="Arial" w:eastAsia="Arial" w:hAnsi="Arial"/>
                <w:sz w:val="16"/>
                <w:szCs w:val="16"/>
                <w:b w:val="1"/>
                <w:bCs w:val="1"/>
                <w:color w:val="auto"/>
              </w:rPr>
              <w:t>12,807</w:t>
            </w: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5,519</w:t>
            </w: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0"/>
        </w:trPr>
        <w:tc>
          <w:tcPr>
            <w:tcW w:w="7640" w:type="dxa"/>
            <w:vAlign w:val="bottom"/>
          </w:tcPr>
          <w:p>
            <w:pPr>
              <w:ind w:left="220"/>
              <w:spacing w:after="0"/>
              <w:rPr>
                <w:sz w:val="20"/>
                <w:szCs w:val="20"/>
                <w:color w:val="auto"/>
              </w:rPr>
            </w:pPr>
            <w:r>
              <w:rPr>
                <w:rFonts w:ascii="Arial" w:cs="Arial" w:eastAsia="Arial" w:hAnsi="Arial"/>
                <w:sz w:val="16"/>
                <w:szCs w:val="16"/>
                <w:color w:val="auto"/>
              </w:rPr>
              <w:t>Supplemental education</w:t>
            </w:r>
          </w:p>
        </w:tc>
        <w:tc>
          <w:tcPr>
            <w:tcW w:w="260" w:type="dxa"/>
            <w:vAlign w:val="bottom"/>
          </w:tcPr>
          <w:p>
            <w:pPr>
              <w:spacing w:after="0"/>
              <w:rPr>
                <w:sz w:val="19"/>
                <w:szCs w:val="19"/>
                <w:color w:val="auto"/>
              </w:rPr>
            </w:pPr>
          </w:p>
        </w:tc>
        <w:tc>
          <w:tcPr>
            <w:tcW w:w="940" w:type="dxa"/>
            <w:vAlign w:val="bottom"/>
          </w:tcPr>
          <w:p>
            <w:pPr>
              <w:jc w:val="right"/>
              <w:ind w:right="41"/>
              <w:spacing w:after="0"/>
              <w:rPr>
                <w:sz w:val="20"/>
                <w:szCs w:val="20"/>
                <w:color w:val="auto"/>
              </w:rPr>
            </w:pPr>
            <w:r>
              <w:rPr>
                <w:rFonts w:ascii="Arial" w:cs="Arial" w:eastAsia="Arial" w:hAnsi="Arial"/>
                <w:sz w:val="16"/>
                <w:szCs w:val="16"/>
                <w:b w:val="1"/>
                <w:bCs w:val="1"/>
                <w:color w:val="auto"/>
              </w:rPr>
              <w:t>5,968</w:t>
            </w: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4,580</w:t>
            </w:r>
          </w:p>
        </w:tc>
        <w:tc>
          <w:tcPr>
            <w:tcW w:w="1220" w:type="dxa"/>
            <w:vAlign w:val="bottom"/>
          </w:tcPr>
          <w:p>
            <w:pPr>
              <w:jc w:val="right"/>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229"/>
        </w:trPr>
        <w:tc>
          <w:tcPr>
            <w:tcW w:w="7640" w:type="dxa"/>
            <w:vAlign w:val="bottom"/>
          </w:tcPr>
          <w:p>
            <w:pPr>
              <w:ind w:left="220"/>
              <w:spacing w:after="0"/>
              <w:rPr>
                <w:sz w:val="20"/>
                <w:szCs w:val="20"/>
                <w:color w:val="auto"/>
              </w:rPr>
            </w:pPr>
            <w:r>
              <w:rPr>
                <w:rFonts w:ascii="Arial" w:cs="Arial" w:eastAsia="Arial" w:hAnsi="Arial"/>
                <w:sz w:val="16"/>
                <w:szCs w:val="16"/>
                <w:color w:val="auto"/>
              </w:rPr>
              <w:t>Kaplan corporate and other</w:t>
            </w:r>
          </w:p>
        </w:tc>
        <w:tc>
          <w:tcPr>
            <w:tcW w:w="260" w:type="dxa"/>
            <w:vAlign w:val="bottom"/>
          </w:tcPr>
          <w:p>
            <w:pPr>
              <w:spacing w:after="0"/>
              <w:rPr>
                <w:sz w:val="19"/>
                <w:szCs w:val="19"/>
                <w:color w:val="auto"/>
              </w:rPr>
            </w:pPr>
          </w:p>
        </w:tc>
        <w:tc>
          <w:tcPr>
            <w:tcW w:w="940" w:type="dxa"/>
            <w:vAlign w:val="bottom"/>
          </w:tcPr>
          <w:p>
            <w:pPr>
              <w:jc w:val="right"/>
              <w:ind w:right="1"/>
              <w:spacing w:after="0"/>
              <w:rPr>
                <w:sz w:val="20"/>
                <w:szCs w:val="20"/>
                <w:color w:val="auto"/>
              </w:rPr>
            </w:pPr>
            <w:r>
              <w:rPr>
                <w:rFonts w:ascii="Arial" w:cs="Arial" w:eastAsia="Arial" w:hAnsi="Arial"/>
                <w:sz w:val="16"/>
                <w:szCs w:val="16"/>
                <w:b w:val="1"/>
                <w:bCs w:val="1"/>
                <w:color w:val="auto"/>
              </w:rPr>
              <w:t>(6,648)</w:t>
            </w: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(7,585)</w:t>
            </w:r>
          </w:p>
        </w:tc>
        <w:tc>
          <w:tcPr>
            <w:tcW w:w="1220" w:type="dxa"/>
            <w:vAlign w:val="bottom"/>
          </w:tcPr>
          <w:p>
            <w:pPr>
              <w:jc w:val="right"/>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30"/>
        </w:trPr>
        <w:tc>
          <w:tcPr>
            <w:tcW w:w="7640" w:type="dxa"/>
            <w:vAlign w:val="bottom"/>
          </w:tcPr>
          <w:p>
            <w:pPr>
              <w:ind w:left="220"/>
              <w:spacing w:after="0"/>
              <w:rPr>
                <w:sz w:val="20"/>
                <w:szCs w:val="20"/>
                <w:color w:val="auto"/>
              </w:rPr>
            </w:pPr>
            <w:r>
              <w:rPr>
                <w:rFonts w:ascii="Arial" w:cs="Arial" w:eastAsia="Arial" w:hAnsi="Arial"/>
                <w:sz w:val="16"/>
                <w:szCs w:val="16"/>
                <w:color w:val="auto"/>
              </w:rPr>
              <w:t>Amortization of intangible assets</w:t>
            </w:r>
          </w:p>
        </w:tc>
        <w:tc>
          <w:tcPr>
            <w:tcW w:w="260" w:type="dxa"/>
            <w:vAlign w:val="bottom"/>
          </w:tcPr>
          <w:p>
            <w:pPr>
              <w:spacing w:after="0"/>
              <w:rPr>
                <w:sz w:val="19"/>
                <w:szCs w:val="19"/>
                <w:color w:val="auto"/>
              </w:rPr>
            </w:pPr>
          </w:p>
        </w:tc>
        <w:tc>
          <w:tcPr>
            <w:tcW w:w="940" w:type="dxa"/>
            <w:vAlign w:val="bottom"/>
          </w:tcPr>
          <w:p>
            <w:pPr>
              <w:jc w:val="right"/>
              <w:ind w:right="1"/>
              <w:spacing w:after="0"/>
              <w:rPr>
                <w:sz w:val="20"/>
                <w:szCs w:val="20"/>
                <w:color w:val="auto"/>
              </w:rPr>
            </w:pPr>
            <w:r>
              <w:rPr>
                <w:rFonts w:ascii="Arial" w:cs="Arial" w:eastAsia="Arial" w:hAnsi="Arial"/>
                <w:sz w:val="16"/>
                <w:szCs w:val="16"/>
                <w:b w:val="1"/>
                <w:bCs w:val="1"/>
                <w:color w:val="auto"/>
              </w:rPr>
              <w:t>(2,119)</w:t>
            </w: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(2,974)</w:t>
            </w:r>
          </w:p>
        </w:tc>
        <w:tc>
          <w:tcPr>
            <w:tcW w:w="1220" w:type="dxa"/>
            <w:vAlign w:val="bottom"/>
          </w:tcPr>
          <w:p>
            <w:pPr>
              <w:jc w:val="right"/>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233"/>
        </w:trPr>
        <w:tc>
          <w:tcPr>
            <w:tcW w:w="7640" w:type="dxa"/>
            <w:vAlign w:val="bottom"/>
          </w:tcPr>
          <w:p>
            <w:pPr>
              <w:ind w:left="220"/>
              <w:spacing w:after="0"/>
              <w:rPr>
                <w:sz w:val="20"/>
                <w:szCs w:val="20"/>
                <w:color w:val="auto"/>
              </w:rPr>
            </w:pPr>
            <w:r>
              <w:rPr>
                <w:rFonts w:ascii="Arial" w:cs="Arial" w:eastAsia="Arial" w:hAnsi="Arial"/>
                <w:sz w:val="16"/>
                <w:szCs w:val="16"/>
                <w:color w:val="auto"/>
              </w:rPr>
              <w:t>Intersegment elimination</w:t>
            </w: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(37)</w:t>
            </w:r>
          </w:p>
        </w:tc>
        <w:tc>
          <w:tcPr>
            <w:tcW w:w="3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(265)</w:t>
            </w: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7"/>
        </w:trPr>
        <w:tc>
          <w:tcPr>
            <w:tcW w:w="7640" w:type="dxa"/>
            <w:vAlign w:val="bottom"/>
          </w:tcPr>
          <w:p>
            <w:pPr>
              <w:spacing w:after="0"/>
              <w:rPr>
                <w:sz w:val="19"/>
                <w:szCs w:val="19"/>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40,033</w:t>
            </w:r>
          </w:p>
        </w:tc>
        <w:tc>
          <w:tcPr>
            <w:tcW w:w="3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30,587</w:t>
            </w:r>
          </w:p>
        </w:tc>
        <w:tc>
          <w:tcPr>
            <w:tcW w:w="1220" w:type="dxa"/>
            <w:vAlign w:val="bottom"/>
          </w:tcPr>
          <w:p>
            <w:pPr>
              <w:jc w:val="right"/>
              <w:spacing w:after="0"/>
              <w:rPr>
                <w:sz w:val="20"/>
                <w:szCs w:val="20"/>
                <w:color w:val="auto"/>
              </w:rPr>
            </w:pPr>
            <w:r>
              <w:rPr>
                <w:rFonts w:ascii="Arial" w:cs="Arial" w:eastAsia="Arial" w:hAnsi="Arial"/>
                <w:sz w:val="16"/>
                <w:szCs w:val="16"/>
                <w:color w:val="auto"/>
              </w:rPr>
              <w:t>31</w:t>
            </w:r>
          </w:p>
        </w:tc>
        <w:tc>
          <w:tcPr>
            <w:tcW w:w="0" w:type="dxa"/>
            <w:vAlign w:val="bottom"/>
          </w:tcPr>
          <w:p>
            <w:pPr>
              <w:spacing w:after="0"/>
              <w:rPr>
                <w:sz w:val="1"/>
                <w:szCs w:val="1"/>
                <w:color w:val="auto"/>
              </w:rPr>
            </w:pPr>
          </w:p>
        </w:tc>
      </w:tr>
      <w:tr>
        <w:trPr>
          <w:trHeight w:val="20"/>
        </w:trPr>
        <w:tc>
          <w:tcPr>
            <w:tcW w:w="76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Kaplan International includes postsecondary education, professional training and language training businesses largely outside the United</w:t>
      </w:r>
    </w:p>
    <w:p>
      <w:pPr>
        <w:spacing w:after="0" w:line="14" w:lineRule="exact"/>
        <w:rPr>
          <w:sz w:val="20"/>
          <w:szCs w:val="20"/>
          <w:color w:val="auto"/>
        </w:rPr>
      </w:pPr>
    </w:p>
    <w:p>
      <w:pPr>
        <w:ind w:right="60"/>
        <w:spacing w:after="0" w:line="228" w:lineRule="auto"/>
        <w:rPr>
          <w:sz w:val="20"/>
          <w:szCs w:val="20"/>
          <w:color w:val="auto"/>
        </w:rPr>
      </w:pPr>
      <w:r>
        <w:rPr>
          <w:rFonts w:ascii="Arial" w:cs="Arial" w:eastAsia="Arial" w:hAnsi="Arial"/>
          <w:sz w:val="18"/>
          <w:szCs w:val="18"/>
          <w:color w:val="auto"/>
        </w:rPr>
        <w:t>States (U.S.). Kaplan International revenue decreased 3% for the first quarter (2% on a constant currency basis) due largely to lower student enrollments at UK Pathways and Languages, partially offset by growth at UK Professional, Australia and Singapore. Kaplan International reported operating income of $30.1 million in the first quarter of 2025, compared to $31.3 million in the first quarter of 2024. The decrease is due largely to a decline in results at UK Pathways and MPW, partially offset by improved results at UK Professional and Australia.</w:t>
      </w:r>
    </w:p>
    <w:p>
      <w:pPr>
        <w:spacing w:after="0" w:line="127" w:lineRule="exact"/>
        <w:rPr>
          <w:sz w:val="20"/>
          <w:szCs w:val="20"/>
          <w:color w:val="auto"/>
        </w:rPr>
      </w:pPr>
    </w:p>
    <w:p>
      <w:pPr>
        <w:ind w:right="240"/>
        <w:spacing w:after="0" w:line="237" w:lineRule="auto"/>
        <w:rPr>
          <w:sz w:val="20"/>
          <w:szCs w:val="20"/>
          <w:color w:val="auto"/>
        </w:rPr>
      </w:pPr>
      <w:r>
        <w:rPr>
          <w:rFonts w:ascii="Arial" w:cs="Arial" w:eastAsia="Arial" w:hAnsi="Arial"/>
          <w:sz w:val="18"/>
          <w:szCs w:val="18"/>
          <w:color w:val="auto"/>
        </w:rPr>
        <w:t>Higher Education includes the results of Kaplan as a service provider to higher education institutions. Higher Education revenue increased 10% for the first quarter of 2025, due primarily to an increase in the Purdue Global fee recorded. Enrollments at Purdue Global, the largest</w:t>
      </w:r>
    </w:p>
    <w:p>
      <w:pPr>
        <w:spacing w:after="0" w:line="235" w:lineRule="auto"/>
        <w:rPr>
          <w:sz w:val="20"/>
          <w:szCs w:val="20"/>
          <w:color w:val="auto"/>
        </w:rPr>
      </w:pPr>
      <w:r>
        <w:rPr>
          <w:rFonts w:ascii="Arial" w:cs="Arial" w:eastAsia="Arial" w:hAnsi="Arial"/>
          <w:sz w:val="18"/>
          <w:szCs w:val="18"/>
          <w:color w:val="auto"/>
        </w:rPr>
        <w:t>institutional client, increased 4% for the first three months of 2025 compared to the first three months of 2024. For the first quarter of 2025</w:t>
      </w:r>
    </w:p>
    <w:p>
      <w:pPr>
        <w:spacing w:after="0" w:line="1" w:lineRule="exact"/>
        <w:rPr>
          <w:sz w:val="20"/>
          <w:szCs w:val="20"/>
          <w:color w:val="auto"/>
        </w:rPr>
      </w:pPr>
    </w:p>
    <w:p>
      <w:pPr>
        <w:ind w:right="400"/>
        <w:spacing w:after="0" w:line="226" w:lineRule="auto"/>
        <w:rPr>
          <w:sz w:val="20"/>
          <w:szCs w:val="20"/>
          <w:color w:val="auto"/>
        </w:rPr>
      </w:pPr>
      <w:r>
        <w:rPr>
          <w:rFonts w:ascii="Arial" w:cs="Arial" w:eastAsia="Arial" w:hAnsi="Arial"/>
          <w:sz w:val="18"/>
          <w:szCs w:val="18"/>
          <w:color w:val="auto"/>
        </w:rPr>
        <w:t>and 2024, Kaplan recorded a portion of the fee from Purdue Global. The Company will continue to assess the fee it records from Purdue Global on a quarterly basis to make a determination as to whether to record all or part of the fee in the future and whether to adjust fee</w:t>
      </w:r>
    </w:p>
    <w:p>
      <w:pPr>
        <w:spacing w:after="0" w:line="2" w:lineRule="exact"/>
        <w:rPr>
          <w:sz w:val="20"/>
          <w:szCs w:val="20"/>
          <w:color w:val="auto"/>
        </w:rPr>
      </w:pPr>
    </w:p>
    <w:p>
      <w:pPr>
        <w:ind w:right="460"/>
        <w:spacing w:after="0" w:line="250" w:lineRule="auto"/>
        <w:rPr>
          <w:sz w:val="20"/>
          <w:szCs w:val="20"/>
          <w:color w:val="auto"/>
        </w:rPr>
      </w:pPr>
      <w:r>
        <w:rPr>
          <w:rFonts w:ascii="Arial" w:cs="Arial" w:eastAsia="Arial" w:hAnsi="Arial"/>
          <w:sz w:val="18"/>
          <w:szCs w:val="18"/>
          <w:color w:val="auto"/>
        </w:rPr>
        <w:t>amounts recognized in earlier periods. Higher Education operating results improved in the first quarter of 2025 due to an increase in the Purdue Global fee recorded, and a decline in higher education development costs.</w:t>
      </w:r>
    </w:p>
    <w:p>
      <w:pPr>
        <w:spacing w:after="0" w:line="104" w:lineRule="exact"/>
        <w:rPr>
          <w:sz w:val="20"/>
          <w:szCs w:val="20"/>
          <w:color w:val="auto"/>
        </w:rPr>
      </w:pPr>
    </w:p>
    <w:p>
      <w:pPr>
        <w:ind w:right="460"/>
        <w:spacing w:after="0" w:line="253" w:lineRule="auto"/>
        <w:rPr>
          <w:sz w:val="20"/>
          <w:szCs w:val="20"/>
          <w:color w:val="auto"/>
        </w:rPr>
      </w:pPr>
      <w:r>
        <w:rPr>
          <w:rFonts w:ascii="Arial" w:cs="Arial" w:eastAsia="Arial" w:hAnsi="Arial"/>
          <w:sz w:val="18"/>
          <w:szCs w:val="18"/>
          <w:color w:val="auto"/>
        </w:rPr>
        <w:t>Supplemental Education includes Kaplan’s standardized test preparation programs and domestic professional and other continuing education businesses. Most of the program offerings in Supplemental Education experienced growth in the first quarter, leading to a 5% revenue increase. Operating results improved in the first quarter of 2025 due largely to revenue growth.</w:t>
      </w:r>
    </w:p>
    <w:p>
      <w:pPr>
        <w:spacing w:after="0" w:line="101" w:lineRule="exact"/>
        <w:rPr>
          <w:sz w:val="20"/>
          <w:szCs w:val="20"/>
          <w:color w:val="auto"/>
        </w:rPr>
      </w:pPr>
    </w:p>
    <w:p>
      <w:pPr>
        <w:ind w:right="240"/>
        <w:spacing w:after="0" w:line="271" w:lineRule="auto"/>
        <w:rPr>
          <w:sz w:val="20"/>
          <w:szCs w:val="20"/>
          <w:color w:val="auto"/>
        </w:rPr>
      </w:pPr>
      <w:r>
        <w:rPr>
          <w:rFonts w:ascii="Arial" w:cs="Arial" w:eastAsia="Arial" w:hAnsi="Arial"/>
          <w:sz w:val="18"/>
          <w:szCs w:val="18"/>
          <w:color w:val="auto"/>
        </w:rPr>
        <w:t>Kaplan corporate and other represents unallocated expenses of Kaplan, Inc.’s corporate office, other minor businesses and certain shared activities.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Television Broadcasting</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A summary of television broadcasting’s operating results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120" w:type="dxa"/>
            <w:vAlign w:val="bottom"/>
            <w:gridSpan w:val="3"/>
          </w:tcPr>
          <w:p>
            <w:pPr>
              <w:jc w:val="center"/>
              <w:ind w:right="182"/>
              <w:spacing w:after="0"/>
              <w:rPr>
                <w:sz w:val="20"/>
                <w:szCs w:val="20"/>
                <w:color w:val="auto"/>
              </w:rPr>
            </w:pPr>
            <w:r>
              <w:rPr>
                <w:rFonts w:ascii="Arial" w:cs="Arial" w:eastAsia="Arial" w:hAnsi="Arial"/>
                <w:sz w:val="14"/>
                <w:szCs w:val="14"/>
                <w:b w:val="1"/>
                <w:bCs w:val="1"/>
                <w:color w:val="auto"/>
              </w:rPr>
              <w:t>Three Months Ended</w:t>
            </w:r>
          </w:p>
        </w:tc>
        <w:tc>
          <w:tcPr>
            <w:tcW w:w="1220" w:type="dxa"/>
            <w:vAlign w:val="bottom"/>
          </w:tcPr>
          <w:p>
            <w:pPr>
              <w:spacing w:after="0"/>
              <w:rPr>
                <w:sz w:val="17"/>
                <w:szCs w:val="17"/>
                <w:color w:val="auto"/>
              </w:rPr>
            </w:pPr>
          </w:p>
        </w:tc>
      </w:tr>
      <w:tr>
        <w:trPr>
          <w:trHeight w:val="225"/>
        </w:trPr>
        <w:tc>
          <w:tcPr>
            <w:tcW w:w="76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2"/>
          </w:tcPr>
          <w:p>
            <w:pPr>
              <w:jc w:val="center"/>
              <w:ind w:left="464"/>
              <w:spacing w:after="0"/>
              <w:rPr>
                <w:sz w:val="20"/>
                <w:szCs w:val="20"/>
                <w:color w:val="auto"/>
              </w:rPr>
            </w:pPr>
            <w:r>
              <w:rPr>
                <w:rFonts w:ascii="Arial" w:cs="Arial" w:eastAsia="Arial" w:hAnsi="Arial"/>
                <w:sz w:val="14"/>
                <w:szCs w:val="14"/>
                <w:b w:val="1"/>
                <w:bCs w:val="1"/>
                <w:color w:val="auto"/>
              </w:rPr>
              <w:t>March 31</w:t>
            </w:r>
          </w:p>
        </w:tc>
        <w:tc>
          <w:tcPr>
            <w:tcW w:w="800" w:type="dxa"/>
            <w:vAlign w:val="bottom"/>
            <w:tcBorders>
              <w:bottom w:val="single" w:sz="8" w:color="auto"/>
            </w:tcBorders>
          </w:tcPr>
          <w:p>
            <w:pPr>
              <w:spacing w:after="0"/>
              <w:rPr>
                <w:sz w:val="19"/>
                <w:szCs w:val="19"/>
                <w:color w:val="auto"/>
              </w:rPr>
            </w:pPr>
          </w:p>
        </w:tc>
        <w:tc>
          <w:tcPr>
            <w:tcW w:w="1220" w:type="dxa"/>
            <w:vAlign w:val="bottom"/>
          </w:tcPr>
          <w:p>
            <w:pPr>
              <w:spacing w:after="0"/>
              <w:rPr>
                <w:sz w:val="19"/>
                <w:szCs w:val="19"/>
                <w:color w:val="auto"/>
              </w:rPr>
            </w:pPr>
          </w:p>
        </w:tc>
      </w:tr>
      <w:tr>
        <w:trPr>
          <w:trHeight w:val="209"/>
        </w:trPr>
        <w:tc>
          <w:tcPr>
            <w:tcW w:w="76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64"/>
              <w:spacing w:after="0"/>
              <w:rPr>
                <w:sz w:val="20"/>
                <w:szCs w:val="20"/>
                <w:color w:val="auto"/>
              </w:rPr>
            </w:pPr>
            <w:r>
              <w:rPr>
                <w:rFonts w:ascii="Arial" w:cs="Arial" w:eastAsia="Arial" w:hAnsi="Arial"/>
                <w:sz w:val="14"/>
                <w:szCs w:val="14"/>
                <w:b w:val="1"/>
                <w:bCs w:val="1"/>
                <w:color w:val="auto"/>
              </w:rPr>
              <w:t>2025</w:t>
            </w:r>
          </w:p>
        </w:tc>
        <w:tc>
          <w:tcPr>
            <w:tcW w:w="4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22"/>
              <w:spacing w:after="0"/>
              <w:rPr>
                <w:sz w:val="20"/>
                <w:szCs w:val="20"/>
                <w:color w:val="auto"/>
              </w:rPr>
            </w:pPr>
            <w:r>
              <w:rPr>
                <w:rFonts w:ascii="Arial" w:cs="Arial" w:eastAsia="Arial" w:hAnsi="Arial"/>
                <w:sz w:val="14"/>
                <w:szCs w:val="14"/>
                <w:color w:val="auto"/>
              </w:rPr>
              <w:t>2024</w:t>
            </w:r>
          </w:p>
        </w:tc>
        <w:tc>
          <w:tcPr>
            <w:tcW w:w="1220" w:type="dxa"/>
            <w:vAlign w:val="bottom"/>
            <w:tcBorders>
              <w:bottom w:val="single" w:sz="8" w:color="auto"/>
            </w:tcBorders>
          </w:tcPr>
          <w:p>
            <w:pPr>
              <w:jc w:val="right"/>
              <w:ind w:right="142"/>
              <w:spacing w:after="0"/>
              <w:rPr>
                <w:sz w:val="20"/>
                <w:szCs w:val="20"/>
                <w:color w:val="auto"/>
              </w:rPr>
            </w:pPr>
            <w:r>
              <w:rPr>
                <w:rFonts w:ascii="Arial" w:cs="Arial" w:eastAsia="Arial" w:hAnsi="Arial"/>
                <w:sz w:val="14"/>
                <w:szCs w:val="14"/>
                <w:color w:val="auto"/>
              </w:rPr>
              <w:t>% Change</w:t>
            </w:r>
          </w:p>
        </w:tc>
      </w:tr>
      <w:tr>
        <w:trPr>
          <w:trHeight w:val="223"/>
        </w:trPr>
        <w:tc>
          <w:tcPr>
            <w:tcW w:w="7640" w:type="dxa"/>
            <w:vAlign w:val="bottom"/>
          </w:tcPr>
          <w:p>
            <w:pPr>
              <w:ind w:left="20"/>
              <w:spacing w:after="0"/>
              <w:rPr>
                <w:sz w:val="20"/>
                <w:szCs w:val="20"/>
                <w:color w:val="auto"/>
              </w:rPr>
            </w:pPr>
            <w:r>
              <w:rPr>
                <w:rFonts w:ascii="Arial" w:cs="Arial" w:eastAsia="Arial" w:hAnsi="Arial"/>
                <w:sz w:val="16"/>
                <w:szCs w:val="16"/>
                <w:color w:val="auto"/>
              </w:rPr>
              <w:t>Revenue</w:t>
            </w: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ind w:right="24"/>
              <w:spacing w:after="0"/>
              <w:rPr>
                <w:sz w:val="20"/>
                <w:szCs w:val="20"/>
                <w:color w:val="auto"/>
              </w:rPr>
            </w:pPr>
            <w:r>
              <w:rPr>
                <w:rFonts w:ascii="Arial" w:cs="Arial" w:eastAsia="Arial" w:hAnsi="Arial"/>
                <w:sz w:val="16"/>
                <w:szCs w:val="16"/>
                <w:b w:val="1"/>
                <w:bCs w:val="1"/>
                <w:color w:val="auto"/>
              </w:rPr>
              <w:t>103,554</w:t>
            </w:r>
          </w:p>
        </w:tc>
        <w:tc>
          <w:tcPr>
            <w:tcW w:w="4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113,058</w:t>
            </w:r>
          </w:p>
        </w:tc>
        <w:tc>
          <w:tcPr>
            <w:tcW w:w="1220" w:type="dxa"/>
            <w:vAlign w:val="bottom"/>
          </w:tcPr>
          <w:p>
            <w:pPr>
              <w:jc w:val="right"/>
              <w:spacing w:after="0"/>
              <w:rPr>
                <w:sz w:val="20"/>
                <w:szCs w:val="20"/>
                <w:color w:val="auto"/>
              </w:rPr>
            </w:pPr>
            <w:r>
              <w:rPr>
                <w:rFonts w:ascii="Arial" w:cs="Arial" w:eastAsia="Arial" w:hAnsi="Arial"/>
                <w:sz w:val="16"/>
                <w:szCs w:val="16"/>
                <w:color w:val="auto"/>
              </w:rPr>
              <w:t>(8)</w:t>
            </w:r>
          </w:p>
        </w:tc>
      </w:tr>
      <w:tr>
        <w:trPr>
          <w:trHeight w:val="229"/>
        </w:trPr>
        <w:tc>
          <w:tcPr>
            <w:tcW w:w="7640" w:type="dxa"/>
            <w:vAlign w:val="bottom"/>
          </w:tcPr>
          <w:p>
            <w:pPr>
              <w:ind w:left="20"/>
              <w:spacing w:after="0"/>
              <w:rPr>
                <w:sz w:val="20"/>
                <w:szCs w:val="20"/>
                <w:color w:val="auto"/>
              </w:rPr>
            </w:pPr>
            <w:r>
              <w:rPr>
                <w:rFonts w:ascii="Arial" w:cs="Arial" w:eastAsia="Arial" w:hAnsi="Arial"/>
                <w:sz w:val="16"/>
                <w:szCs w:val="16"/>
                <w:color w:val="auto"/>
              </w:rPr>
              <w:t>Operating Income</w:t>
            </w:r>
          </w:p>
        </w:tc>
        <w:tc>
          <w:tcPr>
            <w:tcW w:w="260" w:type="dxa"/>
            <w:vAlign w:val="bottom"/>
          </w:tcPr>
          <w:p>
            <w:pPr>
              <w:spacing w:after="0"/>
              <w:rPr>
                <w:sz w:val="19"/>
                <w:szCs w:val="19"/>
                <w:color w:val="auto"/>
              </w:rPr>
            </w:pPr>
          </w:p>
        </w:tc>
        <w:tc>
          <w:tcPr>
            <w:tcW w:w="920" w:type="dxa"/>
            <w:vAlign w:val="bottom"/>
          </w:tcPr>
          <w:p>
            <w:pPr>
              <w:jc w:val="right"/>
              <w:ind w:right="24"/>
              <w:spacing w:after="0"/>
              <w:rPr>
                <w:sz w:val="20"/>
                <w:szCs w:val="20"/>
                <w:color w:val="auto"/>
              </w:rPr>
            </w:pPr>
            <w:r>
              <w:rPr>
                <w:rFonts w:ascii="Arial" w:cs="Arial" w:eastAsia="Arial" w:hAnsi="Arial"/>
                <w:sz w:val="16"/>
                <w:szCs w:val="16"/>
                <w:b w:val="1"/>
                <w:bCs w:val="1"/>
                <w:color w:val="auto"/>
              </w:rPr>
              <w:t>24,398</w:t>
            </w:r>
          </w:p>
        </w:tc>
        <w:tc>
          <w:tcPr>
            <w:tcW w:w="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29,633</w:t>
            </w:r>
          </w:p>
        </w:tc>
        <w:tc>
          <w:tcPr>
            <w:tcW w:w="1220" w:type="dxa"/>
            <w:vAlign w:val="bottom"/>
          </w:tcPr>
          <w:p>
            <w:pPr>
              <w:jc w:val="right"/>
              <w:spacing w:after="0"/>
              <w:rPr>
                <w:sz w:val="20"/>
                <w:szCs w:val="20"/>
                <w:color w:val="auto"/>
              </w:rPr>
            </w:pPr>
            <w:r>
              <w:rPr>
                <w:rFonts w:ascii="Arial" w:cs="Arial" w:eastAsia="Arial" w:hAnsi="Arial"/>
                <w:sz w:val="16"/>
                <w:szCs w:val="16"/>
                <w:color w:val="auto"/>
              </w:rPr>
              <w:t>(18)</w:t>
            </w:r>
          </w:p>
        </w:tc>
      </w:tr>
    </w:tbl>
    <w:p>
      <w:pPr>
        <w:spacing w:after="0" w:line="218" w:lineRule="exact"/>
        <w:rPr>
          <w:sz w:val="20"/>
          <w:szCs w:val="20"/>
          <w:color w:val="auto"/>
        </w:rPr>
      </w:pPr>
    </w:p>
    <w:p>
      <w:pPr>
        <w:ind w:right="160"/>
        <w:spacing w:after="0" w:line="259" w:lineRule="auto"/>
        <w:rPr>
          <w:sz w:val="20"/>
          <w:szCs w:val="20"/>
          <w:color w:val="auto"/>
        </w:rPr>
      </w:pPr>
      <w:r>
        <w:rPr>
          <w:rFonts w:ascii="Arial" w:cs="Arial" w:eastAsia="Arial" w:hAnsi="Arial"/>
          <w:sz w:val="17"/>
          <w:szCs w:val="17"/>
          <w:color w:val="auto"/>
        </w:rPr>
        <w:t>Graham Media Group, Inc. owns seven television stations located in Houston, TX; Detroit, MI; Orlando, FL; San Antonio, TX; Jacksonville, FL; and Roanoke, VA, as well as SocialNewsDesk, a provider of social media management tools designed to connect newsrooms with their</w:t>
      </w:r>
    </w:p>
    <w:p>
      <w:pPr>
        <w:spacing w:after="0" w:line="1" w:lineRule="exact"/>
        <w:rPr>
          <w:sz w:val="20"/>
          <w:szCs w:val="20"/>
          <w:color w:val="auto"/>
        </w:rPr>
      </w:pPr>
    </w:p>
    <w:p>
      <w:pPr>
        <w:ind w:right="180"/>
        <w:spacing w:after="0"/>
        <w:rPr>
          <w:sz w:val="20"/>
          <w:szCs w:val="20"/>
          <w:color w:val="auto"/>
        </w:rPr>
      </w:pPr>
      <w:r>
        <w:rPr>
          <w:rFonts w:ascii="Arial" w:cs="Arial" w:eastAsia="Arial" w:hAnsi="Arial"/>
          <w:sz w:val="17"/>
          <w:szCs w:val="17"/>
          <w:color w:val="auto"/>
        </w:rPr>
        <w:t>users. Revenue at the television broadcasting division decreased 8% to $103.6 million in the first quarter of 2025, from $113.1 million in the same period of 2024. The revenue decrease is due to a $1.6 million decrease in political advertising revenue, a $1.5 million decrease in</w:t>
      </w:r>
    </w:p>
    <w:p>
      <w:pPr>
        <w:spacing w:after="0" w:line="1" w:lineRule="exact"/>
        <w:rPr>
          <w:sz w:val="20"/>
          <w:szCs w:val="20"/>
          <w:color w:val="auto"/>
        </w:rPr>
      </w:pPr>
    </w:p>
    <w:p>
      <w:pPr>
        <w:ind w:right="80"/>
        <w:spacing w:after="0" w:line="250" w:lineRule="auto"/>
        <w:rPr>
          <w:sz w:val="20"/>
          <w:szCs w:val="20"/>
          <w:color w:val="auto"/>
        </w:rPr>
      </w:pPr>
      <w:r>
        <w:rPr>
          <w:rFonts w:ascii="Arial" w:cs="Arial" w:eastAsia="Arial" w:hAnsi="Arial"/>
          <w:sz w:val="18"/>
          <w:szCs w:val="18"/>
          <w:color w:val="auto"/>
        </w:rPr>
        <w:t>retransmission revenue and declines in local and national advertising revenue. Operating income for the first quarter of 2025 was down 18% to $24.4 million, from $29.6 million in the same period of 2024, due to lower revenues.</w:t>
      </w:r>
    </w:p>
    <w:p>
      <w:pPr>
        <w:sectPr>
          <w:pgSz w:w="11900" w:h="16838" w:orient="portrait"/>
          <w:cols w:equalWidth="0" w:num="1">
            <w:col w:w="11240"/>
          </w:cols>
          <w:pgMar w:left="320" w:top="931" w:right="339" w:bottom="1440" w:gutter="0" w:footer="0" w:header="0"/>
        </w:sect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175260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type w:val="continuous"/>
        </w:sectPr>
      </w:pPr>
    </w:p>
    <w:bookmarkStart w:id="26" w:name="page27"/>
    <w:bookmarkEnd w:id="26"/>
    <w:p>
      <w:pPr>
        <w:spacing w:after="0"/>
        <w:rPr>
          <w:sz w:val="20"/>
          <w:szCs w:val="20"/>
          <w:color w:val="auto"/>
        </w:rPr>
      </w:pPr>
      <w:r>
        <w:rPr>
          <w:rFonts w:ascii="Arial" w:cs="Arial" w:eastAsia="Arial" w:hAnsi="Arial"/>
          <w:sz w:val="18"/>
          <w:szCs w:val="18"/>
          <w:color w:val="auto"/>
        </w:rPr>
        <w:t>While per subscriber rates from cable, satellite and OTT providers have grown, overall cable and satellite subscribers are down due to cord</w:t>
      </w:r>
    </w:p>
    <w:p>
      <w:pPr>
        <w:spacing w:after="0" w:line="14" w:lineRule="exact"/>
        <w:rPr>
          <w:sz w:val="20"/>
          <w:szCs w:val="20"/>
          <w:color w:val="auto"/>
        </w:rPr>
      </w:pPr>
    </w:p>
    <w:p>
      <w:pPr>
        <w:ind w:right="180"/>
        <w:spacing w:after="0" w:line="237" w:lineRule="auto"/>
        <w:rPr>
          <w:sz w:val="20"/>
          <w:szCs w:val="20"/>
          <w:color w:val="auto"/>
        </w:rPr>
      </w:pPr>
      <w:r>
        <w:rPr>
          <w:rFonts w:ascii="Arial" w:cs="Arial" w:eastAsia="Arial" w:hAnsi="Arial"/>
          <w:sz w:val="18"/>
          <w:szCs w:val="18"/>
          <w:color w:val="auto"/>
        </w:rPr>
        <w:t>cutting, resulting in retransmission revenue net of network fees in 2025 expected to decline compared with 2024, and this trend is expected to continue.</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Manufacturing</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A summary of manufacturing’s operating results is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120" w:type="dxa"/>
            <w:vAlign w:val="bottom"/>
            <w:gridSpan w:val="3"/>
          </w:tcPr>
          <w:p>
            <w:pPr>
              <w:jc w:val="center"/>
              <w:ind w:right="182"/>
              <w:spacing w:after="0"/>
              <w:rPr>
                <w:sz w:val="20"/>
                <w:szCs w:val="20"/>
                <w:color w:val="auto"/>
              </w:rPr>
            </w:pPr>
            <w:r>
              <w:rPr>
                <w:rFonts w:ascii="Arial" w:cs="Arial" w:eastAsia="Arial" w:hAnsi="Arial"/>
                <w:sz w:val="14"/>
                <w:szCs w:val="14"/>
                <w:b w:val="1"/>
                <w:bCs w:val="1"/>
                <w:color w:val="auto"/>
              </w:rPr>
              <w:t>Three Months Ended</w:t>
            </w:r>
          </w:p>
        </w:tc>
        <w:tc>
          <w:tcPr>
            <w:tcW w:w="1220" w:type="dxa"/>
            <w:vAlign w:val="bottom"/>
          </w:tcPr>
          <w:p>
            <w:pPr>
              <w:spacing w:after="0"/>
              <w:rPr>
                <w:sz w:val="17"/>
                <w:szCs w:val="17"/>
                <w:color w:val="auto"/>
              </w:rPr>
            </w:pPr>
          </w:p>
        </w:tc>
      </w:tr>
      <w:tr>
        <w:trPr>
          <w:trHeight w:val="225"/>
        </w:trPr>
        <w:tc>
          <w:tcPr>
            <w:tcW w:w="76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2"/>
          </w:tcPr>
          <w:p>
            <w:pPr>
              <w:jc w:val="center"/>
              <w:ind w:left="464"/>
              <w:spacing w:after="0"/>
              <w:rPr>
                <w:sz w:val="20"/>
                <w:szCs w:val="20"/>
                <w:color w:val="auto"/>
              </w:rPr>
            </w:pPr>
            <w:r>
              <w:rPr>
                <w:rFonts w:ascii="Arial" w:cs="Arial" w:eastAsia="Arial" w:hAnsi="Arial"/>
                <w:sz w:val="14"/>
                <w:szCs w:val="14"/>
                <w:b w:val="1"/>
                <w:bCs w:val="1"/>
                <w:color w:val="auto"/>
              </w:rPr>
              <w:t>March 31</w:t>
            </w:r>
          </w:p>
        </w:tc>
        <w:tc>
          <w:tcPr>
            <w:tcW w:w="800" w:type="dxa"/>
            <w:vAlign w:val="bottom"/>
            <w:tcBorders>
              <w:bottom w:val="single" w:sz="8" w:color="auto"/>
            </w:tcBorders>
          </w:tcPr>
          <w:p>
            <w:pPr>
              <w:spacing w:after="0"/>
              <w:rPr>
                <w:sz w:val="19"/>
                <w:szCs w:val="19"/>
                <w:color w:val="auto"/>
              </w:rPr>
            </w:pPr>
          </w:p>
        </w:tc>
        <w:tc>
          <w:tcPr>
            <w:tcW w:w="1220" w:type="dxa"/>
            <w:vAlign w:val="bottom"/>
          </w:tcPr>
          <w:p>
            <w:pPr>
              <w:spacing w:after="0"/>
              <w:rPr>
                <w:sz w:val="19"/>
                <w:szCs w:val="19"/>
                <w:color w:val="auto"/>
              </w:rPr>
            </w:pPr>
          </w:p>
        </w:tc>
      </w:tr>
      <w:tr>
        <w:trPr>
          <w:trHeight w:val="209"/>
        </w:trPr>
        <w:tc>
          <w:tcPr>
            <w:tcW w:w="76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64"/>
              <w:spacing w:after="0"/>
              <w:rPr>
                <w:sz w:val="20"/>
                <w:szCs w:val="20"/>
                <w:color w:val="auto"/>
              </w:rPr>
            </w:pPr>
            <w:r>
              <w:rPr>
                <w:rFonts w:ascii="Arial" w:cs="Arial" w:eastAsia="Arial" w:hAnsi="Arial"/>
                <w:sz w:val="14"/>
                <w:szCs w:val="14"/>
                <w:b w:val="1"/>
                <w:bCs w:val="1"/>
                <w:color w:val="auto"/>
              </w:rPr>
              <w:t>2025</w:t>
            </w:r>
          </w:p>
        </w:tc>
        <w:tc>
          <w:tcPr>
            <w:tcW w:w="4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22"/>
              <w:spacing w:after="0"/>
              <w:rPr>
                <w:sz w:val="20"/>
                <w:szCs w:val="20"/>
                <w:color w:val="auto"/>
              </w:rPr>
            </w:pPr>
            <w:r>
              <w:rPr>
                <w:rFonts w:ascii="Arial" w:cs="Arial" w:eastAsia="Arial" w:hAnsi="Arial"/>
                <w:sz w:val="14"/>
                <w:szCs w:val="14"/>
                <w:color w:val="auto"/>
              </w:rPr>
              <w:t>2024</w:t>
            </w:r>
          </w:p>
        </w:tc>
        <w:tc>
          <w:tcPr>
            <w:tcW w:w="1220" w:type="dxa"/>
            <w:vAlign w:val="bottom"/>
            <w:tcBorders>
              <w:bottom w:val="single" w:sz="8" w:color="auto"/>
            </w:tcBorders>
          </w:tcPr>
          <w:p>
            <w:pPr>
              <w:jc w:val="right"/>
              <w:ind w:right="142"/>
              <w:spacing w:after="0"/>
              <w:rPr>
                <w:sz w:val="20"/>
                <w:szCs w:val="20"/>
                <w:color w:val="auto"/>
              </w:rPr>
            </w:pPr>
            <w:r>
              <w:rPr>
                <w:rFonts w:ascii="Arial" w:cs="Arial" w:eastAsia="Arial" w:hAnsi="Arial"/>
                <w:sz w:val="14"/>
                <w:szCs w:val="14"/>
                <w:color w:val="auto"/>
              </w:rPr>
              <w:t>% Change</w:t>
            </w:r>
          </w:p>
        </w:tc>
      </w:tr>
      <w:tr>
        <w:trPr>
          <w:trHeight w:val="223"/>
        </w:trPr>
        <w:tc>
          <w:tcPr>
            <w:tcW w:w="7640" w:type="dxa"/>
            <w:vAlign w:val="bottom"/>
          </w:tcPr>
          <w:p>
            <w:pPr>
              <w:ind w:left="20"/>
              <w:spacing w:after="0"/>
              <w:rPr>
                <w:sz w:val="20"/>
                <w:szCs w:val="20"/>
                <w:color w:val="auto"/>
              </w:rPr>
            </w:pPr>
            <w:r>
              <w:rPr>
                <w:rFonts w:ascii="Arial" w:cs="Arial" w:eastAsia="Arial" w:hAnsi="Arial"/>
                <w:sz w:val="16"/>
                <w:szCs w:val="16"/>
                <w:color w:val="auto"/>
              </w:rPr>
              <w:t>Revenue</w:t>
            </w: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ind w:right="24"/>
              <w:spacing w:after="0"/>
              <w:rPr>
                <w:sz w:val="20"/>
                <w:szCs w:val="20"/>
                <w:color w:val="auto"/>
              </w:rPr>
            </w:pPr>
            <w:r>
              <w:rPr>
                <w:rFonts w:ascii="Arial" w:cs="Arial" w:eastAsia="Arial" w:hAnsi="Arial"/>
                <w:sz w:val="16"/>
                <w:szCs w:val="16"/>
                <w:b w:val="1"/>
                <w:bCs w:val="1"/>
                <w:color w:val="auto"/>
              </w:rPr>
              <w:t>98,005</w:t>
            </w:r>
          </w:p>
        </w:tc>
        <w:tc>
          <w:tcPr>
            <w:tcW w:w="4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101,903</w:t>
            </w:r>
          </w:p>
        </w:tc>
        <w:tc>
          <w:tcPr>
            <w:tcW w:w="122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229"/>
        </w:trPr>
        <w:tc>
          <w:tcPr>
            <w:tcW w:w="7640" w:type="dxa"/>
            <w:vAlign w:val="bottom"/>
          </w:tcPr>
          <w:p>
            <w:pPr>
              <w:ind w:left="20"/>
              <w:spacing w:after="0"/>
              <w:rPr>
                <w:sz w:val="20"/>
                <w:szCs w:val="20"/>
                <w:color w:val="auto"/>
              </w:rPr>
            </w:pPr>
            <w:r>
              <w:rPr>
                <w:rFonts w:ascii="Arial" w:cs="Arial" w:eastAsia="Arial" w:hAnsi="Arial"/>
                <w:sz w:val="16"/>
                <w:szCs w:val="16"/>
                <w:color w:val="auto"/>
              </w:rPr>
              <w:t>Operating Income</w:t>
            </w:r>
          </w:p>
        </w:tc>
        <w:tc>
          <w:tcPr>
            <w:tcW w:w="260" w:type="dxa"/>
            <w:vAlign w:val="bottom"/>
          </w:tcPr>
          <w:p>
            <w:pPr>
              <w:spacing w:after="0"/>
              <w:rPr>
                <w:sz w:val="19"/>
                <w:szCs w:val="19"/>
                <w:color w:val="auto"/>
              </w:rPr>
            </w:pPr>
          </w:p>
        </w:tc>
        <w:tc>
          <w:tcPr>
            <w:tcW w:w="920" w:type="dxa"/>
            <w:vAlign w:val="bottom"/>
          </w:tcPr>
          <w:p>
            <w:pPr>
              <w:jc w:val="right"/>
              <w:ind w:right="24"/>
              <w:spacing w:after="0"/>
              <w:rPr>
                <w:sz w:val="20"/>
                <w:szCs w:val="20"/>
                <w:color w:val="auto"/>
              </w:rPr>
            </w:pPr>
            <w:r>
              <w:rPr>
                <w:rFonts w:ascii="Arial" w:cs="Arial" w:eastAsia="Arial" w:hAnsi="Arial"/>
                <w:sz w:val="16"/>
                <w:szCs w:val="16"/>
                <w:b w:val="1"/>
                <w:bCs w:val="1"/>
                <w:color w:val="auto"/>
              </w:rPr>
              <w:t>5,480</w:t>
            </w:r>
          </w:p>
        </w:tc>
        <w:tc>
          <w:tcPr>
            <w:tcW w:w="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3,069</w:t>
            </w:r>
          </w:p>
        </w:tc>
        <w:tc>
          <w:tcPr>
            <w:tcW w:w="1220" w:type="dxa"/>
            <w:vAlign w:val="bottom"/>
          </w:tcPr>
          <w:p>
            <w:pPr>
              <w:jc w:val="right"/>
              <w:ind w:right="2"/>
              <w:spacing w:after="0"/>
              <w:rPr>
                <w:sz w:val="20"/>
                <w:szCs w:val="20"/>
                <w:color w:val="auto"/>
              </w:rPr>
            </w:pPr>
            <w:r>
              <w:rPr>
                <w:rFonts w:ascii="Arial" w:cs="Arial" w:eastAsia="Arial" w:hAnsi="Arial"/>
                <w:sz w:val="16"/>
                <w:szCs w:val="16"/>
                <w:color w:val="auto"/>
              </w:rPr>
              <w:t>79</w:t>
            </w:r>
          </w:p>
        </w:tc>
      </w:tr>
    </w:tbl>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Manufacturing includes four businesses: Hoover, a supplier of pressure impregnated kiln-dried lumber and plywood products for fire retardant</w:t>
      </w:r>
    </w:p>
    <w:p>
      <w:pPr>
        <w:spacing w:after="0" w:line="14" w:lineRule="exact"/>
        <w:rPr>
          <w:sz w:val="20"/>
          <w:szCs w:val="20"/>
          <w:color w:val="auto"/>
        </w:rPr>
      </w:pPr>
    </w:p>
    <w:p>
      <w:pPr>
        <w:ind w:right="160"/>
        <w:spacing w:after="0" w:line="226" w:lineRule="auto"/>
        <w:rPr>
          <w:sz w:val="20"/>
          <w:szCs w:val="20"/>
          <w:color w:val="auto"/>
        </w:rPr>
      </w:pPr>
      <w:r>
        <w:rPr>
          <w:rFonts w:ascii="Arial" w:cs="Arial" w:eastAsia="Arial" w:hAnsi="Arial"/>
          <w:sz w:val="18"/>
          <w:szCs w:val="18"/>
          <w:color w:val="auto"/>
        </w:rPr>
        <w:t>and preservative applications; Dekko, a manufacturer of electrical workspace solutions, architectural lighting and electrical components and assemblies; Joyce/Dayton, a manufacturer of screw jacks and other linear motion systems; and Forney, a global supplier of products and</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systems that control and monitor combustion processes in electric utility and industrial applications.</w:t>
      </w:r>
    </w:p>
    <w:p>
      <w:pPr>
        <w:spacing w:after="0" w:line="140" w:lineRule="exact"/>
        <w:rPr>
          <w:sz w:val="20"/>
          <w:szCs w:val="20"/>
          <w:color w:val="auto"/>
        </w:rPr>
      </w:pPr>
    </w:p>
    <w:p>
      <w:pPr>
        <w:ind w:right="80"/>
        <w:spacing w:after="0" w:line="251" w:lineRule="auto"/>
        <w:rPr>
          <w:sz w:val="20"/>
          <w:szCs w:val="20"/>
          <w:color w:val="auto"/>
        </w:rPr>
      </w:pPr>
      <w:r>
        <w:rPr>
          <w:rFonts w:ascii="Arial" w:cs="Arial" w:eastAsia="Arial" w:hAnsi="Arial"/>
          <w:sz w:val="17"/>
          <w:szCs w:val="17"/>
          <w:color w:val="auto"/>
        </w:rPr>
        <w:t>Manufacturing revenues decreased 4% in the first quarter of 2025 due to lower revenues at Hoover, partially offset by increased revenues at Forney, Dekko and Joyce. The revenue decline at Hoover is due largely to a decrease in overall product demand, particularly for multi-family</w:t>
      </w:r>
    </w:p>
    <w:p>
      <w:pPr>
        <w:spacing w:after="0" w:line="1" w:lineRule="exact"/>
        <w:rPr>
          <w:sz w:val="20"/>
          <w:szCs w:val="20"/>
          <w:color w:val="auto"/>
        </w:rPr>
      </w:pPr>
    </w:p>
    <w:p>
      <w:pPr>
        <w:ind w:right="640"/>
        <w:spacing w:after="0" w:line="250" w:lineRule="auto"/>
        <w:rPr>
          <w:sz w:val="20"/>
          <w:szCs w:val="20"/>
          <w:color w:val="auto"/>
        </w:rPr>
      </w:pPr>
      <w:r>
        <w:rPr>
          <w:rFonts w:ascii="Arial" w:cs="Arial" w:eastAsia="Arial" w:hAnsi="Arial"/>
          <w:sz w:val="18"/>
          <w:szCs w:val="18"/>
          <w:color w:val="auto"/>
        </w:rPr>
        <w:t>housing. Hoover results included wood gains on inventory sales in the first quarter of 2025 and 2024. Manufacturing operating results improved in the first quarter of 2025 due largely to increases at Dekko, Forney and Hoover, partially offset by a decline at Joyce.</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Healthcare</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A summary of healthcare’s operating results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120" w:type="dxa"/>
            <w:vAlign w:val="bottom"/>
            <w:gridSpan w:val="3"/>
          </w:tcPr>
          <w:p>
            <w:pPr>
              <w:jc w:val="center"/>
              <w:ind w:right="182"/>
              <w:spacing w:after="0"/>
              <w:rPr>
                <w:sz w:val="20"/>
                <w:szCs w:val="20"/>
                <w:color w:val="auto"/>
              </w:rPr>
            </w:pPr>
            <w:r>
              <w:rPr>
                <w:rFonts w:ascii="Arial" w:cs="Arial" w:eastAsia="Arial" w:hAnsi="Arial"/>
                <w:sz w:val="14"/>
                <w:szCs w:val="14"/>
                <w:b w:val="1"/>
                <w:bCs w:val="1"/>
                <w:color w:val="auto"/>
              </w:rPr>
              <w:t>Three Months Ended</w:t>
            </w:r>
          </w:p>
        </w:tc>
        <w:tc>
          <w:tcPr>
            <w:tcW w:w="1220" w:type="dxa"/>
            <w:vAlign w:val="bottom"/>
          </w:tcPr>
          <w:p>
            <w:pPr>
              <w:spacing w:after="0"/>
              <w:rPr>
                <w:sz w:val="17"/>
                <w:szCs w:val="17"/>
                <w:color w:val="auto"/>
              </w:rPr>
            </w:pPr>
          </w:p>
        </w:tc>
      </w:tr>
      <w:tr>
        <w:trPr>
          <w:trHeight w:val="225"/>
        </w:trPr>
        <w:tc>
          <w:tcPr>
            <w:tcW w:w="76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2"/>
          </w:tcPr>
          <w:p>
            <w:pPr>
              <w:jc w:val="center"/>
              <w:ind w:left="464"/>
              <w:spacing w:after="0"/>
              <w:rPr>
                <w:sz w:val="20"/>
                <w:szCs w:val="20"/>
                <w:color w:val="auto"/>
              </w:rPr>
            </w:pPr>
            <w:r>
              <w:rPr>
                <w:rFonts w:ascii="Arial" w:cs="Arial" w:eastAsia="Arial" w:hAnsi="Arial"/>
                <w:sz w:val="14"/>
                <w:szCs w:val="14"/>
                <w:b w:val="1"/>
                <w:bCs w:val="1"/>
                <w:color w:val="auto"/>
              </w:rPr>
              <w:t>March 31</w:t>
            </w:r>
          </w:p>
        </w:tc>
        <w:tc>
          <w:tcPr>
            <w:tcW w:w="800" w:type="dxa"/>
            <w:vAlign w:val="bottom"/>
            <w:tcBorders>
              <w:bottom w:val="single" w:sz="8" w:color="auto"/>
            </w:tcBorders>
          </w:tcPr>
          <w:p>
            <w:pPr>
              <w:spacing w:after="0"/>
              <w:rPr>
                <w:sz w:val="19"/>
                <w:szCs w:val="19"/>
                <w:color w:val="auto"/>
              </w:rPr>
            </w:pPr>
          </w:p>
        </w:tc>
        <w:tc>
          <w:tcPr>
            <w:tcW w:w="1220" w:type="dxa"/>
            <w:vAlign w:val="bottom"/>
          </w:tcPr>
          <w:p>
            <w:pPr>
              <w:spacing w:after="0"/>
              <w:rPr>
                <w:sz w:val="19"/>
                <w:szCs w:val="19"/>
                <w:color w:val="auto"/>
              </w:rPr>
            </w:pPr>
          </w:p>
        </w:tc>
      </w:tr>
      <w:tr>
        <w:trPr>
          <w:trHeight w:val="209"/>
        </w:trPr>
        <w:tc>
          <w:tcPr>
            <w:tcW w:w="76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64"/>
              <w:spacing w:after="0"/>
              <w:rPr>
                <w:sz w:val="20"/>
                <w:szCs w:val="20"/>
                <w:color w:val="auto"/>
              </w:rPr>
            </w:pPr>
            <w:r>
              <w:rPr>
                <w:rFonts w:ascii="Arial" w:cs="Arial" w:eastAsia="Arial" w:hAnsi="Arial"/>
                <w:sz w:val="14"/>
                <w:szCs w:val="14"/>
                <w:b w:val="1"/>
                <w:bCs w:val="1"/>
                <w:color w:val="auto"/>
              </w:rPr>
              <w:t>2025</w:t>
            </w:r>
          </w:p>
        </w:tc>
        <w:tc>
          <w:tcPr>
            <w:tcW w:w="4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22"/>
              <w:spacing w:after="0"/>
              <w:rPr>
                <w:sz w:val="20"/>
                <w:szCs w:val="20"/>
                <w:color w:val="auto"/>
              </w:rPr>
            </w:pPr>
            <w:r>
              <w:rPr>
                <w:rFonts w:ascii="Arial" w:cs="Arial" w:eastAsia="Arial" w:hAnsi="Arial"/>
                <w:sz w:val="14"/>
                <w:szCs w:val="14"/>
                <w:color w:val="auto"/>
              </w:rPr>
              <w:t>2024</w:t>
            </w:r>
          </w:p>
        </w:tc>
        <w:tc>
          <w:tcPr>
            <w:tcW w:w="1220" w:type="dxa"/>
            <w:vAlign w:val="bottom"/>
            <w:tcBorders>
              <w:bottom w:val="single" w:sz="8" w:color="auto"/>
            </w:tcBorders>
          </w:tcPr>
          <w:p>
            <w:pPr>
              <w:jc w:val="right"/>
              <w:ind w:right="142"/>
              <w:spacing w:after="0"/>
              <w:rPr>
                <w:sz w:val="20"/>
                <w:szCs w:val="20"/>
                <w:color w:val="auto"/>
              </w:rPr>
            </w:pPr>
            <w:r>
              <w:rPr>
                <w:rFonts w:ascii="Arial" w:cs="Arial" w:eastAsia="Arial" w:hAnsi="Arial"/>
                <w:sz w:val="14"/>
                <w:szCs w:val="14"/>
                <w:color w:val="auto"/>
              </w:rPr>
              <w:t>% Change</w:t>
            </w:r>
          </w:p>
        </w:tc>
      </w:tr>
      <w:tr>
        <w:trPr>
          <w:trHeight w:val="223"/>
        </w:trPr>
        <w:tc>
          <w:tcPr>
            <w:tcW w:w="7640" w:type="dxa"/>
            <w:vAlign w:val="bottom"/>
          </w:tcPr>
          <w:p>
            <w:pPr>
              <w:ind w:left="20"/>
              <w:spacing w:after="0"/>
              <w:rPr>
                <w:sz w:val="20"/>
                <w:szCs w:val="20"/>
                <w:color w:val="auto"/>
              </w:rPr>
            </w:pPr>
            <w:r>
              <w:rPr>
                <w:rFonts w:ascii="Arial" w:cs="Arial" w:eastAsia="Arial" w:hAnsi="Arial"/>
                <w:sz w:val="16"/>
                <w:szCs w:val="16"/>
                <w:color w:val="auto"/>
              </w:rPr>
              <w:t>Revenue</w:t>
            </w: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ind w:right="24"/>
              <w:spacing w:after="0"/>
              <w:rPr>
                <w:sz w:val="20"/>
                <w:szCs w:val="20"/>
                <w:color w:val="auto"/>
              </w:rPr>
            </w:pPr>
            <w:r>
              <w:rPr>
                <w:rFonts w:ascii="Arial" w:cs="Arial" w:eastAsia="Arial" w:hAnsi="Arial"/>
                <w:sz w:val="16"/>
                <w:szCs w:val="16"/>
                <w:b w:val="1"/>
                <w:bCs w:val="1"/>
                <w:color w:val="auto"/>
              </w:rPr>
              <w:t>173,741</w:t>
            </w:r>
          </w:p>
        </w:tc>
        <w:tc>
          <w:tcPr>
            <w:tcW w:w="4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128,201</w:t>
            </w:r>
          </w:p>
        </w:tc>
        <w:tc>
          <w:tcPr>
            <w:tcW w:w="1220" w:type="dxa"/>
            <w:vAlign w:val="bottom"/>
          </w:tcPr>
          <w:p>
            <w:pPr>
              <w:jc w:val="right"/>
              <w:ind w:right="2"/>
              <w:spacing w:after="0"/>
              <w:rPr>
                <w:sz w:val="20"/>
                <w:szCs w:val="20"/>
                <w:color w:val="auto"/>
              </w:rPr>
            </w:pPr>
            <w:r>
              <w:rPr>
                <w:rFonts w:ascii="Arial" w:cs="Arial" w:eastAsia="Arial" w:hAnsi="Arial"/>
                <w:sz w:val="16"/>
                <w:szCs w:val="16"/>
                <w:color w:val="auto"/>
              </w:rPr>
              <w:t>36</w:t>
            </w:r>
          </w:p>
        </w:tc>
      </w:tr>
      <w:tr>
        <w:trPr>
          <w:trHeight w:val="229"/>
        </w:trPr>
        <w:tc>
          <w:tcPr>
            <w:tcW w:w="7640" w:type="dxa"/>
            <w:vAlign w:val="bottom"/>
          </w:tcPr>
          <w:p>
            <w:pPr>
              <w:ind w:left="20"/>
              <w:spacing w:after="0"/>
              <w:rPr>
                <w:sz w:val="20"/>
                <w:szCs w:val="20"/>
                <w:color w:val="auto"/>
              </w:rPr>
            </w:pPr>
            <w:r>
              <w:rPr>
                <w:rFonts w:ascii="Arial" w:cs="Arial" w:eastAsia="Arial" w:hAnsi="Arial"/>
                <w:sz w:val="16"/>
                <w:szCs w:val="16"/>
                <w:color w:val="auto"/>
              </w:rPr>
              <w:t>Operating Income</w:t>
            </w:r>
          </w:p>
        </w:tc>
        <w:tc>
          <w:tcPr>
            <w:tcW w:w="260" w:type="dxa"/>
            <w:vAlign w:val="bottom"/>
          </w:tcPr>
          <w:p>
            <w:pPr>
              <w:spacing w:after="0"/>
              <w:rPr>
                <w:sz w:val="19"/>
                <w:szCs w:val="19"/>
                <w:color w:val="auto"/>
              </w:rPr>
            </w:pPr>
          </w:p>
        </w:tc>
        <w:tc>
          <w:tcPr>
            <w:tcW w:w="920" w:type="dxa"/>
            <w:vAlign w:val="bottom"/>
          </w:tcPr>
          <w:p>
            <w:pPr>
              <w:jc w:val="right"/>
              <w:ind w:right="24"/>
              <w:spacing w:after="0"/>
              <w:rPr>
                <w:sz w:val="20"/>
                <w:szCs w:val="20"/>
                <w:color w:val="auto"/>
              </w:rPr>
            </w:pPr>
            <w:r>
              <w:rPr>
                <w:rFonts w:ascii="Arial" w:cs="Arial" w:eastAsia="Arial" w:hAnsi="Arial"/>
                <w:sz w:val="16"/>
                <w:szCs w:val="16"/>
                <w:b w:val="1"/>
                <w:bCs w:val="1"/>
                <w:color w:val="auto"/>
              </w:rPr>
              <w:t>18,317</w:t>
            </w:r>
          </w:p>
        </w:tc>
        <w:tc>
          <w:tcPr>
            <w:tcW w:w="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6,091</w:t>
            </w:r>
          </w:p>
        </w:tc>
        <w:tc>
          <w:tcPr>
            <w:tcW w:w="1220" w:type="dxa"/>
            <w:vAlign w:val="bottom"/>
          </w:tcPr>
          <w:p>
            <w:pPr>
              <w:jc w:val="right"/>
              <w:ind w:right="2"/>
              <w:spacing w:after="0"/>
              <w:rPr>
                <w:sz w:val="20"/>
                <w:szCs w:val="20"/>
                <w:color w:val="auto"/>
              </w:rPr>
            </w:pPr>
            <w:r>
              <w:rPr>
                <w:rFonts w:ascii="Arial" w:cs="Arial" w:eastAsia="Arial" w:hAnsi="Arial"/>
                <w:sz w:val="16"/>
                <w:szCs w:val="16"/>
                <w:color w:val="auto"/>
              </w:rPr>
              <w:t>—</w:t>
            </w:r>
          </w:p>
        </w:tc>
      </w:tr>
    </w:tbl>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Graham Healthcare Group (GHG) provides home health and hospice services in seven states. GHG also provides nursing care and</w:t>
      </w:r>
    </w:p>
    <w:p>
      <w:pPr>
        <w:spacing w:after="0" w:line="14" w:lineRule="exact"/>
        <w:rPr>
          <w:sz w:val="20"/>
          <w:szCs w:val="20"/>
          <w:color w:val="auto"/>
        </w:rPr>
      </w:pPr>
    </w:p>
    <w:p>
      <w:pPr>
        <w:ind w:right="220"/>
        <w:spacing w:after="0"/>
        <w:rPr>
          <w:sz w:val="20"/>
          <w:szCs w:val="20"/>
          <w:color w:val="auto"/>
        </w:rPr>
      </w:pPr>
      <w:r>
        <w:rPr>
          <w:rFonts w:ascii="Arial" w:cs="Arial" w:eastAsia="Arial" w:hAnsi="Arial"/>
          <w:sz w:val="17"/>
          <w:szCs w:val="17"/>
          <w:color w:val="auto"/>
        </w:rPr>
        <w:t>prescription services for patients receiving in-home infusion treatments through its 87.5% interest in CSI Pharmacy Holding Company, LLC (CSI), and other healthcare services through Clarus (provides call management SaaS-based solution for physician groups and hospitals),</w:t>
      </w:r>
    </w:p>
    <w:p>
      <w:pPr>
        <w:spacing w:after="0" w:line="235" w:lineRule="auto"/>
        <w:rPr>
          <w:sz w:val="20"/>
          <w:szCs w:val="20"/>
          <w:color w:val="auto"/>
        </w:rPr>
      </w:pPr>
      <w:r>
        <w:rPr>
          <w:rFonts w:ascii="Arial" w:cs="Arial" w:eastAsia="Arial" w:hAnsi="Arial"/>
          <w:sz w:val="18"/>
          <w:szCs w:val="18"/>
          <w:color w:val="auto"/>
        </w:rPr>
        <w:t>Impact Medical (an Allergy, Asthma and Immunology physician practice), Skin Clique (a concierge provider of aesthetics products and</w:t>
      </w:r>
    </w:p>
    <w:p>
      <w:pPr>
        <w:ind w:right="240"/>
        <w:spacing w:after="0"/>
        <w:rPr>
          <w:sz w:val="20"/>
          <w:szCs w:val="20"/>
          <w:color w:val="auto"/>
        </w:rPr>
      </w:pPr>
      <w:r>
        <w:rPr>
          <w:rFonts w:ascii="Arial" w:cs="Arial" w:eastAsia="Arial" w:hAnsi="Arial"/>
          <w:sz w:val="17"/>
          <w:szCs w:val="17"/>
          <w:color w:val="auto"/>
        </w:rPr>
        <w:t>services) and Surpass Behavioral Health (provides therapy for autism patients). Healthcare revenues increased 36% and operating results were up substantially in the first quarter of 2025, largely due to significant growth at CSI from an expansion of infusion treatment offerings</w:t>
      </w:r>
    </w:p>
    <w:p>
      <w:pPr>
        <w:spacing w:after="0" w:line="235" w:lineRule="auto"/>
        <w:rPr>
          <w:sz w:val="20"/>
          <w:szCs w:val="20"/>
          <w:color w:val="auto"/>
        </w:rPr>
      </w:pPr>
      <w:r>
        <w:rPr>
          <w:rFonts w:ascii="Arial" w:cs="Arial" w:eastAsia="Arial" w:hAnsi="Arial"/>
          <w:sz w:val="18"/>
          <w:szCs w:val="18"/>
          <w:color w:val="auto"/>
        </w:rPr>
        <w:t>and patient service areas, and growth in home health and hospice services and at the other healthcare businesses; operating results also</w:t>
      </w:r>
    </w:p>
    <w:p>
      <w:pPr>
        <w:ind w:right="300"/>
        <w:spacing w:after="0"/>
        <w:rPr>
          <w:sz w:val="20"/>
          <w:szCs w:val="20"/>
          <w:color w:val="auto"/>
        </w:rPr>
      </w:pPr>
      <w:r>
        <w:rPr>
          <w:rFonts w:ascii="Arial" w:cs="Arial" w:eastAsia="Arial" w:hAnsi="Arial"/>
          <w:sz w:val="17"/>
          <w:szCs w:val="17"/>
          <w:color w:val="auto"/>
        </w:rPr>
        <w:t>benefited from a reduction in pension expense. In January 2022, GHG implemented a pension credit retention program offering a pension credit up to $50,000 per employee, cliff vested after three years of continuous employment for certain existing employees and new</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employees. Effective April 1, 2024, this program is no longer being offered to new employees.</w:t>
      </w:r>
    </w:p>
    <w:p>
      <w:pPr>
        <w:spacing w:after="0" w:line="140" w:lineRule="exact"/>
        <w:rPr>
          <w:sz w:val="20"/>
          <w:szCs w:val="20"/>
          <w:color w:val="auto"/>
        </w:rPr>
      </w:pPr>
    </w:p>
    <w:p>
      <w:pPr>
        <w:ind w:right="140"/>
        <w:spacing w:after="0" w:line="237" w:lineRule="auto"/>
        <w:rPr>
          <w:sz w:val="20"/>
          <w:szCs w:val="20"/>
          <w:color w:val="auto"/>
        </w:rPr>
      </w:pPr>
      <w:r>
        <w:rPr>
          <w:rFonts w:ascii="Arial" w:cs="Arial" w:eastAsia="Arial" w:hAnsi="Arial"/>
          <w:sz w:val="18"/>
          <w:szCs w:val="18"/>
          <w:color w:val="auto"/>
        </w:rPr>
        <w:t>The Company also holds interests in four home health and hospice joint ventures managed by GHG, whose results are included in equity in earnings of affiliates in the Company’s Condensed Consolidated Statements of Operations. The Company recorded equity in earnings of</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$3.2 million and $3.4 million for the first quarter of 2025 and 2024, respectively, from these joint ventures.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Automotive</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A summary of automotive’s operating results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120" w:type="dxa"/>
            <w:vAlign w:val="bottom"/>
            <w:gridSpan w:val="3"/>
          </w:tcPr>
          <w:p>
            <w:pPr>
              <w:jc w:val="center"/>
              <w:ind w:right="182"/>
              <w:spacing w:after="0"/>
              <w:rPr>
                <w:sz w:val="20"/>
                <w:szCs w:val="20"/>
                <w:color w:val="auto"/>
              </w:rPr>
            </w:pPr>
            <w:r>
              <w:rPr>
                <w:rFonts w:ascii="Arial" w:cs="Arial" w:eastAsia="Arial" w:hAnsi="Arial"/>
                <w:sz w:val="14"/>
                <w:szCs w:val="14"/>
                <w:b w:val="1"/>
                <w:bCs w:val="1"/>
                <w:color w:val="auto"/>
              </w:rPr>
              <w:t>Three Months Ended</w:t>
            </w:r>
          </w:p>
        </w:tc>
        <w:tc>
          <w:tcPr>
            <w:tcW w:w="1220" w:type="dxa"/>
            <w:vAlign w:val="bottom"/>
          </w:tcPr>
          <w:p>
            <w:pPr>
              <w:spacing w:after="0"/>
              <w:rPr>
                <w:sz w:val="17"/>
                <w:szCs w:val="17"/>
                <w:color w:val="auto"/>
              </w:rPr>
            </w:pPr>
          </w:p>
        </w:tc>
      </w:tr>
      <w:tr>
        <w:trPr>
          <w:trHeight w:val="225"/>
        </w:trPr>
        <w:tc>
          <w:tcPr>
            <w:tcW w:w="76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2"/>
          </w:tcPr>
          <w:p>
            <w:pPr>
              <w:jc w:val="center"/>
              <w:ind w:left="464"/>
              <w:spacing w:after="0"/>
              <w:rPr>
                <w:sz w:val="20"/>
                <w:szCs w:val="20"/>
                <w:color w:val="auto"/>
              </w:rPr>
            </w:pPr>
            <w:r>
              <w:rPr>
                <w:rFonts w:ascii="Arial" w:cs="Arial" w:eastAsia="Arial" w:hAnsi="Arial"/>
                <w:sz w:val="14"/>
                <w:szCs w:val="14"/>
                <w:b w:val="1"/>
                <w:bCs w:val="1"/>
                <w:color w:val="auto"/>
              </w:rPr>
              <w:t>March 31</w:t>
            </w:r>
          </w:p>
        </w:tc>
        <w:tc>
          <w:tcPr>
            <w:tcW w:w="800" w:type="dxa"/>
            <w:vAlign w:val="bottom"/>
            <w:tcBorders>
              <w:bottom w:val="single" w:sz="8" w:color="auto"/>
            </w:tcBorders>
          </w:tcPr>
          <w:p>
            <w:pPr>
              <w:spacing w:after="0"/>
              <w:rPr>
                <w:sz w:val="19"/>
                <w:szCs w:val="19"/>
                <w:color w:val="auto"/>
              </w:rPr>
            </w:pPr>
          </w:p>
        </w:tc>
        <w:tc>
          <w:tcPr>
            <w:tcW w:w="1220" w:type="dxa"/>
            <w:vAlign w:val="bottom"/>
          </w:tcPr>
          <w:p>
            <w:pPr>
              <w:spacing w:after="0"/>
              <w:rPr>
                <w:sz w:val="19"/>
                <w:szCs w:val="19"/>
                <w:color w:val="auto"/>
              </w:rPr>
            </w:pPr>
          </w:p>
        </w:tc>
      </w:tr>
      <w:tr>
        <w:trPr>
          <w:trHeight w:val="209"/>
        </w:trPr>
        <w:tc>
          <w:tcPr>
            <w:tcW w:w="76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64"/>
              <w:spacing w:after="0"/>
              <w:rPr>
                <w:sz w:val="20"/>
                <w:szCs w:val="20"/>
                <w:color w:val="auto"/>
              </w:rPr>
            </w:pPr>
            <w:r>
              <w:rPr>
                <w:rFonts w:ascii="Arial" w:cs="Arial" w:eastAsia="Arial" w:hAnsi="Arial"/>
                <w:sz w:val="14"/>
                <w:szCs w:val="14"/>
                <w:b w:val="1"/>
                <w:bCs w:val="1"/>
                <w:color w:val="auto"/>
              </w:rPr>
              <w:t>2025</w:t>
            </w:r>
          </w:p>
        </w:tc>
        <w:tc>
          <w:tcPr>
            <w:tcW w:w="4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22"/>
              <w:spacing w:after="0"/>
              <w:rPr>
                <w:sz w:val="20"/>
                <w:szCs w:val="20"/>
                <w:color w:val="auto"/>
              </w:rPr>
            </w:pPr>
            <w:r>
              <w:rPr>
                <w:rFonts w:ascii="Arial" w:cs="Arial" w:eastAsia="Arial" w:hAnsi="Arial"/>
                <w:sz w:val="14"/>
                <w:szCs w:val="14"/>
                <w:color w:val="auto"/>
              </w:rPr>
              <w:t>2024</w:t>
            </w:r>
          </w:p>
        </w:tc>
        <w:tc>
          <w:tcPr>
            <w:tcW w:w="1220" w:type="dxa"/>
            <w:vAlign w:val="bottom"/>
            <w:tcBorders>
              <w:bottom w:val="single" w:sz="8" w:color="auto"/>
            </w:tcBorders>
          </w:tcPr>
          <w:p>
            <w:pPr>
              <w:jc w:val="right"/>
              <w:ind w:right="142"/>
              <w:spacing w:after="0"/>
              <w:rPr>
                <w:sz w:val="20"/>
                <w:szCs w:val="20"/>
                <w:color w:val="auto"/>
              </w:rPr>
            </w:pPr>
            <w:r>
              <w:rPr>
                <w:rFonts w:ascii="Arial" w:cs="Arial" w:eastAsia="Arial" w:hAnsi="Arial"/>
                <w:sz w:val="14"/>
                <w:szCs w:val="14"/>
                <w:color w:val="auto"/>
              </w:rPr>
              <w:t>% Change</w:t>
            </w:r>
          </w:p>
        </w:tc>
      </w:tr>
      <w:tr>
        <w:trPr>
          <w:trHeight w:val="223"/>
        </w:trPr>
        <w:tc>
          <w:tcPr>
            <w:tcW w:w="7640" w:type="dxa"/>
            <w:vAlign w:val="bottom"/>
          </w:tcPr>
          <w:p>
            <w:pPr>
              <w:ind w:left="20"/>
              <w:spacing w:after="0"/>
              <w:rPr>
                <w:sz w:val="20"/>
                <w:szCs w:val="20"/>
                <w:color w:val="auto"/>
              </w:rPr>
            </w:pPr>
            <w:r>
              <w:rPr>
                <w:rFonts w:ascii="Arial" w:cs="Arial" w:eastAsia="Arial" w:hAnsi="Arial"/>
                <w:sz w:val="16"/>
                <w:szCs w:val="16"/>
                <w:color w:val="auto"/>
              </w:rPr>
              <w:t>Revenue</w:t>
            </w: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ind w:right="24"/>
              <w:spacing w:after="0"/>
              <w:rPr>
                <w:sz w:val="20"/>
                <w:szCs w:val="20"/>
                <w:color w:val="auto"/>
              </w:rPr>
            </w:pPr>
            <w:r>
              <w:rPr>
                <w:rFonts w:ascii="Arial" w:cs="Arial" w:eastAsia="Arial" w:hAnsi="Arial"/>
                <w:sz w:val="16"/>
                <w:szCs w:val="16"/>
                <w:b w:val="1"/>
                <w:bCs w:val="1"/>
                <w:color w:val="auto"/>
              </w:rPr>
              <w:t>280,991</w:t>
            </w:r>
          </w:p>
        </w:tc>
        <w:tc>
          <w:tcPr>
            <w:tcW w:w="4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303,840</w:t>
            </w:r>
          </w:p>
        </w:tc>
        <w:tc>
          <w:tcPr>
            <w:tcW w:w="1220" w:type="dxa"/>
            <w:vAlign w:val="bottom"/>
          </w:tcPr>
          <w:p>
            <w:pPr>
              <w:jc w:val="right"/>
              <w:spacing w:after="0"/>
              <w:rPr>
                <w:sz w:val="20"/>
                <w:szCs w:val="20"/>
                <w:color w:val="auto"/>
              </w:rPr>
            </w:pPr>
            <w:r>
              <w:rPr>
                <w:rFonts w:ascii="Arial" w:cs="Arial" w:eastAsia="Arial" w:hAnsi="Arial"/>
                <w:sz w:val="16"/>
                <w:szCs w:val="16"/>
                <w:color w:val="auto"/>
              </w:rPr>
              <w:t>(8)</w:t>
            </w:r>
          </w:p>
        </w:tc>
      </w:tr>
      <w:tr>
        <w:trPr>
          <w:trHeight w:val="229"/>
        </w:trPr>
        <w:tc>
          <w:tcPr>
            <w:tcW w:w="7640" w:type="dxa"/>
            <w:vAlign w:val="bottom"/>
          </w:tcPr>
          <w:p>
            <w:pPr>
              <w:ind w:left="20"/>
              <w:spacing w:after="0"/>
              <w:rPr>
                <w:sz w:val="20"/>
                <w:szCs w:val="20"/>
                <w:color w:val="auto"/>
              </w:rPr>
            </w:pPr>
            <w:r>
              <w:rPr>
                <w:rFonts w:ascii="Arial" w:cs="Arial" w:eastAsia="Arial" w:hAnsi="Arial"/>
                <w:sz w:val="16"/>
                <w:szCs w:val="16"/>
                <w:color w:val="auto"/>
              </w:rPr>
              <w:t>Operating Income</w:t>
            </w:r>
          </w:p>
        </w:tc>
        <w:tc>
          <w:tcPr>
            <w:tcW w:w="260" w:type="dxa"/>
            <w:vAlign w:val="bottom"/>
          </w:tcPr>
          <w:p>
            <w:pPr>
              <w:spacing w:after="0"/>
              <w:rPr>
                <w:sz w:val="19"/>
                <w:szCs w:val="19"/>
                <w:color w:val="auto"/>
              </w:rPr>
            </w:pPr>
          </w:p>
        </w:tc>
        <w:tc>
          <w:tcPr>
            <w:tcW w:w="920" w:type="dxa"/>
            <w:vAlign w:val="bottom"/>
          </w:tcPr>
          <w:p>
            <w:pPr>
              <w:jc w:val="right"/>
              <w:ind w:right="24"/>
              <w:spacing w:after="0"/>
              <w:rPr>
                <w:sz w:val="20"/>
                <w:szCs w:val="20"/>
                <w:color w:val="auto"/>
              </w:rPr>
            </w:pPr>
            <w:r>
              <w:rPr>
                <w:rFonts w:ascii="Arial" w:cs="Arial" w:eastAsia="Arial" w:hAnsi="Arial"/>
                <w:sz w:val="16"/>
                <w:szCs w:val="16"/>
                <w:b w:val="1"/>
                <w:bCs w:val="1"/>
                <w:color w:val="auto"/>
              </w:rPr>
              <w:t>6,492</w:t>
            </w:r>
          </w:p>
        </w:tc>
        <w:tc>
          <w:tcPr>
            <w:tcW w:w="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9,652</w:t>
            </w:r>
          </w:p>
        </w:tc>
        <w:tc>
          <w:tcPr>
            <w:tcW w:w="1220" w:type="dxa"/>
            <w:vAlign w:val="bottom"/>
          </w:tcPr>
          <w:p>
            <w:pPr>
              <w:jc w:val="right"/>
              <w:spacing w:after="0"/>
              <w:rPr>
                <w:sz w:val="20"/>
                <w:szCs w:val="20"/>
                <w:color w:val="auto"/>
              </w:rPr>
            </w:pPr>
            <w:r>
              <w:rPr>
                <w:rFonts w:ascii="Arial" w:cs="Arial" w:eastAsia="Arial" w:hAnsi="Arial"/>
                <w:sz w:val="16"/>
                <w:szCs w:val="16"/>
                <w:color w:val="auto"/>
              </w:rPr>
              <w:t>(33)</w:t>
            </w:r>
          </w:p>
        </w:tc>
      </w:tr>
    </w:tbl>
    <w:p>
      <w:pPr>
        <w:spacing w:after="0" w:line="232"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Automotive includes eight automotive dealerships in the Washington, DC metropolitan area and Richmond, VA: Ourisman Lexus of Rockville, Ourisman Honda of Tysons Corner, Ourisman Jeep of Bethesda, Ourisman Ford of</w:t>
      </w:r>
    </w:p>
    <w:p>
      <w:pPr>
        <w:sectPr>
          <w:pgSz w:w="11900" w:h="16838" w:orient="portrait"/>
          <w:cols w:equalWidth="0" w:num="1">
            <w:col w:w="11240"/>
          </w:cols>
          <w:pgMar w:left="320" w:top="931" w:right="339" w:bottom="1440" w:gutter="0" w:footer="0" w:header="0"/>
        </w:sect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183515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type w:val="continuous"/>
        </w:sectPr>
      </w:pPr>
    </w:p>
    <w:bookmarkStart w:id="27" w:name="page28"/>
    <w:bookmarkEnd w:id="27"/>
    <w:p>
      <w:pPr>
        <w:spacing w:after="0"/>
        <w:rPr>
          <w:sz w:val="20"/>
          <w:szCs w:val="20"/>
          <w:color w:val="auto"/>
        </w:rPr>
      </w:pPr>
      <w:r>
        <w:rPr>
          <w:rFonts w:ascii="Arial" w:cs="Arial" w:eastAsia="Arial" w:hAnsi="Arial"/>
          <w:sz w:val="18"/>
          <w:szCs w:val="18"/>
          <w:color w:val="auto"/>
        </w:rPr>
        <w:t>Manassas, Toyota of Woodbridge, Ourisman Chrysler-Dodge-Jeep-Ram (CDJR) of Woodbridge, Ourisman Toyota of Richmond and</w:t>
      </w:r>
    </w:p>
    <w:p>
      <w:pPr>
        <w:spacing w:after="0" w:line="14" w:lineRule="exact"/>
        <w:rPr>
          <w:sz w:val="20"/>
          <w:szCs w:val="20"/>
          <w:color w:val="auto"/>
        </w:rPr>
      </w:pPr>
    </w:p>
    <w:p>
      <w:pPr>
        <w:ind w:right="320"/>
        <w:spacing w:after="0" w:line="237" w:lineRule="auto"/>
        <w:rPr>
          <w:sz w:val="20"/>
          <w:szCs w:val="20"/>
          <w:color w:val="auto"/>
        </w:rPr>
      </w:pPr>
      <w:r>
        <w:rPr>
          <w:rFonts w:ascii="Arial" w:cs="Arial" w:eastAsia="Arial" w:hAnsi="Arial"/>
          <w:sz w:val="18"/>
          <w:szCs w:val="18"/>
          <w:color w:val="auto"/>
        </w:rPr>
        <w:t>Ourisman Kia of Bethesda. Christopher J. Ourisman, a member of the Ourisman Automotive Group family of dealerships, and his team of industry professionals operate and manage the dealerships; the Company holds a 90% stake.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Revenues for the first quarter of 2025 decreased 8% due largely to declines in new and used vehicle sales and a decline in sales of finance</w:t>
      </w:r>
    </w:p>
    <w:p>
      <w:pPr>
        <w:spacing w:after="0" w:line="14" w:lineRule="exact"/>
        <w:rPr>
          <w:sz w:val="20"/>
          <w:szCs w:val="20"/>
          <w:color w:val="auto"/>
        </w:rPr>
      </w:pPr>
    </w:p>
    <w:p>
      <w:pPr>
        <w:ind w:right="360"/>
        <w:spacing w:after="0"/>
        <w:rPr>
          <w:sz w:val="20"/>
          <w:szCs w:val="20"/>
          <w:color w:val="auto"/>
        </w:rPr>
      </w:pPr>
      <w:r>
        <w:rPr>
          <w:rFonts w:ascii="Arial" w:cs="Arial" w:eastAsia="Arial" w:hAnsi="Arial"/>
          <w:sz w:val="17"/>
          <w:szCs w:val="17"/>
          <w:color w:val="auto"/>
        </w:rPr>
        <w:t>and insurance product offerings, partially offset by sales growth for services and parts. Operating results decreased for the first quarter of 2025 due largely to lower overall sales and gross margins on new vehicles, a decline in finance and insurance product sales, and lower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overall gross profit on used vehicles; partially offset by higher overall gross profit on services and parts.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Businesses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A summary of revenue by category for other businesses: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120" w:type="dxa"/>
            <w:vAlign w:val="bottom"/>
            <w:gridSpan w:val="3"/>
          </w:tcPr>
          <w:p>
            <w:pPr>
              <w:jc w:val="right"/>
              <w:ind w:right="401"/>
              <w:spacing w:after="0"/>
              <w:rPr>
                <w:sz w:val="20"/>
                <w:szCs w:val="20"/>
                <w:color w:val="auto"/>
              </w:rPr>
            </w:pPr>
            <w:r>
              <w:rPr>
                <w:rFonts w:ascii="Arial" w:cs="Arial" w:eastAsia="Arial" w:hAnsi="Arial"/>
                <w:sz w:val="14"/>
                <w:szCs w:val="14"/>
                <w:b w:val="1"/>
                <w:bCs w:val="1"/>
                <w:color w:val="auto"/>
              </w:rPr>
              <w:t>Three Months Ended</w:t>
            </w:r>
          </w:p>
        </w:tc>
        <w:tc>
          <w:tcPr>
            <w:tcW w:w="1220" w:type="dxa"/>
            <w:vAlign w:val="bottom"/>
          </w:tcPr>
          <w:p>
            <w:pPr>
              <w:spacing w:after="0"/>
              <w:rPr>
                <w:sz w:val="17"/>
                <w:szCs w:val="17"/>
                <w:color w:val="auto"/>
              </w:rPr>
            </w:pPr>
          </w:p>
        </w:tc>
      </w:tr>
      <w:tr>
        <w:trPr>
          <w:trHeight w:val="225"/>
        </w:trPr>
        <w:tc>
          <w:tcPr>
            <w:tcW w:w="76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March 31</w:t>
            </w:r>
          </w:p>
        </w:tc>
        <w:tc>
          <w:tcPr>
            <w:tcW w:w="800" w:type="dxa"/>
            <w:vAlign w:val="bottom"/>
            <w:tcBorders>
              <w:bottom w:val="single" w:sz="8" w:color="auto"/>
            </w:tcBorders>
          </w:tcPr>
          <w:p>
            <w:pPr>
              <w:spacing w:after="0"/>
              <w:rPr>
                <w:sz w:val="19"/>
                <w:szCs w:val="19"/>
                <w:color w:val="auto"/>
              </w:rPr>
            </w:pPr>
          </w:p>
        </w:tc>
        <w:tc>
          <w:tcPr>
            <w:tcW w:w="1220" w:type="dxa"/>
            <w:vAlign w:val="bottom"/>
          </w:tcPr>
          <w:p>
            <w:pPr>
              <w:jc w:val="right"/>
              <w:ind w:right="402"/>
              <w:spacing w:after="0"/>
              <w:rPr>
                <w:sz w:val="20"/>
                <w:szCs w:val="20"/>
                <w:color w:val="auto"/>
              </w:rPr>
            </w:pPr>
            <w:r>
              <w:rPr>
                <w:rFonts w:ascii="Arial" w:cs="Arial" w:eastAsia="Arial" w:hAnsi="Arial"/>
                <w:sz w:val="14"/>
                <w:szCs w:val="14"/>
                <w:color w:val="auto"/>
              </w:rPr>
              <w:t>%</w:t>
            </w:r>
          </w:p>
        </w:tc>
      </w:tr>
      <w:tr>
        <w:trPr>
          <w:trHeight w:val="209"/>
        </w:trPr>
        <w:tc>
          <w:tcPr>
            <w:tcW w:w="76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63"/>
              <w:spacing w:after="0"/>
              <w:rPr>
                <w:sz w:val="20"/>
                <w:szCs w:val="20"/>
                <w:color w:val="auto"/>
              </w:rPr>
            </w:pPr>
            <w:r>
              <w:rPr>
                <w:rFonts w:ascii="Arial" w:cs="Arial" w:eastAsia="Arial" w:hAnsi="Arial"/>
                <w:sz w:val="14"/>
                <w:szCs w:val="14"/>
                <w:b w:val="1"/>
                <w:bCs w:val="1"/>
                <w:color w:val="auto"/>
              </w:rPr>
              <w:t>2025</w:t>
            </w:r>
          </w:p>
        </w:tc>
        <w:tc>
          <w:tcPr>
            <w:tcW w:w="4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21"/>
              <w:spacing w:after="0"/>
              <w:rPr>
                <w:sz w:val="20"/>
                <w:szCs w:val="20"/>
                <w:color w:val="auto"/>
              </w:rPr>
            </w:pPr>
            <w:r>
              <w:rPr>
                <w:rFonts w:ascii="Arial" w:cs="Arial" w:eastAsia="Arial" w:hAnsi="Arial"/>
                <w:sz w:val="14"/>
                <w:szCs w:val="14"/>
                <w:color w:val="auto"/>
              </w:rPr>
              <w:t>2024</w:t>
            </w:r>
          </w:p>
        </w:tc>
        <w:tc>
          <w:tcPr>
            <w:tcW w:w="1220" w:type="dxa"/>
            <w:vAlign w:val="bottom"/>
            <w:tcBorders>
              <w:bottom w:val="single" w:sz="8" w:color="auto"/>
            </w:tcBorders>
          </w:tcPr>
          <w:p>
            <w:pPr>
              <w:jc w:val="right"/>
              <w:ind w:right="222"/>
              <w:spacing w:after="0"/>
              <w:rPr>
                <w:sz w:val="20"/>
                <w:szCs w:val="20"/>
                <w:color w:val="auto"/>
              </w:rPr>
            </w:pPr>
            <w:r>
              <w:rPr>
                <w:rFonts w:ascii="Arial" w:cs="Arial" w:eastAsia="Arial" w:hAnsi="Arial"/>
                <w:sz w:val="14"/>
                <w:szCs w:val="14"/>
                <w:color w:val="auto"/>
              </w:rPr>
              <w:t>Change</w:t>
            </w:r>
          </w:p>
        </w:tc>
      </w:tr>
      <w:tr>
        <w:trPr>
          <w:trHeight w:val="223"/>
        </w:trPr>
        <w:tc>
          <w:tcPr>
            <w:tcW w:w="7640" w:type="dxa"/>
            <w:vAlign w:val="bottom"/>
          </w:tcPr>
          <w:p>
            <w:pPr>
              <w:ind w:left="20"/>
              <w:spacing w:after="0"/>
              <w:rPr>
                <w:sz w:val="20"/>
                <w:szCs w:val="20"/>
                <w:color w:val="auto"/>
              </w:rPr>
            </w:pPr>
            <w:r>
              <w:rPr>
                <w:rFonts w:ascii="Arial" w:cs="Arial" w:eastAsia="Arial" w:hAnsi="Arial"/>
                <w:sz w:val="16"/>
                <w:szCs w:val="16"/>
                <w:b w:val="1"/>
                <w:bCs w:val="1"/>
                <w:color w:val="auto"/>
              </w:rPr>
              <w:t>Operating Revenues</w:t>
            </w: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6"/>
        </w:trPr>
        <w:tc>
          <w:tcPr>
            <w:tcW w:w="7640" w:type="dxa"/>
            <w:vAlign w:val="bottom"/>
          </w:tcPr>
          <w:p>
            <w:pPr>
              <w:ind w:left="140"/>
              <w:spacing w:after="0" w:line="236" w:lineRule="exact"/>
              <w:rPr>
                <w:sz w:val="20"/>
                <w:szCs w:val="20"/>
                <w:color w:val="auto"/>
              </w:rPr>
            </w:pPr>
            <w:r>
              <w:rPr>
                <w:rFonts w:ascii="Arial" w:cs="Arial" w:eastAsia="Arial" w:hAnsi="Arial"/>
                <w:sz w:val="16"/>
                <w:szCs w:val="16"/>
                <w:color w:val="auto"/>
              </w:rPr>
              <w:t xml:space="preserve">Specialty </w:t>
            </w:r>
            <w:r>
              <w:rPr>
                <w:rFonts w:ascii="Arial" w:cs="Arial" w:eastAsia="Arial" w:hAnsi="Arial"/>
                <w:sz w:val="21"/>
                <w:szCs w:val="21"/>
                <w:color w:val="auto"/>
                <w:vertAlign w:val="superscript"/>
              </w:rPr>
              <w:t>(1)</w:t>
            </w: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ind w:right="23"/>
              <w:spacing w:after="0"/>
              <w:rPr>
                <w:sz w:val="20"/>
                <w:szCs w:val="20"/>
                <w:color w:val="auto"/>
              </w:rPr>
            </w:pPr>
            <w:r>
              <w:rPr>
                <w:rFonts w:ascii="Arial" w:cs="Arial" w:eastAsia="Arial" w:hAnsi="Arial"/>
                <w:sz w:val="16"/>
                <w:szCs w:val="16"/>
                <w:b w:val="1"/>
                <w:bCs w:val="1"/>
                <w:color w:val="auto"/>
              </w:rPr>
              <w:t>38,763</w:t>
            </w:r>
          </w:p>
        </w:tc>
        <w:tc>
          <w:tcPr>
            <w:tcW w:w="4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34,166</w:t>
            </w:r>
          </w:p>
        </w:tc>
        <w:tc>
          <w:tcPr>
            <w:tcW w:w="1220" w:type="dxa"/>
            <w:vAlign w:val="bottom"/>
          </w:tcPr>
          <w:p>
            <w:pPr>
              <w:jc w:val="right"/>
              <w:ind w:right="2"/>
              <w:spacing w:after="0"/>
              <w:rPr>
                <w:sz w:val="20"/>
                <w:szCs w:val="20"/>
                <w:color w:val="auto"/>
              </w:rPr>
            </w:pPr>
            <w:r>
              <w:rPr>
                <w:rFonts w:ascii="Arial" w:cs="Arial" w:eastAsia="Arial" w:hAnsi="Arial"/>
                <w:sz w:val="16"/>
                <w:szCs w:val="16"/>
                <w:color w:val="auto"/>
              </w:rPr>
              <w:t>13</w:t>
            </w:r>
          </w:p>
        </w:tc>
      </w:tr>
      <w:tr>
        <w:trPr>
          <w:trHeight w:val="230"/>
        </w:trPr>
        <w:tc>
          <w:tcPr>
            <w:tcW w:w="7640" w:type="dxa"/>
            <w:vAlign w:val="bottom"/>
          </w:tcPr>
          <w:p>
            <w:pPr>
              <w:ind w:left="140"/>
              <w:spacing w:after="0" w:line="230" w:lineRule="exact"/>
              <w:rPr>
                <w:sz w:val="20"/>
                <w:szCs w:val="20"/>
                <w:color w:val="auto"/>
              </w:rPr>
            </w:pPr>
            <w:r>
              <w:rPr>
                <w:rFonts w:ascii="Arial" w:cs="Arial" w:eastAsia="Arial" w:hAnsi="Arial"/>
                <w:sz w:val="16"/>
                <w:szCs w:val="16"/>
                <w:color w:val="auto"/>
              </w:rPr>
              <w:t xml:space="preserve">Retail </w:t>
            </w:r>
            <w:r>
              <w:rPr>
                <w:rFonts w:ascii="Arial" w:cs="Arial" w:eastAsia="Arial" w:hAnsi="Arial"/>
                <w:sz w:val="21"/>
                <w:szCs w:val="21"/>
                <w:color w:val="auto"/>
                <w:vertAlign w:val="superscript"/>
              </w:rPr>
              <w:t>(2)</w:t>
            </w:r>
          </w:p>
        </w:tc>
        <w:tc>
          <w:tcPr>
            <w:tcW w:w="260" w:type="dxa"/>
            <w:vAlign w:val="bottom"/>
          </w:tcPr>
          <w:p>
            <w:pPr>
              <w:spacing w:after="0"/>
              <w:rPr>
                <w:sz w:val="19"/>
                <w:szCs w:val="19"/>
                <w:color w:val="auto"/>
              </w:rPr>
            </w:pPr>
          </w:p>
        </w:tc>
        <w:tc>
          <w:tcPr>
            <w:tcW w:w="920" w:type="dxa"/>
            <w:vAlign w:val="bottom"/>
          </w:tcPr>
          <w:p>
            <w:pPr>
              <w:jc w:val="right"/>
              <w:ind w:right="23"/>
              <w:spacing w:after="0"/>
              <w:rPr>
                <w:sz w:val="20"/>
                <w:szCs w:val="20"/>
                <w:color w:val="auto"/>
              </w:rPr>
            </w:pPr>
            <w:r>
              <w:rPr>
                <w:rFonts w:ascii="Arial" w:cs="Arial" w:eastAsia="Arial" w:hAnsi="Arial"/>
                <w:sz w:val="16"/>
                <w:szCs w:val="16"/>
                <w:b w:val="1"/>
                <w:bCs w:val="1"/>
                <w:color w:val="auto"/>
              </w:rPr>
              <w:t>26,122</w:t>
            </w:r>
          </w:p>
        </w:tc>
        <w:tc>
          <w:tcPr>
            <w:tcW w:w="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26,036</w:t>
            </w:r>
          </w:p>
        </w:tc>
        <w:tc>
          <w:tcPr>
            <w:tcW w:w="1220" w:type="dxa"/>
            <w:vAlign w:val="bottom"/>
          </w:tcPr>
          <w:p>
            <w:pPr>
              <w:jc w:val="right"/>
              <w:ind w:right="2"/>
              <w:spacing w:after="0"/>
              <w:rPr>
                <w:sz w:val="20"/>
                <w:szCs w:val="20"/>
                <w:color w:val="auto"/>
              </w:rPr>
            </w:pPr>
            <w:r>
              <w:rPr>
                <w:rFonts w:ascii="Arial" w:cs="Arial" w:eastAsia="Arial" w:hAnsi="Arial"/>
                <w:sz w:val="16"/>
                <w:szCs w:val="16"/>
                <w:color w:val="auto"/>
              </w:rPr>
              <w:t>0</w:t>
            </w:r>
          </w:p>
        </w:tc>
      </w:tr>
      <w:tr>
        <w:trPr>
          <w:trHeight w:val="230"/>
        </w:trPr>
        <w:tc>
          <w:tcPr>
            <w:tcW w:w="7640" w:type="dxa"/>
            <w:vAlign w:val="bottom"/>
          </w:tcPr>
          <w:p>
            <w:pPr>
              <w:ind w:left="140"/>
              <w:spacing w:after="0" w:line="230" w:lineRule="exact"/>
              <w:rPr>
                <w:sz w:val="20"/>
                <w:szCs w:val="20"/>
                <w:color w:val="auto"/>
              </w:rPr>
            </w:pPr>
            <w:r>
              <w:rPr>
                <w:rFonts w:ascii="Arial" w:cs="Arial" w:eastAsia="Arial" w:hAnsi="Arial"/>
                <w:sz w:val="16"/>
                <w:szCs w:val="16"/>
                <w:color w:val="auto"/>
              </w:rPr>
              <w:t xml:space="preserve">Media </w:t>
            </w:r>
            <w:r>
              <w:rPr>
                <w:rFonts w:ascii="Arial" w:cs="Arial" w:eastAsia="Arial" w:hAnsi="Arial"/>
                <w:sz w:val="21"/>
                <w:szCs w:val="21"/>
                <w:color w:val="auto"/>
                <w:vertAlign w:val="superscript"/>
              </w:rPr>
              <w:t>(3)</w:t>
            </w: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b w:val="1"/>
                <w:bCs w:val="1"/>
                <w:color w:val="auto"/>
              </w:rPr>
              <w:t>20,012</w:t>
            </w:r>
          </w:p>
        </w:tc>
        <w:tc>
          <w:tcPr>
            <w:tcW w:w="4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23,096</w:t>
            </w:r>
          </w:p>
        </w:tc>
        <w:tc>
          <w:tcPr>
            <w:tcW w:w="1220" w:type="dxa"/>
            <w:vAlign w:val="bottom"/>
          </w:tcPr>
          <w:p>
            <w:pPr>
              <w:jc w:val="right"/>
              <w:spacing w:after="0"/>
              <w:rPr>
                <w:sz w:val="20"/>
                <w:szCs w:val="20"/>
                <w:color w:val="auto"/>
              </w:rPr>
            </w:pPr>
            <w:r>
              <w:rPr>
                <w:rFonts w:ascii="Arial" w:cs="Arial" w:eastAsia="Arial" w:hAnsi="Arial"/>
                <w:sz w:val="16"/>
                <w:szCs w:val="16"/>
                <w:color w:val="auto"/>
              </w:rPr>
              <w:t>(13)</w:t>
            </w:r>
          </w:p>
        </w:tc>
      </w:tr>
      <w:tr>
        <w:trPr>
          <w:trHeight w:val="220"/>
        </w:trPr>
        <w:tc>
          <w:tcPr>
            <w:tcW w:w="7640" w:type="dxa"/>
            <w:vAlign w:val="bottom"/>
          </w:tcPr>
          <w:p>
            <w:pPr>
              <w:spacing w:after="0"/>
              <w:rPr>
                <w:sz w:val="19"/>
                <w:szCs w:val="19"/>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b w:val="1"/>
                <w:bCs w:val="1"/>
                <w:color w:val="auto"/>
              </w:rPr>
              <w:t>84,897</w:t>
            </w:r>
          </w:p>
        </w:tc>
        <w:tc>
          <w:tcPr>
            <w:tcW w:w="4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83,298</w:t>
            </w:r>
          </w:p>
        </w:tc>
        <w:tc>
          <w:tcPr>
            <w:tcW w:w="1220" w:type="dxa"/>
            <w:vAlign w:val="bottom"/>
          </w:tcPr>
          <w:p>
            <w:pPr>
              <w:jc w:val="right"/>
              <w:ind w:right="2"/>
              <w:spacing w:after="0"/>
              <w:rPr>
                <w:sz w:val="20"/>
                <w:szCs w:val="20"/>
                <w:color w:val="auto"/>
              </w:rPr>
            </w:pPr>
            <w:r>
              <w:rPr>
                <w:rFonts w:ascii="Arial" w:cs="Arial" w:eastAsia="Arial" w:hAnsi="Arial"/>
                <w:sz w:val="16"/>
                <w:szCs w:val="16"/>
                <w:color w:val="auto"/>
              </w:rPr>
              <w:t>2</w:t>
            </w:r>
          </w:p>
        </w:tc>
      </w:tr>
    </w:tbl>
    <w:p>
      <w:pPr>
        <w:spacing w:after="0" w:line="72" w:lineRule="exact"/>
        <w:rPr>
          <w:sz w:val="20"/>
          <w:szCs w:val="20"/>
          <w:color w:val="auto"/>
        </w:rPr>
      </w:pPr>
    </w:p>
    <w:p>
      <w:pPr>
        <w:spacing w:after="0"/>
        <w:rPr>
          <w:sz w:val="20"/>
          <w:szCs w:val="20"/>
          <w:color w:val="auto"/>
        </w:rPr>
      </w:pPr>
      <w:r>
        <w:rPr>
          <w:rFonts w:ascii="Arial" w:cs="Arial" w:eastAsia="Arial" w:hAnsi="Arial"/>
          <w:sz w:val="14"/>
          <w:szCs w:val="14"/>
          <w:color w:val="auto"/>
        </w:rPr>
        <w:t>____________</w:t>
      </w:r>
    </w:p>
    <w:p>
      <w:pPr>
        <w:spacing w:after="0" w:line="42" w:lineRule="exact"/>
        <w:rPr>
          <w:sz w:val="20"/>
          <w:szCs w:val="20"/>
          <w:color w:val="auto"/>
        </w:rPr>
      </w:pPr>
    </w:p>
    <w:p>
      <w:pPr>
        <w:ind w:left="360" w:hanging="334"/>
        <w:spacing w:after="0"/>
        <w:tabs>
          <w:tab w:leader="none" w:pos="360" w:val="left"/>
        </w:tabs>
        <w:numPr>
          <w:ilvl w:val="0"/>
          <w:numId w:val="19"/>
        </w:numPr>
        <w:rPr>
          <w:rFonts w:ascii="Arial" w:cs="Arial" w:eastAsia="Arial" w:hAnsi="Arial"/>
          <w:sz w:val="14"/>
          <w:szCs w:val="14"/>
          <w:color w:val="auto"/>
        </w:rPr>
      </w:pPr>
      <w:r>
        <w:rPr>
          <w:rFonts w:ascii="Arial" w:cs="Arial" w:eastAsia="Arial" w:hAnsi="Arial"/>
          <w:sz w:val="14"/>
          <w:szCs w:val="14"/>
          <w:color w:val="auto"/>
        </w:rPr>
        <w:t>Includes Clyde’s Restaurant Group, Decile and Supporting Cast</w:t>
      </w:r>
    </w:p>
    <w:p>
      <w:pPr>
        <w:spacing w:after="0" w:line="55" w:lineRule="exact"/>
        <w:rPr>
          <w:rFonts w:ascii="Arial" w:cs="Arial" w:eastAsia="Arial" w:hAnsi="Arial"/>
          <w:sz w:val="14"/>
          <w:szCs w:val="14"/>
          <w:color w:val="auto"/>
        </w:rPr>
      </w:pPr>
    </w:p>
    <w:p>
      <w:pPr>
        <w:ind w:left="360" w:hanging="334"/>
        <w:spacing w:after="0"/>
        <w:tabs>
          <w:tab w:leader="none" w:pos="360" w:val="left"/>
        </w:tabs>
        <w:numPr>
          <w:ilvl w:val="0"/>
          <w:numId w:val="19"/>
        </w:numPr>
        <w:rPr>
          <w:rFonts w:ascii="Arial" w:cs="Arial" w:eastAsia="Arial" w:hAnsi="Arial"/>
          <w:sz w:val="14"/>
          <w:szCs w:val="14"/>
          <w:color w:val="auto"/>
        </w:rPr>
      </w:pPr>
      <w:r>
        <w:rPr>
          <w:rFonts w:ascii="Arial" w:cs="Arial" w:eastAsia="Arial" w:hAnsi="Arial"/>
          <w:sz w:val="14"/>
          <w:szCs w:val="14"/>
          <w:color w:val="auto"/>
        </w:rPr>
        <w:t>Includes Framebridge, Saatchi Art and Society6</w:t>
      </w:r>
    </w:p>
    <w:p>
      <w:pPr>
        <w:spacing w:after="0" w:line="55" w:lineRule="exact"/>
        <w:rPr>
          <w:rFonts w:ascii="Arial" w:cs="Arial" w:eastAsia="Arial" w:hAnsi="Arial"/>
          <w:sz w:val="14"/>
          <w:szCs w:val="14"/>
          <w:color w:val="auto"/>
        </w:rPr>
      </w:pPr>
    </w:p>
    <w:p>
      <w:pPr>
        <w:ind w:left="360" w:hanging="334"/>
        <w:spacing w:after="0"/>
        <w:tabs>
          <w:tab w:leader="none" w:pos="360" w:val="left"/>
        </w:tabs>
        <w:numPr>
          <w:ilvl w:val="0"/>
          <w:numId w:val="19"/>
        </w:numPr>
        <w:rPr>
          <w:rFonts w:ascii="Arial" w:cs="Arial" w:eastAsia="Arial" w:hAnsi="Arial"/>
          <w:sz w:val="14"/>
          <w:szCs w:val="14"/>
          <w:color w:val="auto"/>
        </w:rPr>
      </w:pPr>
      <w:r>
        <w:rPr>
          <w:rFonts w:ascii="Arial" w:cs="Arial" w:eastAsia="Arial" w:hAnsi="Arial"/>
          <w:sz w:val="14"/>
          <w:szCs w:val="14"/>
          <w:color w:val="auto"/>
        </w:rPr>
        <w:t>Includes Slate, Foreign Policy, Code3, World of Good Brands and City Cast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Overall, revenue from other businesses increased 2% in the first quarter of 2025. Specialty revenue increased due to revenue growth at</w:t>
      </w:r>
    </w:p>
    <w:p>
      <w:pPr>
        <w:spacing w:after="0" w:line="14" w:lineRule="exact"/>
        <w:rPr>
          <w:sz w:val="20"/>
          <w:szCs w:val="20"/>
          <w:color w:val="auto"/>
        </w:rPr>
      </w:pPr>
    </w:p>
    <w:p>
      <w:pPr>
        <w:ind w:right="160"/>
        <w:spacing w:after="0"/>
        <w:rPr>
          <w:sz w:val="20"/>
          <w:szCs w:val="20"/>
          <w:color w:val="auto"/>
        </w:rPr>
      </w:pPr>
      <w:r>
        <w:rPr>
          <w:rFonts w:ascii="Arial" w:cs="Arial" w:eastAsia="Arial" w:hAnsi="Arial"/>
          <w:sz w:val="17"/>
          <w:szCs w:val="17"/>
          <w:color w:val="auto"/>
        </w:rPr>
        <w:t>Clyde’s Restaurant Group (CRG), Decile and Supporting Cast. Retail revenue increased slightly due to revenue growth at Framebridge and Saatchi Art, offset by lower revenue at Society6. Media revenue declined due to lower revenue at Slate, World of Good Brands (WGB) and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Code3, partially offset by revenue growth at Foreign Policy and City Cast.</w:t>
      </w:r>
    </w:p>
    <w:p>
      <w:pPr>
        <w:spacing w:after="0" w:line="140" w:lineRule="exact"/>
        <w:rPr>
          <w:sz w:val="20"/>
          <w:szCs w:val="20"/>
          <w:color w:val="auto"/>
        </w:rPr>
      </w:pPr>
    </w:p>
    <w:p>
      <w:pPr>
        <w:ind w:right="360"/>
        <w:spacing w:after="0" w:line="256" w:lineRule="auto"/>
        <w:rPr>
          <w:sz w:val="20"/>
          <w:szCs w:val="20"/>
          <w:color w:val="auto"/>
        </w:rPr>
      </w:pPr>
      <w:r>
        <w:rPr>
          <w:rFonts w:ascii="Arial" w:cs="Arial" w:eastAsia="Arial" w:hAnsi="Arial"/>
          <w:sz w:val="18"/>
          <w:szCs w:val="18"/>
          <w:color w:val="auto"/>
        </w:rPr>
        <w:t>Overall, operating results at other businesses were down in the first quarter of 2025 due to declines at Framebridge, Slate, Society6, City Cast and Code3, partially offset by improved results at WGB, CRG, Decile, Foreign Policy, Saatchi Art and Supporting Cast.</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Clyde’s Restaurant Group</w:t>
      </w:r>
    </w:p>
    <w:p>
      <w:pPr>
        <w:spacing w:after="0" w:line="156" w:lineRule="exact"/>
        <w:rPr>
          <w:sz w:val="20"/>
          <w:szCs w:val="20"/>
          <w:color w:val="auto"/>
        </w:rPr>
      </w:pPr>
    </w:p>
    <w:p>
      <w:pPr>
        <w:ind w:right="180"/>
        <w:spacing w:after="0" w:line="251" w:lineRule="auto"/>
        <w:rPr>
          <w:sz w:val="20"/>
          <w:szCs w:val="20"/>
          <w:color w:val="auto"/>
        </w:rPr>
      </w:pPr>
      <w:r>
        <w:rPr>
          <w:rFonts w:ascii="Arial" w:cs="Arial" w:eastAsia="Arial" w:hAnsi="Arial"/>
          <w:sz w:val="17"/>
          <w:szCs w:val="17"/>
          <w:color w:val="auto"/>
        </w:rPr>
        <w:t>CRG owns and operates 14 restaurants and entertainment venues in the Washington, DC metropolitan area, including Old Ebbitt Grill and The Hamilton. In July 2024, CRG opened Rye Street Tavern, a new restaurant in Baltimore, MD. In November 2024, CRG opened Cordelia</w:t>
      </w:r>
    </w:p>
    <w:p>
      <w:pPr>
        <w:spacing w:after="0" w:line="235" w:lineRule="auto"/>
        <w:rPr>
          <w:sz w:val="20"/>
          <w:szCs w:val="20"/>
          <w:color w:val="auto"/>
        </w:rPr>
      </w:pPr>
      <w:r>
        <w:rPr>
          <w:rFonts w:ascii="Arial" w:cs="Arial" w:eastAsia="Arial" w:hAnsi="Arial"/>
          <w:sz w:val="18"/>
          <w:szCs w:val="18"/>
          <w:color w:val="auto"/>
        </w:rPr>
        <w:t>Fishbar, a new restaurant in Washington, D.C. Revenue increased in the first quarter of 2025 due to the new restaurant openings and</w:t>
      </w:r>
    </w:p>
    <w:p>
      <w:pPr>
        <w:ind w:right="420"/>
        <w:spacing w:after="0" w:line="237" w:lineRule="auto"/>
        <w:rPr>
          <w:sz w:val="20"/>
          <w:szCs w:val="20"/>
          <w:color w:val="auto"/>
        </w:rPr>
      </w:pPr>
      <w:r>
        <w:rPr>
          <w:rFonts w:ascii="Arial" w:cs="Arial" w:eastAsia="Arial" w:hAnsi="Arial"/>
          <w:sz w:val="18"/>
          <w:szCs w:val="18"/>
          <w:color w:val="auto"/>
        </w:rPr>
        <w:t>modest price increases. CRG reported an operating profit in each of the first quarters of 2025 and 2024, with improved results in the first quarter of 2025.</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CRG plans to open a new restaurant in Reston, VA in 2026.</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Framebridge</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Framebridge is a custom framing service company, headquartered in Washington, DC, with 35 retail locations, and two manufacturing</w:t>
      </w:r>
    </w:p>
    <w:p>
      <w:pPr>
        <w:spacing w:after="0" w:line="14" w:lineRule="exact"/>
        <w:rPr>
          <w:sz w:val="20"/>
          <w:szCs w:val="20"/>
          <w:color w:val="auto"/>
        </w:rPr>
      </w:pPr>
    </w:p>
    <w:p>
      <w:pPr>
        <w:ind w:right="280"/>
        <w:spacing w:after="0"/>
        <w:rPr>
          <w:sz w:val="20"/>
          <w:szCs w:val="20"/>
          <w:color w:val="auto"/>
        </w:rPr>
      </w:pPr>
      <w:r>
        <w:rPr>
          <w:rFonts w:ascii="Arial" w:cs="Arial" w:eastAsia="Arial" w:hAnsi="Arial"/>
          <w:sz w:val="17"/>
          <w:szCs w:val="17"/>
          <w:color w:val="auto"/>
        </w:rPr>
        <w:t>facilities in Kentucky and Virginia. In addition, Framebridge is also in the process of opening an additional manufacturing facility in Nevada later in the year. In the first quarter of 2025, Framebridge opened three new retail stores. Framebridge plans to open additional stores in</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2025, including an expansion into California, and continues to actively explore other opportunities for further store expansion.</w:t>
      </w:r>
    </w:p>
    <w:p>
      <w:pPr>
        <w:spacing w:after="0" w:line="140" w:lineRule="exact"/>
        <w:rPr>
          <w:sz w:val="20"/>
          <w:szCs w:val="20"/>
          <w:color w:val="auto"/>
        </w:rPr>
      </w:pPr>
    </w:p>
    <w:p>
      <w:pPr>
        <w:ind w:right="240"/>
        <w:spacing w:after="0" w:line="237" w:lineRule="auto"/>
        <w:rPr>
          <w:sz w:val="20"/>
          <w:szCs w:val="20"/>
          <w:color w:val="auto"/>
        </w:rPr>
      </w:pPr>
      <w:r>
        <w:rPr>
          <w:rFonts w:ascii="Arial" w:cs="Arial" w:eastAsia="Arial" w:hAnsi="Arial"/>
          <w:sz w:val="18"/>
          <w:szCs w:val="18"/>
          <w:color w:val="auto"/>
        </w:rPr>
        <w:t>Revenues increased in the first quarter of 2025 due to an increase in retail revenue from same-store sales growth and operating additional retail stores compared to the same period in 2024, as well as higher online revenues. Framebridge is an investment stage business and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reported significant operating losses in the first quarters of 2025 and 2024.</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In the first quarter of 2024, Framebridge offered a SIP; $0.4 million in related non-operating pension expense was recorded.</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i w:val="1"/>
          <w:iCs w:val="1"/>
          <w:color w:val="auto"/>
        </w:rPr>
        <w:t>Other</w:t>
      </w:r>
    </w:p>
    <w:p>
      <w:pPr>
        <w:spacing w:after="0" w:line="156" w:lineRule="exact"/>
        <w:rPr>
          <w:sz w:val="20"/>
          <w:szCs w:val="20"/>
          <w:color w:val="auto"/>
        </w:rPr>
      </w:pPr>
    </w:p>
    <w:p>
      <w:pPr>
        <w:ind w:right="640"/>
        <w:spacing w:after="0" w:line="251" w:lineRule="auto"/>
        <w:rPr>
          <w:sz w:val="20"/>
          <w:szCs w:val="20"/>
          <w:color w:val="auto"/>
        </w:rPr>
      </w:pPr>
      <w:r>
        <w:rPr>
          <w:rFonts w:ascii="Arial" w:cs="Arial" w:eastAsia="Arial" w:hAnsi="Arial"/>
          <w:sz w:val="17"/>
          <w:szCs w:val="17"/>
          <w:color w:val="auto"/>
        </w:rPr>
        <w:t>Other businesses also include Code3, a performance marketing agency focused on driving performance for brands though three core elements of digital success: media, creative and commerce; Slate and Foreign Policy, which publish online and print magazines and</w:t>
      </w:r>
    </w:p>
    <w:p>
      <w:pPr>
        <w:spacing w:after="0" w:line="235" w:lineRule="auto"/>
        <w:rPr>
          <w:sz w:val="20"/>
          <w:szCs w:val="20"/>
          <w:color w:val="auto"/>
        </w:rPr>
      </w:pPr>
      <w:r>
        <w:rPr>
          <w:rFonts w:ascii="Arial" w:cs="Arial" w:eastAsia="Arial" w:hAnsi="Arial"/>
          <w:sz w:val="18"/>
          <w:szCs w:val="18"/>
          <w:color w:val="auto"/>
        </w:rPr>
        <w:t>websites; Saatchi Art and Society6, which offer art and design; WGB, an owner and operator of websites; and three investment stage</w:t>
      </w:r>
    </w:p>
    <w:p>
      <w:pPr>
        <w:ind w:right="20"/>
        <w:spacing w:after="0"/>
        <w:rPr>
          <w:sz w:val="20"/>
          <w:szCs w:val="20"/>
          <w:color w:val="auto"/>
        </w:rPr>
      </w:pPr>
      <w:r>
        <w:rPr>
          <w:rFonts w:ascii="Arial" w:cs="Arial" w:eastAsia="Arial" w:hAnsi="Arial"/>
          <w:sz w:val="17"/>
          <w:szCs w:val="17"/>
          <w:color w:val="auto"/>
        </w:rPr>
        <w:t>businesses, Decile, City Cast and Supporting Cast. Foreign Policy, Saatchi Art, City Cast, Supporting Cast and Decile reported revenue growth in the first quarter of 2025, while Society6, WGB, Slate and Code3 reported revenue declines. Losses from Society6, WGB, City Cast,</w:t>
      </w:r>
    </w:p>
    <w:p>
      <w:pPr>
        <w:spacing w:after="0" w:line="1" w:lineRule="exact"/>
        <w:rPr>
          <w:sz w:val="20"/>
          <w:szCs w:val="20"/>
          <w:color w:val="auto"/>
        </w:rPr>
      </w:pPr>
    </w:p>
    <w:p>
      <w:pPr>
        <w:ind w:right="240"/>
        <w:spacing w:after="0" w:line="250" w:lineRule="auto"/>
        <w:rPr>
          <w:sz w:val="20"/>
          <w:szCs w:val="20"/>
          <w:color w:val="auto"/>
        </w:rPr>
      </w:pPr>
      <w:r>
        <w:rPr>
          <w:rFonts w:ascii="Arial" w:cs="Arial" w:eastAsia="Arial" w:hAnsi="Arial"/>
          <w:sz w:val="18"/>
          <w:szCs w:val="18"/>
          <w:color w:val="auto"/>
        </w:rPr>
        <w:t>Saatchi Art, Slate, Decile, Code3 and Supporting Cast in the first quarter of 2025 adversely affected operating results, while Foreign Policy reported an operating profit during this period.</w:t>
      </w:r>
    </w:p>
    <w:p>
      <w:pPr>
        <w:spacing w:after="0" w:line="104" w:lineRule="exact"/>
        <w:rPr>
          <w:sz w:val="20"/>
          <w:szCs w:val="20"/>
          <w:color w:val="auto"/>
        </w:rPr>
      </w:pPr>
    </w:p>
    <w:p>
      <w:pPr>
        <w:ind w:right="2000"/>
        <w:spacing w:after="0" w:line="422" w:lineRule="auto"/>
        <w:rPr>
          <w:sz w:val="20"/>
          <w:szCs w:val="20"/>
          <w:color w:val="auto"/>
        </w:rPr>
      </w:pPr>
      <w:r>
        <w:rPr>
          <w:rFonts w:ascii="Arial" w:cs="Arial" w:eastAsia="Arial" w:hAnsi="Arial"/>
          <w:sz w:val="18"/>
          <w:szCs w:val="18"/>
          <w:color w:val="auto"/>
        </w:rPr>
        <w:t xml:space="preserve">In the first quarter of 2025, WGB offered a SIP; $0.6 million in related non-operating pension expense was recorded. </w:t>
      </w:r>
      <w:r>
        <w:rPr>
          <w:rFonts w:ascii="Arial" w:cs="Arial" w:eastAsia="Arial" w:hAnsi="Arial"/>
          <w:sz w:val="18"/>
          <w:szCs w:val="18"/>
          <w:b w:val="1"/>
          <w:bCs w:val="1"/>
          <w:i w:val="1"/>
          <w:iCs w:val="1"/>
          <w:color w:val="auto"/>
        </w:rPr>
        <w:t>Corporate Office</w:t>
      </w:r>
    </w:p>
    <w:p>
      <w:pPr>
        <w:spacing w:after="0" w:line="1" w:lineRule="exact"/>
        <w:rPr>
          <w:sz w:val="20"/>
          <w:szCs w:val="20"/>
          <w:color w:val="auto"/>
        </w:rPr>
      </w:pPr>
    </w:p>
    <w:p>
      <w:pPr>
        <w:ind w:right="700"/>
        <w:spacing w:after="0" w:line="256" w:lineRule="auto"/>
        <w:rPr>
          <w:sz w:val="20"/>
          <w:szCs w:val="20"/>
          <w:color w:val="auto"/>
        </w:rPr>
      </w:pPr>
      <w:r>
        <w:rPr>
          <w:rFonts w:ascii="Arial" w:cs="Arial" w:eastAsia="Arial" w:hAnsi="Arial"/>
          <w:sz w:val="18"/>
          <w:szCs w:val="18"/>
          <w:color w:val="auto"/>
        </w:rPr>
        <w:t>Corporate office includes the expenses of the Company’s corporate office and certain continuing obligations related to prior business dispositions.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 xml:space="preserve">Equity </w:t>
      </w:r>
      <w:r>
        <w:rPr>
          <w:rFonts w:ascii="Arial" w:cs="Arial" w:eastAsia="Arial" w:hAnsi="Arial"/>
          <w:sz w:val="18"/>
          <w:szCs w:val="18"/>
          <w:b w:val="1"/>
          <w:bCs w:val="1"/>
          <w:u w:val="single" w:color="auto"/>
          <w:color w:val="auto"/>
          <w:highlight w:val="white"/>
        </w:rPr>
        <w:t>in Earnings (Losses) of</w:t>
      </w:r>
      <w:r>
        <w:rPr>
          <w:rFonts w:ascii="Arial" w:cs="Arial" w:eastAsia="Arial" w:hAnsi="Arial"/>
          <w:sz w:val="18"/>
          <w:szCs w:val="18"/>
          <w:b w:val="1"/>
          <w:bCs w:val="1"/>
          <w:u w:val="single" w:color="auto"/>
          <w:color w:val="auto"/>
        </w:rPr>
        <w:t xml:space="preserve"> Affiliates</w:t>
      </w:r>
    </w:p>
    <w:p>
      <w:pPr>
        <w:spacing w:after="0" w:line="158"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At March 31, 2025, the Company held an approximate 18% interest in Intersection Holdings, LLC (Intersection), a company that provides digital marketing and advertising services and products for cities, transit systems, airports, and other public and private spaces; and a 41.4%</w:t>
      </w:r>
    </w:p>
    <w:p>
      <w:pPr>
        <w:spacing w:after="0" w:line="235" w:lineRule="auto"/>
        <w:rPr>
          <w:sz w:val="20"/>
          <w:szCs w:val="20"/>
          <w:color w:val="auto"/>
        </w:rPr>
      </w:pPr>
      <w:r>
        <w:rPr>
          <w:rFonts w:ascii="Arial" w:cs="Arial" w:eastAsia="Arial" w:hAnsi="Arial"/>
          <w:sz w:val="18"/>
          <w:szCs w:val="18"/>
          <w:color w:val="auto"/>
        </w:rPr>
        <w:t>interest on a fully diluted basis in Realm. The Company also holds interests in several other affiliates, including a number of home health and</w:t>
      </w:r>
    </w:p>
    <w:p>
      <w:pPr>
        <w:spacing w:after="0" w:line="1" w:lineRule="exact"/>
        <w:rPr>
          <w:sz w:val="20"/>
          <w:szCs w:val="20"/>
          <w:color w:val="auto"/>
        </w:rPr>
      </w:pPr>
    </w:p>
    <w:p>
      <w:pPr>
        <w:ind w:right="120"/>
        <w:spacing w:after="0"/>
        <w:rPr>
          <w:sz w:val="20"/>
          <w:szCs w:val="20"/>
          <w:color w:val="auto"/>
        </w:rPr>
      </w:pPr>
      <w:r>
        <w:rPr>
          <w:rFonts w:ascii="Arial" w:cs="Arial" w:eastAsia="Arial" w:hAnsi="Arial"/>
          <w:sz w:val="17"/>
          <w:szCs w:val="17"/>
          <w:color w:val="auto"/>
        </w:rPr>
        <w:t>hospice joint ventures managed by GHG and two joint ventures managed by Kaplan. Overall, the Company recorded equity in losses of affiliates of $8.4 million for the first quarter of 2025, compared to earnings of $2.3 million for the first quarter of 2024. These amounts include</w:t>
      </w:r>
    </w:p>
    <w:p>
      <w:pPr>
        <w:spacing w:after="0" w:line="1" w:lineRule="exact"/>
        <w:rPr>
          <w:sz w:val="20"/>
          <w:szCs w:val="20"/>
          <w:color w:val="auto"/>
        </w:rPr>
      </w:pPr>
    </w:p>
    <w:p>
      <w:pPr>
        <w:ind w:right="640"/>
        <w:spacing w:after="0" w:line="237" w:lineRule="auto"/>
        <w:rPr>
          <w:sz w:val="20"/>
          <w:szCs w:val="20"/>
          <w:color w:val="auto"/>
        </w:rPr>
      </w:pPr>
      <w:r>
        <w:rPr>
          <w:rFonts w:ascii="Arial" w:cs="Arial" w:eastAsia="Arial" w:hAnsi="Arial"/>
          <w:sz w:val="18"/>
          <w:szCs w:val="18"/>
          <w:color w:val="auto"/>
        </w:rPr>
        <w:t>$11.9 million and $1.5 million in net losses for the first quarter of 2025 and 2024, respectively, from affiliates whose operations are not managed by the Company.</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Net Interest Expense and Related Balances</w:t>
      </w:r>
    </w:p>
    <w:p>
      <w:pPr>
        <w:spacing w:after="0" w:line="158" w:lineRule="exact"/>
        <w:rPr>
          <w:sz w:val="20"/>
          <w:szCs w:val="20"/>
          <w:color w:val="auto"/>
        </w:rPr>
      </w:pPr>
    </w:p>
    <w:p>
      <w:pPr>
        <w:ind w:right="180"/>
        <w:spacing w:after="0" w:line="251" w:lineRule="auto"/>
        <w:rPr>
          <w:sz w:val="20"/>
          <w:szCs w:val="20"/>
          <w:color w:val="auto"/>
        </w:rPr>
      </w:pPr>
      <w:r>
        <w:rPr>
          <w:rFonts w:ascii="Arial" w:cs="Arial" w:eastAsia="Arial" w:hAnsi="Arial"/>
          <w:sz w:val="17"/>
          <w:szCs w:val="17"/>
          <w:color w:val="auto"/>
        </w:rPr>
        <w:t>The Company incurred net interest expense of $79.8 million for the first quarter of 2025, compared to $17.2 million for the first quarter of 2024. The Company recorded interest expense of $66.4 million and $1.9 million in the first quarter of 2025 and 2024, respectively, to adjust</w:t>
      </w:r>
    </w:p>
    <w:p>
      <w:pPr>
        <w:spacing w:after="0" w:line="235" w:lineRule="auto"/>
        <w:rPr>
          <w:sz w:val="20"/>
          <w:szCs w:val="20"/>
          <w:color w:val="auto"/>
        </w:rPr>
      </w:pPr>
      <w:r>
        <w:rPr>
          <w:rFonts w:ascii="Arial" w:cs="Arial" w:eastAsia="Arial" w:hAnsi="Arial"/>
          <w:sz w:val="18"/>
          <w:szCs w:val="18"/>
          <w:color w:val="auto"/>
        </w:rPr>
        <w:t>the fair value of the mandatorily redeemable noncontrolling interest at GHG. The significant adjustment recorded in the first quarter of 2025 is</w:t>
      </w:r>
    </w:p>
    <w:p>
      <w:pPr>
        <w:spacing w:after="0" w:line="226" w:lineRule="auto"/>
        <w:rPr>
          <w:sz w:val="20"/>
          <w:szCs w:val="20"/>
          <w:color w:val="auto"/>
        </w:rPr>
      </w:pPr>
      <w:r>
        <w:rPr>
          <w:rFonts w:ascii="Arial" w:cs="Arial" w:eastAsia="Arial" w:hAnsi="Arial"/>
          <w:sz w:val="18"/>
          <w:szCs w:val="18"/>
          <w:color w:val="auto"/>
        </w:rPr>
        <w:t>largely related to a substantial increase in the estimated fair value of CSI. On February 25, 2025, the Company and a group of minority shareholders entered into an agreement to settle a significant portion of the mandatorily redeemable noncontrolling interest for a total of $205</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million, which consisted of approximately $186.25 million in cash and $18.75 million in Graham Holdings Company Class B common stock.</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Excluding these adjustments, the decrease in net interest expense relates primarily to lower interest rates on the Company’s variable debt.</w:t>
      </w:r>
    </w:p>
    <w:p>
      <w:pPr>
        <w:spacing w:after="0" w:line="144" w:lineRule="exact"/>
        <w:rPr>
          <w:sz w:val="20"/>
          <w:szCs w:val="20"/>
          <w:color w:val="auto"/>
        </w:rPr>
      </w:pPr>
    </w:p>
    <w:p>
      <w:pPr>
        <w:ind w:right="340"/>
        <w:spacing w:after="0" w:line="253" w:lineRule="auto"/>
        <w:rPr>
          <w:sz w:val="20"/>
          <w:szCs w:val="20"/>
          <w:color w:val="auto"/>
        </w:rPr>
      </w:pPr>
      <w:r>
        <w:rPr>
          <w:rFonts w:ascii="Arial" w:cs="Arial" w:eastAsia="Arial" w:hAnsi="Arial"/>
          <w:sz w:val="18"/>
          <w:szCs w:val="18"/>
          <w:color w:val="auto"/>
        </w:rPr>
        <w:t>At March 31, 2025, the Company had $ 864.6 million in borrowings outstanding at an average interest rate of 6.0%, and cash, marketable equity securities and other investments of $1,114.7 million. At March 31, 2025, the Company had $184.7 million outstanding on its $300 million revolving credit facility.</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Non-operating Pension and Postretirement Benefit Income, net</w:t>
      </w:r>
    </w:p>
    <w:p>
      <w:pPr>
        <w:spacing w:after="0" w:line="158" w:lineRule="exact"/>
        <w:rPr>
          <w:sz w:val="20"/>
          <w:szCs w:val="20"/>
          <w:color w:val="auto"/>
        </w:rPr>
      </w:pPr>
    </w:p>
    <w:p>
      <w:pPr>
        <w:ind w:right="100"/>
        <w:spacing w:after="0" w:line="271" w:lineRule="auto"/>
        <w:rPr>
          <w:sz w:val="20"/>
          <w:szCs w:val="20"/>
          <w:color w:val="auto"/>
        </w:rPr>
      </w:pPr>
      <w:r>
        <w:rPr>
          <w:rFonts w:ascii="Arial" w:cs="Arial" w:eastAsia="Arial" w:hAnsi="Arial"/>
          <w:sz w:val="18"/>
          <w:szCs w:val="18"/>
          <w:color w:val="auto"/>
        </w:rPr>
        <w:t>The Company recorded net non-operating pension and postretirement benefit income of $34.6 million for the first quarter of 2025, compared to $42.4 million for the first quarter of 2024.</w:t>
      </w:r>
    </w:p>
    <w:p>
      <w:pPr>
        <w:spacing w:after="0" w:line="86" w:lineRule="exact"/>
        <w:rPr>
          <w:sz w:val="20"/>
          <w:szCs w:val="20"/>
          <w:color w:val="auto"/>
        </w:rPr>
      </w:pPr>
    </w:p>
    <w:p>
      <w:pPr>
        <w:ind w:right="120"/>
        <w:spacing w:after="0" w:line="271" w:lineRule="auto"/>
        <w:rPr>
          <w:sz w:val="20"/>
          <w:szCs w:val="20"/>
          <w:color w:val="auto"/>
        </w:rPr>
      </w:pPr>
      <w:r>
        <w:rPr>
          <w:rFonts w:ascii="Arial" w:cs="Arial" w:eastAsia="Arial" w:hAnsi="Arial"/>
          <w:sz w:val="18"/>
          <w:szCs w:val="18"/>
          <w:color w:val="auto"/>
        </w:rPr>
        <w:t>In the first quarter of 2025 and 2024, the Company recorded $0.6 million and $0.4 million, respectively, in expenses related to non-operating SIPs at other businesses.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Gain on Marketable Equity Securities, net</w:t>
      </w:r>
    </w:p>
    <w:p>
      <w:pPr>
        <w:spacing w:after="0" w:line="144" w:lineRule="exact"/>
        <w:rPr>
          <w:sz w:val="20"/>
          <w:szCs w:val="20"/>
          <w:color w:val="auto"/>
        </w:rPr>
      </w:pPr>
    </w:p>
    <w:p>
      <w:pPr>
        <w:ind w:right="40"/>
        <w:spacing w:after="0" w:line="271" w:lineRule="auto"/>
        <w:rPr>
          <w:sz w:val="20"/>
          <w:szCs w:val="20"/>
          <w:color w:val="auto"/>
        </w:rPr>
      </w:pPr>
      <w:r>
        <w:rPr>
          <w:rFonts w:ascii="Arial" w:cs="Arial" w:eastAsia="Arial" w:hAnsi="Arial"/>
          <w:sz w:val="18"/>
          <w:szCs w:val="18"/>
          <w:color w:val="auto"/>
        </w:rPr>
        <w:t>Overall, the Company recognized $43.8 million and $104.2 million in net gains on marketable equity securities in the first quarter of 2025 and 2024, respectively.</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Other Non-Operatin</w:t>
      </w:r>
      <w:r>
        <w:rPr>
          <w:rFonts w:ascii="Arial" w:cs="Arial" w:eastAsia="Arial" w:hAnsi="Arial"/>
          <w:sz w:val="18"/>
          <w:szCs w:val="18"/>
          <w:b w:val="1"/>
          <w:bCs w:val="1"/>
          <w:u w:val="single" w:color="auto"/>
          <w:color w:val="auto"/>
          <w:highlight w:val="white"/>
        </w:rPr>
        <w:t>g Income (Expenses)</w:t>
      </w:r>
    </w:p>
    <w:p>
      <w:pPr>
        <w:spacing w:after="0" w:line="144" w:lineRule="exact"/>
        <w:rPr>
          <w:sz w:val="20"/>
          <w:szCs w:val="20"/>
          <w:color w:val="auto"/>
        </w:rPr>
      </w:pPr>
    </w:p>
    <w:p>
      <w:pPr>
        <w:jc w:val="both"/>
        <w:ind w:right="380"/>
        <w:spacing w:after="0" w:line="253" w:lineRule="auto"/>
        <w:rPr>
          <w:sz w:val="20"/>
          <w:szCs w:val="20"/>
          <w:color w:val="auto"/>
        </w:rPr>
      </w:pPr>
      <w:r>
        <w:rPr>
          <w:rFonts w:ascii="Arial" w:cs="Arial" w:eastAsia="Arial" w:hAnsi="Arial"/>
          <w:sz w:val="18"/>
          <w:szCs w:val="18"/>
          <w:color w:val="auto"/>
        </w:rPr>
        <w:t>The Company recorded total other non-operating expenses, net, of $4.1 million for the first quarter of 2025, compared to income of $ 1.6 million for the first quarter of 2024. The 2025 amounts included $4.4 million in foreign currency losses; partially offset by other items. The 2024 amounts included $0.9 million in gains related to the sale</w:t>
      </w: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3" w:right="339" w:bottom="1440" w:gutter="0" w:footer="0" w:header="0"/>
        </w:sectPr>
      </w:pPr>
    </w:p>
    <w:bookmarkStart w:id="29" w:name="page30"/>
    <w:bookmarkEnd w:id="29"/>
    <w:p>
      <w:pPr>
        <w:ind w:right="780"/>
        <w:spacing w:after="0" w:line="271" w:lineRule="auto"/>
        <w:rPr>
          <w:sz w:val="20"/>
          <w:szCs w:val="20"/>
          <w:color w:val="auto"/>
        </w:rPr>
      </w:pPr>
      <w:r>
        <w:rPr>
          <w:rFonts w:ascii="Arial" w:cs="Arial" w:eastAsia="Arial" w:hAnsi="Arial"/>
          <w:sz w:val="18"/>
          <w:szCs w:val="18"/>
          <w:color w:val="auto"/>
        </w:rPr>
        <w:t>of businesses and contingent considerations; $0.6 million in foreign currency gains, and other items; partially offset by a $0.4 million impairment on a cost method investment.</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Provision for Income Taxes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Company’s effective tax rate for the first three months of 2025 and 2024 was 23.5% and 25.8%, respectively.</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Earnings Per Share</w:t>
      </w:r>
    </w:p>
    <w:p>
      <w:pPr>
        <w:spacing w:after="0" w:line="144" w:lineRule="exact"/>
        <w:rPr>
          <w:sz w:val="20"/>
          <w:szCs w:val="20"/>
          <w:color w:val="auto"/>
        </w:rPr>
      </w:pPr>
    </w:p>
    <w:p>
      <w:pPr>
        <w:ind w:right="200"/>
        <w:spacing w:after="0" w:line="245" w:lineRule="auto"/>
        <w:rPr>
          <w:sz w:val="20"/>
          <w:szCs w:val="20"/>
          <w:color w:val="auto"/>
        </w:rPr>
      </w:pPr>
      <w:r>
        <w:rPr>
          <w:rFonts w:ascii="Arial" w:cs="Arial" w:eastAsia="Arial" w:hAnsi="Arial"/>
          <w:sz w:val="18"/>
          <w:szCs w:val="18"/>
          <w:color w:val="auto"/>
        </w:rPr>
        <w:t>The calculation of diluted earnings per share for the first quarter of 2025 was based on 4,358,328 weighted average shares outstanding, compared to 4,456,825 for the first quarter of 2024. At March 31, 2025, there were 4,360,207 shares outstanding. On September 12, 2024,</w:t>
      </w:r>
    </w:p>
    <w:p>
      <w:pPr>
        <w:ind w:right="240"/>
        <w:spacing w:after="0" w:line="237" w:lineRule="auto"/>
        <w:rPr>
          <w:sz w:val="20"/>
          <w:szCs w:val="20"/>
          <w:color w:val="auto"/>
        </w:rPr>
      </w:pPr>
      <w:r>
        <w:rPr>
          <w:rFonts w:ascii="Arial" w:cs="Arial" w:eastAsia="Arial" w:hAnsi="Arial"/>
          <w:sz w:val="18"/>
          <w:szCs w:val="18"/>
          <w:color w:val="auto"/>
        </w:rPr>
        <w:t>the Board of Directors authorized the Company to acquire up to 500,000 shares of its Class B common stock; the Company has remaining authorization for 462,482 shares as of March 31, 2025.</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Condition: Liquidity and Capital Resources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The Company considers the following when assessing its liquidity and capital resources: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4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gridSpan w:val="2"/>
          </w:tcPr>
          <w:p>
            <w:pPr>
              <w:ind w:left="1060"/>
              <w:spacing w:after="0"/>
              <w:rPr>
                <w:sz w:val="20"/>
                <w:szCs w:val="20"/>
                <w:color w:val="auto"/>
              </w:rPr>
            </w:pPr>
            <w:r>
              <w:rPr>
                <w:rFonts w:ascii="Arial" w:cs="Arial" w:eastAsia="Arial" w:hAnsi="Arial"/>
                <w:sz w:val="14"/>
                <w:szCs w:val="14"/>
                <w:b w:val="1"/>
                <w:bCs w:val="1"/>
                <w:color w:val="auto"/>
              </w:rPr>
              <w:t>As of</w:t>
            </w:r>
          </w:p>
        </w:tc>
        <w:tc>
          <w:tcPr>
            <w:tcW w:w="940" w:type="dxa"/>
            <w:vAlign w:val="bottom"/>
            <w:tcBorders>
              <w:bottom w:val="single" w:sz="8" w:color="auto"/>
            </w:tcBorders>
          </w:tcPr>
          <w:p>
            <w:pPr>
              <w:spacing w:after="0"/>
              <w:rPr>
                <w:sz w:val="17"/>
                <w:szCs w:val="17"/>
                <w:color w:val="auto"/>
              </w:rPr>
            </w:pPr>
          </w:p>
        </w:tc>
      </w:tr>
      <w:tr>
        <w:trPr>
          <w:trHeight w:val="210"/>
        </w:trPr>
        <w:tc>
          <w:tcPr>
            <w:tcW w:w="84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02"/>
              <w:spacing w:after="0"/>
              <w:rPr>
                <w:sz w:val="20"/>
                <w:szCs w:val="20"/>
                <w:color w:val="auto"/>
              </w:rPr>
            </w:pPr>
            <w:r>
              <w:rPr>
                <w:rFonts w:ascii="Arial" w:cs="Arial" w:eastAsia="Arial" w:hAnsi="Arial"/>
                <w:sz w:val="14"/>
                <w:szCs w:val="14"/>
                <w:b w:val="1"/>
                <w:bCs w:val="1"/>
                <w:color w:val="auto"/>
              </w:rPr>
              <w:t>March 31, 2025</w:t>
            </w:r>
          </w:p>
        </w:tc>
        <w:tc>
          <w:tcPr>
            <w:tcW w:w="142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color w:val="auto"/>
              </w:rPr>
              <w:t>December 31, 2024</w:t>
            </w:r>
          </w:p>
        </w:tc>
      </w:tr>
      <w:tr>
        <w:trPr>
          <w:trHeight w:val="223"/>
        </w:trPr>
        <w:tc>
          <w:tcPr>
            <w:tcW w:w="8420" w:type="dxa"/>
            <w:vAlign w:val="bottom"/>
          </w:tcPr>
          <w:p>
            <w:pPr>
              <w:ind w:left="20"/>
              <w:spacing w:after="0"/>
              <w:rPr>
                <w:sz w:val="20"/>
                <w:szCs w:val="20"/>
                <w:color w:val="auto"/>
              </w:rPr>
            </w:pPr>
            <w:r>
              <w:rPr>
                <w:rFonts w:ascii="Arial" w:cs="Arial" w:eastAsia="Arial" w:hAnsi="Arial"/>
                <w:sz w:val="16"/>
                <w:szCs w:val="16"/>
                <w:color w:val="auto"/>
              </w:rPr>
              <w:t>Cash and cash equivalents</w:t>
            </w: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220" w:type="dxa"/>
            <w:vAlign w:val="bottom"/>
          </w:tcPr>
          <w:p>
            <w:pPr>
              <w:jc w:val="right"/>
              <w:ind w:right="22"/>
              <w:spacing w:after="0"/>
              <w:rPr>
                <w:sz w:val="20"/>
                <w:szCs w:val="20"/>
                <w:color w:val="auto"/>
              </w:rPr>
            </w:pPr>
            <w:r>
              <w:rPr>
                <w:rFonts w:ascii="Arial" w:cs="Arial" w:eastAsia="Arial" w:hAnsi="Arial"/>
                <w:sz w:val="16"/>
                <w:szCs w:val="16"/>
                <w:b w:val="1"/>
                <w:bCs w:val="1"/>
                <w:color w:val="auto"/>
              </w:rPr>
              <w:t>156,700</w:t>
            </w:r>
          </w:p>
        </w:tc>
        <w:tc>
          <w:tcPr>
            <w:tcW w:w="480" w:type="dxa"/>
            <w:vAlign w:val="bottom"/>
          </w:tcPr>
          <w:p>
            <w:pPr>
              <w:ind w:left="100"/>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260,852</w:t>
            </w:r>
          </w:p>
        </w:tc>
      </w:tr>
      <w:tr>
        <w:trPr>
          <w:trHeight w:val="229"/>
        </w:trPr>
        <w:tc>
          <w:tcPr>
            <w:tcW w:w="8420" w:type="dxa"/>
            <w:vAlign w:val="bottom"/>
          </w:tcPr>
          <w:p>
            <w:pPr>
              <w:ind w:left="20"/>
              <w:spacing w:after="0"/>
              <w:rPr>
                <w:sz w:val="20"/>
                <w:szCs w:val="20"/>
                <w:color w:val="auto"/>
              </w:rPr>
            </w:pPr>
            <w:r>
              <w:rPr>
                <w:rFonts w:ascii="Arial" w:cs="Arial" w:eastAsia="Arial" w:hAnsi="Arial"/>
                <w:sz w:val="16"/>
                <w:szCs w:val="16"/>
                <w:color w:val="auto"/>
              </w:rPr>
              <w:t>Restricted cash</w:t>
            </w:r>
          </w:p>
        </w:tc>
        <w:tc>
          <w:tcPr>
            <w:tcW w:w="140" w:type="dxa"/>
            <w:vAlign w:val="bottom"/>
          </w:tcPr>
          <w:p>
            <w:pPr>
              <w:spacing w:after="0"/>
              <w:rPr>
                <w:sz w:val="19"/>
                <w:szCs w:val="19"/>
                <w:color w:val="auto"/>
              </w:rPr>
            </w:pPr>
          </w:p>
        </w:tc>
        <w:tc>
          <w:tcPr>
            <w:tcW w:w="1220" w:type="dxa"/>
            <w:vAlign w:val="bottom"/>
          </w:tcPr>
          <w:p>
            <w:pPr>
              <w:jc w:val="right"/>
              <w:ind w:right="22"/>
              <w:spacing w:after="0"/>
              <w:rPr>
                <w:sz w:val="20"/>
                <w:szCs w:val="20"/>
                <w:color w:val="auto"/>
              </w:rPr>
            </w:pPr>
            <w:r>
              <w:rPr>
                <w:rFonts w:ascii="Arial" w:cs="Arial" w:eastAsia="Arial" w:hAnsi="Arial"/>
                <w:sz w:val="16"/>
                <w:szCs w:val="16"/>
                <w:b w:val="1"/>
                <w:bCs w:val="1"/>
                <w:color w:val="auto"/>
              </w:rPr>
              <w:t>48,915</w:t>
            </w: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37,001</w:t>
            </w:r>
          </w:p>
        </w:tc>
      </w:tr>
      <w:tr>
        <w:trPr>
          <w:trHeight w:val="229"/>
        </w:trPr>
        <w:tc>
          <w:tcPr>
            <w:tcW w:w="8420" w:type="dxa"/>
            <w:vAlign w:val="bottom"/>
          </w:tcPr>
          <w:p>
            <w:pPr>
              <w:ind w:left="20"/>
              <w:spacing w:after="0"/>
              <w:rPr>
                <w:sz w:val="20"/>
                <w:szCs w:val="20"/>
                <w:color w:val="auto"/>
              </w:rPr>
            </w:pPr>
            <w:r>
              <w:rPr>
                <w:rFonts w:ascii="Arial" w:cs="Arial" w:eastAsia="Arial" w:hAnsi="Arial"/>
                <w:sz w:val="16"/>
                <w:szCs w:val="16"/>
                <w:color w:val="auto"/>
              </w:rPr>
              <w:t>Investments in marketable equity securities and other investments</w:t>
            </w:r>
          </w:p>
        </w:tc>
        <w:tc>
          <w:tcPr>
            <w:tcW w:w="140" w:type="dxa"/>
            <w:vAlign w:val="bottom"/>
          </w:tcPr>
          <w:p>
            <w:pPr>
              <w:spacing w:after="0"/>
              <w:rPr>
                <w:sz w:val="19"/>
                <w:szCs w:val="19"/>
                <w:color w:val="auto"/>
              </w:rPr>
            </w:pPr>
          </w:p>
        </w:tc>
        <w:tc>
          <w:tcPr>
            <w:tcW w:w="1220" w:type="dxa"/>
            <w:vAlign w:val="bottom"/>
          </w:tcPr>
          <w:p>
            <w:pPr>
              <w:jc w:val="right"/>
              <w:ind w:right="22"/>
              <w:spacing w:after="0"/>
              <w:rPr>
                <w:sz w:val="20"/>
                <w:szCs w:val="20"/>
                <w:color w:val="auto"/>
              </w:rPr>
            </w:pPr>
            <w:r>
              <w:rPr>
                <w:rFonts w:ascii="Arial" w:cs="Arial" w:eastAsia="Arial" w:hAnsi="Arial"/>
                <w:sz w:val="16"/>
                <w:szCs w:val="16"/>
                <w:b w:val="1"/>
                <w:bCs w:val="1"/>
                <w:color w:val="auto"/>
              </w:rPr>
              <w:t>909,039</w:t>
            </w: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858,743</w:t>
            </w:r>
          </w:p>
        </w:tc>
      </w:tr>
      <w:tr>
        <w:trPr>
          <w:trHeight w:val="229"/>
        </w:trPr>
        <w:tc>
          <w:tcPr>
            <w:tcW w:w="8420" w:type="dxa"/>
            <w:vAlign w:val="bottom"/>
          </w:tcPr>
          <w:p>
            <w:pPr>
              <w:ind w:left="20"/>
              <w:spacing w:after="0"/>
              <w:rPr>
                <w:sz w:val="20"/>
                <w:szCs w:val="20"/>
                <w:color w:val="auto"/>
              </w:rPr>
            </w:pPr>
            <w:r>
              <w:rPr>
                <w:rFonts w:ascii="Arial" w:cs="Arial" w:eastAsia="Arial" w:hAnsi="Arial"/>
                <w:sz w:val="16"/>
                <w:szCs w:val="16"/>
                <w:color w:val="auto"/>
              </w:rPr>
              <w:t>Total debt</w:t>
            </w:r>
          </w:p>
        </w:tc>
        <w:tc>
          <w:tcPr>
            <w:tcW w:w="140" w:type="dxa"/>
            <w:vAlign w:val="bottom"/>
          </w:tcPr>
          <w:p>
            <w:pPr>
              <w:spacing w:after="0"/>
              <w:rPr>
                <w:sz w:val="19"/>
                <w:szCs w:val="19"/>
                <w:color w:val="auto"/>
              </w:rPr>
            </w:pPr>
          </w:p>
        </w:tc>
        <w:tc>
          <w:tcPr>
            <w:tcW w:w="1220" w:type="dxa"/>
            <w:vAlign w:val="bottom"/>
          </w:tcPr>
          <w:p>
            <w:pPr>
              <w:jc w:val="right"/>
              <w:ind w:right="22"/>
              <w:spacing w:after="0"/>
              <w:rPr>
                <w:sz w:val="20"/>
                <w:szCs w:val="20"/>
                <w:color w:val="auto"/>
              </w:rPr>
            </w:pPr>
            <w:r>
              <w:rPr>
                <w:rFonts w:ascii="Arial" w:cs="Arial" w:eastAsia="Arial" w:hAnsi="Arial"/>
                <w:sz w:val="16"/>
                <w:szCs w:val="16"/>
                <w:b w:val="1"/>
                <w:bCs w:val="1"/>
                <w:color w:val="auto"/>
              </w:rPr>
              <w:t>864,635</w:t>
            </w: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748,192</w:t>
            </w:r>
          </w:p>
        </w:tc>
      </w:tr>
    </w:tbl>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Cash generated by operations is the Company’s primary source of liquidity. The Company maintains investments in a portfolio of marketable</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equity securities, which is considered when assessing the Company’s sources of liquidity. An additional source of liquidity includes the undrawn portion of the Company’s $300 million revolving credit facility, amounting to $115.3 million at March 31, 2025 and the undrawn $50.0</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million delayed draw term loan at the automotive subsidiary.</w:t>
      </w:r>
    </w:p>
    <w:p>
      <w:pPr>
        <w:spacing w:after="0" w:line="140" w:lineRule="exact"/>
        <w:rPr>
          <w:sz w:val="20"/>
          <w:szCs w:val="20"/>
          <w:color w:val="auto"/>
        </w:rPr>
      </w:pPr>
    </w:p>
    <w:p>
      <w:pPr>
        <w:jc w:val="both"/>
        <w:ind w:right="420"/>
        <w:spacing w:after="0" w:line="237" w:lineRule="auto"/>
        <w:rPr>
          <w:sz w:val="20"/>
          <w:szCs w:val="20"/>
          <w:color w:val="auto"/>
        </w:rPr>
      </w:pPr>
      <w:r>
        <w:rPr>
          <w:rFonts w:ascii="Arial" w:cs="Arial" w:eastAsia="Arial" w:hAnsi="Arial"/>
          <w:sz w:val="18"/>
          <w:szCs w:val="18"/>
          <w:color w:val="auto"/>
        </w:rPr>
        <w:t>During the first three months of 2025, the Company’s cash and cash equivalents decreased by $104.2 million, due to the settlement of a significant portion of the mandatorily redeemable noncontrolling interest, capital expenditures, purchase of marketable equity securities,</w:t>
      </w:r>
    </w:p>
    <w:p>
      <w:pPr>
        <w:spacing w:after="0" w:line="1" w:lineRule="exact"/>
        <w:rPr>
          <w:sz w:val="20"/>
          <w:szCs w:val="20"/>
          <w:color w:val="auto"/>
        </w:rPr>
      </w:pPr>
    </w:p>
    <w:p>
      <w:pPr>
        <w:ind w:right="80"/>
        <w:spacing w:after="0"/>
        <w:rPr>
          <w:sz w:val="20"/>
          <w:szCs w:val="20"/>
          <w:color w:val="auto"/>
        </w:rPr>
      </w:pPr>
      <w:r>
        <w:rPr>
          <w:rFonts w:ascii="Arial" w:cs="Arial" w:eastAsia="Arial" w:hAnsi="Arial"/>
          <w:sz w:val="17"/>
          <w:szCs w:val="17"/>
          <w:color w:val="auto"/>
        </w:rPr>
        <w:t>share repurchases, dividend payments, and net repayments of the vehicle floor plan payable, which was offset by cash generated from operations and additional borrowings. In the first three months of 2025, the Company’s borrowings increased by $116.4 million, primarily due</w:t>
      </w:r>
    </w:p>
    <w:p>
      <w:pPr>
        <w:spacing w:after="0" w:line="1" w:lineRule="exact"/>
        <w:rPr>
          <w:sz w:val="20"/>
          <w:szCs w:val="20"/>
          <w:color w:val="auto"/>
        </w:rPr>
      </w:pPr>
    </w:p>
    <w:p>
      <w:pPr>
        <w:ind w:right="880"/>
        <w:spacing w:after="0" w:line="250" w:lineRule="auto"/>
        <w:rPr>
          <w:sz w:val="20"/>
          <w:szCs w:val="20"/>
          <w:color w:val="auto"/>
        </w:rPr>
      </w:pPr>
      <w:r>
        <w:rPr>
          <w:rFonts w:ascii="Arial" w:cs="Arial" w:eastAsia="Arial" w:hAnsi="Arial"/>
          <w:sz w:val="18"/>
          <w:szCs w:val="18"/>
          <w:color w:val="auto"/>
        </w:rPr>
        <w:t>to net borrowings under the revolving credit facility, partially offset by repayments under the term loan and commercial notes at the automotive subsidiary.</w:t>
      </w:r>
    </w:p>
    <w:p>
      <w:pPr>
        <w:spacing w:after="0" w:line="104" w:lineRule="exact"/>
        <w:rPr>
          <w:sz w:val="20"/>
          <w:szCs w:val="20"/>
          <w:color w:val="auto"/>
        </w:rPr>
      </w:pPr>
    </w:p>
    <w:p>
      <w:pPr>
        <w:ind w:right="440"/>
        <w:spacing w:after="0" w:line="245" w:lineRule="auto"/>
        <w:rPr>
          <w:sz w:val="20"/>
          <w:szCs w:val="20"/>
          <w:color w:val="auto"/>
        </w:rPr>
      </w:pPr>
      <w:r>
        <w:rPr>
          <w:rFonts w:ascii="Arial" w:cs="Arial" w:eastAsia="Arial" w:hAnsi="Arial"/>
          <w:sz w:val="18"/>
          <w:szCs w:val="18"/>
          <w:color w:val="auto"/>
        </w:rPr>
        <w:t>As of March 31, 2025 and December 31, 2024, the Company had money market investments of $6.2 million and $3.9 million, that are included in cash and cash equivalents. At March 31, 2025, the Company held approximately $92 million in cash and cash equivalents in</w:t>
      </w:r>
    </w:p>
    <w:p>
      <w:pPr>
        <w:ind w:right="220"/>
        <w:spacing w:after="0"/>
        <w:rPr>
          <w:sz w:val="20"/>
          <w:szCs w:val="20"/>
          <w:color w:val="auto"/>
        </w:rPr>
      </w:pPr>
      <w:r>
        <w:rPr>
          <w:rFonts w:ascii="Arial" w:cs="Arial" w:eastAsia="Arial" w:hAnsi="Arial"/>
          <w:sz w:val="17"/>
          <w:szCs w:val="17"/>
          <w:color w:val="auto"/>
        </w:rPr>
        <w:t>businesses domiciled outside the U.S., of which approximately $8 million is not available for immediate use in operations or for distribution. Additionally, Kaplan’s business operations outside the U.S. retain cash balances to support ongoing working capital requirements, capital</w:t>
      </w:r>
    </w:p>
    <w:p>
      <w:pPr>
        <w:spacing w:after="0" w:line="1" w:lineRule="exact"/>
        <w:rPr>
          <w:sz w:val="20"/>
          <w:szCs w:val="20"/>
          <w:color w:val="auto"/>
        </w:rPr>
      </w:pPr>
    </w:p>
    <w:p>
      <w:pPr>
        <w:ind w:right="640"/>
        <w:spacing w:after="0" w:line="250" w:lineRule="auto"/>
        <w:rPr>
          <w:sz w:val="20"/>
          <w:szCs w:val="20"/>
          <w:color w:val="auto"/>
        </w:rPr>
      </w:pPr>
      <w:r>
        <w:rPr>
          <w:rFonts w:ascii="Arial" w:cs="Arial" w:eastAsia="Arial" w:hAnsi="Arial"/>
          <w:sz w:val="18"/>
          <w:szCs w:val="18"/>
          <w:color w:val="auto"/>
        </w:rPr>
        <w:t>expenditures, and regulatory requirements. As a result, the Company considers a significant portion of the cash and cash equivalents balance held outside the U.S. as not readily available for use in U.S. operations.</w:t>
      </w:r>
    </w:p>
    <w:p>
      <w:pPr>
        <w:spacing w:after="0" w:line="104" w:lineRule="exact"/>
        <w:rPr>
          <w:sz w:val="20"/>
          <w:szCs w:val="20"/>
          <w:color w:val="auto"/>
        </w:rPr>
      </w:pPr>
    </w:p>
    <w:p>
      <w:pPr>
        <w:ind w:right="400"/>
        <w:spacing w:after="0" w:line="245" w:lineRule="auto"/>
        <w:rPr>
          <w:sz w:val="20"/>
          <w:szCs w:val="20"/>
          <w:color w:val="auto"/>
        </w:rPr>
      </w:pPr>
      <w:r>
        <w:rPr>
          <w:rFonts w:ascii="Arial" w:cs="Arial" w:eastAsia="Arial" w:hAnsi="Arial"/>
          <w:sz w:val="18"/>
          <w:szCs w:val="18"/>
          <w:color w:val="auto"/>
        </w:rPr>
        <w:t>At March 31, 2025, the fair value of the Company’s investments in marketable equity securities was $901.1 million, which includes investments in the common stock of four publicly traded companies. During the first three months of 2025, the Company purchased $4.8</w:t>
      </w:r>
    </w:p>
    <w:p>
      <w:pPr>
        <w:ind w:right="820"/>
        <w:spacing w:after="0" w:line="237" w:lineRule="auto"/>
        <w:rPr>
          <w:sz w:val="20"/>
          <w:szCs w:val="20"/>
          <w:color w:val="auto"/>
        </w:rPr>
      </w:pPr>
      <w:r>
        <w:rPr>
          <w:rFonts w:ascii="Arial" w:cs="Arial" w:eastAsia="Arial" w:hAnsi="Arial"/>
          <w:sz w:val="18"/>
          <w:szCs w:val="18"/>
          <w:color w:val="auto"/>
        </w:rPr>
        <w:t>million of marketable equity securities. There were no sales of marketable equity securities during the first three months of 2025. At March 31, 2025, the net unrealized gain related to the Company’s investments totaled $669.1 million.</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The Company had working capital of $777.0 million and $898.8 million at March 31, 2025 and December 31, 2024, respectively. The</w:t>
      </w:r>
    </w:p>
    <w:p>
      <w:pPr>
        <w:spacing w:after="0" w:line="14" w:lineRule="exact"/>
        <w:rPr>
          <w:sz w:val="20"/>
          <w:szCs w:val="20"/>
          <w:color w:val="auto"/>
        </w:rPr>
      </w:pPr>
    </w:p>
    <w:p>
      <w:pPr>
        <w:ind w:right="660"/>
        <w:spacing w:after="0" w:line="237" w:lineRule="auto"/>
        <w:rPr>
          <w:sz w:val="20"/>
          <w:szCs w:val="20"/>
          <w:color w:val="auto"/>
        </w:rPr>
      </w:pPr>
      <w:r>
        <w:rPr>
          <w:rFonts w:ascii="Arial" w:cs="Arial" w:eastAsia="Arial" w:hAnsi="Arial"/>
          <w:sz w:val="18"/>
          <w:szCs w:val="18"/>
          <w:color w:val="auto"/>
        </w:rPr>
        <w:t>Company maintains working capital levels consistent with its underlying business requirements and consistently generates cash from operations in excess of required interest or principal payments.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At March 31, 2025 and December 31, 2024, the Company had borrowings outstanding of $864.6 million and $748.2 million, respectively. The</w:t>
      </w:r>
    </w:p>
    <w:p>
      <w:pPr>
        <w:spacing w:after="0" w:line="14" w:lineRule="exact"/>
        <w:rPr>
          <w:sz w:val="20"/>
          <w:szCs w:val="20"/>
          <w:color w:val="auto"/>
        </w:rPr>
      </w:pPr>
    </w:p>
    <w:p>
      <w:pPr>
        <w:ind w:right="160"/>
        <w:spacing w:after="0"/>
        <w:rPr>
          <w:sz w:val="20"/>
          <w:szCs w:val="20"/>
          <w:color w:val="auto"/>
        </w:rPr>
      </w:pPr>
      <w:r>
        <w:rPr>
          <w:rFonts w:ascii="Arial" w:cs="Arial" w:eastAsia="Arial" w:hAnsi="Arial"/>
          <w:sz w:val="17"/>
          <w:szCs w:val="17"/>
          <w:color w:val="auto"/>
        </w:rPr>
        <w:t>Company’s borrowings at March 31, 2025 were mostly from $ 400.0 million of 5.75% unsecured notes due June 1, 2026, $184.7 million in outstanding borrowings under the Company’s revolving credit facility, a term loan of $138.3 million, and real estate and capital term loans of</w:t>
      </w:r>
    </w:p>
    <w:p>
      <w:pPr>
        <w:spacing w:after="0" w:line="1" w:lineRule="exact"/>
        <w:rPr>
          <w:sz w:val="20"/>
          <w:szCs w:val="20"/>
          <w:color w:val="auto"/>
        </w:rPr>
      </w:pPr>
    </w:p>
    <w:p>
      <w:pPr>
        <w:ind w:right="380"/>
        <w:spacing w:after="0" w:line="250" w:lineRule="auto"/>
        <w:rPr>
          <w:sz w:val="20"/>
          <w:szCs w:val="20"/>
          <w:color w:val="auto"/>
        </w:rPr>
      </w:pPr>
      <w:r>
        <w:rPr>
          <w:rFonts w:ascii="Arial" w:cs="Arial" w:eastAsia="Arial" w:hAnsi="Arial"/>
          <w:sz w:val="18"/>
          <w:szCs w:val="18"/>
          <w:color w:val="auto"/>
        </w:rPr>
        <w:t>$125.0 million at the automotive subsidiary. The Company’s borrowings at December 31, 2024 were mostly from $400.0 million of 5.75% unsecured notes due June 1, 2026, $62.8 million in outstanding borrowings under the Company’s revolving credit facility, a</w:t>
      </w: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30" w:name="page31"/>
    <w:bookmarkEnd w:id="30"/>
    <w:p>
      <w:pPr>
        <w:ind w:right="160"/>
        <w:spacing w:after="0" w:line="271" w:lineRule="auto"/>
        <w:rPr>
          <w:sz w:val="20"/>
          <w:szCs w:val="20"/>
          <w:color w:val="auto"/>
        </w:rPr>
      </w:pPr>
      <w:r>
        <w:rPr>
          <w:rFonts w:ascii="Arial" w:cs="Arial" w:eastAsia="Arial" w:hAnsi="Arial"/>
          <w:sz w:val="18"/>
          <w:szCs w:val="18"/>
          <w:color w:val="auto"/>
        </w:rPr>
        <w:t>term loan of $140.1 million, and real estate and capital term loans of $127.6 million at the automotive subsidiary. The interest on the $400.0 million of 5.75% unsecured notes is payable semiannually on June 1 and December 1.</w:t>
      </w:r>
    </w:p>
    <w:p>
      <w:pPr>
        <w:spacing w:after="0" w:line="86" w:lineRule="exact"/>
        <w:rPr>
          <w:sz w:val="20"/>
          <w:szCs w:val="20"/>
          <w:color w:val="auto"/>
        </w:rPr>
      </w:pPr>
    </w:p>
    <w:p>
      <w:pPr>
        <w:ind w:right="460"/>
        <w:spacing w:after="0" w:line="259" w:lineRule="auto"/>
        <w:rPr>
          <w:sz w:val="20"/>
          <w:szCs w:val="20"/>
          <w:color w:val="auto"/>
        </w:rPr>
      </w:pPr>
      <w:r>
        <w:rPr>
          <w:rFonts w:ascii="Arial" w:cs="Arial" w:eastAsia="Arial" w:hAnsi="Arial"/>
          <w:sz w:val="17"/>
          <w:szCs w:val="17"/>
          <w:color w:val="auto"/>
        </w:rPr>
        <w:t>During the three months ended March 31, 2025 and 2024, the Company had average borrowings outstanding of approximately $789.1 million and $810.7 million, respectively, at average annual interest rates of approximately 6.0% and 6.4%, respectively. During the three</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months ended March 31, 2025 and 2024, the Company incurred net interest expense of $79.8 million and $17.2 million, respectively. Included in the interest expense for the three months ended March 31, 2025 and 2024 is $66.4 million and $1.9 million, respectively, to adjust</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the mandatorily redeemable noncontrolling interest (see Notes 7 and 8).</w:t>
      </w:r>
    </w:p>
    <w:p>
      <w:pPr>
        <w:spacing w:after="0" w:line="140" w:lineRule="exact"/>
        <w:rPr>
          <w:sz w:val="20"/>
          <w:szCs w:val="20"/>
          <w:color w:val="auto"/>
        </w:rPr>
      </w:pPr>
    </w:p>
    <w:p>
      <w:pPr>
        <w:ind w:right="360"/>
        <w:spacing w:after="0" w:line="237" w:lineRule="auto"/>
        <w:rPr>
          <w:sz w:val="20"/>
          <w:szCs w:val="20"/>
          <w:color w:val="auto"/>
        </w:rPr>
      </w:pPr>
      <w:r>
        <w:rPr>
          <w:rFonts w:ascii="Arial" w:cs="Arial" w:eastAsia="Arial" w:hAnsi="Arial"/>
          <w:sz w:val="18"/>
          <w:szCs w:val="18"/>
          <w:color w:val="auto"/>
        </w:rPr>
        <w:t>On February 25, 2025, the Company and a group of minority shareholders entered into an agreement to settle a significant portion of the mandatorily redeemable noncontrolling interest related to GHC One, including CSI, for a total of $205 million, which consisted of</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approximately $186.25 million in cash and $18.75 million in Graham Holdings Company Class B common stock.</w:t>
      </w:r>
    </w:p>
    <w:p>
      <w:pPr>
        <w:spacing w:after="0" w:line="140"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The settlement agreement resulted in a $66.2 million increase to the mandatorily redeemable noncontrolling interest obligation, which the Company recorded as interest expense in the first quarter of 2025. The remaining mandatorily redeemable noncontrolling interest obligation</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related to GHC One and GHC Two was $20.7 million at March 31, 2025.</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On December 20, 2024, Moody’s affirmed the Company’s credit rating and maintained the outlook as Stable. On October 18, 2024, Standard</w:t>
      </w:r>
    </w:p>
    <w:p>
      <w:pPr>
        <w:ind w:right="4540" w:firstLine="8"/>
        <w:spacing w:after="0" w:line="438" w:lineRule="auto"/>
        <w:tabs>
          <w:tab w:leader="none" w:pos="17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Poor’s affirmed the Company’s credit rating and maintained the outlook as Stable. The Company’s current credit ratings are as follows:</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660" w:type="dxa"/>
            <w:vAlign w:val="bottom"/>
            <w:tcBorders>
              <w:bottom w:val="single" w:sz="8" w:color="auto"/>
            </w:tcBorders>
          </w:tcPr>
          <w:p>
            <w:pPr>
              <w:spacing w:after="0"/>
              <w:rPr>
                <w:sz w:val="17"/>
                <w:szCs w:val="17"/>
                <w:color w:val="auto"/>
              </w:rPr>
            </w:pPr>
          </w:p>
        </w:tc>
        <w:tc>
          <w:tcPr>
            <w:tcW w:w="4760" w:type="dxa"/>
            <w:vAlign w:val="bottom"/>
            <w:tcBorders>
              <w:bottom w:val="single" w:sz="8" w:color="auto"/>
            </w:tcBorders>
          </w:tcPr>
          <w:p>
            <w:pPr>
              <w:jc w:val="center"/>
              <w:ind w:left="3502"/>
              <w:spacing w:after="0"/>
              <w:rPr>
                <w:sz w:val="20"/>
                <w:szCs w:val="20"/>
                <w:color w:val="auto"/>
              </w:rPr>
            </w:pPr>
            <w:r>
              <w:rPr>
                <w:rFonts w:ascii="Arial" w:cs="Arial" w:eastAsia="Arial" w:hAnsi="Arial"/>
                <w:sz w:val="14"/>
                <w:szCs w:val="14"/>
                <w:b w:val="1"/>
                <w:bCs w:val="1"/>
                <w:color w:val="auto"/>
              </w:rPr>
              <w:t>Moody’s</w:t>
            </w: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Standard &amp; Poor’s</w:t>
            </w:r>
          </w:p>
        </w:tc>
      </w:tr>
      <w:tr>
        <w:trPr>
          <w:trHeight w:val="215"/>
        </w:trPr>
        <w:tc>
          <w:tcPr>
            <w:tcW w:w="4660" w:type="dxa"/>
            <w:vAlign w:val="bottom"/>
          </w:tcPr>
          <w:p>
            <w:pPr>
              <w:ind w:left="20"/>
              <w:spacing w:after="0"/>
              <w:rPr>
                <w:sz w:val="20"/>
                <w:szCs w:val="20"/>
                <w:color w:val="auto"/>
              </w:rPr>
            </w:pPr>
            <w:r>
              <w:rPr>
                <w:rFonts w:ascii="Arial" w:cs="Arial" w:eastAsia="Arial" w:hAnsi="Arial"/>
                <w:sz w:val="16"/>
                <w:szCs w:val="16"/>
                <w:color w:val="auto"/>
              </w:rPr>
              <w:t>Long-term</w:t>
            </w:r>
          </w:p>
        </w:tc>
        <w:tc>
          <w:tcPr>
            <w:tcW w:w="4760" w:type="dxa"/>
            <w:vAlign w:val="bottom"/>
          </w:tcPr>
          <w:p>
            <w:pPr>
              <w:jc w:val="center"/>
              <w:ind w:left="3522"/>
              <w:spacing w:after="0"/>
              <w:rPr>
                <w:sz w:val="20"/>
                <w:szCs w:val="20"/>
                <w:color w:val="auto"/>
              </w:rPr>
            </w:pPr>
            <w:r>
              <w:rPr>
                <w:rFonts w:ascii="Arial" w:cs="Arial" w:eastAsia="Arial" w:hAnsi="Arial"/>
                <w:sz w:val="16"/>
                <w:szCs w:val="16"/>
                <w:color w:val="auto"/>
                <w:w w:val="98"/>
              </w:rPr>
              <w:t>Ba1</w:t>
            </w:r>
          </w:p>
        </w:tc>
        <w:tc>
          <w:tcPr>
            <w:tcW w:w="1800" w:type="dxa"/>
            <w:vAlign w:val="bottom"/>
          </w:tcPr>
          <w:p>
            <w:pPr>
              <w:jc w:val="center"/>
              <w:spacing w:after="0"/>
              <w:rPr>
                <w:sz w:val="20"/>
                <w:szCs w:val="20"/>
                <w:color w:val="auto"/>
              </w:rPr>
            </w:pPr>
            <w:r>
              <w:rPr>
                <w:rFonts w:ascii="Arial" w:cs="Arial" w:eastAsia="Arial" w:hAnsi="Arial"/>
                <w:sz w:val="16"/>
                <w:szCs w:val="16"/>
                <w:color w:val="auto"/>
              </w:rPr>
              <w:t>BB</w:t>
            </w:r>
          </w:p>
        </w:tc>
      </w:tr>
      <w:tr>
        <w:trPr>
          <w:trHeight w:val="229"/>
        </w:trPr>
        <w:tc>
          <w:tcPr>
            <w:tcW w:w="4660" w:type="dxa"/>
            <w:vAlign w:val="bottom"/>
          </w:tcPr>
          <w:p>
            <w:pPr>
              <w:ind w:left="20"/>
              <w:spacing w:after="0"/>
              <w:rPr>
                <w:sz w:val="20"/>
                <w:szCs w:val="20"/>
                <w:color w:val="auto"/>
              </w:rPr>
            </w:pPr>
            <w:r>
              <w:rPr>
                <w:rFonts w:ascii="Arial" w:cs="Arial" w:eastAsia="Arial" w:hAnsi="Arial"/>
                <w:sz w:val="16"/>
                <w:szCs w:val="16"/>
                <w:color w:val="auto"/>
              </w:rPr>
              <w:t>Outlook</w:t>
            </w:r>
          </w:p>
        </w:tc>
        <w:tc>
          <w:tcPr>
            <w:tcW w:w="4760" w:type="dxa"/>
            <w:vAlign w:val="bottom"/>
          </w:tcPr>
          <w:p>
            <w:pPr>
              <w:jc w:val="center"/>
              <w:ind w:left="3502"/>
              <w:spacing w:after="0"/>
              <w:rPr>
                <w:sz w:val="20"/>
                <w:szCs w:val="20"/>
                <w:color w:val="auto"/>
              </w:rPr>
            </w:pPr>
            <w:r>
              <w:rPr>
                <w:rFonts w:ascii="Arial" w:cs="Arial" w:eastAsia="Arial" w:hAnsi="Arial"/>
                <w:sz w:val="16"/>
                <w:szCs w:val="16"/>
                <w:color w:val="auto"/>
              </w:rPr>
              <w:t>Stable</w:t>
            </w:r>
          </w:p>
        </w:tc>
        <w:tc>
          <w:tcPr>
            <w:tcW w:w="1800" w:type="dxa"/>
            <w:vAlign w:val="bottom"/>
          </w:tcPr>
          <w:p>
            <w:pPr>
              <w:jc w:val="center"/>
              <w:spacing w:after="0"/>
              <w:rPr>
                <w:sz w:val="20"/>
                <w:szCs w:val="20"/>
                <w:color w:val="auto"/>
              </w:rPr>
            </w:pPr>
            <w:r>
              <w:rPr>
                <w:rFonts w:ascii="Arial" w:cs="Arial" w:eastAsia="Arial" w:hAnsi="Arial"/>
                <w:sz w:val="16"/>
                <w:szCs w:val="16"/>
                <w:color w:val="auto"/>
              </w:rPr>
              <w:t>Stable</w:t>
            </w:r>
          </w:p>
        </w:tc>
      </w:tr>
    </w:tbl>
    <w:p>
      <w:pPr>
        <w:spacing w:after="0" w:line="226" w:lineRule="exact"/>
        <w:rPr>
          <w:sz w:val="20"/>
          <w:szCs w:val="20"/>
          <w:color w:val="auto"/>
        </w:rPr>
      </w:pPr>
    </w:p>
    <w:p>
      <w:pPr>
        <w:spacing w:after="0"/>
        <w:rPr>
          <w:sz w:val="20"/>
          <w:szCs w:val="20"/>
          <w:color w:val="auto"/>
        </w:rPr>
      </w:pPr>
      <w:r>
        <w:rPr>
          <w:rFonts w:ascii="Arial" w:cs="Arial" w:eastAsia="Arial" w:hAnsi="Arial"/>
          <w:sz w:val="18"/>
          <w:szCs w:val="18"/>
          <w:color w:val="auto"/>
        </w:rPr>
        <w:t>The Company expects to fund its estimated capital needs primarily through existing cash balances and internally generated funds, and, as</w:t>
      </w:r>
    </w:p>
    <w:p>
      <w:pPr>
        <w:spacing w:after="0" w:line="14" w:lineRule="exact"/>
        <w:rPr>
          <w:sz w:val="20"/>
          <w:szCs w:val="20"/>
          <w:color w:val="auto"/>
        </w:rPr>
      </w:pPr>
    </w:p>
    <w:p>
      <w:pPr>
        <w:ind w:right="400"/>
        <w:spacing w:after="0"/>
        <w:rPr>
          <w:sz w:val="20"/>
          <w:szCs w:val="20"/>
          <w:color w:val="auto"/>
        </w:rPr>
      </w:pPr>
      <w:r>
        <w:rPr>
          <w:rFonts w:ascii="Arial" w:cs="Arial" w:eastAsia="Arial" w:hAnsi="Arial"/>
          <w:sz w:val="17"/>
          <w:szCs w:val="17"/>
          <w:color w:val="auto"/>
        </w:rPr>
        <w:t>needed, from borrowings under its revolving credit facility. As of March 31, 2025, the Company had $184.7 million outstanding under the $300 million revolving credit facility. In management’s opinion, the Company will have sufficient financial resources to meet its business</w:t>
      </w:r>
    </w:p>
    <w:p>
      <w:pPr>
        <w:spacing w:after="0" w:line="1" w:lineRule="exact"/>
        <w:rPr>
          <w:sz w:val="20"/>
          <w:szCs w:val="20"/>
          <w:color w:val="auto"/>
        </w:rPr>
      </w:pPr>
    </w:p>
    <w:p>
      <w:pPr>
        <w:ind w:right="260"/>
        <w:spacing w:after="0" w:line="250" w:lineRule="auto"/>
        <w:rPr>
          <w:sz w:val="20"/>
          <w:szCs w:val="20"/>
          <w:color w:val="auto"/>
        </w:rPr>
      </w:pPr>
      <w:r>
        <w:rPr>
          <w:rFonts w:ascii="Arial" w:cs="Arial" w:eastAsia="Arial" w:hAnsi="Arial"/>
          <w:sz w:val="18"/>
          <w:szCs w:val="18"/>
          <w:color w:val="auto"/>
        </w:rPr>
        <w:t>requirements in the next 12 months, including working capital requirements, capital expenditures, interest payments, potential acquisitions and strategic investments, dividends and stock repurchases.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In summary, the Company’s cash flows for each period were as follows:</w:t>
      </w:r>
    </w:p>
    <w:p>
      <w:pPr>
        <w:spacing w:after="0" w:line="221" w:lineRule="exact"/>
        <w:rPr>
          <w:sz w:val="20"/>
          <w:szCs w:val="20"/>
          <w:color w:val="auto"/>
        </w:rPr>
      </w:pPr>
    </w:p>
    <w:p>
      <w:pPr>
        <w:ind w:left="9080"/>
        <w:spacing w:after="0"/>
        <w:rPr>
          <w:sz w:val="20"/>
          <w:szCs w:val="20"/>
          <w:color w:val="auto"/>
        </w:rPr>
      </w:pPr>
      <w:r>
        <w:rPr>
          <w:rFonts w:ascii="Arial" w:cs="Arial" w:eastAsia="Arial" w:hAnsi="Arial"/>
          <w:sz w:val="14"/>
          <w:szCs w:val="14"/>
          <w:b w:val="1"/>
          <w:bCs w:val="1"/>
          <w:color w:val="auto"/>
        </w:rPr>
        <w:t>Three Months Ended</w:t>
      </w:r>
    </w:p>
    <w:p>
      <w:pPr>
        <w:spacing w:after="0" w:line="15" w:lineRule="exact"/>
        <w:rPr>
          <w:sz w:val="20"/>
          <w:szCs w:val="20"/>
          <w:color w:val="auto"/>
        </w:rPr>
      </w:pPr>
    </w:p>
    <w:p>
      <w:pPr>
        <w:ind w:left="9520"/>
        <w:spacing w:after="0"/>
        <w:rPr>
          <w:sz w:val="20"/>
          <w:szCs w:val="20"/>
          <w:color w:val="auto"/>
        </w:rPr>
      </w:pPr>
      <w:r>
        <w:rPr>
          <w:rFonts w:ascii="Arial" w:cs="Arial" w:eastAsia="Arial" w:hAnsi="Arial"/>
          <w:sz w:val="14"/>
          <w:szCs w:val="14"/>
          <w:b w:val="1"/>
          <w:bCs w:val="1"/>
          <w:color w:val="auto"/>
        </w:rPr>
        <w:t>March 31</w:t>
      </w:r>
    </w:p>
    <w:p>
      <w:pPr>
        <w:spacing w:after="0" w:line="21" w:lineRule="exact"/>
        <w:rPr>
          <w:sz w:val="20"/>
          <w:szCs w:val="20"/>
          <w:color w:val="auto"/>
        </w:rPr>
      </w:pPr>
    </w:p>
    <w:tbl>
      <w:tblPr>
        <w:tblLayout w:type="fixed"/>
        <w:tblInd w:w="20" w:type="dxa"/>
        <w:tblCellMar>
          <w:top w:w="0" w:type="dxa"/>
          <w:left w:w="0" w:type="dxa"/>
          <w:bottom w:w="0" w:type="dxa"/>
          <w:right w:w="0" w:type="dxa"/>
        </w:tblCellMar>
      </w:tblPr>
      <w:tr>
        <w:trPr>
          <w:trHeight w:val="196"/>
        </w:trPr>
        <w:tc>
          <w:tcPr>
            <w:tcW w:w="840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1380" w:type="dxa"/>
            <w:vAlign w:val="bottom"/>
            <w:tcBorders>
              <w:top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2025</w:t>
            </w:r>
          </w:p>
        </w:tc>
        <w:tc>
          <w:tcPr>
            <w:tcW w:w="1400" w:type="dxa"/>
            <w:vAlign w:val="bottom"/>
            <w:tcBorders>
              <w:top w:val="single" w:sz="8" w:color="auto"/>
            </w:tcBorders>
          </w:tcPr>
          <w:p>
            <w:pPr>
              <w:jc w:val="right"/>
              <w:ind w:right="428"/>
              <w:spacing w:after="0"/>
              <w:rPr>
                <w:sz w:val="20"/>
                <w:szCs w:val="20"/>
                <w:color w:val="auto"/>
              </w:rPr>
            </w:pPr>
            <w:r>
              <w:rPr>
                <w:rFonts w:ascii="Arial" w:cs="Arial" w:eastAsia="Arial" w:hAnsi="Arial"/>
                <w:sz w:val="14"/>
                <w:szCs w:val="14"/>
                <w:color w:val="auto"/>
              </w:rPr>
              <w:t>2024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wp:posOffset>
            </wp:positionV>
            <wp:extent cx="710628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06285" cy="8890"/>
                    </a:xfrm>
                    <a:prstGeom prst="rect">
                      <a:avLst/>
                    </a:prstGeom>
                    <a:noFill/>
                  </pic:spPr>
                </pic:pic>
              </a:graphicData>
            </a:graphic>
          </wp:anchor>
        </w:drawing>
      </w:r>
    </w:p>
    <w:p>
      <w:pPr>
        <w:sectPr>
          <w:pgSz w:w="11900" w:h="16838" w:orient="portrait"/>
          <w:cols w:equalWidth="0" w:num="1">
            <w:col w:w="11220"/>
          </w:cols>
          <w:pgMar w:left="320" w:top="931" w:right="359" w:bottom="1440" w:gutter="0" w:footer="0" w:header="0"/>
        </w:sectPr>
      </w:pPr>
    </w:p>
    <w:p>
      <w:pPr>
        <w:spacing w:after="0" w:line="28" w:lineRule="exact"/>
        <w:rPr>
          <w:sz w:val="20"/>
          <w:szCs w:val="20"/>
          <w:color w:val="auto"/>
        </w:rPr>
      </w:pPr>
    </w:p>
    <w:p>
      <w:pPr>
        <w:ind w:left="20"/>
        <w:spacing w:after="0"/>
        <w:rPr>
          <w:sz w:val="20"/>
          <w:szCs w:val="20"/>
          <w:color w:val="auto"/>
        </w:rPr>
      </w:pPr>
      <w:r>
        <w:rPr>
          <w:rFonts w:ascii="Arial" w:cs="Arial" w:eastAsia="Arial" w:hAnsi="Arial"/>
          <w:sz w:val="16"/>
          <w:szCs w:val="16"/>
          <w:color w:val="auto"/>
        </w:rPr>
        <w:t>Net cash provided by operating activities</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Net cash used in investing activities</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Net cash (used in) provided by financing activities</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Effect of currency exchange rate change</w:t>
      </w:r>
    </w:p>
    <w:p>
      <w:pPr>
        <w:spacing w:after="0" w:line="8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Net decrease in cash and cash equivalents and restricted cash</w:t>
      </w:r>
    </w:p>
    <w:p>
      <w:pPr>
        <w:spacing w:after="0" w:line="20" w:lineRule="exact"/>
        <w:rPr>
          <w:sz w:val="20"/>
          <w:szCs w:val="20"/>
          <w:color w:val="auto"/>
        </w:rPr>
      </w:pPr>
      <w:r>
        <w:rPr>
          <w:sz w:val="20"/>
          <w:szCs w:val="20"/>
          <w:color w:val="auto"/>
        </w:rPr>
        <w:br w:type="column"/>
      </w:r>
    </w:p>
    <w:p>
      <w:pPr>
        <w:spacing w:after="0" w:line="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3"/>
        </w:trPr>
        <w:tc>
          <w:tcPr>
            <w:tcW w:w="360" w:type="dxa"/>
            <w:vAlign w:val="bottom"/>
          </w:tcPr>
          <w:p>
            <w:pPr>
              <w:jc w:val="right"/>
              <w:ind w:right="179"/>
              <w:spacing w:after="0"/>
              <w:rPr>
                <w:sz w:val="20"/>
                <w:szCs w:val="20"/>
                <w:color w:val="auto"/>
              </w:rPr>
            </w:pPr>
            <w:r>
              <w:rPr>
                <w:rFonts w:ascii="Arial" w:cs="Arial" w:eastAsia="Arial" w:hAnsi="Arial"/>
                <w:sz w:val="16"/>
                <w:szCs w:val="16"/>
                <w:b w:val="1"/>
                <w:bCs w:val="1"/>
                <w:color w:val="auto"/>
                <w:w w:val="89"/>
              </w:rPr>
              <w:t>$</w:t>
            </w:r>
          </w:p>
        </w:tc>
        <w:tc>
          <w:tcPr>
            <w:tcW w:w="1020" w:type="dxa"/>
            <w:vAlign w:val="bottom"/>
          </w:tcPr>
          <w:p>
            <w:pPr>
              <w:jc w:val="right"/>
              <w:ind w:right="39"/>
              <w:spacing w:after="0"/>
              <w:rPr>
                <w:sz w:val="20"/>
                <w:szCs w:val="20"/>
                <w:color w:val="auto"/>
              </w:rPr>
            </w:pPr>
            <w:r>
              <w:rPr>
                <w:rFonts w:ascii="Arial" w:cs="Arial" w:eastAsia="Arial" w:hAnsi="Arial"/>
                <w:sz w:val="16"/>
                <w:szCs w:val="16"/>
                <w:b w:val="1"/>
                <w:bCs w:val="1"/>
                <w:color w:val="auto"/>
              </w:rPr>
              <w:t>46,014</w:t>
            </w:r>
          </w:p>
        </w:tc>
        <w:tc>
          <w:tcPr>
            <w:tcW w:w="48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1,067</w:t>
            </w:r>
          </w:p>
        </w:tc>
      </w:tr>
      <w:tr>
        <w:trPr>
          <w:trHeight w:val="229"/>
        </w:trPr>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(18,590)</w:t>
            </w:r>
          </w:p>
        </w:tc>
        <w:tc>
          <w:tcPr>
            <w:tcW w:w="4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(20,962)</w:t>
            </w:r>
          </w:p>
        </w:tc>
      </w:tr>
      <w:tr>
        <w:trPr>
          <w:trHeight w:val="230"/>
        </w:trPr>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(121,727)</w:t>
            </w:r>
          </w:p>
        </w:tc>
        <w:tc>
          <w:tcPr>
            <w:tcW w:w="4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1,526</w:t>
            </w:r>
          </w:p>
        </w:tc>
      </w:tr>
      <w:tr>
        <w:trPr>
          <w:trHeight w:val="233"/>
        </w:trPr>
        <w:tc>
          <w:tcPr>
            <w:tcW w:w="3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3,388</w:t>
            </w:r>
          </w:p>
        </w:tc>
        <w:tc>
          <w:tcPr>
            <w:tcW w:w="4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(4,539)</w:t>
            </w:r>
          </w:p>
        </w:tc>
      </w:tr>
      <w:tr>
        <w:trPr>
          <w:trHeight w:val="223"/>
        </w:trPr>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(90,915)</w:t>
            </w:r>
          </w:p>
        </w:tc>
        <w:tc>
          <w:tcPr>
            <w:tcW w:w="48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(22,908)</w:t>
            </w:r>
          </w:p>
        </w:tc>
      </w:tr>
      <w:tr>
        <w:trPr>
          <w:trHeight w:val="24"/>
        </w:trPr>
        <w:tc>
          <w:tcPr>
            <w:tcW w:w="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2">
            <w:col w:w="7700" w:space="720"/>
            <w:col w:w="2800"/>
          </w:cols>
          <w:pgMar w:left="320" w:top="931" w:right="359" w:bottom="1440" w:gutter="0" w:footer="0" w:header="0"/>
          <w:type w:val="continuous"/>
        </w:sectPr>
      </w:pPr>
    </w:p>
    <w:p>
      <w:pPr>
        <w:spacing w:after="0" w:line="24" w:lineRule="exact"/>
        <w:rPr>
          <w:sz w:val="20"/>
          <w:szCs w:val="20"/>
          <w:color w:val="auto"/>
        </w:rPr>
      </w:pPr>
    </w:p>
    <w:p>
      <w:pPr>
        <w:ind w:right="320"/>
        <w:spacing w:after="0" w:line="256" w:lineRule="auto"/>
        <w:rPr>
          <w:sz w:val="20"/>
          <w:szCs w:val="20"/>
          <w:color w:val="auto"/>
        </w:rPr>
      </w:pPr>
      <w:r>
        <w:rPr>
          <w:rFonts w:ascii="Arial" w:cs="Arial" w:eastAsia="Arial" w:hAnsi="Arial"/>
          <w:sz w:val="18"/>
          <w:szCs w:val="18"/>
          <w:b w:val="1"/>
          <w:bCs w:val="1"/>
          <w:color w:val="auto"/>
        </w:rPr>
        <w:t xml:space="preserve">Operating Activities. </w:t>
      </w:r>
      <w:r>
        <w:rPr>
          <w:rFonts w:ascii="Arial" w:cs="Arial" w:eastAsia="Arial" w:hAnsi="Arial"/>
          <w:sz w:val="18"/>
          <w:szCs w:val="18"/>
          <w:color w:val="auto"/>
        </w:rPr>
        <w:t>Cash provided by operating activities is net income adjusted for certain non-cash items and changes in assets and</w:t>
      </w:r>
      <w:r>
        <w:rPr>
          <w:rFonts w:ascii="Arial" w:cs="Arial" w:eastAsia="Arial" w:hAnsi="Arial"/>
          <w:sz w:val="18"/>
          <w:szCs w:val="18"/>
          <w:b w:val="1"/>
          <w:bCs w:val="1"/>
          <w:color w:val="auto"/>
        </w:rPr>
        <w:t xml:space="preserve"> </w:t>
      </w:r>
      <w:r>
        <w:rPr>
          <w:rFonts w:ascii="Arial" w:cs="Arial" w:eastAsia="Arial" w:hAnsi="Arial"/>
          <w:sz w:val="18"/>
          <w:szCs w:val="18"/>
          <w:color w:val="auto"/>
        </w:rPr>
        <w:t>liabilities. The Company’s net cash flow provided by operating activities were as follows:</w:t>
      </w:r>
    </w:p>
    <w:p>
      <w:pPr>
        <w:spacing w:after="0" w:line="176" w:lineRule="exact"/>
        <w:rPr>
          <w:sz w:val="20"/>
          <w:szCs w:val="20"/>
          <w:color w:val="auto"/>
        </w:rPr>
      </w:pPr>
    </w:p>
    <w:p>
      <w:pPr>
        <w:ind w:left="9080"/>
        <w:spacing w:after="0"/>
        <w:rPr>
          <w:sz w:val="20"/>
          <w:szCs w:val="20"/>
          <w:color w:val="auto"/>
        </w:rPr>
      </w:pPr>
      <w:r>
        <w:rPr>
          <w:rFonts w:ascii="Arial" w:cs="Arial" w:eastAsia="Arial" w:hAnsi="Arial"/>
          <w:sz w:val="14"/>
          <w:szCs w:val="14"/>
          <w:b w:val="1"/>
          <w:bCs w:val="1"/>
          <w:color w:val="auto"/>
        </w:rPr>
        <w:t>Three Months Ended</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4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2"/>
          </w:tcPr>
          <w:p>
            <w:pPr>
              <w:jc w:val="right"/>
              <w:ind w:right="39"/>
              <w:spacing w:after="0"/>
              <w:rPr>
                <w:sz w:val="20"/>
                <w:szCs w:val="20"/>
                <w:color w:val="auto"/>
              </w:rPr>
            </w:pPr>
            <w:r>
              <w:rPr>
                <w:rFonts w:ascii="Arial" w:cs="Arial" w:eastAsia="Arial" w:hAnsi="Arial"/>
                <w:sz w:val="14"/>
                <w:szCs w:val="14"/>
                <w:b w:val="1"/>
                <w:bCs w:val="1"/>
                <w:color w:val="auto"/>
              </w:rPr>
              <w:t>March 31</w:t>
            </w:r>
          </w:p>
        </w:tc>
        <w:tc>
          <w:tcPr>
            <w:tcW w:w="940" w:type="dxa"/>
            <w:vAlign w:val="bottom"/>
            <w:tcBorders>
              <w:bottom w:val="single" w:sz="8" w:color="auto"/>
            </w:tcBorders>
          </w:tcPr>
          <w:p>
            <w:pPr>
              <w:spacing w:after="0"/>
              <w:rPr>
                <w:sz w:val="16"/>
                <w:szCs w:val="16"/>
                <w:color w:val="auto"/>
              </w:rPr>
            </w:pPr>
          </w:p>
        </w:tc>
      </w:tr>
      <w:tr>
        <w:trPr>
          <w:trHeight w:val="203"/>
        </w:trPr>
        <w:tc>
          <w:tcPr>
            <w:tcW w:w="84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81"/>
              <w:spacing w:after="0"/>
              <w:rPr>
                <w:sz w:val="20"/>
                <w:szCs w:val="20"/>
                <w:color w:val="auto"/>
              </w:rPr>
            </w:pPr>
            <w:r>
              <w:rPr>
                <w:rFonts w:ascii="Arial" w:cs="Arial" w:eastAsia="Arial" w:hAnsi="Arial"/>
                <w:sz w:val="14"/>
                <w:szCs w:val="14"/>
                <w:b w:val="1"/>
                <w:bCs w:val="1"/>
                <w:color w:val="auto"/>
              </w:rPr>
              <w:t>2025</w:t>
            </w:r>
          </w:p>
        </w:tc>
        <w:tc>
          <w:tcPr>
            <w:tcW w:w="4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color w:val="auto"/>
              </w:rPr>
              <w:t>2024</w:t>
            </w:r>
          </w:p>
        </w:tc>
      </w:tr>
      <w:tr>
        <w:trPr>
          <w:trHeight w:val="223"/>
        </w:trPr>
        <w:tc>
          <w:tcPr>
            <w:tcW w:w="842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300" w:type="dxa"/>
            <w:vAlign w:val="bottom"/>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080" w:type="dxa"/>
            <w:vAlign w:val="bottom"/>
          </w:tcPr>
          <w:p>
            <w:pPr>
              <w:jc w:val="center"/>
              <w:ind w:left="261"/>
              <w:spacing w:after="0"/>
              <w:rPr>
                <w:sz w:val="20"/>
                <w:szCs w:val="20"/>
                <w:color w:val="auto"/>
              </w:rPr>
            </w:pPr>
            <w:r>
              <w:rPr>
                <w:rFonts w:ascii="Arial" w:cs="Arial" w:eastAsia="Arial" w:hAnsi="Arial"/>
                <w:sz w:val="16"/>
                <w:szCs w:val="16"/>
                <w:b w:val="1"/>
                <w:bCs w:val="1"/>
                <w:color w:val="auto"/>
              </w:rPr>
              <w:t>25,721</w:t>
            </w:r>
          </w:p>
        </w:tc>
        <w:tc>
          <w:tcPr>
            <w:tcW w:w="46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125,339</w:t>
            </w:r>
          </w:p>
        </w:tc>
      </w:tr>
      <w:tr>
        <w:trPr>
          <w:trHeight w:val="221"/>
        </w:trPr>
        <w:tc>
          <w:tcPr>
            <w:tcW w:w="8420" w:type="dxa"/>
            <w:vAlign w:val="bottom"/>
          </w:tcPr>
          <w:p>
            <w:pPr>
              <w:ind w:left="2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37"/>
        </w:trPr>
        <w:tc>
          <w:tcPr>
            <w:tcW w:w="8420" w:type="dxa"/>
            <w:vAlign w:val="bottom"/>
          </w:tcPr>
          <w:p>
            <w:pPr>
              <w:ind w:left="140"/>
              <w:spacing w:after="0"/>
              <w:rPr>
                <w:sz w:val="20"/>
                <w:szCs w:val="20"/>
                <w:color w:val="auto"/>
              </w:rPr>
            </w:pPr>
            <w:r>
              <w:rPr>
                <w:rFonts w:ascii="Arial" w:cs="Arial" w:eastAsia="Arial" w:hAnsi="Arial"/>
                <w:sz w:val="16"/>
                <w:szCs w:val="16"/>
                <w:color w:val="auto"/>
              </w:rPr>
              <w:t>Depreciation and amortization of intangible assets</w:t>
            </w:r>
          </w:p>
        </w:tc>
        <w:tc>
          <w:tcPr>
            <w:tcW w:w="300" w:type="dxa"/>
            <w:vAlign w:val="bottom"/>
          </w:tcPr>
          <w:p>
            <w:pPr>
              <w:spacing w:after="0"/>
              <w:rPr>
                <w:sz w:val="20"/>
                <w:szCs w:val="20"/>
                <w:color w:val="auto"/>
              </w:rPr>
            </w:pPr>
          </w:p>
        </w:tc>
        <w:tc>
          <w:tcPr>
            <w:tcW w:w="1080" w:type="dxa"/>
            <w:vAlign w:val="bottom"/>
          </w:tcPr>
          <w:p>
            <w:pPr>
              <w:jc w:val="center"/>
              <w:ind w:left="261"/>
              <w:spacing w:after="0"/>
              <w:rPr>
                <w:sz w:val="20"/>
                <w:szCs w:val="20"/>
                <w:color w:val="auto"/>
              </w:rPr>
            </w:pPr>
            <w:r>
              <w:rPr>
                <w:rFonts w:ascii="Arial" w:cs="Arial" w:eastAsia="Arial" w:hAnsi="Arial"/>
                <w:sz w:val="16"/>
                <w:szCs w:val="16"/>
                <w:b w:val="1"/>
                <w:bCs w:val="1"/>
                <w:color w:val="auto"/>
              </w:rPr>
              <w:t>28,378</w:t>
            </w:r>
          </w:p>
        </w:tc>
        <w:tc>
          <w:tcPr>
            <w:tcW w:w="4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33,278</w:t>
            </w:r>
          </w:p>
        </w:tc>
      </w:tr>
      <w:tr>
        <w:trPr>
          <w:trHeight w:val="230"/>
        </w:trPr>
        <w:tc>
          <w:tcPr>
            <w:tcW w:w="8420" w:type="dxa"/>
            <w:vAlign w:val="bottom"/>
          </w:tcPr>
          <w:p>
            <w:pPr>
              <w:ind w:left="140"/>
              <w:spacing w:after="0"/>
              <w:rPr>
                <w:sz w:val="20"/>
                <w:szCs w:val="20"/>
                <w:color w:val="auto"/>
              </w:rPr>
            </w:pPr>
            <w:r>
              <w:rPr>
                <w:rFonts w:ascii="Arial" w:cs="Arial" w:eastAsia="Arial" w:hAnsi="Arial"/>
                <w:sz w:val="16"/>
                <w:szCs w:val="16"/>
                <w:color w:val="auto"/>
              </w:rPr>
              <w:t>Amortization of lease right-of-use asset</w:t>
            </w:r>
          </w:p>
        </w:tc>
        <w:tc>
          <w:tcPr>
            <w:tcW w:w="300" w:type="dxa"/>
            <w:vAlign w:val="bottom"/>
          </w:tcPr>
          <w:p>
            <w:pPr>
              <w:spacing w:after="0"/>
              <w:rPr>
                <w:sz w:val="19"/>
                <w:szCs w:val="19"/>
                <w:color w:val="auto"/>
              </w:rPr>
            </w:pPr>
          </w:p>
        </w:tc>
        <w:tc>
          <w:tcPr>
            <w:tcW w:w="1080" w:type="dxa"/>
            <w:vAlign w:val="bottom"/>
          </w:tcPr>
          <w:p>
            <w:pPr>
              <w:jc w:val="center"/>
              <w:ind w:left="261"/>
              <w:spacing w:after="0"/>
              <w:rPr>
                <w:sz w:val="20"/>
                <w:szCs w:val="20"/>
                <w:color w:val="auto"/>
              </w:rPr>
            </w:pPr>
            <w:r>
              <w:rPr>
                <w:rFonts w:ascii="Arial" w:cs="Arial" w:eastAsia="Arial" w:hAnsi="Arial"/>
                <w:sz w:val="16"/>
                <w:szCs w:val="16"/>
                <w:b w:val="1"/>
                <w:bCs w:val="1"/>
                <w:color w:val="auto"/>
              </w:rPr>
              <w:t>14,103</w:t>
            </w:r>
          </w:p>
        </w:tc>
        <w:tc>
          <w:tcPr>
            <w:tcW w:w="4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16,866</w:t>
            </w:r>
          </w:p>
        </w:tc>
      </w:tr>
      <w:tr>
        <w:trPr>
          <w:trHeight w:val="230"/>
        </w:trPr>
        <w:tc>
          <w:tcPr>
            <w:tcW w:w="8420" w:type="dxa"/>
            <w:vAlign w:val="bottom"/>
          </w:tcPr>
          <w:p>
            <w:pPr>
              <w:ind w:left="140"/>
              <w:spacing w:after="0"/>
              <w:rPr>
                <w:sz w:val="20"/>
                <w:szCs w:val="20"/>
                <w:color w:val="auto"/>
              </w:rPr>
            </w:pPr>
            <w:r>
              <w:rPr>
                <w:rFonts w:ascii="Arial" w:cs="Arial" w:eastAsia="Arial" w:hAnsi="Arial"/>
                <w:sz w:val="16"/>
                <w:szCs w:val="16"/>
                <w:color w:val="auto"/>
              </w:rPr>
              <w:t>Net pension benefit and special separation benefit expense</w:t>
            </w:r>
          </w:p>
        </w:tc>
        <w:tc>
          <w:tcPr>
            <w:tcW w:w="300" w:type="dxa"/>
            <w:vAlign w:val="bottom"/>
          </w:tcPr>
          <w:p>
            <w:pPr>
              <w:spacing w:after="0"/>
              <w:rPr>
                <w:sz w:val="19"/>
                <w:szCs w:val="19"/>
                <w:color w:val="auto"/>
              </w:rPr>
            </w:pPr>
          </w:p>
        </w:tc>
        <w:tc>
          <w:tcPr>
            <w:tcW w:w="1080" w:type="dxa"/>
            <w:vAlign w:val="bottom"/>
          </w:tcPr>
          <w:p>
            <w:pPr>
              <w:jc w:val="center"/>
              <w:ind w:left="241"/>
              <w:spacing w:after="0"/>
              <w:rPr>
                <w:sz w:val="20"/>
                <w:szCs w:val="20"/>
                <w:color w:val="auto"/>
              </w:rPr>
            </w:pPr>
            <w:r>
              <w:rPr>
                <w:rFonts w:ascii="Arial" w:cs="Arial" w:eastAsia="Arial" w:hAnsi="Arial"/>
                <w:sz w:val="16"/>
                <w:szCs w:val="16"/>
                <w:b w:val="1"/>
                <w:bCs w:val="1"/>
                <w:color w:val="auto"/>
              </w:rPr>
              <w:t>(23,253)</w:t>
            </w:r>
          </w:p>
        </w:tc>
        <w:tc>
          <w:tcPr>
            <w:tcW w:w="4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(29,056)</w:t>
            </w:r>
          </w:p>
        </w:tc>
      </w:tr>
      <w:tr>
        <w:trPr>
          <w:trHeight w:val="229"/>
        </w:trPr>
        <w:tc>
          <w:tcPr>
            <w:tcW w:w="8420" w:type="dxa"/>
            <w:vAlign w:val="bottom"/>
          </w:tcPr>
          <w:p>
            <w:pPr>
              <w:ind w:left="140"/>
              <w:spacing w:after="0"/>
              <w:rPr>
                <w:sz w:val="20"/>
                <w:szCs w:val="20"/>
                <w:color w:val="auto"/>
              </w:rPr>
            </w:pPr>
            <w:r>
              <w:rPr>
                <w:rFonts w:ascii="Arial" w:cs="Arial" w:eastAsia="Arial" w:hAnsi="Arial"/>
                <w:sz w:val="16"/>
                <w:szCs w:val="16"/>
                <w:color w:val="auto"/>
              </w:rPr>
              <w:t>Other non-cash activities</w:t>
            </w:r>
          </w:p>
        </w:tc>
        <w:tc>
          <w:tcPr>
            <w:tcW w:w="300" w:type="dxa"/>
            <w:vAlign w:val="bottom"/>
          </w:tcPr>
          <w:p>
            <w:pPr>
              <w:spacing w:after="0"/>
              <w:rPr>
                <w:sz w:val="19"/>
                <w:szCs w:val="19"/>
                <w:color w:val="auto"/>
              </w:rPr>
            </w:pPr>
          </w:p>
        </w:tc>
        <w:tc>
          <w:tcPr>
            <w:tcW w:w="1080" w:type="dxa"/>
            <w:vAlign w:val="bottom"/>
          </w:tcPr>
          <w:p>
            <w:pPr>
              <w:jc w:val="center"/>
              <w:ind w:left="241"/>
              <w:spacing w:after="0"/>
              <w:rPr>
                <w:sz w:val="20"/>
                <w:szCs w:val="20"/>
                <w:color w:val="auto"/>
              </w:rPr>
            </w:pPr>
            <w:r>
              <w:rPr>
                <w:rFonts w:ascii="Arial" w:cs="Arial" w:eastAsia="Arial" w:hAnsi="Arial"/>
                <w:sz w:val="16"/>
                <w:szCs w:val="16"/>
                <w:b w:val="1"/>
                <w:bCs w:val="1"/>
                <w:color w:val="auto"/>
              </w:rPr>
              <w:t>(23,402)</w:t>
            </w:r>
          </w:p>
        </w:tc>
        <w:tc>
          <w:tcPr>
            <w:tcW w:w="4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(89,016)</w:t>
            </w:r>
          </w:p>
        </w:tc>
      </w:tr>
      <w:tr>
        <w:trPr>
          <w:trHeight w:val="233"/>
        </w:trPr>
        <w:tc>
          <w:tcPr>
            <w:tcW w:w="8420" w:type="dxa"/>
            <w:vAlign w:val="bottom"/>
          </w:tcPr>
          <w:p>
            <w:pPr>
              <w:ind w:left="140"/>
              <w:spacing w:after="0"/>
              <w:rPr>
                <w:sz w:val="20"/>
                <w:szCs w:val="20"/>
                <w:color w:val="auto"/>
              </w:rPr>
            </w:pPr>
            <w:r>
              <w:rPr>
                <w:rFonts w:ascii="Arial" w:cs="Arial" w:eastAsia="Arial" w:hAnsi="Arial"/>
                <w:sz w:val="16"/>
                <w:szCs w:val="16"/>
                <w:color w:val="auto"/>
              </w:rPr>
              <w:t>Change in operating assets and liabilities</w:t>
            </w: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left="261"/>
              <w:spacing w:after="0"/>
              <w:rPr>
                <w:sz w:val="20"/>
                <w:szCs w:val="20"/>
                <w:color w:val="auto"/>
              </w:rPr>
            </w:pPr>
            <w:r>
              <w:rPr>
                <w:rFonts w:ascii="Arial" w:cs="Arial" w:eastAsia="Arial" w:hAnsi="Arial"/>
                <w:sz w:val="16"/>
                <w:szCs w:val="16"/>
                <w:b w:val="1"/>
                <w:bCs w:val="1"/>
                <w:color w:val="auto"/>
              </w:rPr>
              <w:t>24,467</w:t>
            </w:r>
          </w:p>
        </w:tc>
        <w:tc>
          <w:tcPr>
            <w:tcW w:w="4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(56,344)</w:t>
            </w:r>
          </w:p>
        </w:tc>
      </w:tr>
      <w:tr>
        <w:trPr>
          <w:trHeight w:val="227"/>
        </w:trPr>
        <w:tc>
          <w:tcPr>
            <w:tcW w:w="8420" w:type="dxa"/>
            <w:vAlign w:val="bottom"/>
          </w:tcPr>
          <w:p>
            <w:pPr>
              <w:ind w:left="20"/>
              <w:spacing w:after="0"/>
              <w:rPr>
                <w:sz w:val="20"/>
                <w:szCs w:val="20"/>
                <w:color w:val="auto"/>
              </w:rPr>
            </w:pPr>
            <w:r>
              <w:rPr>
                <w:rFonts w:ascii="Arial" w:cs="Arial" w:eastAsia="Arial" w:hAnsi="Arial"/>
                <w:sz w:val="16"/>
                <w:szCs w:val="16"/>
                <w:b w:val="1"/>
                <w:bCs w:val="1"/>
                <w:color w:val="auto"/>
              </w:rPr>
              <w:t>Net Cash Provided by Operating Activities</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080" w:type="dxa"/>
            <w:vAlign w:val="bottom"/>
            <w:tcBorders>
              <w:bottom w:val="single" w:sz="8" w:color="auto"/>
            </w:tcBorders>
          </w:tcPr>
          <w:p>
            <w:pPr>
              <w:jc w:val="center"/>
              <w:ind w:left="261"/>
              <w:spacing w:after="0"/>
              <w:rPr>
                <w:sz w:val="20"/>
                <w:szCs w:val="20"/>
                <w:color w:val="auto"/>
              </w:rPr>
            </w:pPr>
            <w:r>
              <w:rPr>
                <w:rFonts w:ascii="Arial" w:cs="Arial" w:eastAsia="Arial" w:hAnsi="Arial"/>
                <w:sz w:val="16"/>
                <w:szCs w:val="16"/>
                <w:b w:val="1"/>
                <w:bCs w:val="1"/>
                <w:color w:val="auto"/>
              </w:rPr>
              <w:t>46,014</w:t>
            </w:r>
          </w:p>
        </w:tc>
        <w:tc>
          <w:tcPr>
            <w:tcW w:w="4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1,067</w:t>
            </w:r>
          </w:p>
        </w:tc>
      </w:tr>
      <w:tr>
        <w:trPr>
          <w:trHeight w:val="21"/>
        </w:trPr>
        <w:tc>
          <w:tcPr>
            <w:tcW w:w="84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24"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Net cash provided by operating activities consists primarily of cash receipts from customers, less disbursements for costs, benefits, income taxes, interest and other expenses.</w:t>
      </w:r>
    </w:p>
    <w:p>
      <w:pPr>
        <w:sectPr>
          <w:pgSz w:w="11900" w:h="16838" w:orient="portrait"/>
          <w:cols w:equalWidth="0" w:num="1">
            <w:col w:w="11220"/>
          </w:cols>
          <w:pgMar w:left="320" w:top="931" w:right="359" w:bottom="1440" w:gutter="0" w:footer="0" w:header="0"/>
          <w:type w:val="continuous"/>
        </w:sect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183515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31" w:right="359" w:bottom="1440" w:gutter="0" w:footer="0" w:header="0"/>
          <w:type w:val="continuous"/>
        </w:sectPr>
      </w:pPr>
    </w:p>
    <w:bookmarkStart w:id="31" w:name="page32"/>
    <w:bookmarkEnd w:id="31"/>
    <w:p>
      <w:pPr>
        <w:spacing w:after="0"/>
        <w:rPr>
          <w:sz w:val="20"/>
          <w:szCs w:val="20"/>
          <w:color w:val="auto"/>
        </w:rPr>
      </w:pPr>
      <w:r>
        <w:rPr>
          <w:rFonts w:ascii="Arial" w:cs="Arial" w:eastAsia="Arial" w:hAnsi="Arial"/>
          <w:sz w:val="18"/>
          <w:szCs w:val="18"/>
          <w:color w:val="auto"/>
        </w:rPr>
        <w:t>For the first three months of 2025 compared to the first three months of 2024, the increase in net cash provided by operating activities is</w:t>
      </w:r>
    </w:p>
    <w:p>
      <w:pPr>
        <w:spacing w:after="0" w:line="14" w:lineRule="exact"/>
        <w:rPr>
          <w:sz w:val="20"/>
          <w:szCs w:val="20"/>
          <w:color w:val="auto"/>
        </w:rPr>
      </w:pPr>
    </w:p>
    <w:p>
      <w:pPr>
        <w:ind w:right="20"/>
        <w:spacing w:after="0" w:line="226" w:lineRule="auto"/>
        <w:rPr>
          <w:sz w:val="20"/>
          <w:szCs w:val="20"/>
          <w:color w:val="auto"/>
        </w:rPr>
      </w:pPr>
      <w:r>
        <w:rPr>
          <w:rFonts w:ascii="Arial" w:cs="Arial" w:eastAsia="Arial" w:hAnsi="Arial"/>
          <w:sz w:val="18"/>
          <w:szCs w:val="18"/>
          <w:color w:val="auto"/>
        </w:rPr>
        <w:t>primarily driven by the changes in operating assets and liabilities, partially offset by lower net income, net of non-cash adjustments. Changes in operating assets and liabilities were driven by lower purchases of inventory and a significant increase in the interest expense related to the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mandatorily redeemable noncontrolling interest, partially offset by increases in vendor payments.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Investing Activities. </w:t>
      </w:r>
      <w:r>
        <w:rPr>
          <w:rFonts w:ascii="Arial" w:cs="Arial" w:eastAsia="Arial" w:hAnsi="Arial"/>
          <w:sz w:val="18"/>
          <w:szCs w:val="18"/>
          <w:color w:val="auto"/>
        </w:rPr>
        <w:t>The Company’s net cash flow used in investing activities were as follows:</w:t>
      </w:r>
    </w:p>
    <w:p>
      <w:pPr>
        <w:spacing w:after="0" w:line="208" w:lineRule="exact"/>
        <w:rPr>
          <w:sz w:val="20"/>
          <w:szCs w:val="20"/>
          <w:color w:val="auto"/>
        </w:rPr>
      </w:pPr>
    </w:p>
    <w:p>
      <w:pPr>
        <w:ind w:left="9080"/>
        <w:spacing w:after="0"/>
        <w:rPr>
          <w:sz w:val="20"/>
          <w:szCs w:val="20"/>
          <w:color w:val="auto"/>
        </w:rPr>
      </w:pPr>
      <w:r>
        <w:rPr>
          <w:rFonts w:ascii="Arial" w:cs="Arial" w:eastAsia="Arial" w:hAnsi="Arial"/>
          <w:sz w:val="14"/>
          <w:szCs w:val="14"/>
          <w:b w:val="1"/>
          <w:bCs w:val="1"/>
          <w:color w:val="auto"/>
        </w:rPr>
        <w:t>Three Months Ended</w:t>
      </w:r>
    </w:p>
    <w:p>
      <w:pPr>
        <w:spacing w:after="0" w:line="15" w:lineRule="exact"/>
        <w:rPr>
          <w:sz w:val="20"/>
          <w:szCs w:val="20"/>
          <w:color w:val="auto"/>
        </w:rPr>
      </w:pPr>
    </w:p>
    <w:p>
      <w:pPr>
        <w:ind w:left="9520"/>
        <w:spacing w:after="0"/>
        <w:rPr>
          <w:sz w:val="20"/>
          <w:szCs w:val="20"/>
          <w:color w:val="auto"/>
        </w:rPr>
      </w:pPr>
      <w:r>
        <w:rPr>
          <w:rFonts w:ascii="Arial" w:cs="Arial" w:eastAsia="Arial" w:hAnsi="Arial"/>
          <w:sz w:val="14"/>
          <w:szCs w:val="14"/>
          <w:b w:val="1"/>
          <w:bCs w:val="1"/>
          <w:color w:val="auto"/>
        </w:rPr>
        <w:t>March 31</w:t>
      </w:r>
    </w:p>
    <w:p>
      <w:pPr>
        <w:spacing w:after="0" w:line="21" w:lineRule="exact"/>
        <w:rPr>
          <w:sz w:val="20"/>
          <w:szCs w:val="20"/>
          <w:color w:val="auto"/>
        </w:rPr>
      </w:pPr>
    </w:p>
    <w:tbl>
      <w:tblPr>
        <w:tblLayout w:type="fixed"/>
        <w:tblInd w:w="20" w:type="dxa"/>
        <w:tblCellMar>
          <w:top w:w="0" w:type="dxa"/>
          <w:left w:w="0" w:type="dxa"/>
          <w:bottom w:w="0" w:type="dxa"/>
          <w:right w:w="0" w:type="dxa"/>
        </w:tblCellMar>
      </w:tblPr>
      <w:tr>
        <w:trPr>
          <w:trHeight w:val="196"/>
        </w:trPr>
        <w:tc>
          <w:tcPr>
            <w:tcW w:w="840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1380" w:type="dxa"/>
            <w:vAlign w:val="bottom"/>
            <w:tcBorders>
              <w:top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2025</w:t>
            </w:r>
          </w:p>
        </w:tc>
        <w:tc>
          <w:tcPr>
            <w:tcW w:w="1400" w:type="dxa"/>
            <w:vAlign w:val="bottom"/>
            <w:tcBorders>
              <w:top w:val="single" w:sz="8" w:color="auto"/>
            </w:tcBorders>
          </w:tcPr>
          <w:p>
            <w:pPr>
              <w:jc w:val="right"/>
              <w:ind w:right="428"/>
              <w:spacing w:after="0"/>
              <w:rPr>
                <w:sz w:val="20"/>
                <w:szCs w:val="20"/>
                <w:color w:val="auto"/>
              </w:rPr>
            </w:pPr>
            <w:r>
              <w:rPr>
                <w:rFonts w:ascii="Arial" w:cs="Arial" w:eastAsia="Arial" w:hAnsi="Arial"/>
                <w:sz w:val="14"/>
                <w:szCs w:val="14"/>
                <w:color w:val="auto"/>
              </w:rPr>
              <w:t>2024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wp:posOffset>
            </wp:positionV>
            <wp:extent cx="710628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06285" cy="8255"/>
                    </a:xfrm>
                    <a:prstGeom prst="rect">
                      <a:avLst/>
                    </a:prstGeom>
                    <a:noFill/>
                  </pic:spPr>
                </pic:pic>
              </a:graphicData>
            </a:graphic>
          </wp:anchor>
        </w:drawing>
      </w:r>
    </w:p>
    <w:p>
      <w:pPr>
        <w:sectPr>
          <w:pgSz w:w="11900" w:h="16838" w:orient="portrait"/>
          <w:cols w:equalWidth="0" w:num="1">
            <w:col w:w="11220"/>
          </w:cols>
          <w:pgMar w:left="320" w:top="931" w:right="359" w:bottom="1440" w:gutter="0" w:footer="0" w:header="0"/>
        </w:sectPr>
      </w:pPr>
    </w:p>
    <w:p>
      <w:pPr>
        <w:spacing w:after="0" w:line="28" w:lineRule="exact"/>
        <w:rPr>
          <w:sz w:val="20"/>
          <w:szCs w:val="20"/>
          <w:color w:val="auto"/>
        </w:rPr>
      </w:pPr>
    </w:p>
    <w:p>
      <w:pPr>
        <w:ind w:left="20"/>
        <w:spacing w:after="0"/>
        <w:rPr>
          <w:sz w:val="20"/>
          <w:szCs w:val="20"/>
          <w:color w:val="auto"/>
        </w:rPr>
      </w:pPr>
      <w:r>
        <w:rPr>
          <w:rFonts w:ascii="Arial" w:cs="Arial" w:eastAsia="Arial" w:hAnsi="Arial"/>
          <w:sz w:val="16"/>
          <w:szCs w:val="16"/>
          <w:color w:val="auto"/>
        </w:rPr>
        <w:t>Purchases of property, plant and equipment</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Purchases of marketable equity securities</w:t>
      </w:r>
    </w:p>
    <w:p>
      <w:pPr>
        <w:spacing w:after="0" w:line="46" w:lineRule="exact"/>
        <w:rPr>
          <w:sz w:val="20"/>
          <w:szCs w:val="20"/>
          <w:color w:val="auto"/>
        </w:rPr>
      </w:pPr>
    </w:p>
    <w:p>
      <w:pPr>
        <w:ind w:left="20" w:right="3360"/>
        <w:spacing w:after="0" w:line="325" w:lineRule="auto"/>
        <w:rPr>
          <w:sz w:val="20"/>
          <w:szCs w:val="20"/>
          <w:color w:val="auto"/>
        </w:rPr>
      </w:pPr>
      <w:r>
        <w:rPr>
          <w:rFonts w:ascii="Arial" w:cs="Arial" w:eastAsia="Arial" w:hAnsi="Arial"/>
          <w:sz w:val="16"/>
          <w:szCs w:val="16"/>
          <w:color w:val="auto"/>
        </w:rPr>
        <w:t>Investments in equity affiliates and cost method investments Other</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Net Cash Used in Investing Activities</w:t>
      </w:r>
    </w:p>
    <w:p>
      <w:pPr>
        <w:spacing w:after="0" w:line="20" w:lineRule="exact"/>
        <w:rPr>
          <w:sz w:val="20"/>
          <w:szCs w:val="20"/>
          <w:color w:val="auto"/>
        </w:rPr>
      </w:pPr>
      <w:r>
        <w:rPr>
          <w:sz w:val="20"/>
          <w:szCs w:val="20"/>
          <w:color w:val="auto"/>
        </w:rPr>
        <w:br w:type="column"/>
      </w:r>
    </w:p>
    <w:p>
      <w:pPr>
        <w:spacing w:after="0" w:line="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3"/>
        </w:trPr>
        <w:tc>
          <w:tcPr>
            <w:tcW w:w="400" w:type="dxa"/>
            <w:vAlign w:val="bottom"/>
          </w:tcPr>
          <w:p>
            <w:pPr>
              <w:jc w:val="right"/>
              <w:ind w:right="219"/>
              <w:spacing w:after="0"/>
              <w:rPr>
                <w:sz w:val="20"/>
                <w:szCs w:val="20"/>
                <w:color w:val="auto"/>
              </w:rPr>
            </w:pPr>
            <w:r>
              <w:rPr>
                <w:rFonts w:ascii="Arial" w:cs="Arial" w:eastAsia="Arial" w:hAnsi="Arial"/>
                <w:sz w:val="16"/>
                <w:szCs w:val="16"/>
                <w:b w:val="1"/>
                <w:bCs w:val="1"/>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(15,482)</w:t>
            </w:r>
          </w:p>
        </w:tc>
        <w:tc>
          <w:tcPr>
            <w:tcW w:w="48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(21,258)</w:t>
            </w:r>
          </w:p>
        </w:tc>
      </w:tr>
      <w:tr>
        <w:trPr>
          <w:trHeight w:val="230"/>
        </w:trPr>
        <w:tc>
          <w:tcPr>
            <w:tcW w:w="4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(4,823)</w:t>
            </w:r>
          </w:p>
        </w:tc>
        <w:tc>
          <w:tcPr>
            <w:tcW w:w="4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29"/>
        </w:trPr>
        <w:tc>
          <w:tcPr>
            <w:tcW w:w="4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(225)</w:t>
            </w:r>
          </w:p>
        </w:tc>
        <w:tc>
          <w:tcPr>
            <w:tcW w:w="4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(526)</w:t>
            </w:r>
          </w:p>
        </w:tc>
      </w:tr>
      <w:tr>
        <w:trPr>
          <w:trHeight w:val="233"/>
        </w:trPr>
        <w:tc>
          <w:tcPr>
            <w:tcW w:w="4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1,940</w:t>
            </w:r>
          </w:p>
        </w:tc>
        <w:tc>
          <w:tcPr>
            <w:tcW w:w="4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822</w:t>
            </w:r>
          </w:p>
        </w:tc>
      </w:tr>
      <w:tr>
        <w:trPr>
          <w:trHeight w:val="223"/>
        </w:trPr>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w w:val="8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(18,590)</w:t>
            </w:r>
          </w:p>
        </w:tc>
        <w:tc>
          <w:tcPr>
            <w:tcW w:w="48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(20,962)</w:t>
            </w:r>
          </w:p>
        </w:tc>
      </w:tr>
      <w:tr>
        <w:trPr>
          <w:trHeight w:val="24"/>
        </w:trPr>
        <w:tc>
          <w:tcPr>
            <w:tcW w:w="4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2">
            <w:col w:w="7700" w:space="720"/>
            <w:col w:w="2800"/>
          </w:cols>
          <w:pgMar w:left="320" w:top="931" w:right="359"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Capital Expenditures. </w:t>
      </w:r>
      <w:r>
        <w:rPr>
          <w:rFonts w:ascii="Arial" w:cs="Arial" w:eastAsia="Arial" w:hAnsi="Arial"/>
          <w:sz w:val="18"/>
          <w:szCs w:val="18"/>
          <w:color w:val="auto"/>
        </w:rPr>
        <w:t>The amounts reflected in the Company’s Condensed Consolidated Statements of Cash Flows are based on cash</w:t>
      </w:r>
    </w:p>
    <w:p>
      <w:pPr>
        <w:spacing w:after="0" w:line="14" w:lineRule="exact"/>
        <w:rPr>
          <w:sz w:val="20"/>
          <w:szCs w:val="20"/>
          <w:color w:val="auto"/>
        </w:rPr>
      </w:pPr>
    </w:p>
    <w:p>
      <w:pPr>
        <w:ind w:right="620"/>
        <w:spacing w:after="0" w:line="226" w:lineRule="auto"/>
        <w:rPr>
          <w:sz w:val="20"/>
          <w:szCs w:val="20"/>
          <w:color w:val="auto"/>
        </w:rPr>
      </w:pPr>
      <w:r>
        <w:rPr>
          <w:rFonts w:ascii="Arial" w:cs="Arial" w:eastAsia="Arial" w:hAnsi="Arial"/>
          <w:sz w:val="18"/>
          <w:szCs w:val="18"/>
          <w:color w:val="auto"/>
        </w:rPr>
        <w:t>payments made during the relevant periods, whereas the Company’s capital expenditures for the first three months of 2025 and 2024 disclosed in Note 15 to the Condensed Consolidated Financial Statements include assets acquired during the period. The Company</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estimates that its capital expenditures will be in the range of $85 million to $95 million in 2025.</w:t>
      </w:r>
    </w:p>
    <w:p>
      <w:pPr>
        <w:spacing w:after="0" w:line="140" w:lineRule="exact"/>
        <w:rPr>
          <w:sz w:val="20"/>
          <w:szCs w:val="20"/>
          <w:color w:val="auto"/>
        </w:rPr>
      </w:pPr>
    </w:p>
    <w:p>
      <w:pPr>
        <w:ind w:right="40"/>
        <w:spacing w:after="0" w:line="251" w:lineRule="auto"/>
        <w:rPr>
          <w:sz w:val="20"/>
          <w:szCs w:val="20"/>
          <w:color w:val="auto"/>
        </w:rPr>
      </w:pPr>
      <w:r>
        <w:rPr>
          <w:rFonts w:ascii="Arial" w:cs="Arial" w:eastAsia="Arial" w:hAnsi="Arial"/>
          <w:sz w:val="17"/>
          <w:szCs w:val="17"/>
          <w:i w:val="1"/>
          <w:iCs w:val="1"/>
          <w:color w:val="auto"/>
        </w:rPr>
        <w:t xml:space="preserve">Purchases of marketable equity securities. </w:t>
      </w:r>
      <w:r>
        <w:rPr>
          <w:rFonts w:ascii="Arial" w:cs="Arial" w:eastAsia="Arial" w:hAnsi="Arial"/>
          <w:sz w:val="17"/>
          <w:szCs w:val="17"/>
          <w:color w:val="auto"/>
        </w:rPr>
        <w:t>The Company purchased $4.8 million of marketable equity securities during the first three months</w:t>
      </w:r>
      <w:r>
        <w:rPr>
          <w:rFonts w:ascii="Arial" w:cs="Arial" w:eastAsia="Arial" w:hAnsi="Arial"/>
          <w:sz w:val="17"/>
          <w:szCs w:val="17"/>
          <w:i w:val="1"/>
          <w:iCs w:val="1"/>
          <w:color w:val="auto"/>
        </w:rPr>
        <w:t xml:space="preserve"> </w:t>
      </w:r>
      <w:r>
        <w:rPr>
          <w:rFonts w:ascii="Arial" w:cs="Arial" w:eastAsia="Arial" w:hAnsi="Arial"/>
          <w:sz w:val="17"/>
          <w:szCs w:val="17"/>
          <w:color w:val="auto"/>
        </w:rPr>
        <w:t>of 2025. There were no sales of marketable equity securities during the first three months of 2025. There were no purchases or sales of</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marketable equity securities during the first three months of 2024.</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Financing Activities. </w:t>
      </w:r>
      <w:r>
        <w:rPr>
          <w:rFonts w:ascii="Arial" w:cs="Arial" w:eastAsia="Arial" w:hAnsi="Arial"/>
          <w:sz w:val="18"/>
          <w:szCs w:val="18"/>
          <w:color w:val="auto"/>
        </w:rPr>
        <w:t>The Company’s net cash flow (used in) provided by financing activities were as follows:</w:t>
      </w:r>
    </w:p>
    <w:p>
      <w:pPr>
        <w:spacing w:after="0" w:line="208" w:lineRule="exact"/>
        <w:rPr>
          <w:sz w:val="20"/>
          <w:szCs w:val="20"/>
          <w:color w:val="auto"/>
        </w:rPr>
      </w:pPr>
    </w:p>
    <w:p>
      <w:pPr>
        <w:ind w:left="9080"/>
        <w:spacing w:after="0"/>
        <w:rPr>
          <w:sz w:val="20"/>
          <w:szCs w:val="20"/>
          <w:color w:val="auto"/>
        </w:rPr>
      </w:pPr>
      <w:r>
        <w:rPr>
          <w:rFonts w:ascii="Arial" w:cs="Arial" w:eastAsia="Arial" w:hAnsi="Arial"/>
          <w:sz w:val="14"/>
          <w:szCs w:val="14"/>
          <w:b w:val="1"/>
          <w:bCs w:val="1"/>
          <w:color w:val="auto"/>
        </w:rPr>
        <w:t>Three Months Ended</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4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2"/>
          </w:tcPr>
          <w:p>
            <w:pPr>
              <w:jc w:val="right"/>
              <w:ind w:right="39"/>
              <w:spacing w:after="0"/>
              <w:rPr>
                <w:sz w:val="20"/>
                <w:szCs w:val="20"/>
                <w:color w:val="auto"/>
              </w:rPr>
            </w:pPr>
            <w:r>
              <w:rPr>
                <w:rFonts w:ascii="Arial" w:cs="Arial" w:eastAsia="Arial" w:hAnsi="Arial"/>
                <w:sz w:val="14"/>
                <w:szCs w:val="14"/>
                <w:b w:val="1"/>
                <w:bCs w:val="1"/>
                <w:color w:val="auto"/>
              </w:rPr>
              <w:t>March 31</w:t>
            </w:r>
          </w:p>
        </w:tc>
        <w:tc>
          <w:tcPr>
            <w:tcW w:w="940" w:type="dxa"/>
            <w:vAlign w:val="bottom"/>
            <w:tcBorders>
              <w:bottom w:val="single" w:sz="8" w:color="auto"/>
            </w:tcBorders>
          </w:tcPr>
          <w:p>
            <w:pPr>
              <w:spacing w:after="0"/>
              <w:rPr>
                <w:sz w:val="16"/>
                <w:szCs w:val="16"/>
                <w:color w:val="auto"/>
              </w:rPr>
            </w:pPr>
          </w:p>
        </w:tc>
      </w:tr>
      <w:tr>
        <w:trPr>
          <w:trHeight w:val="203"/>
        </w:trPr>
        <w:tc>
          <w:tcPr>
            <w:tcW w:w="84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81"/>
              <w:spacing w:after="0"/>
              <w:rPr>
                <w:sz w:val="20"/>
                <w:szCs w:val="20"/>
                <w:color w:val="auto"/>
              </w:rPr>
            </w:pPr>
            <w:r>
              <w:rPr>
                <w:rFonts w:ascii="Arial" w:cs="Arial" w:eastAsia="Arial" w:hAnsi="Arial"/>
                <w:sz w:val="14"/>
                <w:szCs w:val="14"/>
                <w:b w:val="1"/>
                <w:bCs w:val="1"/>
                <w:color w:val="auto"/>
              </w:rPr>
              <w:t>2025</w:t>
            </w:r>
          </w:p>
        </w:tc>
        <w:tc>
          <w:tcPr>
            <w:tcW w:w="4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color w:val="auto"/>
              </w:rPr>
              <w:t>2024</w:t>
            </w:r>
          </w:p>
        </w:tc>
      </w:tr>
      <w:tr>
        <w:trPr>
          <w:trHeight w:val="223"/>
        </w:trPr>
        <w:tc>
          <w:tcPr>
            <w:tcW w:w="8420" w:type="dxa"/>
            <w:vAlign w:val="bottom"/>
          </w:tcPr>
          <w:p>
            <w:pPr>
              <w:ind w:left="20"/>
              <w:spacing w:after="0"/>
              <w:rPr>
                <w:sz w:val="20"/>
                <w:szCs w:val="20"/>
                <w:color w:val="auto"/>
              </w:rPr>
            </w:pPr>
            <w:r>
              <w:rPr>
                <w:rFonts w:ascii="Arial" w:cs="Arial" w:eastAsia="Arial" w:hAnsi="Arial"/>
                <w:sz w:val="16"/>
                <w:szCs w:val="16"/>
                <w:color w:val="auto"/>
              </w:rPr>
              <w:t>Distributions paid to noncontrolling interests</w:t>
            </w:r>
          </w:p>
        </w:tc>
        <w:tc>
          <w:tcPr>
            <w:tcW w:w="300" w:type="dxa"/>
            <w:vAlign w:val="bottom"/>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080" w:type="dxa"/>
            <w:vAlign w:val="bottom"/>
          </w:tcPr>
          <w:p>
            <w:pPr>
              <w:jc w:val="right"/>
              <w:ind w:right="1"/>
              <w:spacing w:after="0"/>
              <w:rPr>
                <w:sz w:val="20"/>
                <w:szCs w:val="20"/>
                <w:color w:val="auto"/>
              </w:rPr>
            </w:pPr>
            <w:r>
              <w:rPr>
                <w:rFonts w:ascii="Arial" w:cs="Arial" w:eastAsia="Arial" w:hAnsi="Arial"/>
                <w:sz w:val="16"/>
                <w:szCs w:val="16"/>
                <w:b w:val="1"/>
                <w:bCs w:val="1"/>
                <w:color w:val="auto"/>
              </w:rPr>
              <w:t>(188,253)</w:t>
            </w:r>
          </w:p>
        </w:tc>
        <w:tc>
          <w:tcPr>
            <w:tcW w:w="46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(797)</w:t>
            </w:r>
          </w:p>
        </w:tc>
      </w:tr>
      <w:tr>
        <w:trPr>
          <w:trHeight w:val="229"/>
        </w:trPr>
        <w:tc>
          <w:tcPr>
            <w:tcW w:w="8420" w:type="dxa"/>
            <w:vAlign w:val="bottom"/>
          </w:tcPr>
          <w:p>
            <w:pPr>
              <w:ind w:left="20"/>
              <w:spacing w:after="0"/>
              <w:rPr>
                <w:sz w:val="20"/>
                <w:szCs w:val="20"/>
                <w:color w:val="auto"/>
              </w:rPr>
            </w:pPr>
            <w:r>
              <w:rPr>
                <w:rFonts w:ascii="Arial" w:cs="Arial" w:eastAsia="Arial" w:hAnsi="Arial"/>
                <w:sz w:val="16"/>
                <w:szCs w:val="16"/>
                <w:color w:val="auto"/>
              </w:rPr>
              <w:t>Net borrowing under revolving credit facility</w:t>
            </w:r>
          </w:p>
        </w:tc>
        <w:tc>
          <w:tcPr>
            <w:tcW w:w="300" w:type="dxa"/>
            <w:vAlign w:val="bottom"/>
          </w:tcPr>
          <w:p>
            <w:pPr>
              <w:spacing w:after="0"/>
              <w:rPr>
                <w:sz w:val="19"/>
                <w:szCs w:val="19"/>
                <w:color w:val="auto"/>
              </w:rPr>
            </w:pPr>
          </w:p>
        </w:tc>
        <w:tc>
          <w:tcPr>
            <w:tcW w:w="1080" w:type="dxa"/>
            <w:vAlign w:val="bottom"/>
          </w:tcPr>
          <w:p>
            <w:pPr>
              <w:jc w:val="right"/>
              <w:ind w:right="41"/>
              <w:spacing w:after="0"/>
              <w:rPr>
                <w:sz w:val="20"/>
                <w:szCs w:val="20"/>
                <w:color w:val="auto"/>
              </w:rPr>
            </w:pPr>
            <w:r>
              <w:rPr>
                <w:rFonts w:ascii="Arial" w:cs="Arial" w:eastAsia="Arial" w:hAnsi="Arial"/>
                <w:sz w:val="16"/>
                <w:szCs w:val="16"/>
                <w:b w:val="1"/>
                <w:bCs w:val="1"/>
                <w:color w:val="auto"/>
              </w:rPr>
              <w:t>121,400</w:t>
            </w:r>
          </w:p>
        </w:tc>
        <w:tc>
          <w:tcPr>
            <w:tcW w:w="4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9,245</w:t>
            </w:r>
          </w:p>
        </w:tc>
      </w:tr>
      <w:tr>
        <w:trPr>
          <w:trHeight w:val="230"/>
        </w:trPr>
        <w:tc>
          <w:tcPr>
            <w:tcW w:w="8420" w:type="dxa"/>
            <w:vAlign w:val="bottom"/>
          </w:tcPr>
          <w:p>
            <w:pPr>
              <w:ind w:left="20"/>
              <w:spacing w:after="0"/>
              <w:rPr>
                <w:sz w:val="20"/>
                <w:szCs w:val="20"/>
                <w:color w:val="auto"/>
              </w:rPr>
            </w:pPr>
            <w:r>
              <w:rPr>
                <w:rFonts w:ascii="Arial" w:cs="Arial" w:eastAsia="Arial" w:hAnsi="Arial"/>
                <w:sz w:val="16"/>
                <w:szCs w:val="16"/>
                <w:color w:val="auto"/>
              </w:rPr>
              <w:t>Net (repayments of) proceeds from vehicle floor plan payable</w:t>
            </w:r>
          </w:p>
        </w:tc>
        <w:tc>
          <w:tcPr>
            <w:tcW w:w="300" w:type="dxa"/>
            <w:vAlign w:val="bottom"/>
          </w:tcPr>
          <w:p>
            <w:pPr>
              <w:spacing w:after="0"/>
              <w:rPr>
                <w:sz w:val="19"/>
                <w:szCs w:val="19"/>
                <w:color w:val="auto"/>
              </w:rPr>
            </w:pPr>
          </w:p>
        </w:tc>
        <w:tc>
          <w:tcPr>
            <w:tcW w:w="1080" w:type="dxa"/>
            <w:vAlign w:val="bottom"/>
          </w:tcPr>
          <w:p>
            <w:pPr>
              <w:jc w:val="right"/>
              <w:ind w:right="1"/>
              <w:spacing w:after="0"/>
              <w:rPr>
                <w:sz w:val="20"/>
                <w:szCs w:val="20"/>
                <w:color w:val="auto"/>
              </w:rPr>
            </w:pPr>
            <w:r>
              <w:rPr>
                <w:rFonts w:ascii="Arial" w:cs="Arial" w:eastAsia="Arial" w:hAnsi="Arial"/>
                <w:sz w:val="16"/>
                <w:szCs w:val="16"/>
                <w:b w:val="1"/>
                <w:bCs w:val="1"/>
                <w:color w:val="auto"/>
              </w:rPr>
              <w:t>(32,301)</w:t>
            </w:r>
          </w:p>
        </w:tc>
        <w:tc>
          <w:tcPr>
            <w:tcW w:w="4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26,803</w:t>
            </w:r>
          </w:p>
        </w:tc>
      </w:tr>
      <w:tr>
        <w:trPr>
          <w:trHeight w:val="230"/>
        </w:trPr>
        <w:tc>
          <w:tcPr>
            <w:tcW w:w="8420" w:type="dxa"/>
            <w:vAlign w:val="bottom"/>
          </w:tcPr>
          <w:p>
            <w:pPr>
              <w:ind w:left="20"/>
              <w:spacing w:after="0"/>
              <w:rPr>
                <w:sz w:val="20"/>
                <w:szCs w:val="20"/>
                <w:color w:val="auto"/>
              </w:rPr>
            </w:pPr>
            <w:r>
              <w:rPr>
                <w:rFonts w:ascii="Arial" w:cs="Arial" w:eastAsia="Arial" w:hAnsi="Arial"/>
                <w:sz w:val="16"/>
                <w:szCs w:val="16"/>
                <w:color w:val="auto"/>
              </w:rPr>
              <w:t>Repayments of borrowings</w:t>
            </w:r>
          </w:p>
        </w:tc>
        <w:tc>
          <w:tcPr>
            <w:tcW w:w="300" w:type="dxa"/>
            <w:vAlign w:val="bottom"/>
          </w:tcPr>
          <w:p>
            <w:pPr>
              <w:spacing w:after="0"/>
              <w:rPr>
                <w:sz w:val="19"/>
                <w:szCs w:val="19"/>
                <w:color w:val="auto"/>
              </w:rPr>
            </w:pPr>
          </w:p>
        </w:tc>
        <w:tc>
          <w:tcPr>
            <w:tcW w:w="1080" w:type="dxa"/>
            <w:vAlign w:val="bottom"/>
          </w:tcPr>
          <w:p>
            <w:pPr>
              <w:jc w:val="right"/>
              <w:ind w:right="1"/>
              <w:spacing w:after="0"/>
              <w:rPr>
                <w:sz w:val="20"/>
                <w:szCs w:val="20"/>
                <w:color w:val="auto"/>
              </w:rPr>
            </w:pPr>
            <w:r>
              <w:rPr>
                <w:rFonts w:ascii="Arial" w:cs="Arial" w:eastAsia="Arial" w:hAnsi="Arial"/>
                <w:sz w:val="16"/>
                <w:szCs w:val="16"/>
                <w:b w:val="1"/>
                <w:bCs w:val="1"/>
                <w:color w:val="auto"/>
              </w:rPr>
              <w:t>(7,139)</w:t>
            </w:r>
          </w:p>
        </w:tc>
        <w:tc>
          <w:tcPr>
            <w:tcW w:w="4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(4,902)</w:t>
            </w:r>
          </w:p>
        </w:tc>
      </w:tr>
      <w:tr>
        <w:trPr>
          <w:trHeight w:val="229"/>
        </w:trPr>
        <w:tc>
          <w:tcPr>
            <w:tcW w:w="8420" w:type="dxa"/>
            <w:vAlign w:val="bottom"/>
          </w:tcPr>
          <w:p>
            <w:pPr>
              <w:ind w:left="20"/>
              <w:spacing w:after="0"/>
              <w:rPr>
                <w:sz w:val="20"/>
                <w:szCs w:val="20"/>
                <w:color w:val="auto"/>
              </w:rPr>
            </w:pPr>
            <w:r>
              <w:rPr>
                <w:rFonts w:ascii="Arial" w:cs="Arial" w:eastAsia="Arial" w:hAnsi="Arial"/>
                <w:sz w:val="16"/>
                <w:szCs w:val="16"/>
                <w:color w:val="auto"/>
              </w:rPr>
              <w:t>Dividends paid</w:t>
            </w:r>
          </w:p>
        </w:tc>
        <w:tc>
          <w:tcPr>
            <w:tcW w:w="300" w:type="dxa"/>
            <w:vAlign w:val="bottom"/>
          </w:tcPr>
          <w:p>
            <w:pPr>
              <w:spacing w:after="0"/>
              <w:rPr>
                <w:sz w:val="19"/>
                <w:szCs w:val="19"/>
                <w:color w:val="auto"/>
              </w:rPr>
            </w:pPr>
          </w:p>
        </w:tc>
        <w:tc>
          <w:tcPr>
            <w:tcW w:w="1080" w:type="dxa"/>
            <w:vAlign w:val="bottom"/>
          </w:tcPr>
          <w:p>
            <w:pPr>
              <w:jc w:val="right"/>
              <w:ind w:right="1"/>
              <w:spacing w:after="0"/>
              <w:rPr>
                <w:sz w:val="20"/>
                <w:szCs w:val="20"/>
                <w:color w:val="auto"/>
              </w:rPr>
            </w:pPr>
            <w:r>
              <w:rPr>
                <w:rFonts w:ascii="Arial" w:cs="Arial" w:eastAsia="Arial" w:hAnsi="Arial"/>
                <w:sz w:val="16"/>
                <w:szCs w:val="16"/>
                <w:b w:val="1"/>
                <w:bCs w:val="1"/>
                <w:color w:val="auto"/>
              </w:rPr>
              <w:t>(7,813)</w:t>
            </w:r>
          </w:p>
        </w:tc>
        <w:tc>
          <w:tcPr>
            <w:tcW w:w="4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(7,678)</w:t>
            </w:r>
          </w:p>
        </w:tc>
      </w:tr>
      <w:tr>
        <w:trPr>
          <w:trHeight w:val="230"/>
        </w:trPr>
        <w:tc>
          <w:tcPr>
            <w:tcW w:w="8420" w:type="dxa"/>
            <w:vAlign w:val="bottom"/>
          </w:tcPr>
          <w:p>
            <w:pPr>
              <w:ind w:left="20"/>
              <w:spacing w:after="0"/>
              <w:rPr>
                <w:sz w:val="20"/>
                <w:szCs w:val="20"/>
                <w:color w:val="auto"/>
              </w:rPr>
            </w:pPr>
            <w:r>
              <w:rPr>
                <w:rFonts w:ascii="Arial" w:cs="Arial" w:eastAsia="Arial" w:hAnsi="Arial"/>
                <w:sz w:val="16"/>
                <w:szCs w:val="16"/>
                <w:color w:val="auto"/>
              </w:rPr>
              <w:t>Common shares repurchased</w:t>
            </w:r>
          </w:p>
        </w:tc>
        <w:tc>
          <w:tcPr>
            <w:tcW w:w="300" w:type="dxa"/>
            <w:vAlign w:val="bottom"/>
          </w:tcPr>
          <w:p>
            <w:pPr>
              <w:spacing w:after="0"/>
              <w:rPr>
                <w:sz w:val="19"/>
                <w:szCs w:val="19"/>
                <w:color w:val="auto"/>
              </w:rPr>
            </w:pPr>
          </w:p>
        </w:tc>
        <w:tc>
          <w:tcPr>
            <w:tcW w:w="1080" w:type="dxa"/>
            <w:vAlign w:val="bottom"/>
          </w:tcPr>
          <w:p>
            <w:pPr>
              <w:jc w:val="right"/>
              <w:ind w:right="1"/>
              <w:spacing w:after="0"/>
              <w:rPr>
                <w:sz w:val="20"/>
                <w:szCs w:val="20"/>
                <w:color w:val="auto"/>
              </w:rPr>
            </w:pPr>
            <w:r>
              <w:rPr>
                <w:rFonts w:ascii="Arial" w:cs="Arial" w:eastAsia="Arial" w:hAnsi="Arial"/>
                <w:sz w:val="16"/>
                <w:szCs w:val="16"/>
                <w:b w:val="1"/>
                <w:bCs w:val="1"/>
                <w:color w:val="auto"/>
              </w:rPr>
              <w:t>(3,468)</w:t>
            </w:r>
          </w:p>
        </w:tc>
        <w:tc>
          <w:tcPr>
            <w:tcW w:w="4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(20,028)</w:t>
            </w:r>
          </w:p>
        </w:tc>
      </w:tr>
      <w:tr>
        <w:trPr>
          <w:trHeight w:val="233"/>
        </w:trPr>
        <w:tc>
          <w:tcPr>
            <w:tcW w:w="8420" w:type="dxa"/>
            <w:vAlign w:val="bottom"/>
          </w:tcPr>
          <w:p>
            <w:pPr>
              <w:ind w:left="20"/>
              <w:spacing w:after="0"/>
              <w:rPr>
                <w:sz w:val="20"/>
                <w:szCs w:val="20"/>
                <w:color w:val="auto"/>
              </w:rPr>
            </w:pPr>
            <w:r>
              <w:rPr>
                <w:rFonts w:ascii="Arial" w:cs="Arial" w:eastAsia="Arial" w:hAnsi="Arial"/>
                <w:sz w:val="16"/>
                <w:szCs w:val="16"/>
                <w:color w:val="auto"/>
              </w:rPr>
              <w:t>Other</w:t>
            </w: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(4,153)</w:t>
            </w:r>
          </w:p>
        </w:tc>
        <w:tc>
          <w:tcPr>
            <w:tcW w:w="4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(1,117)</w:t>
            </w:r>
          </w:p>
        </w:tc>
      </w:tr>
      <w:tr>
        <w:trPr>
          <w:trHeight w:val="227"/>
        </w:trPr>
        <w:tc>
          <w:tcPr>
            <w:tcW w:w="8420" w:type="dxa"/>
            <w:vAlign w:val="bottom"/>
          </w:tcPr>
          <w:p>
            <w:pPr>
              <w:ind w:left="20"/>
              <w:spacing w:after="0"/>
              <w:rPr>
                <w:sz w:val="20"/>
                <w:szCs w:val="20"/>
                <w:color w:val="auto"/>
              </w:rPr>
            </w:pPr>
            <w:r>
              <w:rPr>
                <w:rFonts w:ascii="Arial" w:cs="Arial" w:eastAsia="Arial" w:hAnsi="Arial"/>
                <w:sz w:val="16"/>
                <w:szCs w:val="16"/>
                <w:b w:val="1"/>
                <w:bCs w:val="1"/>
                <w:color w:val="auto"/>
              </w:rPr>
              <w:t>Net Cash (Used in) Provided by Financing Activities</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0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(121,727)</w:t>
            </w:r>
          </w:p>
        </w:tc>
        <w:tc>
          <w:tcPr>
            <w:tcW w:w="4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1,526</w:t>
            </w:r>
          </w:p>
        </w:tc>
      </w:tr>
      <w:tr>
        <w:trPr>
          <w:trHeight w:val="20"/>
        </w:trPr>
        <w:tc>
          <w:tcPr>
            <w:tcW w:w="84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Distributions paid to noncontrolling interests. </w:t>
      </w:r>
      <w:r>
        <w:rPr>
          <w:rFonts w:ascii="Arial" w:cs="Arial" w:eastAsia="Arial" w:hAnsi="Arial"/>
          <w:sz w:val="18"/>
          <w:szCs w:val="18"/>
          <w:color w:val="auto"/>
        </w:rPr>
        <w:t>On February 25, 2025, the Company and a group of minority shareholders entered into an</w:t>
      </w:r>
    </w:p>
    <w:p>
      <w:pPr>
        <w:spacing w:after="0" w:line="14" w:lineRule="exact"/>
        <w:rPr>
          <w:sz w:val="20"/>
          <w:szCs w:val="20"/>
          <w:color w:val="auto"/>
        </w:rPr>
      </w:pPr>
    </w:p>
    <w:p>
      <w:pPr>
        <w:jc w:val="both"/>
        <w:ind w:right="60"/>
        <w:spacing w:after="0"/>
        <w:rPr>
          <w:sz w:val="20"/>
          <w:szCs w:val="20"/>
          <w:color w:val="auto"/>
        </w:rPr>
      </w:pPr>
      <w:r>
        <w:rPr>
          <w:rFonts w:ascii="Arial" w:cs="Arial" w:eastAsia="Arial" w:hAnsi="Arial"/>
          <w:sz w:val="17"/>
          <w:szCs w:val="17"/>
          <w:color w:val="auto"/>
        </w:rPr>
        <w:t>agreement to settle a significant portion of the mandatorily redeemable noncontrolling interest related to GHC One, including CSI, for a total of $205 million, which consisted of approximately $186.25 million in cash and $18.75 million in Graham Holdings Company Class B common</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stock.</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Borrowings and Vehicle Floor Plan Payable. </w:t>
      </w:r>
      <w:r>
        <w:rPr>
          <w:rFonts w:ascii="Arial" w:cs="Arial" w:eastAsia="Arial" w:hAnsi="Arial"/>
          <w:sz w:val="18"/>
          <w:szCs w:val="18"/>
          <w:color w:val="auto"/>
        </w:rPr>
        <w:t>In the first three months of 2025 and 2024, the Company made additional borrowings on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$300 million revolving credit facility and repaid amounts borrowed under the term loan and commercial notes at the automotive subsidiary. In</w:t>
      </w:r>
    </w:p>
    <w:p>
      <w:pPr>
        <w:spacing w:after="0"/>
        <w:rPr>
          <w:sz w:val="20"/>
          <w:szCs w:val="20"/>
          <w:color w:val="auto"/>
        </w:rPr>
      </w:pPr>
      <w:r>
        <w:rPr>
          <w:rFonts w:ascii="Arial" w:cs="Arial" w:eastAsia="Arial" w:hAnsi="Arial"/>
          <w:sz w:val="17"/>
          <w:szCs w:val="17"/>
          <w:color w:val="auto"/>
        </w:rPr>
        <w:t>the first three months of 2025 and 2024, the Company used vehicle floor plan financing to fund the purchase of new, used and service loaner vehicles at its automotive subsidiary. The (repayments of) proceeds from the vehicle floor plan payable fluctuates with changes in the amount</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of vehicle inventory held by the automotive dealerships.</w:t>
      </w:r>
    </w:p>
    <w:p>
      <w:pPr>
        <w:spacing w:after="0" w:line="140" w:lineRule="exact"/>
        <w:rPr>
          <w:sz w:val="20"/>
          <w:szCs w:val="20"/>
          <w:color w:val="auto"/>
        </w:rPr>
      </w:pPr>
    </w:p>
    <w:p>
      <w:pPr>
        <w:ind w:right="760"/>
        <w:spacing w:after="0" w:line="256" w:lineRule="auto"/>
        <w:rPr>
          <w:sz w:val="20"/>
          <w:szCs w:val="20"/>
          <w:color w:val="auto"/>
        </w:rPr>
      </w:pPr>
      <w:r>
        <w:rPr>
          <w:rFonts w:ascii="Arial" w:cs="Arial" w:eastAsia="Arial" w:hAnsi="Arial"/>
          <w:sz w:val="18"/>
          <w:szCs w:val="18"/>
          <w:i w:val="1"/>
          <w:iCs w:val="1"/>
          <w:color w:val="auto"/>
        </w:rPr>
        <w:t xml:space="preserve">Dividends. </w:t>
      </w:r>
      <w:r>
        <w:rPr>
          <w:rFonts w:ascii="Arial" w:cs="Arial" w:eastAsia="Arial" w:hAnsi="Arial"/>
          <w:sz w:val="18"/>
          <w:szCs w:val="18"/>
          <w:color w:val="auto"/>
        </w:rPr>
        <w:t>The quarterly dividend rate per share was $1.80 and $1.72 for the first three months of 2025 and 2024, respectively.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expects to pay a dividend of $7.20 per share in 2025.</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Common Stock Repurchases. </w:t>
      </w:r>
      <w:r>
        <w:rPr>
          <w:rFonts w:ascii="Arial" w:cs="Arial" w:eastAsia="Arial" w:hAnsi="Arial"/>
          <w:sz w:val="18"/>
          <w:szCs w:val="18"/>
          <w:color w:val="auto"/>
        </w:rPr>
        <w:t>During the first three months of 2025, the Company purchased a total of 3,978 shares of its Class B common</w:t>
      </w:r>
    </w:p>
    <w:p>
      <w:pPr>
        <w:spacing w:after="0" w:line="14" w:lineRule="exact"/>
        <w:rPr>
          <w:sz w:val="20"/>
          <w:szCs w:val="20"/>
          <w:color w:val="auto"/>
        </w:rPr>
      </w:pPr>
    </w:p>
    <w:p>
      <w:pPr>
        <w:ind w:right="60"/>
        <w:spacing w:after="0"/>
        <w:rPr>
          <w:sz w:val="20"/>
          <w:szCs w:val="20"/>
          <w:color w:val="auto"/>
        </w:rPr>
      </w:pPr>
      <w:r>
        <w:rPr>
          <w:rFonts w:ascii="Arial" w:cs="Arial" w:eastAsia="Arial" w:hAnsi="Arial"/>
          <w:sz w:val="17"/>
          <w:szCs w:val="17"/>
          <w:color w:val="auto"/>
        </w:rPr>
        <w:t>stock at a cost of approximately $ 3.5 million resulting from the net settlement of stock awards upon vesting. On September 12, 2024, the Board of Directors authorized the Company to acquire up to 500,000 shares of its Class B common stock. The Company did not announce a</w:t>
      </w:r>
    </w:p>
    <w:p>
      <w:pPr>
        <w:spacing w:after="0" w:line="1" w:lineRule="exact"/>
        <w:rPr>
          <w:sz w:val="20"/>
          <w:szCs w:val="20"/>
          <w:color w:val="auto"/>
        </w:rPr>
      </w:pPr>
    </w:p>
    <w:p>
      <w:pPr>
        <w:ind w:right="440"/>
        <w:spacing w:after="0" w:line="250" w:lineRule="auto"/>
        <w:rPr>
          <w:sz w:val="20"/>
          <w:szCs w:val="20"/>
          <w:color w:val="auto"/>
        </w:rPr>
      </w:pPr>
      <w:r>
        <w:rPr>
          <w:rFonts w:ascii="Arial" w:cs="Arial" w:eastAsia="Arial" w:hAnsi="Arial"/>
          <w:sz w:val="18"/>
          <w:szCs w:val="18"/>
          <w:color w:val="auto"/>
        </w:rPr>
        <w:t>ceiling price or time limit for the purchases. At March 31, 2025, the Company had remaining authorization from the Board of Directors to purchase up to 462,482 shares of Class B common stock.</w:t>
      </w:r>
    </w:p>
    <w:p>
      <w:pPr>
        <w:sectPr>
          <w:pgSz w:w="11900" w:h="16838" w:orient="portrait"/>
          <w:cols w:equalWidth="0" w:num="1">
            <w:col w:w="11220"/>
          </w:cols>
          <w:pgMar w:left="320" w:top="931" w:right="359" w:bottom="1440" w:gutter="0" w:footer="0" w:header="0"/>
          <w:type w:val="continuous"/>
        </w:sect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175260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31" w:right="359" w:bottom="1440" w:gutter="0" w:footer="0" w:header="0"/>
          <w:type w:val="continuous"/>
        </w:sectPr>
      </w:pPr>
    </w:p>
    <w:bookmarkStart w:id="32" w:name="page33"/>
    <w:bookmarkEnd w:id="32"/>
    <w:p>
      <w:pPr>
        <w:ind w:right="60"/>
        <w:spacing w:after="0" w:line="271" w:lineRule="auto"/>
        <w:rPr>
          <w:sz w:val="20"/>
          <w:szCs w:val="20"/>
          <w:color w:val="auto"/>
        </w:rPr>
      </w:pPr>
      <w:r>
        <w:rPr>
          <w:rFonts w:ascii="Arial" w:cs="Arial" w:eastAsia="Arial" w:hAnsi="Arial"/>
          <w:sz w:val="18"/>
          <w:szCs w:val="18"/>
          <w:color w:val="auto"/>
        </w:rPr>
        <w:t>There were no other significant changes to the Company’s contractual obligations or other commercial commitments from those disclosed in the Company’s Annual Report on Form 10-K for the year ended December 31, 2024.</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Forward-Looking Statements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All public statements made by the Company and its representatives that are not statements of historical fact, including certain statements in</w:t>
      </w:r>
    </w:p>
    <w:p>
      <w:pPr>
        <w:spacing w:after="0" w:line="14" w:lineRule="exact"/>
        <w:rPr>
          <w:sz w:val="20"/>
          <w:szCs w:val="20"/>
          <w:color w:val="auto"/>
        </w:rPr>
      </w:pPr>
    </w:p>
    <w:p>
      <w:pPr>
        <w:ind w:right="120"/>
        <w:spacing w:after="0" w:line="226" w:lineRule="auto"/>
        <w:rPr>
          <w:sz w:val="20"/>
          <w:szCs w:val="20"/>
          <w:color w:val="auto"/>
        </w:rPr>
      </w:pPr>
      <w:r>
        <w:rPr>
          <w:rFonts w:ascii="Arial" w:cs="Arial" w:eastAsia="Arial" w:hAnsi="Arial"/>
          <w:sz w:val="18"/>
          <w:szCs w:val="18"/>
          <w:color w:val="auto"/>
        </w:rPr>
        <w:t>this report, in the Company’s Annual Report on Form 10-K and in the Company’s 2024 Annual Report to Stockholders, are “forward-looking statements” within the meaning of the Private Securities Litigation Reform Act of 1995. Forward-looking statements are based on</w:t>
      </w:r>
    </w:p>
    <w:p>
      <w:pPr>
        <w:spacing w:after="0" w:line="2" w:lineRule="exact"/>
        <w:rPr>
          <w:sz w:val="20"/>
          <w:szCs w:val="20"/>
          <w:color w:val="auto"/>
        </w:rPr>
      </w:pPr>
    </w:p>
    <w:p>
      <w:pPr>
        <w:spacing w:after="0"/>
        <w:rPr>
          <w:sz w:val="20"/>
          <w:szCs w:val="20"/>
          <w:color w:val="auto"/>
        </w:rPr>
      </w:pPr>
      <w:r>
        <w:rPr>
          <w:rFonts w:ascii="Arial" w:cs="Arial" w:eastAsia="Arial" w:hAnsi="Arial"/>
          <w:sz w:val="17"/>
          <w:szCs w:val="17"/>
          <w:color w:val="auto"/>
        </w:rPr>
        <w:t>expectations, forecasts, and assumptions by the Company’s management and involve a number of risks, uncertainties, and other factors that</w:t>
      </w:r>
    </w:p>
    <w:p>
      <w:pPr>
        <w:spacing w:after="0" w:line="7" w:lineRule="exact"/>
        <w:rPr>
          <w:sz w:val="20"/>
          <w:szCs w:val="20"/>
          <w:color w:val="auto"/>
        </w:rPr>
      </w:pPr>
    </w:p>
    <w:p>
      <w:pPr>
        <w:ind w:right="300"/>
        <w:spacing w:after="0" w:line="226" w:lineRule="auto"/>
        <w:rPr>
          <w:sz w:val="20"/>
          <w:szCs w:val="20"/>
          <w:color w:val="auto"/>
        </w:rPr>
      </w:pPr>
      <w:r>
        <w:rPr>
          <w:rFonts w:ascii="Arial" w:cs="Arial" w:eastAsia="Arial" w:hAnsi="Arial"/>
          <w:sz w:val="18"/>
          <w:szCs w:val="18"/>
          <w:color w:val="auto"/>
        </w:rPr>
        <w:t>could cause actual results to differ from those stated, including, without limitation, comments about expectations related to acquisitions or dispositions or related business activities, the Company’s business strategies and objectives, the prospects for growth in the Company’s</w:t>
      </w:r>
    </w:p>
    <w:p>
      <w:pPr>
        <w:spacing w:after="0" w:line="236" w:lineRule="auto"/>
        <w:rPr>
          <w:sz w:val="20"/>
          <w:szCs w:val="20"/>
          <w:color w:val="auto"/>
        </w:rPr>
      </w:pPr>
      <w:r>
        <w:rPr>
          <w:rFonts w:ascii="Arial" w:cs="Arial" w:eastAsia="Arial" w:hAnsi="Arial"/>
          <w:sz w:val="18"/>
          <w:szCs w:val="18"/>
          <w:color w:val="auto"/>
        </w:rPr>
        <w:t>various business operations, the Company’s future financial performance, and the risks and uncertainties described in Item 1A of the</w:t>
      </w:r>
    </w:p>
    <w:p>
      <w:pPr>
        <w:spacing w:after="0" w:line="1" w:lineRule="exact"/>
        <w:rPr>
          <w:sz w:val="20"/>
          <w:szCs w:val="20"/>
          <w:color w:val="auto"/>
        </w:rPr>
      </w:pPr>
    </w:p>
    <w:p>
      <w:pPr>
        <w:ind w:right="20"/>
        <w:spacing w:after="0" w:line="226" w:lineRule="auto"/>
        <w:rPr>
          <w:sz w:val="20"/>
          <w:szCs w:val="20"/>
          <w:color w:val="auto"/>
        </w:rPr>
      </w:pPr>
      <w:r>
        <w:rPr>
          <w:rFonts w:ascii="Arial" w:cs="Arial" w:eastAsia="Arial" w:hAnsi="Arial"/>
          <w:sz w:val="18"/>
          <w:szCs w:val="18"/>
          <w:color w:val="auto"/>
        </w:rPr>
        <w:t>Company’s Annual Report on Form 10-K. Accordingly, undue reliance should not be placed on any forward-looking statement made by or on behalf of the Company. The Company assumes no obligation to update any forward-looking statement after the date on which such</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statement is made, even if new information subsequently becomes available.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44" w:lineRule="exact"/>
        <w:rPr>
          <w:sz w:val="20"/>
          <w:szCs w:val="20"/>
          <w:color w:val="auto"/>
        </w:rPr>
      </w:pPr>
    </w:p>
    <w:p>
      <w:pPr>
        <w:ind w:right="240"/>
        <w:spacing w:after="0" w:line="245" w:lineRule="auto"/>
        <w:rPr>
          <w:sz w:val="20"/>
          <w:szCs w:val="20"/>
          <w:color w:val="auto"/>
        </w:rPr>
      </w:pPr>
      <w:r>
        <w:rPr>
          <w:rFonts w:ascii="Arial" w:cs="Arial" w:eastAsia="Arial" w:hAnsi="Arial"/>
          <w:sz w:val="18"/>
          <w:szCs w:val="18"/>
          <w:color w:val="auto"/>
        </w:rPr>
        <w:t>The Company is exposed to market risk in the normal course of its business due primarily to its ownership of marketable equity securities, which are subject to equity price risk; to its borrowing and cash-management activities, which are subject to interest rate risk; and to its</w:t>
      </w:r>
    </w:p>
    <w:p>
      <w:pPr>
        <w:ind w:right="380"/>
        <w:spacing w:after="0" w:line="237" w:lineRule="auto"/>
        <w:rPr>
          <w:sz w:val="20"/>
          <w:szCs w:val="20"/>
          <w:color w:val="auto"/>
        </w:rPr>
      </w:pPr>
      <w:r>
        <w:rPr>
          <w:rFonts w:ascii="Arial" w:cs="Arial" w:eastAsia="Arial" w:hAnsi="Arial"/>
          <w:sz w:val="18"/>
          <w:szCs w:val="18"/>
          <w:color w:val="auto"/>
        </w:rPr>
        <w:t>foreign business operations, which are subject to foreign exchange rate risk. The Company’s market risk disclosures set forth in its 2024 Annual Report filed on Form 10-K have not otherwise changed significantly.</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Evaluation of Disclosure Controls and Procedures</w:t>
      </w:r>
    </w:p>
    <w:p>
      <w:pPr>
        <w:spacing w:after="0" w:line="156" w:lineRule="exact"/>
        <w:rPr>
          <w:sz w:val="20"/>
          <w:szCs w:val="20"/>
          <w:color w:val="auto"/>
        </w:rPr>
      </w:pPr>
    </w:p>
    <w:p>
      <w:pPr>
        <w:ind w:right="380"/>
        <w:spacing w:after="0" w:line="259" w:lineRule="auto"/>
        <w:rPr>
          <w:sz w:val="20"/>
          <w:szCs w:val="20"/>
          <w:color w:val="auto"/>
        </w:rPr>
      </w:pPr>
      <w:r>
        <w:rPr>
          <w:rFonts w:ascii="Arial" w:cs="Arial" w:eastAsia="Arial" w:hAnsi="Arial"/>
          <w:sz w:val="17"/>
          <w:szCs w:val="17"/>
          <w:color w:val="auto"/>
        </w:rPr>
        <w:t>An evaluation was performed by the Company’s management, with the participation of the Company’s Chief Executive Officer (principal executive officer) and the Company’s Chief Financial Officer (principal financial officer), of the effectiveness of the Company’s disclosure</w:t>
      </w:r>
    </w:p>
    <w:p>
      <w:pPr>
        <w:spacing w:after="0" w:line="1" w:lineRule="exact"/>
        <w:rPr>
          <w:sz w:val="20"/>
          <w:szCs w:val="20"/>
          <w:color w:val="auto"/>
        </w:rPr>
      </w:pPr>
    </w:p>
    <w:p>
      <w:pPr>
        <w:ind w:right="160"/>
        <w:spacing w:after="0" w:line="226" w:lineRule="auto"/>
        <w:rPr>
          <w:sz w:val="20"/>
          <w:szCs w:val="20"/>
          <w:color w:val="auto"/>
        </w:rPr>
      </w:pPr>
      <w:r>
        <w:rPr>
          <w:rFonts w:ascii="Arial" w:cs="Arial" w:eastAsia="Arial" w:hAnsi="Arial"/>
          <w:sz w:val="18"/>
          <w:szCs w:val="18"/>
          <w:color w:val="auto"/>
        </w:rPr>
        <w:t>controls and procedures (as defined in Exchange Act Rules 13a-15(e) and 15d-15(e)), as of March 31, 2025. Based on that evaluation, the Company’s Chief Executive Officer and Chief Financial Officer have concluded that the Company’s disclosure controls and procedures, as</w:t>
      </w:r>
    </w:p>
    <w:p>
      <w:pPr>
        <w:spacing w:after="0" w:line="236" w:lineRule="auto"/>
        <w:rPr>
          <w:sz w:val="20"/>
          <w:szCs w:val="20"/>
          <w:color w:val="auto"/>
        </w:rPr>
      </w:pPr>
      <w:r>
        <w:rPr>
          <w:rFonts w:ascii="Arial" w:cs="Arial" w:eastAsia="Arial" w:hAnsi="Arial"/>
          <w:sz w:val="18"/>
          <w:szCs w:val="18"/>
          <w:color w:val="auto"/>
        </w:rPr>
        <w:t>designed and implemented, are effective in ensuring that information required to be disclosed by the Company in the reports that it files or</w:t>
      </w:r>
    </w:p>
    <w:p>
      <w:pPr>
        <w:spacing w:after="0" w:line="1" w:lineRule="exact"/>
        <w:rPr>
          <w:sz w:val="20"/>
          <w:szCs w:val="20"/>
          <w:color w:val="auto"/>
        </w:rPr>
      </w:pPr>
    </w:p>
    <w:p>
      <w:pPr>
        <w:ind w:right="120"/>
        <w:spacing w:after="0" w:line="226" w:lineRule="auto"/>
        <w:rPr>
          <w:sz w:val="20"/>
          <w:szCs w:val="20"/>
          <w:color w:val="auto"/>
        </w:rPr>
      </w:pPr>
      <w:r>
        <w:rPr>
          <w:rFonts w:ascii="Arial" w:cs="Arial" w:eastAsia="Arial" w:hAnsi="Arial"/>
          <w:sz w:val="18"/>
          <w:szCs w:val="18"/>
          <w:color w:val="auto"/>
        </w:rPr>
        <w:t>submits under the Exchange Act is recorded, processed, summarized and reported, within the time periods specified in the Securities and Exchange Commission’s rules and forms and is accumulated and communicated to management, including the Chief Executive Officer and</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 in a manner that allows timely decisions regarding required disclosure.</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 Changes in Internal Control Over Financial Reporting</w:t>
      </w:r>
    </w:p>
    <w:p>
      <w:pPr>
        <w:spacing w:after="0" w:line="156" w:lineRule="exact"/>
        <w:rPr>
          <w:sz w:val="20"/>
          <w:szCs w:val="20"/>
          <w:color w:val="auto"/>
        </w:rPr>
      </w:pPr>
    </w:p>
    <w:p>
      <w:pPr>
        <w:ind w:right="500"/>
        <w:spacing w:after="0" w:line="256" w:lineRule="auto"/>
        <w:rPr>
          <w:sz w:val="20"/>
          <w:szCs w:val="20"/>
          <w:color w:val="auto"/>
        </w:rPr>
      </w:pPr>
      <w:r>
        <w:rPr>
          <w:rFonts w:ascii="Arial" w:cs="Arial" w:eastAsia="Arial" w:hAnsi="Arial"/>
          <w:sz w:val="18"/>
          <w:szCs w:val="18"/>
          <w:color w:val="222222"/>
        </w:rPr>
        <w:t xml:space="preserve">There has been no change in the Company’s internal control over financial reporting during the quarter ended </w:t>
      </w:r>
      <w:r>
        <w:rPr>
          <w:rFonts w:ascii="Arial" w:cs="Arial" w:eastAsia="Arial" w:hAnsi="Arial"/>
          <w:sz w:val="18"/>
          <w:szCs w:val="18"/>
          <w:color w:val="000000"/>
        </w:rPr>
        <w:t>March 31, 2025</w:t>
      </w:r>
      <w:r>
        <w:rPr>
          <w:rFonts w:ascii="Arial" w:cs="Arial" w:eastAsia="Arial" w:hAnsi="Arial"/>
          <w:sz w:val="18"/>
          <w:szCs w:val="18"/>
          <w:color w:val="222222"/>
        </w:rPr>
        <w:t xml:space="preserve"> that has materially affected, or is reasonably likely to materially affect, the Company’s internal control over financial reporting.</w:t>
      </w:r>
    </w:p>
    <w:p>
      <w:pPr>
        <w:spacing w:after="0" w:line="200" w:lineRule="exact"/>
        <w:rPr>
          <w:sz w:val="20"/>
          <w:szCs w:val="20"/>
          <w:color w:val="auto"/>
        </w:rPr>
      </w:pPr>
    </w:p>
    <w:p>
      <w:pPr>
        <w:spacing w:after="0" w:line="31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31" w:right="379" w:bottom="1440" w:gutter="0" w:footer="0" w:header="0"/>
        </w:sectPr>
      </w:pPr>
    </w:p>
    <w:bookmarkStart w:id="33" w:name="page34"/>
    <w:bookmarkEnd w:id="33"/>
    <w:p>
      <w:pPr>
        <w:ind w:left="4300"/>
        <w:spacing w:after="0"/>
        <w:rPr>
          <w:sz w:val="20"/>
          <w:szCs w:val="20"/>
          <w:color w:val="auto"/>
        </w:rPr>
      </w:pPr>
      <w:r>
        <w:rPr>
          <w:rFonts w:ascii="Arial" w:cs="Arial" w:eastAsia="Arial" w:hAnsi="Arial"/>
          <w:sz w:val="18"/>
          <w:szCs w:val="18"/>
          <w:b w:val="1"/>
          <w:bCs w:val="1"/>
          <w:color w:val="auto"/>
        </w:rPr>
        <w:t>PART II. OTHER INFORMATION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Purchases of Equity Securities by the Issuer and Affiliated Purchasers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During the quarter ended March 31, 2025, the Company purchased shares of its Class B Common Stock as set forth in the following table:</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rPr>
              <w:t>Total Number of Shares</w:t>
            </w:r>
          </w:p>
        </w:tc>
        <w:tc>
          <w:tcPr>
            <w:tcW w:w="2300" w:type="dxa"/>
            <w:vAlign w:val="bottom"/>
          </w:tcPr>
          <w:p>
            <w:pPr>
              <w:jc w:val="center"/>
              <w:ind w:left="404"/>
              <w:spacing w:after="0"/>
              <w:rPr>
                <w:sz w:val="20"/>
                <w:szCs w:val="20"/>
                <w:color w:val="auto"/>
              </w:rPr>
            </w:pPr>
            <w:r>
              <w:rPr>
                <w:rFonts w:ascii="Arial" w:cs="Arial" w:eastAsia="Arial" w:hAnsi="Arial"/>
                <w:sz w:val="14"/>
                <w:szCs w:val="14"/>
                <w:b w:val="1"/>
                <w:bCs w:val="1"/>
                <w:color w:val="auto"/>
              </w:rPr>
              <w:t>Maximum Number of</w:t>
            </w:r>
          </w:p>
        </w:tc>
        <w:tc>
          <w:tcPr>
            <w:tcW w:w="0" w:type="dxa"/>
            <w:vAlign w:val="bottom"/>
          </w:tcPr>
          <w:p>
            <w:pPr>
              <w:spacing w:after="0"/>
              <w:rPr>
                <w:sz w:val="1"/>
                <w:szCs w:val="1"/>
                <w:color w:val="auto"/>
              </w:rPr>
            </w:pPr>
          </w:p>
        </w:tc>
      </w:tr>
      <w:tr>
        <w:trPr>
          <w:trHeight w:val="162"/>
        </w:trPr>
        <w:tc>
          <w:tcPr>
            <w:tcW w:w="46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jc w:val="center"/>
              <w:ind w:right="142"/>
              <w:spacing w:after="0"/>
              <w:rPr>
                <w:sz w:val="20"/>
                <w:szCs w:val="20"/>
                <w:color w:val="auto"/>
              </w:rPr>
            </w:pPr>
            <w:r>
              <w:rPr>
                <w:rFonts w:ascii="Arial" w:cs="Arial" w:eastAsia="Arial" w:hAnsi="Arial"/>
                <w:sz w:val="14"/>
                <w:szCs w:val="14"/>
                <w:b w:val="1"/>
                <w:bCs w:val="1"/>
                <w:color w:val="auto"/>
              </w:rPr>
              <w:t>Average</w:t>
            </w: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rPr>
              <w:t>Purchased as Part of</w:t>
            </w:r>
          </w:p>
        </w:tc>
        <w:tc>
          <w:tcPr>
            <w:tcW w:w="2300" w:type="dxa"/>
            <w:vAlign w:val="bottom"/>
          </w:tcPr>
          <w:p>
            <w:pPr>
              <w:jc w:val="center"/>
              <w:ind w:left="404"/>
              <w:spacing w:after="0"/>
              <w:rPr>
                <w:sz w:val="20"/>
                <w:szCs w:val="20"/>
                <w:color w:val="auto"/>
              </w:rPr>
            </w:pPr>
            <w:r>
              <w:rPr>
                <w:rFonts w:ascii="Arial" w:cs="Arial" w:eastAsia="Arial" w:hAnsi="Arial"/>
                <w:sz w:val="14"/>
                <w:szCs w:val="14"/>
                <w:b w:val="1"/>
                <w:bCs w:val="1"/>
                <w:color w:val="auto"/>
              </w:rPr>
              <w:t>Shares that May Yet Be</w:t>
            </w:r>
          </w:p>
        </w:tc>
        <w:tc>
          <w:tcPr>
            <w:tcW w:w="0" w:type="dxa"/>
            <w:vAlign w:val="bottom"/>
          </w:tcPr>
          <w:p>
            <w:pPr>
              <w:spacing w:after="0"/>
              <w:rPr>
                <w:sz w:val="1"/>
                <w:szCs w:val="1"/>
                <w:color w:val="auto"/>
              </w:rPr>
            </w:pPr>
          </w:p>
        </w:tc>
      </w:tr>
      <w:tr>
        <w:trPr>
          <w:trHeight w:val="160"/>
        </w:trPr>
        <w:tc>
          <w:tcPr>
            <w:tcW w:w="46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Period</w:t>
            </w:r>
          </w:p>
        </w:tc>
        <w:tc>
          <w:tcPr>
            <w:tcW w:w="1320" w:type="dxa"/>
            <w:vAlign w:val="bottom"/>
          </w:tcPr>
          <w:p>
            <w:pPr>
              <w:jc w:val="right"/>
              <w:ind w:right="22"/>
              <w:spacing w:after="0" w:line="159" w:lineRule="exact"/>
              <w:rPr>
                <w:sz w:val="20"/>
                <w:szCs w:val="20"/>
                <w:color w:val="auto"/>
              </w:rPr>
            </w:pPr>
            <w:r>
              <w:rPr>
                <w:rFonts w:ascii="Arial" w:cs="Arial" w:eastAsia="Arial" w:hAnsi="Arial"/>
                <w:sz w:val="14"/>
                <w:szCs w:val="14"/>
                <w:b w:val="1"/>
                <w:bCs w:val="1"/>
                <w:color w:val="auto"/>
              </w:rPr>
              <w:t>Total Number of</w:t>
            </w:r>
          </w:p>
        </w:tc>
        <w:tc>
          <w:tcPr>
            <w:tcW w:w="240" w:type="dxa"/>
            <w:vAlign w:val="bottom"/>
          </w:tcPr>
          <w:p>
            <w:pPr>
              <w:spacing w:after="0"/>
              <w:rPr>
                <w:sz w:val="13"/>
                <w:szCs w:val="13"/>
                <w:color w:val="auto"/>
              </w:rPr>
            </w:pPr>
          </w:p>
        </w:tc>
        <w:tc>
          <w:tcPr>
            <w:tcW w:w="960" w:type="dxa"/>
            <w:vAlign w:val="bottom"/>
          </w:tcPr>
          <w:p>
            <w:pPr>
              <w:jc w:val="center"/>
              <w:ind w:right="142"/>
              <w:spacing w:after="0" w:line="159" w:lineRule="exact"/>
              <w:rPr>
                <w:sz w:val="20"/>
                <w:szCs w:val="20"/>
                <w:color w:val="auto"/>
              </w:rPr>
            </w:pPr>
            <w:r>
              <w:rPr>
                <w:rFonts w:ascii="Arial" w:cs="Arial" w:eastAsia="Arial" w:hAnsi="Arial"/>
                <w:sz w:val="14"/>
                <w:szCs w:val="14"/>
                <w:b w:val="1"/>
                <w:bCs w:val="1"/>
                <w:color w:val="auto"/>
              </w:rPr>
              <w:t>Price Paid</w:t>
            </w:r>
          </w:p>
        </w:tc>
        <w:tc>
          <w:tcPr>
            <w:tcW w:w="1720" w:type="dxa"/>
            <w:vAlign w:val="bottom"/>
          </w:tcPr>
          <w:p>
            <w:pPr>
              <w:jc w:val="center"/>
              <w:spacing w:after="0" w:line="159" w:lineRule="exact"/>
              <w:rPr>
                <w:sz w:val="20"/>
                <w:szCs w:val="20"/>
                <w:color w:val="auto"/>
              </w:rPr>
            </w:pPr>
            <w:r>
              <w:rPr>
                <w:rFonts w:ascii="Arial" w:cs="Arial" w:eastAsia="Arial" w:hAnsi="Arial"/>
                <w:sz w:val="14"/>
                <w:szCs w:val="14"/>
                <w:b w:val="1"/>
                <w:bCs w:val="1"/>
                <w:color w:val="auto"/>
              </w:rPr>
              <w:t>Publicly Announced</w:t>
            </w:r>
          </w:p>
        </w:tc>
        <w:tc>
          <w:tcPr>
            <w:tcW w:w="2300" w:type="dxa"/>
            <w:vAlign w:val="bottom"/>
          </w:tcPr>
          <w:p>
            <w:pPr>
              <w:jc w:val="center"/>
              <w:ind w:left="384"/>
              <w:spacing w:after="0" w:line="159" w:lineRule="exact"/>
              <w:rPr>
                <w:sz w:val="20"/>
                <w:szCs w:val="20"/>
                <w:color w:val="auto"/>
              </w:rPr>
            </w:pPr>
            <w:r>
              <w:rPr>
                <w:rFonts w:ascii="Arial" w:cs="Arial" w:eastAsia="Arial" w:hAnsi="Arial"/>
                <w:sz w:val="14"/>
                <w:szCs w:val="14"/>
                <w:b w:val="1"/>
                <w:bCs w:val="1"/>
                <w:color w:val="auto"/>
              </w:rPr>
              <w:t>Purchased Under the</w:t>
            </w:r>
          </w:p>
        </w:tc>
        <w:tc>
          <w:tcPr>
            <w:tcW w:w="0" w:type="dxa"/>
            <w:vAlign w:val="bottom"/>
          </w:tcPr>
          <w:p>
            <w:pPr>
              <w:spacing w:after="0"/>
              <w:rPr>
                <w:sz w:val="1"/>
                <w:szCs w:val="1"/>
                <w:color w:val="auto"/>
              </w:rPr>
            </w:pPr>
          </w:p>
        </w:tc>
      </w:tr>
      <w:tr>
        <w:trPr>
          <w:trHeight w:val="214"/>
        </w:trPr>
        <w:tc>
          <w:tcPr>
            <w:tcW w:w="4660" w:type="dxa"/>
            <w:vAlign w:val="bottom"/>
            <w:tcBorders>
              <w:bottom w:val="single" w:sz="8" w:color="auto"/>
            </w:tcBorders>
            <w:vMerge w:val="continue"/>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Shares Purchased</w:t>
            </w:r>
          </w:p>
        </w:tc>
        <w:tc>
          <w:tcPr>
            <w:tcW w:w="12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8"/>
              </w:rPr>
              <w:t>per Share</w:t>
            </w:r>
            <w:r>
              <w:rPr>
                <w:rFonts w:ascii="Arial" w:cs="Arial" w:eastAsia="Arial" w:hAnsi="Arial"/>
                <w:sz w:val="18"/>
                <w:szCs w:val="18"/>
                <w:b w:val="1"/>
                <w:bCs w:val="1"/>
                <w:color w:val="auto"/>
                <w:w w:val="98"/>
                <w:vertAlign w:val="superscript"/>
              </w:rPr>
              <w:t>(1)</w:t>
            </w: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Plan</w:t>
            </w:r>
            <w:r>
              <w:rPr>
                <w:rFonts w:ascii="Arial" w:cs="Arial" w:eastAsia="Arial" w:hAnsi="Arial"/>
                <w:sz w:val="18"/>
                <w:szCs w:val="18"/>
                <w:b w:val="1"/>
                <w:bCs w:val="1"/>
                <w:color w:val="auto"/>
                <w:w w:val="94"/>
                <w:vertAlign w:val="superscript"/>
              </w:rPr>
              <w:t>(2)</w:t>
            </w:r>
          </w:p>
        </w:tc>
        <w:tc>
          <w:tcPr>
            <w:tcW w:w="2300" w:type="dxa"/>
            <w:vAlign w:val="bottom"/>
            <w:tcBorders>
              <w:bottom w:val="single" w:sz="8" w:color="auto"/>
            </w:tcBorders>
          </w:tcPr>
          <w:p>
            <w:pPr>
              <w:jc w:val="center"/>
              <w:ind w:left="404"/>
              <w:spacing w:after="0"/>
              <w:rPr>
                <w:sz w:val="20"/>
                <w:szCs w:val="20"/>
                <w:color w:val="auto"/>
              </w:rPr>
            </w:pPr>
            <w:r>
              <w:rPr>
                <w:rFonts w:ascii="Arial" w:cs="Arial" w:eastAsia="Arial" w:hAnsi="Arial"/>
                <w:sz w:val="14"/>
                <w:szCs w:val="14"/>
                <w:b w:val="1"/>
                <w:bCs w:val="1"/>
                <w:color w:val="auto"/>
                <w:w w:val="94"/>
              </w:rPr>
              <w:t>Plan</w:t>
            </w:r>
            <w:r>
              <w:rPr>
                <w:rFonts w:ascii="Arial" w:cs="Arial" w:eastAsia="Arial" w:hAnsi="Arial"/>
                <w:sz w:val="18"/>
                <w:szCs w:val="18"/>
                <w:b w:val="1"/>
                <w:bCs w:val="1"/>
                <w:color w:val="auto"/>
                <w:w w:val="94"/>
                <w:vertAlign w:val="superscript"/>
              </w:rPr>
              <w:t>(2)</w:t>
            </w:r>
          </w:p>
        </w:tc>
        <w:tc>
          <w:tcPr>
            <w:tcW w:w="0" w:type="dxa"/>
            <w:vAlign w:val="bottom"/>
          </w:tcPr>
          <w:p>
            <w:pPr>
              <w:spacing w:after="0"/>
              <w:rPr>
                <w:sz w:val="1"/>
                <w:szCs w:val="1"/>
                <w:color w:val="auto"/>
              </w:rPr>
            </w:pPr>
          </w:p>
        </w:tc>
      </w:tr>
      <w:tr>
        <w:trPr>
          <w:trHeight w:val="208"/>
        </w:trPr>
        <w:tc>
          <w:tcPr>
            <w:tcW w:w="4660" w:type="dxa"/>
            <w:vAlign w:val="bottom"/>
          </w:tcPr>
          <w:p>
            <w:pPr>
              <w:ind w:left="20"/>
              <w:spacing w:after="0"/>
              <w:rPr>
                <w:sz w:val="20"/>
                <w:szCs w:val="20"/>
                <w:color w:val="auto"/>
              </w:rPr>
            </w:pPr>
            <w:r>
              <w:rPr>
                <w:rFonts w:ascii="Arial" w:cs="Arial" w:eastAsia="Arial" w:hAnsi="Arial"/>
                <w:sz w:val="16"/>
                <w:szCs w:val="16"/>
                <w:color w:val="auto"/>
              </w:rPr>
              <w:t>January 1 - 31</w:t>
            </w:r>
          </w:p>
        </w:tc>
        <w:tc>
          <w:tcPr>
            <w:tcW w:w="1320" w:type="dxa"/>
            <w:vAlign w:val="bottom"/>
          </w:tcPr>
          <w:p>
            <w:pPr>
              <w:jc w:val="right"/>
              <w:spacing w:after="0"/>
              <w:rPr>
                <w:sz w:val="20"/>
                <w:szCs w:val="20"/>
                <w:color w:val="auto"/>
              </w:rPr>
            </w:pPr>
            <w:r>
              <w:rPr>
                <w:rFonts w:ascii="Arial" w:cs="Arial" w:eastAsia="Arial" w:hAnsi="Arial"/>
                <w:sz w:val="16"/>
                <w:szCs w:val="16"/>
                <w:color w:val="auto"/>
              </w:rPr>
              <w:t>3,978</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82"/>
              <w:spacing w:after="0"/>
              <w:rPr>
                <w:sz w:val="20"/>
                <w:szCs w:val="20"/>
                <w:color w:val="auto"/>
              </w:rPr>
            </w:pPr>
            <w:r>
              <w:rPr>
                <w:rFonts w:ascii="Arial" w:cs="Arial" w:eastAsia="Arial" w:hAnsi="Arial"/>
                <w:sz w:val="16"/>
                <w:szCs w:val="16"/>
                <w:color w:val="auto"/>
              </w:rPr>
              <w:t>871.87</w:t>
            </w:r>
          </w:p>
        </w:tc>
        <w:tc>
          <w:tcPr>
            <w:tcW w:w="1720" w:type="dxa"/>
            <w:vAlign w:val="bottom"/>
          </w:tcPr>
          <w:p>
            <w:pPr>
              <w:jc w:val="right"/>
              <w:spacing w:after="0"/>
              <w:rPr>
                <w:sz w:val="20"/>
                <w:szCs w:val="20"/>
                <w:color w:val="auto"/>
              </w:rPr>
            </w:pPr>
            <w:r>
              <w:rPr>
                <w:rFonts w:ascii="Arial" w:cs="Arial" w:eastAsia="Arial" w:hAnsi="Arial"/>
                <w:sz w:val="16"/>
                <w:szCs w:val="16"/>
                <w:color w:val="auto"/>
              </w:rPr>
              <w:t>3,978</w:t>
            </w:r>
          </w:p>
        </w:tc>
        <w:tc>
          <w:tcPr>
            <w:tcW w:w="2300" w:type="dxa"/>
            <w:vAlign w:val="bottom"/>
          </w:tcPr>
          <w:p>
            <w:pPr>
              <w:jc w:val="right"/>
              <w:ind w:right="4"/>
              <w:spacing w:after="0"/>
              <w:rPr>
                <w:sz w:val="20"/>
                <w:szCs w:val="20"/>
                <w:color w:val="auto"/>
              </w:rPr>
            </w:pPr>
            <w:r>
              <w:rPr>
                <w:rFonts w:ascii="Arial" w:cs="Arial" w:eastAsia="Arial" w:hAnsi="Arial"/>
                <w:sz w:val="16"/>
                <w:szCs w:val="16"/>
                <w:color w:val="auto"/>
              </w:rPr>
              <w:t>462,482</w:t>
            </w:r>
          </w:p>
        </w:tc>
        <w:tc>
          <w:tcPr>
            <w:tcW w:w="0" w:type="dxa"/>
            <w:vAlign w:val="bottom"/>
          </w:tcPr>
          <w:p>
            <w:pPr>
              <w:spacing w:after="0"/>
              <w:rPr>
                <w:sz w:val="1"/>
                <w:szCs w:val="1"/>
                <w:color w:val="auto"/>
              </w:rPr>
            </w:pPr>
          </w:p>
        </w:tc>
      </w:tr>
      <w:tr>
        <w:trPr>
          <w:trHeight w:val="229"/>
        </w:trPr>
        <w:tc>
          <w:tcPr>
            <w:tcW w:w="4660" w:type="dxa"/>
            <w:vAlign w:val="bottom"/>
          </w:tcPr>
          <w:p>
            <w:pPr>
              <w:ind w:left="20"/>
              <w:spacing w:after="0"/>
              <w:rPr>
                <w:sz w:val="20"/>
                <w:szCs w:val="20"/>
                <w:color w:val="auto"/>
              </w:rPr>
            </w:pPr>
            <w:r>
              <w:rPr>
                <w:rFonts w:ascii="Arial" w:cs="Arial" w:eastAsia="Arial" w:hAnsi="Arial"/>
                <w:sz w:val="16"/>
                <w:szCs w:val="16"/>
                <w:color w:val="auto"/>
              </w:rPr>
              <w:t>February 1 - 28</w:t>
            </w:r>
          </w:p>
        </w:tc>
        <w:tc>
          <w:tcPr>
            <w:tcW w:w="132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960" w:type="dxa"/>
            <w:vAlign w:val="bottom"/>
          </w:tcPr>
          <w:p>
            <w:pPr>
              <w:jc w:val="right"/>
              <w:ind w:right="82"/>
              <w:spacing w:after="0"/>
              <w:rPr>
                <w:sz w:val="20"/>
                <w:szCs w:val="20"/>
                <w:color w:val="auto"/>
              </w:rPr>
            </w:pPr>
            <w:r>
              <w:rPr>
                <w:rFonts w:ascii="Arial" w:cs="Arial" w:eastAsia="Arial" w:hAnsi="Arial"/>
                <w:sz w:val="16"/>
                <w:szCs w:val="16"/>
                <w:color w:val="auto"/>
              </w:rPr>
              <w:t>—</w:t>
            </w:r>
          </w:p>
        </w:tc>
        <w:tc>
          <w:tcPr>
            <w:tcW w:w="1720" w:type="dxa"/>
            <w:vAlign w:val="bottom"/>
          </w:tcPr>
          <w:p>
            <w:pPr>
              <w:jc w:val="right"/>
              <w:spacing w:after="0"/>
              <w:rPr>
                <w:sz w:val="20"/>
                <w:szCs w:val="20"/>
                <w:color w:val="auto"/>
              </w:rPr>
            </w:pPr>
            <w:r>
              <w:rPr>
                <w:rFonts w:ascii="Arial" w:cs="Arial" w:eastAsia="Arial" w:hAnsi="Arial"/>
                <w:sz w:val="16"/>
                <w:szCs w:val="16"/>
                <w:color w:val="auto"/>
              </w:rPr>
              <w:t>—</w:t>
            </w:r>
          </w:p>
        </w:tc>
        <w:tc>
          <w:tcPr>
            <w:tcW w:w="2300" w:type="dxa"/>
            <w:vAlign w:val="bottom"/>
          </w:tcPr>
          <w:p>
            <w:pPr>
              <w:jc w:val="right"/>
              <w:ind w:right="4"/>
              <w:spacing w:after="0"/>
              <w:rPr>
                <w:sz w:val="20"/>
                <w:szCs w:val="20"/>
                <w:color w:val="auto"/>
              </w:rPr>
            </w:pPr>
            <w:r>
              <w:rPr>
                <w:rFonts w:ascii="Arial" w:cs="Arial" w:eastAsia="Arial" w:hAnsi="Arial"/>
                <w:sz w:val="16"/>
                <w:szCs w:val="16"/>
                <w:color w:val="auto"/>
              </w:rPr>
              <w:t>462,482</w:t>
            </w:r>
          </w:p>
        </w:tc>
        <w:tc>
          <w:tcPr>
            <w:tcW w:w="0" w:type="dxa"/>
            <w:vAlign w:val="bottom"/>
          </w:tcPr>
          <w:p>
            <w:pPr>
              <w:spacing w:after="0"/>
              <w:rPr>
                <w:sz w:val="1"/>
                <w:szCs w:val="1"/>
                <w:color w:val="auto"/>
              </w:rPr>
            </w:pPr>
          </w:p>
        </w:tc>
      </w:tr>
      <w:tr>
        <w:trPr>
          <w:trHeight w:val="238"/>
        </w:trPr>
        <w:tc>
          <w:tcPr>
            <w:tcW w:w="4660" w:type="dxa"/>
            <w:vAlign w:val="bottom"/>
          </w:tcPr>
          <w:p>
            <w:pPr>
              <w:ind w:left="20"/>
              <w:spacing w:after="0"/>
              <w:rPr>
                <w:sz w:val="20"/>
                <w:szCs w:val="20"/>
                <w:color w:val="auto"/>
              </w:rPr>
            </w:pPr>
            <w:r>
              <w:rPr>
                <w:rFonts w:ascii="Arial" w:cs="Arial" w:eastAsia="Arial" w:hAnsi="Arial"/>
                <w:sz w:val="16"/>
                <w:szCs w:val="16"/>
                <w:color w:val="auto"/>
              </w:rPr>
              <w:t>March 1 - 31</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960" w:type="dxa"/>
            <w:vAlign w:val="bottom"/>
          </w:tcPr>
          <w:p>
            <w:pPr>
              <w:jc w:val="right"/>
              <w:ind w:right="82"/>
              <w:spacing w:after="0"/>
              <w:rPr>
                <w:sz w:val="20"/>
                <w:szCs w:val="20"/>
                <w:color w:val="auto"/>
              </w:rPr>
            </w:pPr>
            <w:r>
              <w:rPr>
                <w:rFonts w:ascii="Arial" w:cs="Arial" w:eastAsia="Arial" w:hAnsi="Arial"/>
                <w:sz w:val="16"/>
                <w:szCs w:val="16"/>
                <w:color w:val="auto"/>
              </w:rPr>
              <w:t>—</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300" w:type="dxa"/>
            <w:vAlign w:val="bottom"/>
          </w:tcPr>
          <w:p>
            <w:pPr>
              <w:jc w:val="right"/>
              <w:ind w:right="4"/>
              <w:spacing w:after="0"/>
              <w:rPr>
                <w:sz w:val="20"/>
                <w:szCs w:val="20"/>
                <w:color w:val="auto"/>
              </w:rPr>
            </w:pPr>
            <w:r>
              <w:rPr>
                <w:rFonts w:ascii="Arial" w:cs="Arial" w:eastAsia="Arial" w:hAnsi="Arial"/>
                <w:sz w:val="16"/>
                <w:szCs w:val="16"/>
                <w:color w:val="auto"/>
              </w:rPr>
              <w:t>462,482</w:t>
            </w:r>
          </w:p>
        </w:tc>
        <w:tc>
          <w:tcPr>
            <w:tcW w:w="0" w:type="dxa"/>
            <w:vAlign w:val="bottom"/>
          </w:tcPr>
          <w:p>
            <w:pPr>
              <w:spacing w:after="0"/>
              <w:rPr>
                <w:sz w:val="1"/>
                <w:szCs w:val="1"/>
                <w:color w:val="auto"/>
              </w:rPr>
            </w:pPr>
          </w:p>
        </w:tc>
      </w:tr>
      <w:tr>
        <w:trPr>
          <w:trHeight w:val="215"/>
        </w:trPr>
        <w:tc>
          <w:tcPr>
            <w:tcW w:w="46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3,978</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82"/>
              <w:spacing w:after="0"/>
              <w:rPr>
                <w:sz w:val="20"/>
                <w:szCs w:val="20"/>
                <w:color w:val="auto"/>
              </w:rPr>
            </w:pPr>
            <w:r>
              <w:rPr>
                <w:rFonts w:ascii="Arial" w:cs="Arial" w:eastAsia="Arial" w:hAnsi="Arial"/>
                <w:sz w:val="16"/>
                <w:szCs w:val="16"/>
                <w:color w:val="auto"/>
              </w:rPr>
              <w:t>871.87</w:t>
            </w:r>
          </w:p>
        </w:tc>
        <w:tc>
          <w:tcPr>
            <w:tcW w:w="1720" w:type="dxa"/>
            <w:vAlign w:val="bottom"/>
          </w:tcPr>
          <w:p>
            <w:pPr>
              <w:jc w:val="right"/>
              <w:spacing w:after="0"/>
              <w:rPr>
                <w:sz w:val="20"/>
                <w:szCs w:val="20"/>
                <w:color w:val="auto"/>
              </w:rPr>
            </w:pPr>
            <w:r>
              <w:rPr>
                <w:rFonts w:ascii="Arial" w:cs="Arial" w:eastAsia="Arial" w:hAnsi="Arial"/>
                <w:sz w:val="16"/>
                <w:szCs w:val="16"/>
                <w:color w:val="auto"/>
              </w:rPr>
              <w:t>3,978</w:t>
            </w:r>
          </w:p>
        </w:tc>
        <w:tc>
          <w:tcPr>
            <w:tcW w:w="23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ind w:left="220" w:hanging="212"/>
        <w:spacing w:after="0"/>
        <w:tabs>
          <w:tab w:leader="none" w:pos="220" w:val="left"/>
        </w:tabs>
        <w:numPr>
          <w:ilvl w:val="0"/>
          <w:numId w:val="21"/>
        </w:numPr>
        <w:rPr>
          <w:rFonts w:ascii="Arial" w:cs="Arial" w:eastAsia="Arial" w:hAnsi="Arial"/>
          <w:sz w:val="14"/>
          <w:szCs w:val="14"/>
          <w:color w:val="auto"/>
        </w:rPr>
      </w:pPr>
      <w:r>
        <w:rPr>
          <w:rFonts w:ascii="Arial" w:cs="Arial" w:eastAsia="Arial" w:hAnsi="Arial"/>
          <w:sz w:val="14"/>
          <w:szCs w:val="14"/>
          <w:color w:val="auto"/>
        </w:rPr>
        <w:t>Average price paid per share includes costs associated with repurchases.</w:t>
      </w:r>
    </w:p>
    <w:p>
      <w:pPr>
        <w:spacing w:after="0" w:line="149" w:lineRule="exact"/>
        <w:rPr>
          <w:rFonts w:ascii="Arial" w:cs="Arial" w:eastAsia="Arial" w:hAnsi="Arial"/>
          <w:sz w:val="14"/>
          <w:szCs w:val="14"/>
          <w:color w:val="auto"/>
        </w:rPr>
      </w:pPr>
    </w:p>
    <w:p>
      <w:pPr>
        <w:ind w:right="60" w:firstLine="8"/>
        <w:spacing w:after="0" w:line="249" w:lineRule="auto"/>
        <w:tabs>
          <w:tab w:leader="none" w:pos="216" w:val="left"/>
        </w:tabs>
        <w:numPr>
          <w:ilvl w:val="0"/>
          <w:numId w:val="21"/>
        </w:numPr>
        <w:rPr>
          <w:rFonts w:ascii="Arial" w:cs="Arial" w:eastAsia="Arial" w:hAnsi="Arial"/>
          <w:sz w:val="14"/>
          <w:szCs w:val="14"/>
          <w:color w:val="auto"/>
        </w:rPr>
      </w:pPr>
      <w:r>
        <w:rPr>
          <w:rFonts w:ascii="Arial" w:cs="Arial" w:eastAsia="Arial" w:hAnsi="Arial"/>
          <w:sz w:val="14"/>
          <w:szCs w:val="14"/>
          <w:color w:val="auto"/>
        </w:rPr>
        <w:t>On September 12, 2024, the Company’s Board of Directors authorized the Company to purchase, on the open market or otherwise, up to 500,000 shares of its Class B Common Stock. This authorization includes shares that remained under the previous authorization. There is no expiration date for this authorization. All share purchases made during the quarter ended March 31, 2025 occurred to enable employees to obtain the funds necessary to satisfy taxes incurred in connection with the vesting of restricted stock awards.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Rule 10b5-1 Trading Plans</w:t>
      </w:r>
    </w:p>
    <w:p>
      <w:pPr>
        <w:spacing w:after="0" w:line="156" w:lineRule="exact"/>
        <w:rPr>
          <w:sz w:val="20"/>
          <w:szCs w:val="20"/>
          <w:color w:val="auto"/>
        </w:rPr>
      </w:pPr>
    </w:p>
    <w:p>
      <w:pPr>
        <w:ind w:right="220"/>
        <w:spacing w:after="0" w:line="237" w:lineRule="auto"/>
        <w:rPr>
          <w:sz w:val="20"/>
          <w:szCs w:val="20"/>
          <w:color w:val="auto"/>
        </w:rPr>
      </w:pPr>
      <w:r>
        <w:rPr>
          <w:rFonts w:ascii="Arial" w:cs="Arial" w:eastAsia="Arial" w:hAnsi="Arial"/>
          <w:sz w:val="18"/>
          <w:szCs w:val="18"/>
          <w:color w:val="auto"/>
        </w:rPr>
        <w:t>During the quarter ended March 31, 2025, none of the Company’s directors or officers (as defined in Rule 16a-1(f) of the Exchange Act) adopted, modified or terminated a “Rule 10b5-1 trading arrangement” or “non-Rule 10b5-1 trading arrangement,” as defined in Item 408 of</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Regulation S-K.</w:t>
      </w:r>
    </w:p>
    <w:p>
      <w:pPr>
        <w:spacing w:after="0" w:line="200" w:lineRule="exact"/>
        <w:rPr>
          <w:sz w:val="20"/>
          <w:szCs w:val="20"/>
          <w:color w:val="auto"/>
        </w:rPr>
      </w:pPr>
    </w:p>
    <w:p>
      <w:pPr>
        <w:spacing w:after="0" w:line="34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39" w:right="37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Item 6. Exhibits</w:t>
      </w:r>
      <w:r>
        <w:rPr>
          <w:rFonts w:ascii="Arial" w:cs="Arial" w:eastAsia="Arial" w:hAnsi="Arial"/>
          <w:sz w:val="16"/>
          <w:szCs w:val="16"/>
          <w:b w:val="1"/>
          <w:bCs w:val="1"/>
          <w:color w:val="auto"/>
        </w:rPr>
        <w:t>.</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00" w:type="dxa"/>
            <w:vAlign w:val="bottom"/>
          </w:tcPr>
          <w:p>
            <w:pPr>
              <w:ind w:left="300"/>
              <w:spacing w:after="0"/>
              <w:rPr>
                <w:sz w:val="20"/>
                <w:szCs w:val="20"/>
                <w:color w:val="auto"/>
              </w:rPr>
            </w:pPr>
            <w:r>
              <w:rPr>
                <w:rFonts w:ascii="Arial" w:cs="Arial" w:eastAsia="Arial" w:hAnsi="Arial"/>
                <w:sz w:val="14"/>
                <w:szCs w:val="14"/>
                <w:b w:val="1"/>
                <w:bCs w:val="1"/>
                <w:color w:val="auto"/>
              </w:rPr>
              <w:t>Exhibit</w:t>
            </w:r>
          </w:p>
        </w:tc>
        <w:tc>
          <w:tcPr>
            <w:tcW w:w="46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6020" w:type="dxa"/>
            <w:vAlign w:val="bottom"/>
            <w:gridSpan w:val="19"/>
            <w:vMerge w:val="restart"/>
          </w:tcPr>
          <w:p>
            <w:pPr>
              <w:ind w:left="480"/>
              <w:spacing w:after="0"/>
              <w:rPr>
                <w:sz w:val="20"/>
                <w:szCs w:val="20"/>
                <w:color w:val="auto"/>
              </w:rPr>
            </w:pPr>
            <w:r>
              <w:rPr>
                <w:rFonts w:ascii="Arial" w:cs="Arial" w:eastAsia="Arial" w:hAnsi="Arial"/>
                <w:sz w:val="16"/>
                <w:szCs w:val="16"/>
                <w:b w:val="1"/>
                <w:bCs w:val="1"/>
                <w:color w:val="auto"/>
              </w:rPr>
              <w:t>Description</w:t>
            </w:r>
          </w:p>
        </w:tc>
        <w:tc>
          <w:tcPr>
            <w:tcW w:w="0" w:type="dxa"/>
            <w:vAlign w:val="bottom"/>
          </w:tcPr>
          <w:p>
            <w:pPr>
              <w:spacing w:after="0"/>
              <w:rPr>
                <w:sz w:val="1"/>
                <w:szCs w:val="1"/>
                <w:color w:val="auto"/>
              </w:rPr>
            </w:pPr>
          </w:p>
        </w:tc>
      </w:tr>
      <w:tr>
        <w:trPr>
          <w:trHeight w:val="189"/>
        </w:trPr>
        <w:tc>
          <w:tcPr>
            <w:tcW w:w="110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Number</w:t>
            </w:r>
          </w:p>
        </w:tc>
        <w:tc>
          <w:tcPr>
            <w:tcW w:w="460" w:type="dxa"/>
            <w:vAlign w:val="bottom"/>
            <w:tcBorders>
              <w:bottom w:val="single" w:sz="8" w:color="auto"/>
            </w:tcBorders>
          </w:tcPr>
          <w:p>
            <w:pPr>
              <w:spacing w:after="0"/>
              <w:rPr>
                <w:sz w:val="16"/>
                <w:szCs w:val="16"/>
                <w:color w:val="auto"/>
              </w:rPr>
            </w:pPr>
          </w:p>
        </w:tc>
        <w:tc>
          <w:tcPr>
            <w:tcW w:w="3620" w:type="dxa"/>
            <w:vAlign w:val="bottom"/>
            <w:tcBorders>
              <w:bottom w:val="single" w:sz="8" w:color="auto"/>
            </w:tcBorders>
          </w:tcPr>
          <w:p>
            <w:pPr>
              <w:spacing w:after="0"/>
              <w:rPr>
                <w:sz w:val="16"/>
                <w:szCs w:val="16"/>
                <w:color w:val="auto"/>
              </w:rPr>
            </w:pPr>
          </w:p>
        </w:tc>
        <w:tc>
          <w:tcPr>
            <w:tcW w:w="6020" w:type="dxa"/>
            <w:vAlign w:val="bottom"/>
            <w:tcBorders>
              <w:bottom w:val="single" w:sz="8" w:color="auto"/>
            </w:tcBorders>
            <w:gridSpan w:val="19"/>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17"/>
        </w:trPr>
        <w:tc>
          <w:tcPr>
            <w:tcW w:w="1100" w:type="dxa"/>
            <w:vAlign w:val="bottom"/>
          </w:tcPr>
          <w:p>
            <w:pPr>
              <w:ind w:left="140"/>
              <w:spacing w:after="0"/>
              <w:rPr>
                <w:sz w:val="20"/>
                <w:szCs w:val="20"/>
                <w:color w:val="auto"/>
              </w:rPr>
            </w:pPr>
            <w:r>
              <w:rPr>
                <w:rFonts w:ascii="Arial" w:cs="Arial" w:eastAsia="Arial" w:hAnsi="Arial"/>
                <w:sz w:val="16"/>
                <w:szCs w:val="16"/>
                <w:color w:val="auto"/>
              </w:rPr>
              <w:t>3.1</w:t>
            </w:r>
          </w:p>
        </w:tc>
        <w:tc>
          <w:tcPr>
            <w:tcW w:w="10100" w:type="dxa"/>
            <w:vAlign w:val="bottom"/>
            <w:gridSpan w:val="21"/>
          </w:tcPr>
          <w:p>
            <w:pPr>
              <w:spacing w:after="0"/>
              <w:rPr>
                <w:rFonts w:ascii="Arial" w:cs="Arial" w:eastAsia="Arial" w:hAnsi="Arial"/>
                <w:sz w:val="16"/>
                <w:szCs w:val="16"/>
                <w:color w:val="0000FF"/>
              </w:rPr>
            </w:pPr>
            <w:hyperlink r:id="rId62">
              <w:r>
                <w:rPr>
                  <w:rFonts w:ascii="Arial" w:cs="Arial" w:eastAsia="Arial" w:hAnsi="Arial"/>
                  <w:sz w:val="16"/>
                  <w:szCs w:val="16"/>
                  <w:color w:val="0000FF"/>
                </w:rPr>
                <w:t>Restated Certificate of Incorporation of the Company dated November 13, 2003 (incorporated by reference to Exhibit 3.1 to the Company’s</w:t>
              </w:r>
            </w:hyperlink>
          </w:p>
        </w:tc>
        <w:tc>
          <w:tcPr>
            <w:tcW w:w="0" w:type="dxa"/>
            <w:vAlign w:val="bottom"/>
          </w:tcPr>
          <w:p>
            <w:pPr>
              <w:spacing w:after="0"/>
              <w:rPr>
                <w:sz w:val="1"/>
                <w:szCs w:val="1"/>
                <w:color w:val="auto"/>
              </w:rPr>
            </w:pPr>
          </w:p>
        </w:tc>
      </w:tr>
      <w:tr>
        <w:trPr>
          <w:trHeight w:val="156"/>
        </w:trPr>
        <w:tc>
          <w:tcPr>
            <w:tcW w:w="1100" w:type="dxa"/>
            <w:vAlign w:val="bottom"/>
          </w:tcPr>
          <w:p>
            <w:pPr>
              <w:spacing w:after="0"/>
              <w:rPr>
                <w:sz w:val="13"/>
                <w:szCs w:val="13"/>
                <w:color w:val="auto"/>
              </w:rPr>
            </w:pPr>
          </w:p>
        </w:tc>
        <w:tc>
          <w:tcPr>
            <w:tcW w:w="9920" w:type="dxa"/>
            <w:vAlign w:val="bottom"/>
            <w:tcBorders>
              <w:top w:val="single" w:sz="8" w:color="0000FF"/>
            </w:tcBorders>
            <w:gridSpan w:val="17"/>
          </w:tcPr>
          <w:p>
            <w:pPr>
              <w:spacing w:after="0" w:line="155" w:lineRule="exact"/>
              <w:rPr>
                <w:rFonts w:ascii="Arial" w:cs="Arial" w:eastAsia="Arial" w:hAnsi="Arial"/>
                <w:sz w:val="16"/>
                <w:szCs w:val="16"/>
                <w:color w:val="0000FF"/>
              </w:rPr>
            </w:pPr>
            <w:hyperlink r:id="rId62">
              <w:r>
                <w:rPr>
                  <w:rFonts w:ascii="Arial" w:cs="Arial" w:eastAsia="Arial" w:hAnsi="Arial"/>
                  <w:sz w:val="16"/>
                  <w:szCs w:val="16"/>
                  <w:color w:val="0000FF"/>
                </w:rPr>
                <w:t>Annual Report on Form 10-K for the fiscal year ended December 28, 2003).</w:t>
              </w:r>
            </w:hyperlink>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62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100" w:type="dxa"/>
            <w:vAlign w:val="bottom"/>
          </w:tcPr>
          <w:p>
            <w:pPr>
              <w:ind w:left="140"/>
              <w:spacing w:after="0"/>
              <w:rPr>
                <w:sz w:val="20"/>
                <w:szCs w:val="20"/>
                <w:color w:val="auto"/>
              </w:rPr>
            </w:pPr>
            <w:r>
              <w:rPr>
                <w:rFonts w:ascii="Arial" w:cs="Arial" w:eastAsia="Arial" w:hAnsi="Arial"/>
                <w:sz w:val="16"/>
                <w:szCs w:val="16"/>
                <w:color w:val="auto"/>
              </w:rPr>
              <w:t>3.2</w:t>
            </w:r>
          </w:p>
        </w:tc>
        <w:tc>
          <w:tcPr>
            <w:tcW w:w="10100" w:type="dxa"/>
            <w:vAlign w:val="bottom"/>
            <w:gridSpan w:val="21"/>
          </w:tcPr>
          <w:p>
            <w:pPr>
              <w:spacing w:after="0"/>
              <w:rPr>
                <w:rFonts w:ascii="Arial" w:cs="Arial" w:eastAsia="Arial" w:hAnsi="Arial"/>
                <w:sz w:val="16"/>
                <w:szCs w:val="16"/>
                <w:color w:val="0000FF"/>
              </w:rPr>
            </w:pPr>
            <w:hyperlink r:id="rId63">
              <w:r>
                <w:rPr>
                  <w:rFonts w:ascii="Arial" w:cs="Arial" w:eastAsia="Arial" w:hAnsi="Arial"/>
                  <w:sz w:val="16"/>
                  <w:szCs w:val="16"/>
                  <w:color w:val="0000FF"/>
                </w:rPr>
                <w:t>Certificate of Amendment, effective November 29, 2013, to the Restated Certificate of Incorporation of the Company (incorporated by</w:t>
              </w:r>
            </w:hyperlink>
          </w:p>
        </w:tc>
        <w:tc>
          <w:tcPr>
            <w:tcW w:w="0" w:type="dxa"/>
            <w:vAlign w:val="bottom"/>
          </w:tcPr>
          <w:p>
            <w:pPr>
              <w:spacing w:after="0"/>
              <w:rPr>
                <w:sz w:val="1"/>
                <w:szCs w:val="1"/>
                <w:color w:val="auto"/>
              </w:rPr>
            </w:pPr>
          </w:p>
        </w:tc>
      </w:tr>
      <w:tr>
        <w:trPr>
          <w:trHeight w:val="155"/>
        </w:trPr>
        <w:tc>
          <w:tcPr>
            <w:tcW w:w="1100" w:type="dxa"/>
            <w:vAlign w:val="bottom"/>
          </w:tcPr>
          <w:p>
            <w:pPr>
              <w:spacing w:after="0"/>
              <w:rPr>
                <w:sz w:val="13"/>
                <w:szCs w:val="13"/>
                <w:color w:val="auto"/>
              </w:rPr>
            </w:pPr>
          </w:p>
        </w:tc>
        <w:tc>
          <w:tcPr>
            <w:tcW w:w="9520" w:type="dxa"/>
            <w:vAlign w:val="bottom"/>
            <w:tcBorders>
              <w:top w:val="single" w:sz="8" w:color="0000FF"/>
            </w:tcBorders>
            <w:gridSpan w:val="9"/>
          </w:tcPr>
          <w:p>
            <w:pPr>
              <w:spacing w:after="0" w:line="155" w:lineRule="exact"/>
              <w:rPr>
                <w:rFonts w:ascii="Arial" w:cs="Arial" w:eastAsia="Arial" w:hAnsi="Arial"/>
                <w:sz w:val="16"/>
                <w:szCs w:val="16"/>
                <w:color w:val="0000FF"/>
              </w:rPr>
            </w:pPr>
            <w:hyperlink r:id="rId63">
              <w:r>
                <w:rPr>
                  <w:rFonts w:ascii="Arial" w:cs="Arial" w:eastAsia="Arial" w:hAnsi="Arial"/>
                  <w:sz w:val="16"/>
                  <w:szCs w:val="16"/>
                  <w:color w:val="0000FF"/>
                </w:rPr>
                <w:t>reference to Exhibit 3.1 to the Company’s current Report on Form 8-K dated November 29, 2013).</w:t>
              </w:r>
            </w:hyperlink>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62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920" w:type="dxa"/>
            <w:vAlign w:val="bottom"/>
            <w:gridSpan w:val="2"/>
            <w:shd w:val="clear" w:color="auto" w:fill="0000FF"/>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100" w:type="dxa"/>
            <w:vAlign w:val="bottom"/>
          </w:tcPr>
          <w:p>
            <w:pPr>
              <w:ind w:left="140"/>
              <w:spacing w:after="0"/>
              <w:rPr>
                <w:sz w:val="20"/>
                <w:szCs w:val="20"/>
                <w:color w:val="auto"/>
              </w:rPr>
            </w:pPr>
            <w:r>
              <w:rPr>
                <w:rFonts w:ascii="Arial" w:cs="Arial" w:eastAsia="Arial" w:hAnsi="Arial"/>
                <w:sz w:val="16"/>
                <w:szCs w:val="16"/>
                <w:color w:val="auto"/>
              </w:rPr>
              <w:t>3.3</w:t>
            </w:r>
          </w:p>
        </w:tc>
        <w:tc>
          <w:tcPr>
            <w:tcW w:w="10100" w:type="dxa"/>
            <w:vAlign w:val="bottom"/>
            <w:gridSpan w:val="21"/>
          </w:tcPr>
          <w:p>
            <w:pPr>
              <w:spacing w:after="0"/>
              <w:rPr>
                <w:rFonts w:ascii="Arial" w:cs="Arial" w:eastAsia="Arial" w:hAnsi="Arial"/>
                <w:sz w:val="16"/>
                <w:szCs w:val="16"/>
                <w:color w:val="0000FF"/>
              </w:rPr>
            </w:pPr>
            <w:hyperlink r:id="rId64">
              <w:r>
                <w:rPr>
                  <w:rFonts w:ascii="Arial" w:cs="Arial" w:eastAsia="Arial" w:hAnsi="Arial"/>
                  <w:sz w:val="16"/>
                  <w:szCs w:val="16"/>
                  <w:color w:val="0000FF"/>
                </w:rPr>
                <w:t>By-Laws of the Company as amended and restated through September 12, 2024 (incorporated by reference to Exhibit 3.1 to the Company’s</w:t>
              </w:r>
            </w:hyperlink>
          </w:p>
        </w:tc>
        <w:tc>
          <w:tcPr>
            <w:tcW w:w="0" w:type="dxa"/>
            <w:vAlign w:val="bottom"/>
          </w:tcPr>
          <w:p>
            <w:pPr>
              <w:spacing w:after="0"/>
              <w:rPr>
                <w:sz w:val="1"/>
                <w:szCs w:val="1"/>
                <w:color w:val="auto"/>
              </w:rPr>
            </w:pPr>
          </w:p>
        </w:tc>
      </w:tr>
      <w:tr>
        <w:trPr>
          <w:trHeight w:val="155"/>
        </w:trPr>
        <w:tc>
          <w:tcPr>
            <w:tcW w:w="1100" w:type="dxa"/>
            <w:vAlign w:val="bottom"/>
          </w:tcPr>
          <w:p>
            <w:pPr>
              <w:spacing w:after="0"/>
              <w:rPr>
                <w:sz w:val="13"/>
                <w:szCs w:val="13"/>
                <w:color w:val="auto"/>
              </w:rPr>
            </w:pPr>
          </w:p>
        </w:tc>
        <w:tc>
          <w:tcPr>
            <w:tcW w:w="4080" w:type="dxa"/>
            <w:vAlign w:val="bottom"/>
            <w:tcBorders>
              <w:top w:val="single" w:sz="8" w:color="0000FF"/>
              <w:bottom w:val="single" w:sz="8" w:color="0000FF"/>
            </w:tcBorders>
            <w:gridSpan w:val="2"/>
          </w:tcPr>
          <w:p>
            <w:pPr>
              <w:spacing w:after="0" w:line="155" w:lineRule="exact"/>
              <w:rPr>
                <w:rFonts w:ascii="Arial" w:cs="Arial" w:eastAsia="Arial" w:hAnsi="Arial"/>
                <w:sz w:val="16"/>
                <w:szCs w:val="16"/>
                <w:color w:val="0000FF"/>
              </w:rPr>
            </w:pPr>
            <w:hyperlink r:id="rId64">
              <w:r>
                <w:rPr>
                  <w:rFonts w:ascii="Arial" w:cs="Arial" w:eastAsia="Arial" w:hAnsi="Arial"/>
                  <w:sz w:val="16"/>
                  <w:szCs w:val="16"/>
                  <w:color w:val="0000FF"/>
                </w:rPr>
                <w:t>Current Report on Form 8-K dated September 12, 2024).</w:t>
              </w:r>
            </w:hyperlink>
          </w:p>
        </w:tc>
        <w:tc>
          <w:tcPr>
            <w:tcW w:w="5940" w:type="dxa"/>
            <w:vAlign w:val="bottom"/>
            <w:tcBorders>
              <w:top w:val="single" w:sz="8" w:color="0000FF"/>
            </w:tcBorders>
            <w:gridSpan w:val="17"/>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72"/>
        </w:trPr>
        <w:tc>
          <w:tcPr>
            <w:tcW w:w="1100" w:type="dxa"/>
            <w:vAlign w:val="bottom"/>
          </w:tcPr>
          <w:p>
            <w:pPr>
              <w:ind w:left="140"/>
              <w:spacing w:after="0"/>
              <w:rPr>
                <w:sz w:val="20"/>
                <w:szCs w:val="20"/>
                <w:color w:val="auto"/>
              </w:rPr>
            </w:pPr>
            <w:r>
              <w:rPr>
                <w:rFonts w:ascii="Arial" w:cs="Arial" w:eastAsia="Arial" w:hAnsi="Arial"/>
                <w:sz w:val="16"/>
                <w:szCs w:val="16"/>
                <w:color w:val="auto"/>
              </w:rPr>
              <w:t>4.1</w:t>
            </w:r>
          </w:p>
        </w:tc>
        <w:tc>
          <w:tcPr>
            <w:tcW w:w="10100" w:type="dxa"/>
            <w:vAlign w:val="bottom"/>
            <w:gridSpan w:val="21"/>
          </w:tcPr>
          <w:p>
            <w:pPr>
              <w:spacing w:after="0"/>
              <w:rPr>
                <w:rFonts w:ascii="Arial" w:cs="Arial" w:eastAsia="Arial" w:hAnsi="Arial"/>
                <w:sz w:val="16"/>
                <w:szCs w:val="16"/>
                <w:color w:val="0000FF"/>
              </w:rPr>
            </w:pPr>
            <w:hyperlink r:id="rId65">
              <w:r>
                <w:rPr>
                  <w:rFonts w:ascii="Arial" w:cs="Arial" w:eastAsia="Arial" w:hAnsi="Arial"/>
                  <w:sz w:val="16"/>
                  <w:szCs w:val="16"/>
                  <w:color w:val="0000FF"/>
                </w:rPr>
                <w:t>Senior Notes Indenture dated as of May 30, 2018, between the Company and The Bank of New York Mellon Trust Company, N.A., as</w:t>
              </w:r>
            </w:hyperlink>
          </w:p>
        </w:tc>
        <w:tc>
          <w:tcPr>
            <w:tcW w:w="0" w:type="dxa"/>
            <w:vAlign w:val="bottom"/>
          </w:tcPr>
          <w:p>
            <w:pPr>
              <w:spacing w:after="0"/>
              <w:rPr>
                <w:sz w:val="1"/>
                <w:szCs w:val="1"/>
                <w:color w:val="auto"/>
              </w:rPr>
            </w:pPr>
          </w:p>
        </w:tc>
      </w:tr>
      <w:tr>
        <w:trPr>
          <w:trHeight w:val="156"/>
        </w:trPr>
        <w:tc>
          <w:tcPr>
            <w:tcW w:w="1100" w:type="dxa"/>
            <w:vAlign w:val="bottom"/>
          </w:tcPr>
          <w:p>
            <w:pPr>
              <w:spacing w:after="0"/>
              <w:rPr>
                <w:sz w:val="13"/>
                <w:szCs w:val="13"/>
                <w:color w:val="auto"/>
              </w:rPr>
            </w:pPr>
          </w:p>
        </w:tc>
        <w:tc>
          <w:tcPr>
            <w:tcW w:w="9540" w:type="dxa"/>
            <w:vAlign w:val="bottom"/>
            <w:tcBorders>
              <w:top w:val="single" w:sz="8" w:color="0000FF"/>
            </w:tcBorders>
            <w:gridSpan w:val="10"/>
          </w:tcPr>
          <w:p>
            <w:pPr>
              <w:spacing w:after="0" w:line="155" w:lineRule="exact"/>
              <w:rPr>
                <w:rFonts w:ascii="Arial" w:cs="Arial" w:eastAsia="Arial" w:hAnsi="Arial"/>
                <w:sz w:val="16"/>
                <w:szCs w:val="16"/>
                <w:color w:val="0000FF"/>
              </w:rPr>
            </w:pPr>
            <w:hyperlink r:id="rId65">
              <w:r>
                <w:rPr>
                  <w:rFonts w:ascii="Arial" w:cs="Arial" w:eastAsia="Arial" w:hAnsi="Arial"/>
                  <w:sz w:val="16"/>
                  <w:szCs w:val="16"/>
                  <w:color w:val="0000FF"/>
                </w:rPr>
                <w:t>Trustee (incorporated by reference to Exhibit 4.1 to the Company’s Current Report on Form 8-K dated May 30, 2018).</w:t>
              </w:r>
            </w:hyperlink>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10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38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320" w:type="dxa"/>
            <w:vAlign w:val="bottom"/>
            <w:gridSpan w:val="3"/>
            <w:shd w:val="clear" w:color="auto" w:fill="0000FF"/>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1100" w:type="dxa"/>
            <w:vAlign w:val="bottom"/>
          </w:tcPr>
          <w:p>
            <w:pPr>
              <w:ind w:left="140"/>
              <w:spacing w:after="0"/>
              <w:rPr>
                <w:sz w:val="20"/>
                <w:szCs w:val="20"/>
                <w:color w:val="auto"/>
              </w:rPr>
            </w:pPr>
            <w:r>
              <w:rPr>
                <w:rFonts w:ascii="Arial" w:cs="Arial" w:eastAsia="Arial" w:hAnsi="Arial"/>
                <w:sz w:val="16"/>
                <w:szCs w:val="16"/>
                <w:color w:val="auto"/>
              </w:rPr>
              <w:t>4.2</w:t>
            </w:r>
          </w:p>
        </w:tc>
        <w:tc>
          <w:tcPr>
            <w:tcW w:w="10100" w:type="dxa"/>
            <w:vAlign w:val="bottom"/>
            <w:gridSpan w:val="21"/>
          </w:tcPr>
          <w:p>
            <w:pPr>
              <w:spacing w:after="0"/>
              <w:rPr>
                <w:rFonts w:ascii="Arial" w:cs="Arial" w:eastAsia="Arial" w:hAnsi="Arial"/>
                <w:sz w:val="16"/>
                <w:szCs w:val="16"/>
                <w:color w:val="0000FF"/>
              </w:rPr>
            </w:pPr>
            <w:hyperlink r:id="rId66">
              <w:r>
                <w:rPr>
                  <w:rFonts w:ascii="Arial" w:cs="Arial" w:eastAsia="Arial" w:hAnsi="Arial"/>
                  <w:sz w:val="16"/>
                  <w:szCs w:val="16"/>
                  <w:color w:val="0000FF"/>
                </w:rPr>
                <w:t>First Supplemental Indenture, dated as of March 24, 2020, among Graham Healthcare Group, Inc., a Delaware corporation, a subsidiary of</w:t>
              </w:r>
            </w:hyperlink>
          </w:p>
        </w:tc>
        <w:tc>
          <w:tcPr>
            <w:tcW w:w="0" w:type="dxa"/>
            <w:vAlign w:val="bottom"/>
          </w:tcPr>
          <w:p>
            <w:pPr>
              <w:spacing w:after="0"/>
              <w:rPr>
                <w:sz w:val="1"/>
                <w:szCs w:val="1"/>
                <w:color w:val="auto"/>
              </w:rPr>
            </w:pPr>
          </w:p>
        </w:tc>
      </w:tr>
      <w:tr>
        <w:trPr>
          <w:trHeight w:val="156"/>
        </w:trPr>
        <w:tc>
          <w:tcPr>
            <w:tcW w:w="1100" w:type="dxa"/>
            <w:vAlign w:val="bottom"/>
          </w:tcPr>
          <w:p>
            <w:pPr>
              <w:spacing w:after="0"/>
              <w:rPr>
                <w:sz w:val="13"/>
                <w:szCs w:val="13"/>
                <w:color w:val="auto"/>
              </w:rPr>
            </w:pPr>
          </w:p>
        </w:tc>
        <w:tc>
          <w:tcPr>
            <w:tcW w:w="9940" w:type="dxa"/>
            <w:vAlign w:val="bottom"/>
            <w:tcBorders>
              <w:top w:val="single" w:sz="8" w:color="0000FF"/>
              <w:bottom w:val="single" w:sz="8" w:color="0000FF"/>
            </w:tcBorders>
            <w:gridSpan w:val="18"/>
          </w:tcPr>
          <w:p>
            <w:pPr>
              <w:spacing w:after="0" w:line="155" w:lineRule="exact"/>
              <w:rPr>
                <w:rFonts w:ascii="Arial" w:cs="Arial" w:eastAsia="Arial" w:hAnsi="Arial"/>
                <w:sz w:val="16"/>
                <w:szCs w:val="16"/>
                <w:color w:val="0000FF"/>
                <w:w w:val="99"/>
              </w:rPr>
            </w:pPr>
            <w:hyperlink r:id="rId66">
              <w:r>
                <w:rPr>
                  <w:rFonts w:ascii="Arial" w:cs="Arial" w:eastAsia="Arial" w:hAnsi="Arial"/>
                  <w:sz w:val="16"/>
                  <w:szCs w:val="16"/>
                  <w:color w:val="0000FF"/>
                  <w:w w:val="99"/>
                </w:rPr>
                <w:t>the Company, and The Bank of New York Mellon Trust Company, N.A., as trustee (incorporated by reference to Exhibit 4.2 to the Company’s</w:t>
              </w:r>
            </w:hyperlink>
          </w:p>
        </w:tc>
        <w:tc>
          <w:tcPr>
            <w:tcW w:w="100" w:type="dxa"/>
            <w:vAlign w:val="bottom"/>
            <w:tcBorders>
              <w:bottom w:val="single" w:sz="8" w:color="0000FF"/>
            </w:tcBorders>
            <w:gridSpan w:val="2"/>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100" w:type="dxa"/>
            <w:vAlign w:val="bottom"/>
          </w:tcPr>
          <w:p>
            <w:pPr>
              <w:spacing w:after="0"/>
              <w:rPr>
                <w:sz w:val="13"/>
                <w:szCs w:val="13"/>
                <w:color w:val="auto"/>
              </w:rPr>
            </w:pPr>
          </w:p>
        </w:tc>
        <w:tc>
          <w:tcPr>
            <w:tcW w:w="5080" w:type="dxa"/>
            <w:vAlign w:val="bottom"/>
            <w:tcBorders>
              <w:bottom w:val="single" w:sz="8" w:color="0000FF"/>
            </w:tcBorders>
            <w:gridSpan w:val="5"/>
          </w:tcPr>
          <w:p>
            <w:pPr>
              <w:spacing w:after="0" w:line="155" w:lineRule="exact"/>
              <w:rPr>
                <w:rFonts w:ascii="Arial" w:cs="Arial" w:eastAsia="Arial" w:hAnsi="Arial"/>
                <w:sz w:val="16"/>
                <w:szCs w:val="16"/>
                <w:color w:val="0000FF"/>
              </w:rPr>
            </w:pPr>
            <w:hyperlink r:id="rId66">
              <w:r>
                <w:rPr>
                  <w:rFonts w:ascii="Arial" w:cs="Arial" w:eastAsia="Arial" w:hAnsi="Arial"/>
                  <w:sz w:val="16"/>
                  <w:szCs w:val="16"/>
                  <w:color w:val="0000FF"/>
                </w:rPr>
                <w:t>Quarterly Report on Form 10-Q for the quarter ended March 31, 2020).</w:t>
              </w:r>
            </w:hyperlink>
          </w:p>
        </w:tc>
        <w:tc>
          <w:tcPr>
            <w:tcW w:w="4960" w:type="dxa"/>
            <w:vAlign w:val="bottom"/>
            <w:gridSpan w:val="15"/>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5"/>
        </w:trPr>
        <w:tc>
          <w:tcPr>
            <w:tcW w:w="1100" w:type="dxa"/>
            <w:vAlign w:val="bottom"/>
          </w:tcPr>
          <w:p>
            <w:pPr>
              <w:ind w:left="140"/>
              <w:spacing w:after="0"/>
              <w:rPr>
                <w:sz w:val="20"/>
                <w:szCs w:val="20"/>
                <w:color w:val="auto"/>
              </w:rPr>
            </w:pPr>
            <w:r>
              <w:rPr>
                <w:rFonts w:ascii="Arial" w:cs="Arial" w:eastAsia="Arial" w:hAnsi="Arial"/>
                <w:sz w:val="16"/>
                <w:szCs w:val="16"/>
                <w:color w:val="auto"/>
              </w:rPr>
              <w:t>4.3</w:t>
            </w:r>
          </w:p>
        </w:tc>
        <w:tc>
          <w:tcPr>
            <w:tcW w:w="10100" w:type="dxa"/>
            <w:vAlign w:val="bottom"/>
            <w:gridSpan w:val="21"/>
          </w:tcPr>
          <w:p>
            <w:pPr>
              <w:spacing w:after="0"/>
              <w:rPr>
                <w:rFonts w:ascii="Arial" w:cs="Arial" w:eastAsia="Arial" w:hAnsi="Arial"/>
                <w:sz w:val="16"/>
                <w:szCs w:val="16"/>
                <w:color w:val="0000FF"/>
              </w:rPr>
            </w:pPr>
            <w:hyperlink r:id="rId67">
              <w:r>
                <w:rPr>
                  <w:rFonts w:ascii="Arial" w:cs="Arial" w:eastAsia="Arial" w:hAnsi="Arial"/>
                  <w:sz w:val="16"/>
                  <w:szCs w:val="16"/>
                  <w:color w:val="0000FF"/>
                </w:rPr>
                <w:t>Second Supplemental Indenture, dated as of January 6, 2022, among Graham Automotive LLC, a Delaware limited liability company, a</w:t>
              </w:r>
            </w:hyperlink>
          </w:p>
        </w:tc>
        <w:tc>
          <w:tcPr>
            <w:tcW w:w="0" w:type="dxa"/>
            <w:vAlign w:val="bottom"/>
          </w:tcPr>
          <w:p>
            <w:pPr>
              <w:spacing w:after="0"/>
              <w:rPr>
                <w:sz w:val="1"/>
                <w:szCs w:val="1"/>
                <w:color w:val="auto"/>
              </w:rPr>
            </w:pPr>
          </w:p>
        </w:tc>
      </w:tr>
      <w:tr>
        <w:trPr>
          <w:trHeight w:val="155"/>
        </w:trPr>
        <w:tc>
          <w:tcPr>
            <w:tcW w:w="1100" w:type="dxa"/>
            <w:vAlign w:val="bottom"/>
          </w:tcPr>
          <w:p>
            <w:pPr>
              <w:spacing w:after="0"/>
              <w:rPr>
                <w:sz w:val="13"/>
                <w:szCs w:val="13"/>
                <w:color w:val="auto"/>
              </w:rPr>
            </w:pPr>
          </w:p>
        </w:tc>
        <w:tc>
          <w:tcPr>
            <w:tcW w:w="9660" w:type="dxa"/>
            <w:vAlign w:val="bottom"/>
            <w:tcBorders>
              <w:top w:val="single" w:sz="8" w:color="0000FF"/>
            </w:tcBorders>
            <w:gridSpan w:val="14"/>
          </w:tcPr>
          <w:p>
            <w:pPr>
              <w:spacing w:after="0" w:line="155" w:lineRule="exact"/>
              <w:rPr>
                <w:rFonts w:ascii="Arial" w:cs="Arial" w:eastAsia="Arial" w:hAnsi="Arial"/>
                <w:sz w:val="16"/>
                <w:szCs w:val="16"/>
                <w:color w:val="0000FF"/>
              </w:rPr>
            </w:pPr>
            <w:hyperlink r:id="rId67">
              <w:r>
                <w:rPr>
                  <w:rFonts w:ascii="Arial" w:cs="Arial" w:eastAsia="Arial" w:hAnsi="Arial"/>
                  <w:sz w:val="16"/>
                  <w:szCs w:val="16"/>
                  <w:color w:val="0000FF"/>
                </w:rPr>
                <w:t>subsidiary of Graham Holdings Company, a Delaware corporation, and The Bank of New York Mellon Trust Company, N.A., as trustee</w:t>
              </w:r>
            </w:hyperlink>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gridSpan w:val="5"/>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100" w:type="dxa"/>
            <w:vAlign w:val="bottom"/>
          </w:tcPr>
          <w:p>
            <w:pPr>
              <w:spacing w:after="0"/>
              <w:rPr>
                <w:sz w:val="13"/>
                <w:szCs w:val="13"/>
                <w:color w:val="auto"/>
              </w:rPr>
            </w:pPr>
          </w:p>
        </w:tc>
        <w:tc>
          <w:tcPr>
            <w:tcW w:w="9580" w:type="dxa"/>
            <w:vAlign w:val="bottom"/>
            <w:tcBorders>
              <w:top w:val="single" w:sz="8" w:color="0000FF"/>
              <w:bottom w:val="single" w:sz="8" w:color="0000FF"/>
            </w:tcBorders>
            <w:gridSpan w:val="11"/>
          </w:tcPr>
          <w:p>
            <w:pPr>
              <w:spacing w:after="0" w:line="155" w:lineRule="exact"/>
              <w:rPr>
                <w:rFonts w:ascii="Arial" w:cs="Arial" w:eastAsia="Arial" w:hAnsi="Arial"/>
                <w:sz w:val="16"/>
                <w:szCs w:val="16"/>
                <w:color w:val="0000FF"/>
              </w:rPr>
            </w:pPr>
            <w:hyperlink r:id="rId67">
              <w:r>
                <w:rPr>
                  <w:rFonts w:ascii="Arial" w:cs="Arial" w:eastAsia="Arial" w:hAnsi="Arial"/>
                  <w:sz w:val="16"/>
                  <w:szCs w:val="16"/>
                  <w:color w:val="0000FF"/>
                </w:rPr>
                <w:t>(incorporated by reference to Exhibit 4.3 to the Company’s Annual Report on Form 10-K for the fiscal year ended December 31, 2021)</w:t>
              </w:r>
            </w:hyperlink>
          </w:p>
        </w:tc>
        <w:tc>
          <w:tcPr>
            <w:tcW w:w="60" w:type="dxa"/>
            <w:vAlign w:val="bottom"/>
            <w:tcBorders>
              <w:bottom w:val="single" w:sz="8" w:color="0000FF"/>
            </w:tcBorders>
            <w:gridSpan w:val="2"/>
          </w:tcPr>
          <w:p>
            <w:pPr>
              <w:jc w:val="right"/>
              <w:spacing w:after="0" w:line="155" w:lineRule="exact"/>
              <w:rPr>
                <w:rFonts w:ascii="Arial" w:cs="Arial" w:eastAsia="Arial" w:hAnsi="Arial"/>
                <w:sz w:val="16"/>
                <w:szCs w:val="16"/>
                <w:color w:val="0000FF"/>
                <w:w w:val="88"/>
              </w:rPr>
            </w:pPr>
            <w:hyperlink r:id="rId67">
              <w:r>
                <w:rPr>
                  <w:rFonts w:ascii="Arial" w:cs="Arial" w:eastAsia="Arial" w:hAnsi="Arial"/>
                  <w:sz w:val="16"/>
                  <w:szCs w:val="16"/>
                  <w:color w:val="0000FF"/>
                  <w:w w:val="88"/>
                </w:rPr>
                <w:t>.</w:t>
              </w:r>
            </w:hyperlink>
          </w:p>
        </w:tc>
        <w:tc>
          <w:tcPr>
            <w:tcW w:w="40" w:type="dxa"/>
            <w:vAlign w:val="bottom"/>
            <w:gridSpan w:val="2"/>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gridSpan w:val="5"/>
          </w:tcPr>
          <w:p>
            <w:pPr>
              <w:spacing w:after="0"/>
              <w:rPr>
                <w:sz w:val="13"/>
                <w:szCs w:val="13"/>
                <w:color w:val="auto"/>
              </w:rPr>
            </w:pPr>
          </w:p>
        </w:tc>
        <w:tc>
          <w:tcPr>
            <w:tcW w:w="0" w:type="dxa"/>
            <w:vAlign w:val="bottom"/>
          </w:tcPr>
          <w:p>
            <w:pPr>
              <w:spacing w:after="0"/>
              <w:rPr>
                <w:sz w:val="1"/>
                <w:szCs w:val="1"/>
                <w:color w:val="auto"/>
              </w:rPr>
            </w:pPr>
          </w:p>
        </w:tc>
      </w:tr>
      <w:tr>
        <w:trPr>
          <w:trHeight w:val="385"/>
        </w:trPr>
        <w:tc>
          <w:tcPr>
            <w:tcW w:w="1100" w:type="dxa"/>
            <w:vAlign w:val="bottom"/>
          </w:tcPr>
          <w:p>
            <w:pPr>
              <w:ind w:left="140"/>
              <w:spacing w:after="0"/>
              <w:rPr>
                <w:sz w:val="20"/>
                <w:szCs w:val="20"/>
                <w:color w:val="auto"/>
              </w:rPr>
            </w:pPr>
            <w:r>
              <w:rPr>
                <w:rFonts w:ascii="Arial" w:cs="Arial" w:eastAsia="Arial" w:hAnsi="Arial"/>
                <w:sz w:val="16"/>
                <w:szCs w:val="16"/>
                <w:color w:val="auto"/>
              </w:rPr>
              <w:t>4.4</w:t>
            </w:r>
          </w:p>
        </w:tc>
        <w:tc>
          <w:tcPr>
            <w:tcW w:w="9600" w:type="dxa"/>
            <w:vAlign w:val="bottom"/>
            <w:tcBorders>
              <w:bottom w:val="single" w:sz="8" w:color="0000FF"/>
            </w:tcBorders>
            <w:gridSpan w:val="12"/>
          </w:tcPr>
          <w:p>
            <w:pPr>
              <w:spacing w:after="0"/>
              <w:rPr>
                <w:rFonts w:ascii="Arial" w:cs="Arial" w:eastAsia="Arial" w:hAnsi="Arial"/>
                <w:sz w:val="16"/>
                <w:szCs w:val="16"/>
                <w:color w:val="0000FF"/>
              </w:rPr>
            </w:pPr>
            <w:hyperlink r:id="rId68">
              <w:r>
                <w:rPr>
                  <w:rFonts w:ascii="Arial" w:cs="Arial" w:eastAsia="Arial" w:hAnsi="Arial"/>
                  <w:sz w:val="16"/>
                  <w:szCs w:val="16"/>
                  <w:color w:val="0000FF"/>
                </w:rPr>
                <w:t>Third Supplemental Indenture, dated as of August 15, 2023, among Graham Digital Holding Company LLC, a Delaware limited liability</w:t>
              </w:r>
            </w:hyperlink>
          </w:p>
        </w:tc>
        <w:tc>
          <w:tcPr>
            <w:tcW w:w="50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1100" w:type="dxa"/>
            <w:vAlign w:val="bottom"/>
          </w:tcPr>
          <w:p>
            <w:pPr>
              <w:spacing w:after="0"/>
              <w:rPr>
                <w:sz w:val="13"/>
                <w:szCs w:val="13"/>
                <w:color w:val="auto"/>
              </w:rPr>
            </w:pPr>
          </w:p>
        </w:tc>
        <w:tc>
          <w:tcPr>
            <w:tcW w:w="10100" w:type="dxa"/>
            <w:vAlign w:val="bottom"/>
            <w:gridSpan w:val="21"/>
          </w:tcPr>
          <w:p>
            <w:pPr>
              <w:spacing w:after="0" w:line="155" w:lineRule="exact"/>
              <w:rPr>
                <w:rFonts w:ascii="Arial" w:cs="Arial" w:eastAsia="Arial" w:hAnsi="Arial"/>
                <w:sz w:val="16"/>
                <w:szCs w:val="16"/>
                <w:color w:val="0000FF"/>
              </w:rPr>
            </w:pPr>
            <w:hyperlink r:id="rId68">
              <w:r>
                <w:rPr>
                  <w:rFonts w:ascii="Arial" w:cs="Arial" w:eastAsia="Arial" w:hAnsi="Arial"/>
                  <w:sz w:val="16"/>
                  <w:szCs w:val="16"/>
                  <w:color w:val="0000FF"/>
                </w:rPr>
                <w:t>company, a subsidiary of Graham Holdings Company, a Delaware corporation, and The Bank of New York Mellon Trust Company, N.A., as</w:t>
              </w:r>
            </w:hyperlink>
          </w:p>
        </w:tc>
        <w:tc>
          <w:tcPr>
            <w:tcW w:w="0" w:type="dxa"/>
            <w:vAlign w:val="bottom"/>
          </w:tcPr>
          <w:p>
            <w:pPr>
              <w:spacing w:after="0"/>
              <w:rPr>
                <w:sz w:val="1"/>
                <w:szCs w:val="1"/>
                <w:color w:val="auto"/>
              </w:rPr>
            </w:pPr>
          </w:p>
        </w:tc>
      </w:tr>
      <w:tr>
        <w:trPr>
          <w:trHeight w:val="156"/>
        </w:trPr>
        <w:tc>
          <w:tcPr>
            <w:tcW w:w="1100" w:type="dxa"/>
            <w:vAlign w:val="bottom"/>
          </w:tcPr>
          <w:p>
            <w:pPr>
              <w:spacing w:after="0"/>
              <w:rPr>
                <w:sz w:val="13"/>
                <w:szCs w:val="13"/>
                <w:color w:val="auto"/>
              </w:rPr>
            </w:pPr>
          </w:p>
        </w:tc>
        <w:tc>
          <w:tcPr>
            <w:tcW w:w="9900" w:type="dxa"/>
            <w:vAlign w:val="bottom"/>
            <w:tcBorders>
              <w:top w:val="single" w:sz="8" w:color="0000FF"/>
            </w:tcBorders>
            <w:gridSpan w:val="16"/>
          </w:tcPr>
          <w:p>
            <w:pPr>
              <w:spacing w:after="0" w:line="155" w:lineRule="exact"/>
              <w:rPr>
                <w:rFonts w:ascii="Arial" w:cs="Arial" w:eastAsia="Arial" w:hAnsi="Arial"/>
                <w:sz w:val="16"/>
                <w:szCs w:val="16"/>
                <w:color w:val="0000FF"/>
              </w:rPr>
            </w:pPr>
            <w:hyperlink r:id="rId68">
              <w:r>
                <w:rPr>
                  <w:rFonts w:ascii="Arial" w:cs="Arial" w:eastAsia="Arial" w:hAnsi="Arial"/>
                  <w:sz w:val="16"/>
                  <w:szCs w:val="16"/>
                  <w:color w:val="0000FF"/>
                </w:rPr>
                <w:t>trustee (incorporated by reference to Exhibit 4.4 to the Company’s Quarterly Report on Form 10-Q for the quarter ended September 30,</w:t>
              </w:r>
            </w:hyperlink>
          </w:p>
        </w:tc>
        <w:tc>
          <w:tcPr>
            <w:tcW w:w="200" w:type="dxa"/>
            <w:vAlign w:val="bottom"/>
            <w:gridSpan w:val="5"/>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100" w:type="dxa"/>
            <w:vAlign w:val="bottom"/>
          </w:tcPr>
          <w:p>
            <w:pPr>
              <w:spacing w:after="0"/>
              <w:rPr>
                <w:sz w:val="13"/>
                <w:szCs w:val="13"/>
                <w:color w:val="auto"/>
              </w:rPr>
            </w:pPr>
          </w:p>
        </w:tc>
        <w:tc>
          <w:tcPr>
            <w:tcW w:w="460" w:type="dxa"/>
            <w:vAlign w:val="bottom"/>
            <w:tcBorders>
              <w:top w:val="single" w:sz="8" w:color="0000FF"/>
              <w:bottom w:val="single" w:sz="8" w:color="0000FF"/>
            </w:tcBorders>
          </w:tcPr>
          <w:p>
            <w:pPr>
              <w:spacing w:after="0" w:line="155" w:lineRule="exact"/>
              <w:rPr>
                <w:rFonts w:ascii="Arial" w:cs="Arial" w:eastAsia="Arial" w:hAnsi="Arial"/>
                <w:sz w:val="16"/>
                <w:szCs w:val="16"/>
                <w:color w:val="0000FF"/>
                <w:w w:val="96"/>
              </w:rPr>
            </w:pPr>
            <w:hyperlink r:id="rId68">
              <w:r>
                <w:rPr>
                  <w:rFonts w:ascii="Arial" w:cs="Arial" w:eastAsia="Arial" w:hAnsi="Arial"/>
                  <w:sz w:val="16"/>
                  <w:szCs w:val="16"/>
                  <w:color w:val="0000FF"/>
                  <w:w w:val="96"/>
                </w:rPr>
                <w:t>2023).</w:t>
              </w:r>
            </w:hyperlink>
          </w:p>
        </w:tc>
        <w:tc>
          <w:tcPr>
            <w:tcW w:w="3620" w:type="dxa"/>
            <w:vAlign w:val="bottom"/>
            <w:tcBorders>
              <w:top w:val="single" w:sz="8" w:color="0000FF"/>
            </w:tcBorders>
          </w:tcPr>
          <w:p>
            <w:pPr>
              <w:spacing w:after="0"/>
              <w:rPr>
                <w:sz w:val="13"/>
                <w:szCs w:val="13"/>
                <w:color w:val="auto"/>
              </w:rPr>
            </w:pPr>
          </w:p>
        </w:tc>
        <w:tc>
          <w:tcPr>
            <w:tcW w:w="76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1600" w:type="dxa"/>
            <w:vAlign w:val="bottom"/>
            <w:tcBorders>
              <w:top w:val="single" w:sz="8" w:color="0000FF"/>
            </w:tcBorders>
          </w:tcPr>
          <w:p>
            <w:pPr>
              <w:spacing w:after="0"/>
              <w:rPr>
                <w:sz w:val="13"/>
                <w:szCs w:val="13"/>
                <w:color w:val="auto"/>
              </w:rPr>
            </w:pPr>
          </w:p>
        </w:tc>
        <w:tc>
          <w:tcPr>
            <w:tcW w:w="1400" w:type="dxa"/>
            <w:vAlign w:val="bottom"/>
            <w:tcBorders>
              <w:top w:val="single" w:sz="8" w:color="0000FF"/>
            </w:tcBorders>
          </w:tcPr>
          <w:p>
            <w:pPr>
              <w:spacing w:after="0"/>
              <w:rPr>
                <w:sz w:val="13"/>
                <w:szCs w:val="13"/>
                <w:color w:val="auto"/>
              </w:rPr>
            </w:pPr>
          </w:p>
        </w:tc>
        <w:tc>
          <w:tcPr>
            <w:tcW w:w="11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5"/>
        </w:trPr>
        <w:tc>
          <w:tcPr>
            <w:tcW w:w="1100" w:type="dxa"/>
            <w:vAlign w:val="bottom"/>
          </w:tcPr>
          <w:p>
            <w:pPr>
              <w:ind w:left="140"/>
              <w:spacing w:after="0"/>
              <w:rPr>
                <w:sz w:val="20"/>
                <w:szCs w:val="20"/>
                <w:color w:val="auto"/>
              </w:rPr>
            </w:pPr>
            <w:r>
              <w:rPr>
                <w:rFonts w:ascii="Arial" w:cs="Arial" w:eastAsia="Arial" w:hAnsi="Arial"/>
                <w:sz w:val="16"/>
                <w:szCs w:val="16"/>
                <w:color w:val="auto"/>
              </w:rPr>
              <w:t>31.1</w:t>
            </w:r>
          </w:p>
        </w:tc>
        <w:tc>
          <w:tcPr>
            <w:tcW w:w="4900" w:type="dxa"/>
            <w:vAlign w:val="bottom"/>
            <w:tcBorders>
              <w:bottom w:val="single" w:sz="8" w:color="0000FF"/>
            </w:tcBorders>
            <w:gridSpan w:val="4"/>
          </w:tcPr>
          <w:p>
            <w:pPr>
              <w:spacing w:after="0"/>
              <w:rPr>
                <w:sz w:val="20"/>
                <w:szCs w:val="20"/>
                <w:color w:val="auto"/>
              </w:rPr>
            </w:pPr>
            <w:r>
              <w:rPr>
                <w:rFonts w:ascii="Arial" w:cs="Arial" w:eastAsia="Arial" w:hAnsi="Arial"/>
                <w:sz w:val="16"/>
                <w:szCs w:val="16"/>
                <w:color w:val="0000FF"/>
              </w:rPr>
              <w:t>Rule 13a-14(a)/15d-14(a) Certification of the Chief Executive Officer.</w:t>
            </w:r>
          </w:p>
        </w:tc>
        <w:tc>
          <w:tcPr>
            <w:tcW w:w="5200" w:type="dxa"/>
            <w:vAlign w:val="bottom"/>
            <w:gridSpan w:val="17"/>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1100" w:type="dxa"/>
            <w:vAlign w:val="bottom"/>
          </w:tcPr>
          <w:p>
            <w:pPr>
              <w:ind w:left="140"/>
              <w:spacing w:after="0"/>
              <w:rPr>
                <w:sz w:val="20"/>
                <w:szCs w:val="20"/>
                <w:color w:val="auto"/>
              </w:rPr>
            </w:pPr>
            <w:r>
              <w:rPr>
                <w:rFonts w:ascii="Arial" w:cs="Arial" w:eastAsia="Arial" w:hAnsi="Arial"/>
                <w:sz w:val="16"/>
                <w:szCs w:val="16"/>
                <w:color w:val="auto"/>
              </w:rPr>
              <w:t>31.2</w:t>
            </w:r>
          </w:p>
        </w:tc>
        <w:tc>
          <w:tcPr>
            <w:tcW w:w="10100" w:type="dxa"/>
            <w:vAlign w:val="bottom"/>
            <w:gridSpan w:val="21"/>
          </w:tcPr>
          <w:p>
            <w:pPr>
              <w:spacing w:after="0"/>
              <w:rPr>
                <w:sz w:val="20"/>
                <w:szCs w:val="20"/>
                <w:color w:val="auto"/>
              </w:rPr>
            </w:pPr>
            <w:r>
              <w:rPr>
                <w:rFonts w:ascii="Arial" w:cs="Arial" w:eastAsia="Arial" w:hAnsi="Arial"/>
                <w:sz w:val="16"/>
                <w:szCs w:val="16"/>
                <w:color w:val="0000FF"/>
              </w:rPr>
              <w:t>Rule 13a-14(a)/15d-14(a) Certification of the Chief Financial Officer.</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62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1100" w:hanging="953"/>
        <w:spacing w:after="0"/>
        <w:tabs>
          <w:tab w:leader="none" w:pos="1100" w:val="left"/>
        </w:tabs>
        <w:numPr>
          <w:ilvl w:val="0"/>
          <w:numId w:val="22"/>
        </w:numPr>
        <w:rPr>
          <w:rFonts w:ascii="Arial" w:cs="Arial" w:eastAsia="Arial" w:hAnsi="Arial"/>
          <w:sz w:val="16"/>
          <w:szCs w:val="16"/>
          <w:color w:val="auto"/>
        </w:rPr>
      </w:pPr>
      <w:r>
        <w:rPr>
          <w:rFonts w:ascii="Arial" w:cs="Arial" w:eastAsia="Arial" w:hAnsi="Arial"/>
          <w:sz w:val="16"/>
          <w:szCs w:val="16"/>
          <w:u w:val="single" w:color="auto"/>
          <w:color w:val="0000FF"/>
        </w:rPr>
        <w:t>Section 1350 Certification of the Chief Executive Officer and the Chief Financial Officer.</w:t>
      </w:r>
      <w:r>
        <w:rPr>
          <w:rFonts w:ascii="Arial" w:cs="Arial" w:eastAsia="Arial" w:hAnsi="Arial"/>
          <w:sz w:val="16"/>
          <w:szCs w:val="16"/>
          <w:color w:val="0000FF"/>
        </w:rPr>
        <w:t xml:space="preserve"> </w:t>
      </w:r>
      <w:r>
        <w:rPr>
          <w:rFonts w:ascii="Arial" w:cs="Arial" w:eastAsia="Arial" w:hAnsi="Arial"/>
          <w:sz w:val="16"/>
          <w:szCs w:val="16"/>
          <w:color w:val="000000"/>
        </w:rPr>
        <w:t>*</w:t>
      </w:r>
    </w:p>
    <w:p>
      <w:pPr>
        <w:spacing w:after="0" w:line="199" w:lineRule="exact"/>
        <w:rPr>
          <w:sz w:val="20"/>
          <w:szCs w:val="20"/>
          <w:color w:val="auto"/>
        </w:rPr>
      </w:pPr>
    </w:p>
    <w:tbl>
      <w:tblPr>
        <w:tblLayout w:type="fixed"/>
        <w:tblInd w:w="140" w:type="dxa"/>
        <w:tblCellMar>
          <w:top w:w="0" w:type="dxa"/>
          <w:left w:w="0" w:type="dxa"/>
          <w:bottom w:w="0" w:type="dxa"/>
          <w:right w:w="0" w:type="dxa"/>
        </w:tblCellMar>
      </w:tblPr>
      <w:tr>
        <w:trPr>
          <w:trHeight w:val="184"/>
        </w:trPr>
        <w:tc>
          <w:tcPr>
            <w:tcW w:w="800" w:type="dxa"/>
            <w:vAlign w:val="bottom"/>
          </w:tcPr>
          <w:p>
            <w:pPr>
              <w:spacing w:after="0"/>
              <w:rPr>
                <w:sz w:val="20"/>
                <w:szCs w:val="20"/>
                <w:color w:val="auto"/>
              </w:rPr>
            </w:pPr>
            <w:r>
              <w:rPr>
                <w:rFonts w:ascii="Arial" w:cs="Arial" w:eastAsia="Arial" w:hAnsi="Arial"/>
                <w:sz w:val="16"/>
                <w:szCs w:val="16"/>
                <w:color w:val="auto"/>
              </w:rPr>
              <w:t>101.INS</w:t>
            </w:r>
          </w:p>
        </w:tc>
        <w:tc>
          <w:tcPr>
            <w:tcW w:w="10140" w:type="dxa"/>
            <w:vAlign w:val="bottom"/>
          </w:tcPr>
          <w:p>
            <w:pPr>
              <w:ind w:left="160"/>
              <w:spacing w:after="0"/>
              <w:rPr>
                <w:sz w:val="20"/>
                <w:szCs w:val="20"/>
                <w:color w:val="auto"/>
              </w:rPr>
            </w:pPr>
            <w:r>
              <w:rPr>
                <w:rFonts w:ascii="Arial" w:cs="Arial" w:eastAsia="Arial" w:hAnsi="Arial"/>
                <w:sz w:val="16"/>
                <w:szCs w:val="16"/>
                <w:color w:val="auto"/>
              </w:rPr>
              <w:t>Inline XBRL Instance Document - the instance document does not appear in the Interactive Data File because its XBRL tags are embedded</w:t>
            </w:r>
          </w:p>
        </w:tc>
      </w:tr>
      <w:tr>
        <w:trPr>
          <w:trHeight w:val="215"/>
        </w:trPr>
        <w:tc>
          <w:tcPr>
            <w:tcW w:w="800" w:type="dxa"/>
            <w:vAlign w:val="bottom"/>
          </w:tcPr>
          <w:p>
            <w:pPr>
              <w:spacing w:after="0"/>
              <w:rPr>
                <w:sz w:val="18"/>
                <w:szCs w:val="18"/>
                <w:color w:val="auto"/>
              </w:rPr>
            </w:pPr>
          </w:p>
        </w:tc>
        <w:tc>
          <w:tcPr>
            <w:tcW w:w="10140" w:type="dxa"/>
            <w:vAlign w:val="bottom"/>
          </w:tcPr>
          <w:p>
            <w:pPr>
              <w:ind w:left="160"/>
              <w:spacing w:after="0"/>
              <w:rPr>
                <w:sz w:val="20"/>
                <w:szCs w:val="20"/>
                <w:color w:val="auto"/>
              </w:rPr>
            </w:pPr>
            <w:r>
              <w:rPr>
                <w:rFonts w:ascii="Arial" w:cs="Arial" w:eastAsia="Arial" w:hAnsi="Arial"/>
                <w:sz w:val="16"/>
                <w:szCs w:val="16"/>
                <w:color w:val="auto"/>
              </w:rPr>
              <w:t>within the Inline XBRL document</w:t>
            </w:r>
          </w:p>
        </w:tc>
      </w:tr>
      <w:tr>
        <w:trPr>
          <w:trHeight w:val="392"/>
        </w:trPr>
        <w:tc>
          <w:tcPr>
            <w:tcW w:w="800" w:type="dxa"/>
            <w:vAlign w:val="bottom"/>
          </w:tcPr>
          <w:p>
            <w:pPr>
              <w:spacing w:after="0"/>
              <w:rPr>
                <w:sz w:val="20"/>
                <w:szCs w:val="20"/>
                <w:color w:val="auto"/>
              </w:rPr>
            </w:pPr>
            <w:r>
              <w:rPr>
                <w:rFonts w:ascii="Arial" w:cs="Arial" w:eastAsia="Arial" w:hAnsi="Arial"/>
                <w:sz w:val="16"/>
                <w:szCs w:val="16"/>
                <w:color w:val="auto"/>
              </w:rPr>
              <w:t>101.SCH</w:t>
            </w:r>
          </w:p>
        </w:tc>
        <w:tc>
          <w:tcPr>
            <w:tcW w:w="10140" w:type="dxa"/>
            <w:vAlign w:val="bottom"/>
          </w:tcPr>
          <w:p>
            <w:pPr>
              <w:ind w:left="160"/>
              <w:spacing w:after="0"/>
              <w:rPr>
                <w:sz w:val="20"/>
                <w:szCs w:val="20"/>
                <w:color w:val="auto"/>
              </w:rPr>
            </w:pPr>
            <w:r>
              <w:rPr>
                <w:rFonts w:ascii="Arial" w:cs="Arial" w:eastAsia="Arial" w:hAnsi="Arial"/>
                <w:sz w:val="16"/>
                <w:szCs w:val="16"/>
                <w:color w:val="auto"/>
              </w:rPr>
              <w:t>Inline XBRL Taxonomy Extension Schema Document</w:t>
            </w:r>
          </w:p>
        </w:tc>
      </w:tr>
      <w:tr>
        <w:trPr>
          <w:trHeight w:val="391"/>
        </w:trPr>
        <w:tc>
          <w:tcPr>
            <w:tcW w:w="800" w:type="dxa"/>
            <w:vAlign w:val="bottom"/>
          </w:tcPr>
          <w:p>
            <w:pPr>
              <w:spacing w:after="0"/>
              <w:rPr>
                <w:sz w:val="20"/>
                <w:szCs w:val="20"/>
                <w:color w:val="auto"/>
              </w:rPr>
            </w:pPr>
            <w:r>
              <w:rPr>
                <w:rFonts w:ascii="Arial" w:cs="Arial" w:eastAsia="Arial" w:hAnsi="Arial"/>
                <w:sz w:val="16"/>
                <w:szCs w:val="16"/>
                <w:color w:val="auto"/>
              </w:rPr>
              <w:t>101.CAL</w:t>
            </w:r>
          </w:p>
        </w:tc>
        <w:tc>
          <w:tcPr>
            <w:tcW w:w="10140" w:type="dxa"/>
            <w:vAlign w:val="bottom"/>
          </w:tcPr>
          <w:p>
            <w:pPr>
              <w:ind w:left="160"/>
              <w:spacing w:after="0"/>
              <w:rPr>
                <w:sz w:val="20"/>
                <w:szCs w:val="20"/>
                <w:color w:val="auto"/>
              </w:rPr>
            </w:pPr>
            <w:r>
              <w:rPr>
                <w:rFonts w:ascii="Arial" w:cs="Arial" w:eastAsia="Arial" w:hAnsi="Arial"/>
                <w:sz w:val="16"/>
                <w:szCs w:val="16"/>
                <w:color w:val="auto"/>
              </w:rPr>
              <w:t>Inline XBRL Taxonomy Extension Calculation Linkbase Document</w:t>
            </w:r>
          </w:p>
        </w:tc>
      </w:tr>
      <w:tr>
        <w:trPr>
          <w:trHeight w:val="392"/>
        </w:trPr>
        <w:tc>
          <w:tcPr>
            <w:tcW w:w="800" w:type="dxa"/>
            <w:vAlign w:val="bottom"/>
          </w:tcPr>
          <w:p>
            <w:pPr>
              <w:spacing w:after="0"/>
              <w:rPr>
                <w:sz w:val="20"/>
                <w:szCs w:val="20"/>
                <w:color w:val="auto"/>
              </w:rPr>
            </w:pPr>
            <w:r>
              <w:rPr>
                <w:rFonts w:ascii="Arial" w:cs="Arial" w:eastAsia="Arial" w:hAnsi="Arial"/>
                <w:sz w:val="16"/>
                <w:szCs w:val="16"/>
                <w:color w:val="auto"/>
              </w:rPr>
              <w:t>101.DEF</w:t>
            </w:r>
          </w:p>
        </w:tc>
        <w:tc>
          <w:tcPr>
            <w:tcW w:w="10140" w:type="dxa"/>
            <w:vAlign w:val="bottom"/>
          </w:tcPr>
          <w:p>
            <w:pPr>
              <w:ind w:left="160"/>
              <w:spacing w:after="0"/>
              <w:rPr>
                <w:sz w:val="20"/>
                <w:szCs w:val="20"/>
                <w:color w:val="auto"/>
              </w:rPr>
            </w:pPr>
            <w:r>
              <w:rPr>
                <w:rFonts w:ascii="Arial" w:cs="Arial" w:eastAsia="Arial" w:hAnsi="Arial"/>
                <w:sz w:val="16"/>
                <w:szCs w:val="16"/>
                <w:color w:val="auto"/>
              </w:rPr>
              <w:t>Inline XBRL Taxonomy Extension Definition Linkbase Document</w:t>
            </w:r>
          </w:p>
        </w:tc>
      </w:tr>
      <w:tr>
        <w:trPr>
          <w:trHeight w:val="391"/>
        </w:trPr>
        <w:tc>
          <w:tcPr>
            <w:tcW w:w="800" w:type="dxa"/>
            <w:vAlign w:val="bottom"/>
          </w:tcPr>
          <w:p>
            <w:pPr>
              <w:spacing w:after="0"/>
              <w:rPr>
                <w:sz w:val="20"/>
                <w:szCs w:val="20"/>
                <w:color w:val="auto"/>
              </w:rPr>
            </w:pPr>
            <w:r>
              <w:rPr>
                <w:rFonts w:ascii="Arial" w:cs="Arial" w:eastAsia="Arial" w:hAnsi="Arial"/>
                <w:sz w:val="16"/>
                <w:szCs w:val="16"/>
                <w:color w:val="auto"/>
              </w:rPr>
              <w:t>101.LAB</w:t>
            </w:r>
          </w:p>
        </w:tc>
        <w:tc>
          <w:tcPr>
            <w:tcW w:w="10140" w:type="dxa"/>
            <w:vAlign w:val="bottom"/>
          </w:tcPr>
          <w:p>
            <w:pPr>
              <w:ind w:left="160"/>
              <w:spacing w:after="0"/>
              <w:rPr>
                <w:sz w:val="20"/>
                <w:szCs w:val="20"/>
                <w:color w:val="auto"/>
              </w:rPr>
            </w:pPr>
            <w:r>
              <w:rPr>
                <w:rFonts w:ascii="Arial" w:cs="Arial" w:eastAsia="Arial" w:hAnsi="Arial"/>
                <w:sz w:val="16"/>
                <w:szCs w:val="16"/>
                <w:color w:val="auto"/>
              </w:rPr>
              <w:t>Inline XBRL Taxonomy Extension Label Linkbase Document</w:t>
            </w:r>
          </w:p>
        </w:tc>
      </w:tr>
      <w:tr>
        <w:trPr>
          <w:trHeight w:val="392"/>
        </w:trPr>
        <w:tc>
          <w:tcPr>
            <w:tcW w:w="800" w:type="dxa"/>
            <w:vAlign w:val="bottom"/>
          </w:tcPr>
          <w:p>
            <w:pPr>
              <w:spacing w:after="0"/>
              <w:rPr>
                <w:sz w:val="20"/>
                <w:szCs w:val="20"/>
                <w:color w:val="auto"/>
              </w:rPr>
            </w:pPr>
            <w:r>
              <w:rPr>
                <w:rFonts w:ascii="Arial" w:cs="Arial" w:eastAsia="Arial" w:hAnsi="Arial"/>
                <w:sz w:val="16"/>
                <w:szCs w:val="16"/>
                <w:color w:val="auto"/>
              </w:rPr>
              <w:t>101.PRE</w:t>
            </w:r>
          </w:p>
        </w:tc>
        <w:tc>
          <w:tcPr>
            <w:tcW w:w="10140" w:type="dxa"/>
            <w:vAlign w:val="bottom"/>
          </w:tcPr>
          <w:p>
            <w:pPr>
              <w:ind w:left="160"/>
              <w:spacing w:after="0"/>
              <w:rPr>
                <w:sz w:val="20"/>
                <w:szCs w:val="20"/>
                <w:color w:val="auto"/>
              </w:rPr>
            </w:pPr>
            <w:r>
              <w:rPr>
                <w:rFonts w:ascii="Arial" w:cs="Arial" w:eastAsia="Arial" w:hAnsi="Arial"/>
                <w:sz w:val="16"/>
                <w:szCs w:val="16"/>
                <w:color w:val="auto"/>
              </w:rPr>
              <w:t>Inline XBRL Taxonomy Extension Presentation Linkbase Document</w:t>
            </w:r>
          </w:p>
        </w:tc>
      </w:tr>
    </w:tbl>
    <w:p>
      <w:pPr>
        <w:spacing w:after="0" w:line="177" w:lineRule="exact"/>
        <w:rPr>
          <w:sz w:val="20"/>
          <w:szCs w:val="20"/>
          <w:color w:val="auto"/>
        </w:rPr>
      </w:pPr>
    </w:p>
    <w:p>
      <w:pPr>
        <w:ind w:left="1100" w:hanging="953"/>
        <w:spacing w:after="0"/>
        <w:tabs>
          <w:tab w:leader="none" w:pos="1100" w:val="left"/>
        </w:tabs>
        <w:numPr>
          <w:ilvl w:val="1"/>
          <w:numId w:val="23"/>
        </w:numPr>
        <w:rPr>
          <w:rFonts w:ascii="Arial" w:cs="Arial" w:eastAsia="Arial" w:hAnsi="Arial"/>
          <w:sz w:val="16"/>
          <w:szCs w:val="16"/>
          <w:color w:val="auto"/>
        </w:rPr>
      </w:pPr>
      <w:r>
        <w:rPr>
          <w:rFonts w:ascii="Arial" w:cs="Arial" w:eastAsia="Arial" w:hAnsi="Arial"/>
          <w:sz w:val="16"/>
          <w:szCs w:val="16"/>
          <w:color w:val="auto"/>
        </w:rPr>
        <w:t>Cover Page Interactive Data File, formatted in Inline XBRL and included as Exhibit 101</w:t>
      </w:r>
    </w:p>
    <w:p>
      <w:pPr>
        <w:spacing w:after="0" w:line="249"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3"/>
          <w:szCs w:val="13"/>
          <w:color w:val="auto"/>
        </w:rPr>
        <w:t>*   Furnished herewith.</w:t>
      </w:r>
    </w:p>
    <w:p>
      <w:pPr>
        <w:spacing w:after="0" w:line="200" w:lineRule="exact"/>
        <w:rPr>
          <w:sz w:val="20"/>
          <w:szCs w:val="20"/>
          <w:color w:val="auto"/>
        </w:rPr>
      </w:pPr>
    </w:p>
    <w:p>
      <w:pPr>
        <w:spacing w:after="0" w:line="23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31" w:right="379" w:bottom="1440" w:gutter="0" w:footer="0" w:header="0"/>
        </w:sectPr>
      </w:pPr>
    </w:p>
    <w:bookmarkStart w:id="35" w:name="page36"/>
    <w:bookmarkEnd w:id="35"/>
    <w:p>
      <w:pPr>
        <w:jc w:val="center"/>
        <w:ind w:right="-19"/>
        <w:spacing w:after="0"/>
        <w:rPr>
          <w:sz w:val="20"/>
          <w:szCs w:val="20"/>
          <w:color w:val="auto"/>
        </w:rPr>
      </w:pPr>
      <w:r>
        <w:rPr>
          <w:rFonts w:ascii="Arial" w:cs="Arial" w:eastAsia="Arial" w:hAnsi="Arial"/>
          <w:sz w:val="22"/>
          <w:szCs w:val="22"/>
          <w:b w:val="1"/>
          <w:bCs w:val="1"/>
          <w:color w:val="auto"/>
        </w:rPr>
        <w:t>SIGNATURES</w:t>
      </w:r>
    </w:p>
    <w:p>
      <w:pPr>
        <w:spacing w:after="0" w:line="148"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03" w:lineRule="exact"/>
        <w:rPr>
          <w:sz w:val="20"/>
          <w:szCs w:val="20"/>
          <w:color w:val="auto"/>
        </w:rPr>
      </w:pPr>
    </w:p>
    <w:tbl>
      <w:tblPr>
        <w:tblLayout w:type="fixed"/>
        <w:tblInd w:w="40" w:type="dxa"/>
        <w:tblCellMar>
          <w:top w:w="0" w:type="dxa"/>
          <w:left w:w="0" w:type="dxa"/>
          <w:bottom w:w="0" w:type="dxa"/>
          <w:right w:w="0" w:type="dxa"/>
        </w:tblCellMar>
      </w:tblPr>
      <w:tr>
        <w:trPr>
          <w:trHeight w:val="239"/>
        </w:trPr>
        <w:tc>
          <w:tcPr>
            <w:tcW w:w="3540" w:type="dxa"/>
            <w:vAlign w:val="bottom"/>
          </w:tcPr>
          <w:p>
            <w:pPr>
              <w:spacing w:after="0"/>
              <w:rPr>
                <w:sz w:val="20"/>
                <w:szCs w:val="20"/>
                <w:color w:val="auto"/>
              </w:rPr>
            </w:pPr>
          </w:p>
        </w:tc>
        <w:tc>
          <w:tcPr>
            <w:tcW w:w="3620" w:type="dxa"/>
            <w:vAlign w:val="bottom"/>
          </w:tcPr>
          <w:p>
            <w:pPr>
              <w:spacing w:after="0"/>
              <w:rPr>
                <w:sz w:val="20"/>
                <w:szCs w:val="20"/>
                <w:color w:val="auto"/>
              </w:rPr>
            </w:pPr>
          </w:p>
        </w:tc>
        <w:tc>
          <w:tcPr>
            <w:tcW w:w="4020" w:type="dxa"/>
            <w:vAlign w:val="bottom"/>
          </w:tcPr>
          <w:p>
            <w:pPr>
              <w:jc w:val="center"/>
              <w:spacing w:after="0"/>
              <w:rPr>
                <w:sz w:val="20"/>
                <w:szCs w:val="20"/>
                <w:color w:val="auto"/>
              </w:rPr>
            </w:pPr>
            <w:r>
              <w:rPr>
                <w:rFonts w:ascii="Arial" w:cs="Arial" w:eastAsia="Arial" w:hAnsi="Arial"/>
                <w:sz w:val="18"/>
                <w:szCs w:val="18"/>
                <w:color w:val="auto"/>
                <w:w w:val="99"/>
              </w:rPr>
              <w:t>GRAHAM HOLDINGS COMPANY</w:t>
            </w:r>
          </w:p>
        </w:tc>
      </w:tr>
      <w:tr>
        <w:trPr>
          <w:trHeight w:val="257"/>
        </w:trPr>
        <w:tc>
          <w:tcPr>
            <w:tcW w:w="3540" w:type="dxa"/>
            <w:vAlign w:val="bottom"/>
          </w:tcPr>
          <w:p>
            <w:pPr>
              <w:spacing w:after="0"/>
              <w:rPr>
                <w:sz w:val="22"/>
                <w:szCs w:val="22"/>
                <w:color w:val="auto"/>
              </w:rPr>
            </w:pPr>
          </w:p>
        </w:tc>
        <w:tc>
          <w:tcPr>
            <w:tcW w:w="3620" w:type="dxa"/>
            <w:vAlign w:val="bottom"/>
          </w:tcPr>
          <w:p>
            <w:pPr>
              <w:spacing w:after="0"/>
              <w:rPr>
                <w:sz w:val="22"/>
                <w:szCs w:val="22"/>
                <w:color w:val="auto"/>
              </w:rPr>
            </w:pPr>
          </w:p>
        </w:tc>
        <w:tc>
          <w:tcPr>
            <w:tcW w:w="4020" w:type="dxa"/>
            <w:vAlign w:val="bottom"/>
          </w:tcPr>
          <w:p>
            <w:pPr>
              <w:jc w:val="center"/>
              <w:spacing w:after="0"/>
              <w:rPr>
                <w:sz w:val="20"/>
                <w:szCs w:val="20"/>
                <w:color w:val="auto"/>
              </w:rPr>
            </w:pPr>
            <w:r>
              <w:rPr>
                <w:rFonts w:ascii="Arial" w:cs="Arial" w:eastAsia="Arial" w:hAnsi="Arial"/>
                <w:sz w:val="18"/>
                <w:szCs w:val="18"/>
                <w:color w:val="auto"/>
                <w:w w:val="99"/>
              </w:rPr>
              <w:t>(Registrant)</w:t>
            </w:r>
          </w:p>
        </w:tc>
      </w:tr>
      <w:tr>
        <w:trPr>
          <w:trHeight w:val="553"/>
        </w:trPr>
        <w:tc>
          <w:tcPr>
            <w:tcW w:w="3540" w:type="dxa"/>
            <w:vAlign w:val="bottom"/>
          </w:tcPr>
          <w:p>
            <w:pPr>
              <w:spacing w:after="0"/>
              <w:rPr>
                <w:sz w:val="20"/>
                <w:szCs w:val="20"/>
                <w:color w:val="auto"/>
              </w:rPr>
            </w:pPr>
            <w:r>
              <w:rPr>
                <w:rFonts w:ascii="Arial" w:cs="Arial" w:eastAsia="Arial" w:hAnsi="Arial"/>
                <w:sz w:val="18"/>
                <w:szCs w:val="18"/>
                <w:color w:val="auto"/>
              </w:rPr>
              <w:t>Date: April 30, 2025</w:t>
            </w:r>
          </w:p>
        </w:tc>
        <w:tc>
          <w:tcPr>
            <w:tcW w:w="3620" w:type="dxa"/>
            <w:vAlign w:val="bottom"/>
          </w:tcPr>
          <w:p>
            <w:pPr>
              <w:spacing w:after="0"/>
              <w:rPr>
                <w:sz w:val="24"/>
                <w:szCs w:val="24"/>
                <w:color w:val="auto"/>
              </w:rPr>
            </w:pPr>
          </w:p>
        </w:tc>
        <w:tc>
          <w:tcPr>
            <w:tcW w:w="4020" w:type="dxa"/>
            <w:vAlign w:val="bottom"/>
          </w:tcPr>
          <w:p>
            <w:pPr>
              <w:jc w:val="center"/>
              <w:spacing w:after="0"/>
              <w:rPr>
                <w:sz w:val="20"/>
                <w:szCs w:val="20"/>
                <w:color w:val="auto"/>
              </w:rPr>
            </w:pPr>
            <w:r>
              <w:rPr>
                <w:rFonts w:ascii="Arial" w:cs="Arial" w:eastAsia="Arial" w:hAnsi="Arial"/>
                <w:sz w:val="18"/>
                <w:szCs w:val="18"/>
                <w:color w:val="auto"/>
                <w:w w:val="99"/>
              </w:rPr>
              <w:t>/s/ Timothy J. O’Shaughnessy</w:t>
            </w:r>
          </w:p>
        </w:tc>
      </w:tr>
      <w:tr>
        <w:trPr>
          <w:trHeight w:val="23"/>
        </w:trPr>
        <w:tc>
          <w:tcPr>
            <w:tcW w:w="3540" w:type="dxa"/>
            <w:vAlign w:val="bottom"/>
          </w:tcPr>
          <w:p>
            <w:pPr>
              <w:spacing w:after="0"/>
              <w:rPr>
                <w:sz w:val="2"/>
                <w:szCs w:val="2"/>
                <w:color w:val="auto"/>
              </w:rPr>
            </w:pPr>
          </w:p>
        </w:tc>
        <w:tc>
          <w:tcPr>
            <w:tcW w:w="3620" w:type="dxa"/>
            <w:vAlign w:val="bottom"/>
          </w:tcPr>
          <w:p>
            <w:pPr>
              <w:spacing w:after="0"/>
              <w:rPr>
                <w:sz w:val="2"/>
                <w:szCs w:val="2"/>
                <w:color w:val="auto"/>
              </w:rPr>
            </w:pPr>
          </w:p>
        </w:tc>
        <w:tc>
          <w:tcPr>
            <w:tcW w:w="4020" w:type="dxa"/>
            <w:vAlign w:val="bottom"/>
            <w:tcBorders>
              <w:bottom w:val="single" w:sz="8" w:color="auto"/>
            </w:tcBorders>
          </w:tcPr>
          <w:p>
            <w:pPr>
              <w:spacing w:after="0"/>
              <w:rPr>
                <w:sz w:val="2"/>
                <w:szCs w:val="2"/>
                <w:color w:val="auto"/>
              </w:rPr>
            </w:pPr>
          </w:p>
        </w:tc>
      </w:tr>
      <w:tr>
        <w:trPr>
          <w:trHeight w:val="146"/>
        </w:trPr>
        <w:tc>
          <w:tcPr>
            <w:tcW w:w="35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402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rPr>
              <w:t>Timothy J. O’Shaughnessy,</w:t>
            </w:r>
          </w:p>
        </w:tc>
      </w:tr>
      <w:tr>
        <w:trPr>
          <w:trHeight w:val="144"/>
        </w:trPr>
        <w:tc>
          <w:tcPr>
            <w:tcW w:w="35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402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rPr>
              <w:t>President &amp; Chief Executive Officer</w:t>
            </w:r>
          </w:p>
        </w:tc>
      </w:tr>
      <w:tr>
        <w:trPr>
          <w:trHeight w:val="196"/>
        </w:trPr>
        <w:tc>
          <w:tcPr>
            <w:tcW w:w="3540" w:type="dxa"/>
            <w:vAlign w:val="bottom"/>
          </w:tcPr>
          <w:p>
            <w:pPr>
              <w:spacing w:after="0"/>
              <w:rPr>
                <w:sz w:val="17"/>
                <w:szCs w:val="17"/>
                <w:color w:val="auto"/>
              </w:rPr>
            </w:pPr>
          </w:p>
        </w:tc>
        <w:tc>
          <w:tcPr>
            <w:tcW w:w="3620" w:type="dxa"/>
            <w:vAlign w:val="bottom"/>
          </w:tcPr>
          <w:p>
            <w:pPr>
              <w:spacing w:after="0"/>
              <w:rPr>
                <w:sz w:val="17"/>
                <w:szCs w:val="17"/>
                <w:color w:val="auto"/>
              </w:rPr>
            </w:pPr>
          </w:p>
        </w:tc>
        <w:tc>
          <w:tcPr>
            <w:tcW w:w="4020" w:type="dxa"/>
            <w:vAlign w:val="bottom"/>
          </w:tcPr>
          <w:p>
            <w:pPr>
              <w:jc w:val="center"/>
              <w:spacing w:after="0"/>
              <w:rPr>
                <w:sz w:val="20"/>
                <w:szCs w:val="20"/>
                <w:color w:val="auto"/>
              </w:rPr>
            </w:pPr>
            <w:r>
              <w:rPr>
                <w:rFonts w:ascii="Arial" w:cs="Arial" w:eastAsia="Arial" w:hAnsi="Arial"/>
                <w:sz w:val="14"/>
                <w:szCs w:val="14"/>
                <w:b w:val="1"/>
                <w:bCs w:val="1"/>
                <w:color w:val="auto"/>
              </w:rPr>
              <w:t>(Principal Executive Officer)</w:t>
            </w:r>
          </w:p>
        </w:tc>
      </w:tr>
      <w:tr>
        <w:trPr>
          <w:trHeight w:val="523"/>
        </w:trPr>
        <w:tc>
          <w:tcPr>
            <w:tcW w:w="3540" w:type="dxa"/>
            <w:vAlign w:val="bottom"/>
          </w:tcPr>
          <w:p>
            <w:pPr>
              <w:spacing w:after="0"/>
              <w:rPr>
                <w:sz w:val="20"/>
                <w:szCs w:val="20"/>
                <w:color w:val="auto"/>
              </w:rPr>
            </w:pPr>
            <w:r>
              <w:rPr>
                <w:rFonts w:ascii="Arial" w:cs="Arial" w:eastAsia="Arial" w:hAnsi="Arial"/>
                <w:sz w:val="18"/>
                <w:szCs w:val="18"/>
                <w:color w:val="auto"/>
              </w:rPr>
              <w:t>Date: April 30, 2025</w:t>
            </w:r>
          </w:p>
        </w:tc>
        <w:tc>
          <w:tcPr>
            <w:tcW w:w="3620" w:type="dxa"/>
            <w:vAlign w:val="bottom"/>
          </w:tcPr>
          <w:p>
            <w:pPr>
              <w:spacing w:after="0"/>
              <w:rPr>
                <w:sz w:val="24"/>
                <w:szCs w:val="24"/>
                <w:color w:val="auto"/>
              </w:rPr>
            </w:pPr>
          </w:p>
        </w:tc>
        <w:tc>
          <w:tcPr>
            <w:tcW w:w="4020" w:type="dxa"/>
            <w:vAlign w:val="bottom"/>
          </w:tcPr>
          <w:p>
            <w:pPr>
              <w:jc w:val="center"/>
              <w:spacing w:after="0"/>
              <w:rPr>
                <w:sz w:val="20"/>
                <w:szCs w:val="20"/>
                <w:color w:val="auto"/>
              </w:rPr>
            </w:pPr>
            <w:r>
              <w:rPr>
                <w:rFonts w:ascii="Arial" w:cs="Arial" w:eastAsia="Arial" w:hAnsi="Arial"/>
                <w:sz w:val="18"/>
                <w:szCs w:val="18"/>
                <w:color w:val="auto"/>
                <w:w w:val="99"/>
              </w:rPr>
              <w:t>/s/ Wallace R. Cooney</w:t>
            </w:r>
          </w:p>
        </w:tc>
      </w:tr>
      <w:tr>
        <w:trPr>
          <w:trHeight w:val="23"/>
        </w:trPr>
        <w:tc>
          <w:tcPr>
            <w:tcW w:w="3540" w:type="dxa"/>
            <w:vAlign w:val="bottom"/>
          </w:tcPr>
          <w:p>
            <w:pPr>
              <w:spacing w:after="0"/>
              <w:rPr>
                <w:sz w:val="2"/>
                <w:szCs w:val="2"/>
                <w:color w:val="auto"/>
              </w:rPr>
            </w:pPr>
          </w:p>
        </w:tc>
        <w:tc>
          <w:tcPr>
            <w:tcW w:w="3620" w:type="dxa"/>
            <w:vAlign w:val="bottom"/>
          </w:tcPr>
          <w:p>
            <w:pPr>
              <w:spacing w:after="0"/>
              <w:rPr>
                <w:sz w:val="2"/>
                <w:szCs w:val="2"/>
                <w:color w:val="auto"/>
              </w:rPr>
            </w:pPr>
          </w:p>
        </w:tc>
        <w:tc>
          <w:tcPr>
            <w:tcW w:w="4020" w:type="dxa"/>
            <w:vAlign w:val="bottom"/>
            <w:tcBorders>
              <w:bottom w:val="single" w:sz="8" w:color="auto"/>
            </w:tcBorders>
          </w:tcPr>
          <w:p>
            <w:pPr>
              <w:spacing w:after="0"/>
              <w:rPr>
                <w:sz w:val="2"/>
                <w:szCs w:val="2"/>
                <w:color w:val="auto"/>
              </w:rPr>
            </w:pPr>
          </w:p>
        </w:tc>
      </w:tr>
      <w:tr>
        <w:trPr>
          <w:trHeight w:val="160"/>
        </w:trPr>
        <w:tc>
          <w:tcPr>
            <w:tcW w:w="3540" w:type="dxa"/>
            <w:vAlign w:val="bottom"/>
          </w:tcPr>
          <w:p>
            <w:pPr>
              <w:spacing w:after="0"/>
              <w:rPr>
                <w:sz w:val="13"/>
                <w:szCs w:val="13"/>
                <w:color w:val="auto"/>
              </w:rPr>
            </w:pPr>
          </w:p>
        </w:tc>
        <w:tc>
          <w:tcPr>
            <w:tcW w:w="3620" w:type="dxa"/>
            <w:vAlign w:val="bottom"/>
          </w:tcPr>
          <w:p>
            <w:pPr>
              <w:spacing w:after="0"/>
              <w:rPr>
                <w:sz w:val="13"/>
                <w:szCs w:val="13"/>
                <w:color w:val="auto"/>
              </w:rPr>
            </w:pPr>
          </w:p>
        </w:tc>
        <w:tc>
          <w:tcPr>
            <w:tcW w:w="4020" w:type="dxa"/>
            <w:vAlign w:val="bottom"/>
          </w:tcPr>
          <w:p>
            <w:pPr>
              <w:jc w:val="center"/>
              <w:spacing w:after="0" w:line="160" w:lineRule="exact"/>
              <w:rPr>
                <w:sz w:val="20"/>
                <w:szCs w:val="20"/>
                <w:color w:val="auto"/>
              </w:rPr>
            </w:pPr>
            <w:r>
              <w:rPr>
                <w:rFonts w:ascii="Arial" w:cs="Arial" w:eastAsia="Arial" w:hAnsi="Arial"/>
                <w:sz w:val="14"/>
                <w:szCs w:val="14"/>
                <w:b w:val="1"/>
                <w:bCs w:val="1"/>
                <w:color w:val="auto"/>
              </w:rPr>
              <w:t>Wallace R. Cooney,</w:t>
            </w:r>
          </w:p>
        </w:tc>
      </w:tr>
      <w:tr>
        <w:trPr>
          <w:trHeight w:val="162"/>
        </w:trPr>
        <w:tc>
          <w:tcPr>
            <w:tcW w:w="354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4020" w:type="dxa"/>
            <w:vAlign w:val="bottom"/>
          </w:tcPr>
          <w:p>
            <w:pPr>
              <w:jc w:val="center"/>
              <w:spacing w:after="0"/>
              <w:rPr>
                <w:sz w:val="20"/>
                <w:szCs w:val="20"/>
                <w:color w:val="auto"/>
              </w:rPr>
            </w:pPr>
            <w:r>
              <w:rPr>
                <w:rFonts w:ascii="Arial" w:cs="Arial" w:eastAsia="Arial" w:hAnsi="Arial"/>
                <w:sz w:val="14"/>
                <w:szCs w:val="14"/>
                <w:b w:val="1"/>
                <w:bCs w:val="1"/>
                <w:color w:val="auto"/>
              </w:rPr>
              <w:t>Chief Financial Officer</w:t>
            </w:r>
          </w:p>
        </w:tc>
      </w:tr>
      <w:tr>
        <w:trPr>
          <w:trHeight w:val="196"/>
        </w:trPr>
        <w:tc>
          <w:tcPr>
            <w:tcW w:w="3540" w:type="dxa"/>
            <w:vAlign w:val="bottom"/>
          </w:tcPr>
          <w:p>
            <w:pPr>
              <w:spacing w:after="0"/>
              <w:rPr>
                <w:sz w:val="17"/>
                <w:szCs w:val="17"/>
                <w:color w:val="auto"/>
              </w:rPr>
            </w:pPr>
          </w:p>
        </w:tc>
        <w:tc>
          <w:tcPr>
            <w:tcW w:w="3620" w:type="dxa"/>
            <w:vAlign w:val="bottom"/>
          </w:tcPr>
          <w:p>
            <w:pPr>
              <w:spacing w:after="0"/>
              <w:rPr>
                <w:sz w:val="17"/>
                <w:szCs w:val="17"/>
                <w:color w:val="auto"/>
              </w:rPr>
            </w:pPr>
          </w:p>
        </w:tc>
        <w:tc>
          <w:tcPr>
            <w:tcW w:w="4020" w:type="dxa"/>
            <w:vAlign w:val="bottom"/>
          </w:tcPr>
          <w:p>
            <w:pPr>
              <w:jc w:val="center"/>
              <w:spacing w:after="0"/>
              <w:rPr>
                <w:sz w:val="20"/>
                <w:szCs w:val="20"/>
                <w:color w:val="auto"/>
              </w:rPr>
            </w:pPr>
            <w:r>
              <w:rPr>
                <w:rFonts w:ascii="Arial" w:cs="Arial" w:eastAsia="Arial" w:hAnsi="Arial"/>
                <w:sz w:val="14"/>
                <w:szCs w:val="14"/>
                <w:b w:val="1"/>
                <w:bCs w:val="1"/>
                <w:color w:val="auto"/>
              </w:rPr>
              <w:t>(Principal Financial Officer)</w:t>
            </w:r>
          </w:p>
        </w:tc>
      </w:tr>
      <w:tr>
        <w:trPr>
          <w:trHeight w:val="708"/>
        </w:trPr>
        <w:tc>
          <w:tcPr>
            <w:tcW w:w="3540" w:type="dxa"/>
            <w:vAlign w:val="bottom"/>
          </w:tcPr>
          <w:p>
            <w:pPr>
              <w:spacing w:after="0"/>
              <w:rPr>
                <w:sz w:val="24"/>
                <w:szCs w:val="24"/>
                <w:color w:val="auto"/>
              </w:rPr>
            </w:pPr>
          </w:p>
        </w:tc>
        <w:tc>
          <w:tcPr>
            <w:tcW w:w="3620" w:type="dxa"/>
            <w:vAlign w:val="bottom"/>
          </w:tcPr>
          <w:p>
            <w:pPr>
              <w:jc w:val="right"/>
              <w:ind w:right="1390"/>
              <w:spacing w:after="0"/>
              <w:rPr>
                <w:sz w:val="20"/>
                <w:szCs w:val="20"/>
                <w:color w:val="auto"/>
              </w:rPr>
            </w:pPr>
            <w:r>
              <w:rPr>
                <w:rFonts w:ascii="Arial" w:cs="Arial" w:eastAsia="Arial" w:hAnsi="Arial"/>
                <w:sz w:val="18"/>
                <w:szCs w:val="18"/>
                <w:color w:val="auto"/>
              </w:rPr>
              <w:t>34</w:t>
            </w:r>
          </w:p>
        </w:tc>
        <w:tc>
          <w:tcPr>
            <w:tcW w:w="4020" w:type="dxa"/>
            <w:vAlign w:val="bottom"/>
          </w:tcPr>
          <w:p>
            <w:pPr>
              <w:spacing w:after="0"/>
              <w:rPr>
                <w:sz w:val="24"/>
                <w:szCs w:val="24"/>
                <w:color w:val="auto"/>
              </w:rPr>
            </w:pPr>
          </w:p>
        </w:tc>
      </w:tr>
    </w:tbl>
    <w:p>
      <w:pPr>
        <w:sectPr>
          <w:pgSz w:w="11900" w:h="16838" w:orient="portrait"/>
          <w:cols w:equalWidth="0" w:num="1">
            <w:col w:w="11220"/>
          </w:cols>
          <w:pgMar w:left="320" w:top="1043" w:right="35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RULE 13a-14(a)/15d-14(a) CERTIFICATION OF THE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 SECTION 302 OF THE SARBANES-OXLEY ACT OF 2002</w:t>
      </w:r>
    </w:p>
    <w:p>
      <w:pPr>
        <w:spacing w:after="0" w:line="153" w:lineRule="exact"/>
        <w:rPr>
          <w:sz w:val="20"/>
          <w:szCs w:val="20"/>
          <w:color w:val="auto"/>
        </w:rPr>
      </w:pPr>
    </w:p>
    <w:p>
      <w:pPr>
        <w:ind w:right="380"/>
        <w:spacing w:after="0" w:line="287" w:lineRule="auto"/>
        <w:rPr>
          <w:sz w:val="20"/>
          <w:szCs w:val="20"/>
          <w:color w:val="auto"/>
        </w:rPr>
      </w:pPr>
      <w:r>
        <w:rPr>
          <w:rFonts w:ascii="Arial" w:cs="Arial" w:eastAsia="Arial" w:hAnsi="Arial"/>
          <w:sz w:val="18"/>
          <w:szCs w:val="18"/>
          <w:color w:val="auto"/>
        </w:rPr>
        <w:t>I, Timothy J. O’Shaughnessy, Chief Executive Officer (principal executive officer) of Graham Holdings Company (the “Registrant”), certify that:</w:t>
      </w:r>
    </w:p>
    <w:p>
      <w:pPr>
        <w:spacing w:after="0" w:line="99" w:lineRule="exact"/>
        <w:rPr>
          <w:sz w:val="20"/>
          <w:szCs w:val="20"/>
          <w:color w:val="auto"/>
        </w:rPr>
      </w:pPr>
    </w:p>
    <w:p>
      <w:pPr>
        <w:ind w:left="640" w:hanging="308"/>
        <w:spacing w:after="0"/>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the Registrant;</w:t>
      </w:r>
    </w:p>
    <w:p>
      <w:pPr>
        <w:spacing w:after="0" w:line="171" w:lineRule="exact"/>
        <w:rPr>
          <w:rFonts w:ascii="Arial" w:cs="Arial" w:eastAsia="Arial" w:hAnsi="Arial"/>
          <w:sz w:val="18"/>
          <w:szCs w:val="18"/>
          <w:color w:val="auto"/>
        </w:rPr>
      </w:pPr>
    </w:p>
    <w:p>
      <w:pPr>
        <w:ind w:left="340" w:right="400" w:hanging="8"/>
        <w:spacing w:after="0" w:line="268" w:lineRule="auto"/>
        <w:tabs>
          <w:tab w:leader="none" w:pos="652"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6" w:lineRule="exact"/>
        <w:rPr>
          <w:rFonts w:ascii="Arial" w:cs="Arial" w:eastAsia="Arial" w:hAnsi="Arial"/>
          <w:sz w:val="18"/>
          <w:szCs w:val="18"/>
          <w:color w:val="auto"/>
        </w:rPr>
      </w:pPr>
    </w:p>
    <w:p>
      <w:pPr>
        <w:jc w:val="both"/>
        <w:ind w:left="340" w:right="100" w:hanging="8"/>
        <w:spacing w:after="0" w:line="318" w:lineRule="auto"/>
        <w:tabs>
          <w:tab w:leader="none" w:pos="652" w:val="left"/>
        </w:tabs>
        <w:numPr>
          <w:ilvl w:val="0"/>
          <w:numId w:val="2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5" w:lineRule="exact"/>
        <w:rPr>
          <w:rFonts w:ascii="Arial" w:cs="Arial" w:eastAsia="Arial" w:hAnsi="Arial"/>
          <w:sz w:val="17"/>
          <w:szCs w:val="17"/>
          <w:color w:val="auto"/>
        </w:rPr>
      </w:pPr>
    </w:p>
    <w:p>
      <w:pPr>
        <w:jc w:val="both"/>
        <w:ind w:left="340" w:right="80" w:hanging="8"/>
        <w:spacing w:after="0" w:line="276" w:lineRule="auto"/>
        <w:tabs>
          <w:tab w:leader="none" w:pos="652"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340"/>
        <w:spacing w:after="0"/>
        <w:rPr>
          <w:rFonts w:ascii="Arial" w:cs="Arial" w:eastAsia="Arial" w:hAnsi="Arial"/>
          <w:sz w:val="17"/>
          <w:szCs w:val="17"/>
          <w:color w:val="auto"/>
        </w:rPr>
      </w:pPr>
      <w:r>
        <w:rPr>
          <w:rFonts w:ascii="Arial" w:cs="Arial" w:eastAsia="Arial" w:hAnsi="Arial"/>
          <w:sz w:val="18"/>
          <w:szCs w:val="18"/>
          <w:color w:val="auto"/>
        </w:rPr>
        <w:t>13a-15(f) and 15d-15(f)) for the Registrant and have:</w:t>
      </w:r>
    </w:p>
    <w:p>
      <w:pPr>
        <w:spacing w:after="0" w:line="153" w:lineRule="exact"/>
        <w:rPr>
          <w:rFonts w:ascii="Arial" w:cs="Arial" w:eastAsia="Arial" w:hAnsi="Arial"/>
          <w:sz w:val="17"/>
          <w:szCs w:val="17"/>
          <w:color w:val="auto"/>
        </w:rPr>
      </w:pPr>
    </w:p>
    <w:p>
      <w:pPr>
        <w:jc w:val="both"/>
        <w:ind w:left="1300" w:right="20" w:hanging="320"/>
        <w:spacing w:after="0" w:line="268" w:lineRule="auto"/>
        <w:tabs>
          <w:tab w:leader="none" w:pos="1288"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6" w:lineRule="exact"/>
        <w:rPr>
          <w:rFonts w:ascii="Arial" w:cs="Arial" w:eastAsia="Arial" w:hAnsi="Arial"/>
          <w:sz w:val="18"/>
          <w:szCs w:val="18"/>
          <w:color w:val="auto"/>
        </w:rPr>
      </w:pPr>
    </w:p>
    <w:p>
      <w:pPr>
        <w:ind w:left="1300" w:right="540" w:hanging="320"/>
        <w:spacing w:after="0" w:line="291" w:lineRule="auto"/>
        <w:tabs>
          <w:tab w:leader="none" w:pos="1288" w:val="left"/>
        </w:tabs>
        <w:numPr>
          <w:ilvl w:val="1"/>
          <w:numId w:val="24"/>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8" w:lineRule="exact"/>
        <w:rPr>
          <w:rFonts w:ascii="Arial" w:cs="Arial" w:eastAsia="Arial" w:hAnsi="Arial"/>
          <w:sz w:val="17"/>
          <w:szCs w:val="17"/>
          <w:color w:val="auto"/>
        </w:rPr>
      </w:pPr>
    </w:p>
    <w:p>
      <w:pPr>
        <w:ind w:left="1300" w:right="300" w:hanging="320"/>
        <w:spacing w:after="0" w:line="268" w:lineRule="auto"/>
        <w:tabs>
          <w:tab w:leader="none" w:pos="1291" w:val="left"/>
        </w:tabs>
        <w:numPr>
          <w:ilvl w:val="1"/>
          <w:numId w:val="2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6" w:lineRule="exact"/>
        <w:rPr>
          <w:rFonts w:ascii="Arial" w:cs="Arial" w:eastAsia="Arial" w:hAnsi="Arial"/>
          <w:sz w:val="18"/>
          <w:szCs w:val="18"/>
          <w:color w:val="auto"/>
        </w:rPr>
      </w:pPr>
    </w:p>
    <w:p>
      <w:pPr>
        <w:ind w:left="1300" w:right="300" w:hanging="320"/>
        <w:spacing w:after="0" w:line="291" w:lineRule="auto"/>
        <w:tabs>
          <w:tab w:leader="none" w:pos="1288" w:val="left"/>
        </w:tabs>
        <w:numPr>
          <w:ilvl w:val="1"/>
          <w:numId w:val="24"/>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8" w:lineRule="exact"/>
        <w:rPr>
          <w:rFonts w:ascii="Arial" w:cs="Arial" w:eastAsia="Arial" w:hAnsi="Arial"/>
          <w:sz w:val="17"/>
          <w:szCs w:val="17"/>
          <w:color w:val="auto"/>
        </w:rPr>
      </w:pPr>
    </w:p>
    <w:p>
      <w:pPr>
        <w:jc w:val="both"/>
        <w:ind w:left="340" w:right="280" w:hanging="8"/>
        <w:spacing w:after="0" w:line="268" w:lineRule="auto"/>
        <w:tabs>
          <w:tab w:leader="none" w:pos="652"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16" w:lineRule="exact"/>
        <w:rPr>
          <w:rFonts w:ascii="Arial" w:cs="Arial" w:eastAsia="Arial" w:hAnsi="Arial"/>
          <w:sz w:val="18"/>
          <w:szCs w:val="18"/>
          <w:color w:val="auto"/>
        </w:rPr>
      </w:pPr>
    </w:p>
    <w:p>
      <w:pPr>
        <w:jc w:val="both"/>
        <w:ind w:left="1300" w:right="420" w:hanging="320"/>
        <w:spacing w:after="0" w:line="268" w:lineRule="auto"/>
        <w:tabs>
          <w:tab w:leader="none" w:pos="1288" w:val="left"/>
        </w:tabs>
        <w:numPr>
          <w:ilvl w:val="1"/>
          <w:numId w:val="2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1300" w:right="780" w:hanging="320"/>
        <w:spacing w:after="0" w:line="287" w:lineRule="auto"/>
        <w:tabs>
          <w:tab w:leader="none" w:pos="1288" w:val="left"/>
        </w:tabs>
        <w:numPr>
          <w:ilvl w:val="1"/>
          <w:numId w:val="2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Timothy J. O’Shaughnessy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200596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0">
                      <a:extLst>
                        <a:ext uri="{28A0092B-C50C-407E-A947-70E740481C1C}"/>
                      </a:extLst>
                    </a:blip>
                    <a:srcRect/>
                    <a:stretch>
                      <a:fillRect/>
                    </a:stretch>
                  </pic:blipFill>
                  <pic:spPr bwMode="auto">
                    <a:xfrm>
                      <a:off x="0" y="0"/>
                      <a:ext cx="2005965" cy="8255"/>
                    </a:xfrm>
                    <a:prstGeom prst="rect">
                      <a:avLst/>
                    </a:prstGeom>
                    <a:noFill/>
                  </pic:spPr>
                </pic:pic>
              </a:graphicData>
            </a:graphic>
          </wp:anchor>
        </w:drawing>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Timothy J. O’Shaughnessy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April 30, 2025</w:t>
      </w:r>
    </w:p>
    <w:p>
      <w:pPr>
        <w:sectPr>
          <w:pgSz w:w="11900" w:h="16838" w:orient="portrait"/>
          <w:cols w:equalWidth="0" w:num="1">
            <w:col w:w="11240"/>
          </w:cols>
          <w:pgMar w:left="320" w:top="1147" w:right="33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RULE 13a-14(a)/15d-14(a) CERTIFICATION OF THE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 SECTION 302 OF THE SARBANES-OXLEY ACT OF 2002</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I, Wallace R. Cooney, Chief Financial Officer (principal financial officer) of Graham Holdings Company (the “Registrant”), certify that:</w:t>
      </w:r>
    </w:p>
    <w:p>
      <w:pPr>
        <w:spacing w:after="0" w:line="171" w:lineRule="exact"/>
        <w:rPr>
          <w:sz w:val="20"/>
          <w:szCs w:val="20"/>
          <w:color w:val="auto"/>
        </w:rPr>
      </w:pPr>
    </w:p>
    <w:p>
      <w:pPr>
        <w:ind w:left="640" w:hanging="308"/>
        <w:spacing w:after="0"/>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the Registrant;</w:t>
      </w:r>
    </w:p>
    <w:p>
      <w:pPr>
        <w:spacing w:after="0" w:line="171" w:lineRule="exact"/>
        <w:rPr>
          <w:rFonts w:ascii="Arial" w:cs="Arial" w:eastAsia="Arial" w:hAnsi="Arial"/>
          <w:sz w:val="18"/>
          <w:szCs w:val="18"/>
          <w:color w:val="auto"/>
        </w:rPr>
      </w:pPr>
    </w:p>
    <w:p>
      <w:pPr>
        <w:ind w:left="340" w:right="400" w:hanging="8"/>
        <w:spacing w:after="0" w:line="268" w:lineRule="auto"/>
        <w:tabs>
          <w:tab w:leader="none" w:pos="652" w:val="left"/>
        </w:tabs>
        <w:numPr>
          <w:ilvl w:val="0"/>
          <w:numId w:val="2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6" w:lineRule="exact"/>
        <w:rPr>
          <w:rFonts w:ascii="Arial" w:cs="Arial" w:eastAsia="Arial" w:hAnsi="Arial"/>
          <w:sz w:val="18"/>
          <w:szCs w:val="18"/>
          <w:color w:val="auto"/>
        </w:rPr>
      </w:pPr>
    </w:p>
    <w:p>
      <w:pPr>
        <w:jc w:val="both"/>
        <w:ind w:left="340" w:right="100" w:hanging="8"/>
        <w:spacing w:after="0" w:line="318" w:lineRule="auto"/>
        <w:tabs>
          <w:tab w:leader="none" w:pos="652" w:val="left"/>
        </w:tabs>
        <w:numPr>
          <w:ilvl w:val="0"/>
          <w:numId w:val="2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5" w:lineRule="exact"/>
        <w:rPr>
          <w:rFonts w:ascii="Arial" w:cs="Arial" w:eastAsia="Arial" w:hAnsi="Arial"/>
          <w:sz w:val="17"/>
          <w:szCs w:val="17"/>
          <w:color w:val="auto"/>
        </w:rPr>
      </w:pPr>
    </w:p>
    <w:p>
      <w:pPr>
        <w:jc w:val="both"/>
        <w:ind w:left="340" w:right="80" w:hanging="8"/>
        <w:spacing w:after="0" w:line="276" w:lineRule="auto"/>
        <w:tabs>
          <w:tab w:leader="none" w:pos="652"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340"/>
        <w:spacing w:after="0"/>
        <w:rPr>
          <w:rFonts w:ascii="Arial" w:cs="Arial" w:eastAsia="Arial" w:hAnsi="Arial"/>
          <w:sz w:val="17"/>
          <w:szCs w:val="17"/>
          <w:color w:val="auto"/>
        </w:rPr>
      </w:pPr>
      <w:r>
        <w:rPr>
          <w:rFonts w:ascii="Arial" w:cs="Arial" w:eastAsia="Arial" w:hAnsi="Arial"/>
          <w:sz w:val="18"/>
          <w:szCs w:val="18"/>
          <w:color w:val="auto"/>
        </w:rPr>
        <w:t>13a-15(f) and 15d-15(f)) for the Registrant and have:</w:t>
      </w:r>
    </w:p>
    <w:p>
      <w:pPr>
        <w:spacing w:after="0" w:line="153" w:lineRule="exact"/>
        <w:rPr>
          <w:rFonts w:ascii="Arial" w:cs="Arial" w:eastAsia="Arial" w:hAnsi="Arial"/>
          <w:sz w:val="17"/>
          <w:szCs w:val="17"/>
          <w:color w:val="auto"/>
        </w:rPr>
      </w:pPr>
    </w:p>
    <w:p>
      <w:pPr>
        <w:jc w:val="both"/>
        <w:ind w:left="1300" w:right="20" w:hanging="320"/>
        <w:spacing w:after="0" w:line="268" w:lineRule="auto"/>
        <w:tabs>
          <w:tab w:leader="none" w:pos="1288"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6" w:lineRule="exact"/>
        <w:rPr>
          <w:rFonts w:ascii="Arial" w:cs="Arial" w:eastAsia="Arial" w:hAnsi="Arial"/>
          <w:sz w:val="18"/>
          <w:szCs w:val="18"/>
          <w:color w:val="auto"/>
        </w:rPr>
      </w:pPr>
    </w:p>
    <w:p>
      <w:pPr>
        <w:ind w:left="1300" w:right="540" w:hanging="320"/>
        <w:spacing w:after="0" w:line="291" w:lineRule="auto"/>
        <w:tabs>
          <w:tab w:leader="none" w:pos="1288" w:val="left"/>
        </w:tabs>
        <w:numPr>
          <w:ilvl w:val="1"/>
          <w:numId w:val="25"/>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8" w:lineRule="exact"/>
        <w:rPr>
          <w:rFonts w:ascii="Arial" w:cs="Arial" w:eastAsia="Arial" w:hAnsi="Arial"/>
          <w:sz w:val="17"/>
          <w:szCs w:val="17"/>
          <w:color w:val="auto"/>
        </w:rPr>
      </w:pPr>
    </w:p>
    <w:p>
      <w:pPr>
        <w:ind w:left="1300" w:right="300" w:hanging="320"/>
        <w:spacing w:after="0" w:line="268" w:lineRule="auto"/>
        <w:tabs>
          <w:tab w:leader="none" w:pos="1291" w:val="left"/>
        </w:tabs>
        <w:numPr>
          <w:ilvl w:val="1"/>
          <w:numId w:val="2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6" w:lineRule="exact"/>
        <w:rPr>
          <w:rFonts w:ascii="Arial" w:cs="Arial" w:eastAsia="Arial" w:hAnsi="Arial"/>
          <w:sz w:val="18"/>
          <w:szCs w:val="18"/>
          <w:color w:val="auto"/>
        </w:rPr>
      </w:pPr>
    </w:p>
    <w:p>
      <w:pPr>
        <w:ind w:left="1300" w:right="300" w:hanging="320"/>
        <w:spacing w:after="0" w:line="291" w:lineRule="auto"/>
        <w:tabs>
          <w:tab w:leader="none" w:pos="1288" w:val="left"/>
        </w:tabs>
        <w:numPr>
          <w:ilvl w:val="1"/>
          <w:numId w:val="25"/>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8" w:lineRule="exact"/>
        <w:rPr>
          <w:rFonts w:ascii="Arial" w:cs="Arial" w:eastAsia="Arial" w:hAnsi="Arial"/>
          <w:sz w:val="17"/>
          <w:szCs w:val="17"/>
          <w:color w:val="auto"/>
        </w:rPr>
      </w:pPr>
    </w:p>
    <w:p>
      <w:pPr>
        <w:jc w:val="both"/>
        <w:ind w:left="340" w:right="280" w:hanging="8"/>
        <w:spacing w:after="0" w:line="268" w:lineRule="auto"/>
        <w:tabs>
          <w:tab w:leader="none" w:pos="652"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16" w:lineRule="exact"/>
        <w:rPr>
          <w:rFonts w:ascii="Arial" w:cs="Arial" w:eastAsia="Arial" w:hAnsi="Arial"/>
          <w:sz w:val="18"/>
          <w:szCs w:val="18"/>
          <w:color w:val="auto"/>
        </w:rPr>
      </w:pPr>
    </w:p>
    <w:p>
      <w:pPr>
        <w:jc w:val="both"/>
        <w:ind w:left="1300" w:right="420" w:hanging="320"/>
        <w:spacing w:after="0" w:line="268" w:lineRule="auto"/>
        <w:tabs>
          <w:tab w:leader="none" w:pos="1288" w:val="left"/>
        </w:tabs>
        <w:numPr>
          <w:ilvl w:val="1"/>
          <w:numId w:val="2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1300" w:right="780" w:hanging="320"/>
        <w:spacing w:after="0" w:line="287" w:lineRule="auto"/>
        <w:tabs>
          <w:tab w:leader="none" w:pos="1288" w:val="left"/>
        </w:tabs>
        <w:numPr>
          <w:ilvl w:val="1"/>
          <w:numId w:val="2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Wallace R. Cooney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200596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1">
                      <a:extLst>
                        <a:ext uri="{28A0092B-C50C-407E-A947-70E740481C1C}"/>
                      </a:extLst>
                    </a:blip>
                    <a:srcRect/>
                    <a:stretch>
                      <a:fillRect/>
                    </a:stretch>
                  </pic:blipFill>
                  <pic:spPr bwMode="auto">
                    <a:xfrm>
                      <a:off x="0" y="0"/>
                      <a:ext cx="2005965" cy="8255"/>
                    </a:xfrm>
                    <a:prstGeom prst="rect">
                      <a:avLst/>
                    </a:prstGeom>
                    <a:noFill/>
                  </pic:spPr>
                </pic:pic>
              </a:graphicData>
            </a:graphic>
          </wp:anchor>
        </w:drawing>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Wallace R. Cooney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April 30, 2025</w:t>
      </w:r>
    </w:p>
    <w:p>
      <w:pPr>
        <w:sectPr>
          <w:pgSz w:w="11900" w:h="16838" w:orient="portrait"/>
          <w:cols w:equalWidth="0" w:num="1">
            <w:col w:w="11240"/>
          </w:cols>
          <w:pgMar w:left="320" w:top="1147" w:right="3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color w:val="auto"/>
        </w:rPr>
        <w:t>Exhibit 32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1350 CERTIFICATION OF THE CHIEF EXECUTIVE OFFICER AND THE CHIEF FINANCIAL</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 SECTION 906 OF THE SARBANES-OXLEY ACT OF 2002</w:t>
      </w:r>
    </w:p>
    <w:p>
      <w:pPr>
        <w:spacing w:after="0" w:line="153"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In connection with the Quarterly Report of Graham Holdings Company (the “Company”) on Form 10-Q for the period ended March 31, 2025 (the “Report”), Timothy J. O’Shaughnessy, Chief Executive Officer (principal executive officer) of the Company and Wallace R. Cooney, Chief Financial Officer (principal financial officer) of the Company, each hereby certifies, pursuant to 18 U.S.C. Section 1350, as adopted pursuant to Section 906 of the Sarbanes-Oxley Act of 2002, that:</w:t>
      </w:r>
    </w:p>
    <w:p>
      <w:pPr>
        <w:spacing w:after="0" w:line="122" w:lineRule="exact"/>
        <w:rPr>
          <w:sz w:val="20"/>
          <w:szCs w:val="20"/>
          <w:color w:val="auto"/>
        </w:rPr>
      </w:pPr>
    </w:p>
    <w:p>
      <w:pPr>
        <w:ind w:left="320" w:hanging="312"/>
        <w:spacing w:after="0"/>
        <w:tabs>
          <w:tab w:leader="none" w:pos="3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340" w:right="340" w:hanging="332"/>
        <w:spacing w:after="0" w:line="287" w:lineRule="auto"/>
        <w:tabs>
          <w:tab w:leader="none" w:pos="33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9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Timothy J. O’Shaughnessy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200596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2">
                      <a:extLst>
                        <a:ext uri="{28A0092B-C50C-407E-A947-70E740481C1C}"/>
                      </a:extLst>
                    </a:blip>
                    <a:srcRect/>
                    <a:stretch>
                      <a:fillRect/>
                    </a:stretch>
                  </pic:blipFill>
                  <pic:spPr bwMode="auto">
                    <a:xfrm>
                      <a:off x="0" y="0"/>
                      <a:ext cx="2005965" cy="8255"/>
                    </a:xfrm>
                    <a:prstGeom prst="rect">
                      <a:avLst/>
                    </a:prstGeom>
                    <a:noFill/>
                  </pic:spPr>
                </pic:pic>
              </a:graphicData>
            </a:graphic>
          </wp:anchor>
        </w:drawing>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Timothy J. O’Shaughnessy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April 30, 2025</w:t>
      </w:r>
    </w:p>
    <w:p>
      <w:pPr>
        <w:spacing w:after="0" w:line="248"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Wallace R. Cooney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200596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3">
                      <a:extLst>
                        <a:ext uri="{28A0092B-C50C-407E-A947-70E740481C1C}"/>
                      </a:extLst>
                    </a:blip>
                    <a:srcRect/>
                    <a:stretch>
                      <a:fillRect/>
                    </a:stretch>
                  </pic:blipFill>
                  <pic:spPr bwMode="auto">
                    <a:xfrm>
                      <a:off x="0" y="0"/>
                      <a:ext cx="2005965" cy="8255"/>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Wallace R. Cooney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April 30, 2025</w:t>
      </w:r>
    </w:p>
    <w:sectPr>
      <w:pgSz w:w="11900" w:h="16838" w:orient="portrait"/>
      <w:cols w:equalWidth="0" w:num="1">
        <w:col w:w="11240"/>
      </w:cols>
      <w:pgMar w:left="320" w:top="114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09CF92E"/>
    <w:multiLevelType w:val="hybridMultilevel"/>
    <w:lvl w:ilvl="0">
      <w:lvlJc w:val="left"/>
      <w:lvlText w:val="☒"/>
      <w:numFmt w:val="bullet"/>
      <w:start w:val="1"/>
    </w:lvl>
  </w:abstractNum>
  <w:abstractNum w:abstractNumId="1">
    <w:nsid w:val="DED7263"/>
    <w:multiLevelType w:val="hybridMultilevel"/>
    <w:lvl w:ilvl="0">
      <w:lvlJc w:val="left"/>
      <w:lvlText w:val="☐"/>
      <w:numFmt w:val="bullet"/>
      <w:start w:val="1"/>
    </w:lvl>
  </w:abstractNum>
  <w:abstractNum w:abstractNumId="2">
    <w:nsid w:val="7FDCC233"/>
    <w:multiLevelType w:val="hybridMultilevel"/>
    <w:lvl w:ilvl="0">
      <w:lvlJc w:val="left"/>
      <w:lvlText w:val="$"/>
      <w:numFmt w:val="bullet"/>
      <w:start w:val="1"/>
    </w:lvl>
  </w:abstractNum>
  <w:abstractNum w:abstractNumId="3">
    <w:nsid w:val="1BEFD79F"/>
    <w:multiLevelType w:val="hybridMultilevel"/>
    <w:lvl w:ilvl="0">
      <w:lvlJc w:val="left"/>
      <w:lvlText w:val="(%1)"/>
      <w:numFmt w:val="decimal"/>
      <w:start w:val="519"/>
    </w:lvl>
  </w:abstractNum>
  <w:abstractNum w:abstractNumId="4">
    <w:nsid w:val="41A7C4C9"/>
    <w:multiLevelType w:val="hybridMultilevel"/>
    <w:lvl w:ilvl="0">
      <w:lvlJc w:val="left"/>
      <w:lvlText w:val="(%1)"/>
      <w:numFmt w:val="decimal"/>
      <w:start w:val="379"/>
    </w:lvl>
  </w:abstractNum>
  <w:abstractNum w:abstractNumId="5">
    <w:nsid w:val="6B68079A"/>
    <w:multiLevelType w:val="hybridMultilevel"/>
    <w:lvl w:ilvl="0">
      <w:lvlJc w:val="left"/>
      <w:lvlText w:val="(%1)"/>
      <w:numFmt w:val="decimal"/>
      <w:start w:val="898"/>
    </w:lvl>
  </w:abstractNum>
  <w:abstractNum w:abstractNumId="6">
    <w:nsid w:val="4E6AFB66"/>
    <w:multiLevelType w:val="hybridMultilevel"/>
    <w:lvl w:ilvl="0">
      <w:lvlJc w:val="left"/>
      <w:lvlText w:val="(%1)"/>
      <w:numFmt w:val="decimal"/>
      <w:start w:val="679"/>
    </w:lvl>
  </w:abstractNum>
  <w:abstractNum w:abstractNumId="7">
    <w:nsid w:val="25E45D32"/>
    <w:multiLevelType w:val="hybridMultilevel"/>
    <w:lvl w:ilvl="0">
      <w:lvlJc w:val="left"/>
      <w:lvlText w:val="(%1)"/>
      <w:numFmt w:val="lowerRoman"/>
      <w:start w:val="1"/>
    </w:lvl>
  </w:abstractNum>
  <w:abstractNum w:abstractNumId="8">
    <w:nsid w:val="519B500D"/>
    <w:multiLevelType w:val="hybridMultilevel"/>
    <w:lvl w:ilvl="0">
      <w:lvlJc w:val="left"/>
      <w:lvlText w:val="(%1)"/>
      <w:numFmt w:val="decimal"/>
      <w:start w:val="1"/>
    </w:lvl>
  </w:abstractNum>
  <w:abstractNum w:abstractNumId="9">
    <w:nsid w:val="431BD7B7"/>
    <w:multiLevelType w:val="hybridMultilevel"/>
    <w:lvl w:ilvl="0">
      <w:lvlJc w:val="left"/>
      <w:lvlText w:val="(%1)"/>
      <w:numFmt w:val="decimal"/>
      <w:start w:val="1"/>
    </w:lvl>
  </w:abstractNum>
  <w:abstractNum w:abstractNumId="10">
    <w:nsid w:val="3F2DBA31"/>
    <w:multiLevelType w:val="hybridMultilevel"/>
    <w:lvl w:ilvl="0">
      <w:lvlJc w:val="left"/>
      <w:lvlText w:val="(%1)"/>
      <w:numFmt w:val="decimal"/>
      <w:start w:val="1"/>
    </w:lvl>
  </w:abstractNum>
  <w:abstractNum w:abstractNumId="11">
    <w:nsid w:val="7C83E458"/>
    <w:multiLevelType w:val="hybridMultilevel"/>
    <w:lvl w:ilvl="0">
      <w:lvlJc w:val="left"/>
      <w:lvlText w:val="(%1)"/>
      <w:numFmt w:val="decimal"/>
      <w:start w:val="1"/>
    </w:lvl>
  </w:abstractNum>
  <w:abstractNum w:abstractNumId="12">
    <w:nsid w:val="257130A3"/>
    <w:multiLevelType w:val="hybridMultilevel"/>
    <w:lvl w:ilvl="0">
      <w:lvlJc w:val="left"/>
      <w:lvlText w:val="(%1)"/>
      <w:numFmt w:val="decimal"/>
      <w:start w:val="1"/>
    </w:lvl>
    <w:lvl w:ilvl="1">
      <w:lvlJc w:val="left"/>
      <w:lvlText w:val="(%2)"/>
      <w:numFmt w:val="lowerLetter"/>
      <w:start w:val="1"/>
    </w:lvl>
  </w:abstractNum>
  <w:abstractNum w:abstractNumId="13">
    <w:nsid w:val="62BBD95A"/>
    <w:multiLevelType w:val="hybridMultilevel"/>
    <w:lvl w:ilvl="0">
      <w:lvlJc w:val="left"/>
      <w:lvlText w:val="(%1)"/>
      <w:numFmt w:val="decimal"/>
      <w:start w:val="1"/>
    </w:lvl>
    <w:lvl w:ilvl="1">
      <w:lvlJc w:val="left"/>
      <w:lvlText w:val="(%2)"/>
      <w:numFmt w:val="lowerLetter"/>
      <w:start w:val="1"/>
    </w:lvl>
  </w:abstractNum>
  <w:abstractNum w:abstractNumId="14">
    <w:nsid w:val="436C6125"/>
    <w:multiLevelType w:val="hybridMultilevel"/>
    <w:lvl w:ilvl="0">
      <w:lvlJc w:val="left"/>
      <w:lvlText w:val="(%1)"/>
      <w:numFmt w:val="decimal"/>
      <w:start w:val="1"/>
    </w:lvl>
    <w:lvl w:ilvl="1">
      <w:lvlJc w:val="left"/>
      <w:lvlText w:val="(%2)"/>
      <w:numFmt w:val="lowerLetter"/>
      <w:start w:val="1"/>
    </w:lvl>
  </w:abstractNum>
  <w:abstractNum w:abstractNumId="15">
    <w:nsid w:val="628C895D"/>
    <w:multiLevelType w:val="hybridMultilevel"/>
    <w:lvl w:ilvl="0">
      <w:lvlJc w:val="left"/>
      <w:lvlText w:val="(%1)"/>
      <w:numFmt w:val="decimal"/>
      <w:start w:val="1"/>
    </w:lvl>
    <w:lvl w:ilvl="1">
      <w:lvlJc w:val="left"/>
      <w:lvlText w:val="(%2)"/>
      <w:numFmt w:val="lowerLetter"/>
      <w:start w:val="1"/>
    </w:lvl>
  </w:abstractNum>
  <w:abstractNum w:abstractNumId="16">
    <w:nsid w:val="333AB105"/>
    <w:multiLevelType w:val="hybridMultilevel"/>
    <w:lvl w:ilvl="0">
      <w:lvlJc w:val="left"/>
      <w:lvlText w:val="•"/>
      <w:numFmt w:val="bullet"/>
      <w:start w:val="1"/>
    </w:lvl>
  </w:abstractNum>
  <w:abstractNum w:abstractNumId="17">
    <w:nsid w:val="721DA317"/>
    <w:multiLevelType w:val="hybridMultilevel"/>
    <w:lvl w:ilvl="0">
      <w:lvlJc w:val="left"/>
      <w:lvlText w:val="•"/>
      <w:numFmt w:val="bullet"/>
      <w:start w:val="1"/>
    </w:lvl>
  </w:abstractNum>
  <w:abstractNum w:abstractNumId="18">
    <w:nsid w:val="2443A858"/>
    <w:multiLevelType w:val="hybridMultilevel"/>
    <w:lvl w:ilvl="0">
      <w:lvlJc w:val="left"/>
      <w:lvlText w:val="(%1)"/>
      <w:numFmt w:val="decimal"/>
      <w:start w:val="1"/>
    </w:lvl>
  </w:abstractNum>
  <w:abstractNum w:abstractNumId="19">
    <w:nsid w:val="2D1D5AE9"/>
    <w:multiLevelType w:val="hybridMultilevel"/>
    <w:lvl w:ilvl="0">
      <w:lvlJc w:val="left"/>
      <w:lvlText w:val="&amp;"/>
      <w:numFmt w:val="bullet"/>
      <w:start w:val="1"/>
    </w:lvl>
  </w:abstractNum>
  <w:abstractNum w:abstractNumId="20">
    <w:nsid w:val="6763845E"/>
    <w:multiLevelType w:val="hybridMultilevel"/>
    <w:lvl w:ilvl="0">
      <w:lvlJc w:val="left"/>
      <w:lvlText w:val="(%1)"/>
      <w:numFmt w:val="decimal"/>
      <w:start w:val="1"/>
    </w:lvl>
  </w:abstractNum>
  <w:abstractNum w:abstractNumId="21">
    <w:nsid w:val="75A2A8D4"/>
    <w:multiLevelType w:val="hybridMultilevel"/>
    <w:lvl w:ilvl="0">
      <w:lvlJc w:val="left"/>
      <w:lvlText w:val="%1"/>
      <w:numFmt w:val="decimal"/>
      <w:start w:val="32"/>
    </w:lvl>
  </w:abstractNum>
  <w:abstractNum w:abstractNumId="22">
    <w:nsid w:val="8EDBDAB"/>
    <w:multiLevelType w:val="hybridMultilevel"/>
    <w:lvl w:ilvl="0">
      <w:lvlJc w:val="left"/>
      <w:lvlText w:val="*"/>
      <w:numFmt w:val="bullet"/>
      <w:start w:val="1"/>
    </w:lvl>
    <w:lvl w:ilvl="1">
      <w:lvlJc w:val="left"/>
      <w:lvlText w:val="%2"/>
      <w:numFmt w:val="decimal"/>
      <w:start w:val="104"/>
    </w:lvl>
  </w:abstractNum>
  <w:abstractNum w:abstractNumId="23">
    <w:nsid w:val="79838CB2"/>
    <w:multiLevelType w:val="hybridMultilevel"/>
    <w:lvl w:ilvl="0">
      <w:lvlJc w:val="left"/>
      <w:lvlText w:val="%1."/>
      <w:numFmt w:val="decimal"/>
      <w:start w:val="1"/>
    </w:lvl>
    <w:lvl w:ilvl="1">
      <w:lvlJc w:val="left"/>
      <w:lvlText w:val="%2."/>
      <w:numFmt w:val="lowerLetter"/>
      <w:start w:val="1"/>
    </w:lvl>
  </w:abstractNum>
  <w:abstractNum w:abstractNumId="24">
    <w:nsid w:val="4353D0CD"/>
    <w:multiLevelType w:val="hybridMultilevel"/>
    <w:lvl w:ilvl="0">
      <w:lvlJc w:val="left"/>
      <w:lvlText w:val="%1."/>
      <w:numFmt w:val="decimal"/>
      <w:start w:val="1"/>
    </w:lvl>
    <w:lvl w:ilvl="1">
      <w:lvlJc w:val="left"/>
      <w:lvlText w:val="%2."/>
      <w:numFmt w:val="lowerLetter"/>
      <w:start w:val="1"/>
    </w:lvl>
  </w:abstractNum>
  <w:abstractNum w:abstractNumId="25">
    <w:nsid w:val="B03E0C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9" Type="http://schemas.openxmlformats.org/officeDocument/2006/relationships/image" Target="media/image55.png"/><Relationship Id="rId70" Type="http://schemas.openxmlformats.org/officeDocument/2006/relationships/image" Target="media/image56.png"/><Relationship Id="rId71" Type="http://schemas.openxmlformats.org/officeDocument/2006/relationships/image" Target="media/image57.png"/><Relationship Id="rId72" Type="http://schemas.openxmlformats.org/officeDocument/2006/relationships/image" Target="media/image58.png"/><Relationship Id="rId73" Type="http://schemas.openxmlformats.org/officeDocument/2006/relationships/image" Target="media/image59.png"/><Relationship Id="rId62" Type="http://schemas.openxmlformats.org/officeDocument/2006/relationships/hyperlink" Target="https://www.sec.gov/Archives/edgar/data/104889/000095013304000785/w94191exv3w1.htm" TargetMode="External"/><Relationship Id="rId63" Type="http://schemas.openxmlformats.org/officeDocument/2006/relationships/hyperlink" Target="https://www.sec.gov/Archives/edgar/data/104889/000095015713000428/ex3-1.htm" TargetMode="External"/><Relationship Id="rId64" Type="http://schemas.openxmlformats.org/officeDocument/2006/relationships/hyperlink" Target="https://www.sec.gov/Archives/edgar/data/104889/000010488924000047/a2024-09x12form8xkexhibit31.htm" TargetMode="External"/><Relationship Id="rId65" Type="http://schemas.openxmlformats.org/officeDocument/2006/relationships/hyperlink" Target="https://www.sec.gov/Archives/edgar/data/104889/000095015718000572/ex4-1.htm" TargetMode="External"/><Relationship Id="rId66" Type="http://schemas.openxmlformats.org/officeDocument/2006/relationships/hyperlink" Target="https://www.sec.gov/Archives/edgar/data/104889/000010488920000031/dex42.htm" TargetMode="External"/><Relationship Id="rId67" Type="http://schemas.openxmlformats.org/officeDocument/2006/relationships/hyperlink" Target="https://www.sec.gov/Archives/edgar/data/104889/000010488922000011/a2021q410-kex43.htm" TargetMode="External"/><Relationship Id="rId68" Type="http://schemas.openxmlformats.org/officeDocument/2006/relationships/hyperlink" Target="https://www.sec.gov/Archives/edgar/data/104889/000010488923000064/a2023q310-qex4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2025-04-30T07:29:57Z</dcterms:created>
  <dcterms:modified xsi:type="dcterms:W3CDTF">2025-04-30T07:29:57Z</dcterms:modified>
</cp:coreProperties>
</file>