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jc w:val="center"/>
        <w:ind w:right="-1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SCHEDULE 13G</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(Rule 13d-102)</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Information Statement Pursuant to Rules 13d-1 and 13d-2</w:t>
      </w:r>
    </w:p>
    <w:p>
      <w:pPr>
        <w:jc w:val="center"/>
        <w:ind w:right="-119"/>
        <w:spacing w:after="0" w:line="238" w:lineRule="auto"/>
        <w:rPr>
          <w:sz w:val="20"/>
          <w:szCs w:val="20"/>
          <w:color w:val="auto"/>
        </w:rPr>
      </w:pPr>
      <w:r>
        <w:rPr>
          <w:rFonts w:ascii="Arial" w:cs="Arial" w:eastAsia="Arial" w:hAnsi="Arial"/>
          <w:sz w:val="22"/>
          <w:szCs w:val="22"/>
          <w:color w:val="auto"/>
        </w:rPr>
        <w:t>Under the Securities Exchange Act of 1934</w:t>
      </w:r>
    </w:p>
    <w:p>
      <w:pPr>
        <w:jc w:val="center"/>
        <w:ind w:right="-119"/>
        <w:spacing w:after="0"/>
        <w:rPr>
          <w:sz w:val="20"/>
          <w:szCs w:val="20"/>
          <w:color w:val="auto"/>
        </w:rPr>
      </w:pPr>
      <w:r>
        <w:rPr>
          <w:rFonts w:ascii="Arial" w:cs="Arial" w:eastAsia="Arial" w:hAnsi="Arial"/>
          <w:sz w:val="22"/>
          <w:szCs w:val="22"/>
          <w:color w:val="auto"/>
        </w:rPr>
        <w:t>(Amendment No.)*</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Post Co</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Common Stock, $.01 Par Value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939640108</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both"/>
        <w:ind w:right="2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CUSIP NO. 939640108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5582285" cy="4954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2285" cy="4954270"/>
                    </a:xfrm>
                    <a:prstGeom prst="rect">
                      <a:avLst/>
                    </a:prstGeom>
                    <a:noFill/>
                  </pic:spPr>
                </pic:pic>
              </a:graphicData>
            </a:graphic>
          </wp:anchor>
        </w:drawing>
      </w:r>
    </w:p>
    <w:p>
      <w:pPr>
        <w:spacing w:after="0" w:line="348" w:lineRule="exact"/>
        <w:rPr>
          <w:sz w:val="24"/>
          <w:szCs w:val="24"/>
          <w:color w:val="auto"/>
        </w:rPr>
      </w:pPr>
    </w:p>
    <w:p>
      <w:pPr>
        <w:ind w:left="1580" w:hanging="924"/>
        <w:spacing w:after="0"/>
        <w:tabs>
          <w:tab w:leader="none" w:pos="1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8" w:lineRule="exact"/>
        <w:rPr>
          <w:rFonts w:ascii="Arial" w:cs="Arial" w:eastAsia="Arial" w:hAnsi="Arial"/>
          <w:sz w:val="22"/>
          <w:szCs w:val="22"/>
          <w:color w:val="auto"/>
        </w:rPr>
      </w:pPr>
    </w:p>
    <w:p>
      <w:pPr>
        <w:ind w:left="1580" w:right="4300"/>
        <w:spacing w:after="0" w:line="237" w:lineRule="auto"/>
        <w:rPr>
          <w:rFonts w:ascii="Arial" w:cs="Arial" w:eastAsia="Arial" w:hAnsi="Arial"/>
          <w:sz w:val="22"/>
          <w:szCs w:val="22"/>
          <w:color w:val="auto"/>
        </w:rPr>
      </w:pPr>
      <w:r>
        <w:rPr>
          <w:rFonts w:ascii="Arial" w:cs="Arial" w:eastAsia="Arial" w:hAnsi="Arial"/>
          <w:sz w:val="22"/>
          <w:szCs w:val="22"/>
          <w:color w:val="auto"/>
        </w:rPr>
        <w:t>S.S. OR I.R.S. IDENTIFICATION NO. OF ABOVE PERSON Harris Associates L.P. 04-3276558</w:t>
      </w:r>
    </w:p>
    <w:p>
      <w:pPr>
        <w:spacing w:after="0" w:line="252" w:lineRule="exact"/>
        <w:rPr>
          <w:rFonts w:ascii="Arial" w:cs="Arial" w:eastAsia="Arial" w:hAnsi="Arial"/>
          <w:sz w:val="22"/>
          <w:szCs w:val="22"/>
          <w:color w:val="auto"/>
        </w:rPr>
      </w:pPr>
    </w:p>
    <w:p>
      <w:pPr>
        <w:ind w:left="1580" w:hanging="924"/>
        <w:spacing w:after="0"/>
        <w:tabs>
          <w:tab w:leader="none" w:pos="1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8" w:lineRule="exact"/>
        <w:rPr>
          <w:rFonts w:ascii="Arial" w:cs="Arial" w:eastAsia="Arial" w:hAnsi="Arial"/>
          <w:sz w:val="22"/>
          <w:szCs w:val="22"/>
          <w:color w:val="auto"/>
        </w:rPr>
      </w:pPr>
    </w:p>
    <w:p>
      <w:pPr>
        <w:ind w:left="1580"/>
        <w:spacing w:after="0" w:line="230" w:lineRule="auto"/>
        <w:rPr>
          <w:rFonts w:ascii="Arial" w:cs="Arial" w:eastAsia="Arial" w:hAnsi="Arial"/>
          <w:sz w:val="22"/>
          <w:szCs w:val="22"/>
          <w:color w:val="auto"/>
        </w:rPr>
      </w:pPr>
      <w:r>
        <w:rPr>
          <w:rFonts w:ascii="Arial" w:cs="Arial" w:eastAsia="Arial" w:hAnsi="Arial"/>
          <w:sz w:val="22"/>
          <w:szCs w:val="22"/>
          <w:color w:val="auto"/>
        </w:rPr>
        <w:t>(a) __</w:t>
      </w:r>
    </w:p>
    <w:p>
      <w:pPr>
        <w:ind w:left="1580"/>
        <w:spacing w:after="0"/>
        <w:rPr>
          <w:rFonts w:ascii="Arial" w:cs="Arial" w:eastAsia="Arial" w:hAnsi="Arial"/>
          <w:sz w:val="22"/>
          <w:szCs w:val="22"/>
          <w:color w:val="auto"/>
        </w:rPr>
      </w:pPr>
      <w:r>
        <w:rPr>
          <w:rFonts w:ascii="Arial" w:cs="Arial" w:eastAsia="Arial" w:hAnsi="Arial"/>
          <w:sz w:val="22"/>
          <w:szCs w:val="22"/>
          <w:color w:val="auto"/>
        </w:rPr>
        <w:t>(b) __</w:t>
      </w:r>
    </w:p>
    <w:p>
      <w:pPr>
        <w:spacing w:after="0" w:line="89" w:lineRule="exact"/>
        <w:rPr>
          <w:sz w:val="24"/>
          <w:szCs w:val="24"/>
          <w:color w:val="auto"/>
        </w:rPr>
      </w:pPr>
    </w:p>
    <w:p>
      <w:pPr>
        <w:ind w:left="660"/>
        <w:spacing w:after="0"/>
        <w:tabs>
          <w:tab w:leader="none" w:pos="1372" w:val="left"/>
        </w:tabs>
        <w:rPr>
          <w:sz w:val="20"/>
          <w:szCs w:val="20"/>
          <w:color w:val="auto"/>
        </w:rPr>
      </w:pPr>
      <w:r>
        <w:rPr>
          <w:rFonts w:ascii="Arial" w:cs="Arial" w:eastAsia="Arial" w:hAnsi="Arial"/>
          <w:sz w:val="22"/>
          <w:szCs w:val="22"/>
          <w:color w:val="auto"/>
        </w:rPr>
        <w:t>3.</w:t>
      </w:r>
      <w:r>
        <w:rPr>
          <w:sz w:val="20"/>
          <w:szCs w:val="20"/>
          <w:color w:val="auto"/>
        </w:rPr>
        <w:tab/>
      </w:r>
      <w:r>
        <w:rPr>
          <w:sz w:val="1"/>
          <w:szCs w:val="1"/>
          <w:color w:val="auto"/>
        </w:rPr>
        <w:drawing>
          <wp:inline distT="0" distB="0" distL="0" distR="0">
            <wp:extent cx="5969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342900"/>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107" w:lineRule="exact"/>
        <w:rPr>
          <w:sz w:val="24"/>
          <w:szCs w:val="24"/>
          <w:color w:val="auto"/>
        </w:rPr>
      </w:pPr>
    </w:p>
    <w:p>
      <w:pPr>
        <w:ind w:left="1580" w:right="5340" w:hanging="924"/>
        <w:spacing w:after="0" w:line="251" w:lineRule="auto"/>
        <w:tabs>
          <w:tab w:leader="none" w:pos="15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53"/>
        </w:trPr>
        <w:tc>
          <w:tcPr>
            <w:tcW w:w="2780" w:type="dxa"/>
            <w:vAlign w:val="bottom"/>
            <w:vMerge w:val="restart"/>
          </w:tcPr>
          <w:p>
            <w:pPr>
              <w:jc w:val="center"/>
              <w:ind w:right="532"/>
              <w:spacing w:after="0"/>
              <w:rPr>
                <w:sz w:val="20"/>
                <w:szCs w:val="20"/>
                <w:color w:val="auto"/>
              </w:rPr>
            </w:pPr>
            <w:r>
              <w:rPr>
                <w:rFonts w:ascii="Arial" w:cs="Arial" w:eastAsia="Arial" w:hAnsi="Arial"/>
                <w:sz w:val="22"/>
                <w:szCs w:val="22"/>
                <w:color w:val="auto"/>
                <w:w w:val="93"/>
              </w:rPr>
              <w:t>NUMBER OF SHARES</w:t>
            </w:r>
          </w:p>
        </w:tc>
        <w:tc>
          <w:tcPr>
            <w:tcW w:w="1420" w:type="dxa"/>
            <w:vAlign w:val="bottom"/>
          </w:tcPr>
          <w:p>
            <w:pPr>
              <w:jc w:val="right"/>
              <w:ind w:right="532"/>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384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39"/>
        </w:trPr>
        <w:tc>
          <w:tcPr>
            <w:tcW w:w="2780" w:type="dxa"/>
            <w:vAlign w:val="bottom"/>
            <w:vMerge w:val="restart"/>
          </w:tcPr>
          <w:p>
            <w:pPr>
              <w:jc w:val="center"/>
              <w:ind w:right="532"/>
              <w:spacing w:after="0" w:line="251" w:lineRule="exact"/>
              <w:rPr>
                <w:sz w:val="20"/>
                <w:szCs w:val="20"/>
                <w:color w:val="auto"/>
              </w:rPr>
            </w:pPr>
            <w:r>
              <w:rPr>
                <w:rFonts w:ascii="Arial" w:cs="Arial" w:eastAsia="Arial" w:hAnsi="Arial"/>
                <w:sz w:val="22"/>
                <w:szCs w:val="22"/>
                <w:color w:val="auto"/>
                <w:w w:val="99"/>
              </w:rPr>
              <w:t>BENEFICIALLY</w:t>
            </w: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780" w:type="dxa"/>
            <w:vAlign w:val="bottom"/>
            <w:vMerge w:val="restart"/>
          </w:tcPr>
          <w:p>
            <w:pPr>
              <w:jc w:val="center"/>
              <w:ind w:right="532"/>
              <w:spacing w:after="0" w:line="216" w:lineRule="exact"/>
              <w:rPr>
                <w:sz w:val="20"/>
                <w:szCs w:val="20"/>
                <w:color w:val="auto"/>
              </w:rPr>
            </w:pPr>
            <w:r>
              <w:rPr>
                <w:rFonts w:ascii="Arial" w:cs="Arial" w:eastAsia="Arial" w:hAnsi="Arial"/>
                <w:sz w:val="22"/>
                <w:szCs w:val="22"/>
                <w:color w:val="auto"/>
                <w:w w:val="95"/>
              </w:rPr>
              <w:t>OWNED BY</w:t>
            </w: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420" w:type="dxa"/>
            <w:vAlign w:val="bottom"/>
            <w:vMerge w:val="restart"/>
          </w:tcPr>
          <w:p>
            <w:pPr>
              <w:jc w:val="right"/>
              <w:ind w:right="53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5"/>
                <w:szCs w:val="15"/>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94"/>
              </w:rPr>
              <w:t>EACH</w:t>
            </w:r>
          </w:p>
        </w:tc>
        <w:tc>
          <w:tcPr>
            <w:tcW w:w="1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3860" w:type="dxa"/>
            <w:vAlign w:val="bottom"/>
            <w:gridSpan w:val="2"/>
            <w:vMerge w:val="restart"/>
          </w:tcPr>
          <w:p>
            <w:pPr>
              <w:ind w:left="140"/>
              <w:spacing w:after="0"/>
              <w:rPr>
                <w:sz w:val="20"/>
                <w:szCs w:val="20"/>
                <w:color w:val="auto"/>
              </w:rPr>
            </w:pPr>
            <w:r>
              <w:rPr>
                <w:rFonts w:ascii="Arial" w:cs="Arial" w:eastAsia="Arial" w:hAnsi="Arial"/>
                <w:sz w:val="22"/>
                <w:szCs w:val="22"/>
                <w:color w:val="auto"/>
              </w:rPr>
              <w:t>473,193</w:t>
            </w:r>
          </w:p>
        </w:tc>
        <w:tc>
          <w:tcPr>
            <w:tcW w:w="0" w:type="dxa"/>
            <w:vAlign w:val="bottom"/>
          </w:tcPr>
          <w:p>
            <w:pPr>
              <w:spacing w:after="0"/>
              <w:rPr>
                <w:sz w:val="1"/>
                <w:szCs w:val="1"/>
                <w:color w:val="auto"/>
              </w:rPr>
            </w:pPr>
          </w:p>
        </w:tc>
      </w:tr>
      <w:tr>
        <w:trPr>
          <w:trHeight w:val="180"/>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90"/>
              </w:rPr>
              <w:t>REPORTING</w:t>
            </w:r>
          </w:p>
        </w:tc>
        <w:tc>
          <w:tcPr>
            <w:tcW w:w="14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7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88"/>
              </w:rPr>
              <w:t>PERSON</w:t>
            </w: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80" w:type="dxa"/>
            <w:vAlign w:val="bottom"/>
            <w:vMerge w:val="continue"/>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1420" w:type="dxa"/>
            <w:vAlign w:val="bottom"/>
            <w:vMerge w:val="restart"/>
          </w:tcPr>
          <w:p>
            <w:pPr>
              <w:jc w:val="right"/>
              <w:ind w:right="532"/>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1"/>
                <w:szCs w:val="11"/>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07"/>
        </w:trPr>
        <w:tc>
          <w:tcPr>
            <w:tcW w:w="2780" w:type="dxa"/>
            <w:vAlign w:val="bottom"/>
          </w:tcPr>
          <w:p>
            <w:pPr>
              <w:jc w:val="center"/>
              <w:ind w:right="532"/>
              <w:spacing w:after="0" w:line="207" w:lineRule="exact"/>
              <w:rPr>
                <w:sz w:val="20"/>
                <w:szCs w:val="20"/>
                <w:color w:val="auto"/>
              </w:rPr>
            </w:pPr>
            <w:r>
              <w:rPr>
                <w:rFonts w:ascii="Arial" w:cs="Arial" w:eastAsia="Arial" w:hAnsi="Arial"/>
                <w:sz w:val="22"/>
                <w:szCs w:val="22"/>
                <w:color w:val="auto"/>
              </w:rPr>
              <w:t>WITH</w:t>
            </w: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60" w:type="dxa"/>
            <w:vAlign w:val="bottom"/>
            <w:gridSpan w:val="2"/>
          </w:tcPr>
          <w:p>
            <w:pPr>
              <w:ind w:left="140"/>
              <w:spacing w:after="0"/>
              <w:rPr>
                <w:sz w:val="20"/>
                <w:szCs w:val="20"/>
                <w:color w:val="auto"/>
              </w:rPr>
            </w:pPr>
            <w:r>
              <w:rPr>
                <w:rFonts w:ascii="Arial" w:cs="Arial" w:eastAsia="Arial" w:hAnsi="Arial"/>
                <w:sz w:val="22"/>
                <w:szCs w:val="22"/>
                <w:color w:val="auto"/>
              </w:rPr>
              <w:t>77,833</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left="5000" w:right="3280" w:hanging="934"/>
        <w:spacing w:after="0" w:line="251" w:lineRule="auto"/>
        <w:tabs>
          <w:tab w:leader="none" w:pos="500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395,360</w:t>
      </w:r>
    </w:p>
    <w:p>
      <w:pPr>
        <w:spacing w:after="0" w:line="240" w:lineRule="exact"/>
        <w:rPr>
          <w:rFonts w:ascii="Arial" w:cs="Arial" w:eastAsia="Arial" w:hAnsi="Arial"/>
          <w:sz w:val="22"/>
          <w:szCs w:val="22"/>
          <w:color w:val="auto"/>
        </w:rPr>
      </w:pPr>
    </w:p>
    <w:p>
      <w:pPr>
        <w:ind w:left="1060" w:right="3280" w:hanging="667"/>
        <w:spacing w:after="0" w:line="239" w:lineRule="auto"/>
        <w:tabs>
          <w:tab w:leader="none" w:pos="10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ind w:left="1060"/>
        <w:spacing w:after="0"/>
        <w:rPr>
          <w:rFonts w:ascii="Arial" w:cs="Arial" w:eastAsia="Arial" w:hAnsi="Arial"/>
          <w:sz w:val="22"/>
          <w:szCs w:val="22"/>
          <w:color w:val="auto"/>
        </w:rPr>
      </w:pPr>
      <w:r>
        <w:rPr>
          <w:rFonts w:ascii="Arial" w:cs="Arial" w:eastAsia="Arial" w:hAnsi="Arial"/>
          <w:sz w:val="22"/>
          <w:szCs w:val="22"/>
          <w:color w:val="auto"/>
        </w:rPr>
        <w:t>473,193</w:t>
      </w:r>
    </w:p>
    <w:p>
      <w:pPr>
        <w:sectPr>
          <w:pgSz w:w="11900" w:h="16838" w:orient="portrait"/>
          <w:cols w:equalWidth="0" w:num="1">
            <w:col w:w="11320"/>
          </w:cols>
          <w:pgMar w:left="240" w:top="1144" w:right="339" w:bottom="56" w:gutter="0" w:footer="0" w:header="0"/>
        </w:sectPr>
      </w:pPr>
    </w:p>
    <w:bookmarkStart w:id="1" w:name="page2"/>
    <w:bookmarkEnd w:id="1"/>
    <w:p>
      <w:pPr>
        <w:ind w:left="1060" w:right="2519" w:hanging="721"/>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__</w:t>
      </w:r>
    </w:p>
    <w:p>
      <w:pPr>
        <w:spacing w:after="0" w:line="227" w:lineRule="exact"/>
        <w:rPr>
          <w:rFonts w:ascii="Arial" w:cs="Arial" w:eastAsia="Arial" w:hAnsi="Arial"/>
          <w:sz w:val="22"/>
          <w:szCs w:val="22"/>
          <w:color w:val="auto"/>
        </w:rPr>
      </w:pPr>
    </w:p>
    <w:p>
      <w:pPr>
        <w:ind w:left="1060" w:right="3099" w:hanging="717"/>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5.99%</w:t>
      </w:r>
    </w:p>
    <w:p>
      <w:pPr>
        <w:spacing w:after="0" w:line="240" w:lineRule="exact"/>
        <w:rPr>
          <w:rFonts w:ascii="Arial" w:cs="Arial" w:eastAsia="Arial" w:hAnsi="Arial"/>
          <w:sz w:val="22"/>
          <w:szCs w:val="22"/>
          <w:color w:val="auto"/>
        </w:rPr>
      </w:pPr>
    </w:p>
    <w:p>
      <w:pPr>
        <w:ind w:left="1060" w:right="6059" w:hanging="721"/>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-1290955</wp:posOffset>
            </wp:positionV>
            <wp:extent cx="5582285" cy="1573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285" cy="15735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CUSIP NO. 939640108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5547995"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7995" cy="6405880"/>
                    </a:xfrm>
                    <a:prstGeom prst="rect">
                      <a:avLst/>
                    </a:prstGeom>
                    <a:noFill/>
                  </pic:spPr>
                </pic:pic>
              </a:graphicData>
            </a:graphic>
          </wp:anchor>
        </w:drawing>
      </w:r>
    </w:p>
    <w:p>
      <w:pPr>
        <w:spacing w:after="0" w:line="348" w:lineRule="exact"/>
        <w:rPr>
          <w:sz w:val="20"/>
          <w:szCs w:val="20"/>
          <w:color w:val="auto"/>
        </w:rPr>
      </w:pPr>
    </w:p>
    <w:p>
      <w:pPr>
        <w:ind w:left="1920" w:hanging="1095"/>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8" w:lineRule="exact"/>
        <w:rPr>
          <w:rFonts w:ascii="Arial" w:cs="Arial" w:eastAsia="Arial" w:hAnsi="Arial"/>
          <w:sz w:val="22"/>
          <w:szCs w:val="22"/>
          <w:color w:val="auto"/>
        </w:rPr>
      </w:pPr>
    </w:p>
    <w:p>
      <w:pPr>
        <w:ind w:left="1920" w:right="2859"/>
        <w:spacing w:after="0" w:line="237" w:lineRule="auto"/>
        <w:rPr>
          <w:rFonts w:ascii="Arial" w:cs="Arial" w:eastAsia="Arial" w:hAnsi="Arial"/>
          <w:sz w:val="22"/>
          <w:szCs w:val="22"/>
          <w:color w:val="auto"/>
        </w:rPr>
      </w:pPr>
      <w:r>
        <w:rPr>
          <w:rFonts w:ascii="Arial" w:cs="Arial" w:eastAsia="Arial" w:hAnsi="Arial"/>
          <w:sz w:val="22"/>
          <w:szCs w:val="22"/>
          <w:color w:val="auto"/>
        </w:rPr>
        <w:t>S.S. OR I.R.S. IDENTIFICATION NO. OF ABOVE PERSON Harris Associates Inc. 04-3276549</w:t>
      </w:r>
    </w:p>
    <w:p>
      <w:pPr>
        <w:spacing w:after="0" w:line="252" w:lineRule="exact"/>
        <w:rPr>
          <w:rFonts w:ascii="Arial" w:cs="Arial" w:eastAsia="Arial" w:hAnsi="Arial"/>
          <w:sz w:val="22"/>
          <w:szCs w:val="22"/>
          <w:color w:val="auto"/>
        </w:rPr>
      </w:pPr>
    </w:p>
    <w:p>
      <w:pPr>
        <w:ind w:left="1920" w:hanging="1095"/>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8" w:lineRule="exact"/>
        <w:rPr>
          <w:rFonts w:ascii="Arial" w:cs="Arial" w:eastAsia="Arial" w:hAnsi="Arial"/>
          <w:sz w:val="22"/>
          <w:szCs w:val="22"/>
          <w:color w:val="auto"/>
        </w:rPr>
      </w:pPr>
    </w:p>
    <w:p>
      <w:pPr>
        <w:ind w:left="1920"/>
        <w:spacing w:after="0" w:line="230" w:lineRule="auto"/>
        <w:rPr>
          <w:rFonts w:ascii="Arial" w:cs="Arial" w:eastAsia="Arial" w:hAnsi="Arial"/>
          <w:sz w:val="22"/>
          <w:szCs w:val="22"/>
          <w:color w:val="auto"/>
        </w:rPr>
      </w:pPr>
      <w:r>
        <w:rPr>
          <w:rFonts w:ascii="Arial" w:cs="Arial" w:eastAsia="Arial" w:hAnsi="Arial"/>
          <w:sz w:val="22"/>
          <w:szCs w:val="22"/>
          <w:color w:val="auto"/>
        </w:rPr>
        <w:t>(a) __</w:t>
      </w:r>
    </w:p>
    <w:p>
      <w:pPr>
        <w:ind w:left="1920"/>
        <w:spacing w:after="0"/>
        <w:rPr>
          <w:rFonts w:ascii="Arial" w:cs="Arial" w:eastAsia="Arial" w:hAnsi="Arial"/>
          <w:sz w:val="22"/>
          <w:szCs w:val="22"/>
          <w:color w:val="auto"/>
        </w:rPr>
      </w:pPr>
      <w:r>
        <w:rPr>
          <w:rFonts w:ascii="Arial" w:cs="Arial" w:eastAsia="Arial" w:hAnsi="Arial"/>
          <w:sz w:val="22"/>
          <w:szCs w:val="22"/>
          <w:color w:val="auto"/>
        </w:rPr>
        <w:t>(b) __</w:t>
      </w:r>
    </w:p>
    <w:p>
      <w:pPr>
        <w:spacing w:after="0" w:line="89" w:lineRule="exact"/>
        <w:rPr>
          <w:sz w:val="20"/>
          <w:szCs w:val="20"/>
          <w:color w:val="auto"/>
        </w:rPr>
      </w:pPr>
    </w:p>
    <w:p>
      <w:pPr>
        <w:ind w:left="820"/>
        <w:spacing w:after="0"/>
        <w:tabs>
          <w:tab w:leader="none" w:pos="1710" w:val="left"/>
        </w:tabs>
        <w:rPr>
          <w:sz w:val="20"/>
          <w:szCs w:val="20"/>
          <w:color w:val="auto"/>
        </w:rPr>
      </w:pPr>
      <w:r>
        <w:rPr>
          <w:rFonts w:ascii="Arial" w:cs="Arial" w:eastAsia="Arial" w:hAnsi="Arial"/>
          <w:sz w:val="22"/>
          <w:szCs w:val="22"/>
          <w:color w:val="auto"/>
        </w:rPr>
        <w:t>3.</w:t>
      </w:r>
      <w:r>
        <w:rPr>
          <w:sz w:val="20"/>
          <w:szCs w:val="20"/>
          <w:color w:val="auto"/>
        </w:rPr>
        <w:tab/>
      </w:r>
      <w:r>
        <w:rPr>
          <w:sz w:val="1"/>
          <w:szCs w:val="1"/>
          <w:color w:val="auto"/>
        </w:rPr>
        <w:drawing>
          <wp:inline distT="0" distB="0" distL="0" distR="0">
            <wp:extent cx="5969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342900"/>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107" w:lineRule="exact"/>
        <w:rPr>
          <w:sz w:val="20"/>
          <w:szCs w:val="20"/>
          <w:color w:val="auto"/>
        </w:rPr>
      </w:pPr>
    </w:p>
    <w:p>
      <w:pPr>
        <w:ind w:left="1920" w:right="3899" w:hanging="1095"/>
        <w:spacing w:after="0" w:line="251" w:lineRule="auto"/>
        <w:tabs>
          <w:tab w:leader="none" w:pos="1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31"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240" w:type="dxa"/>
            <w:vAlign w:val="bottom"/>
            <w:vMerge w:val="restart"/>
          </w:tcPr>
          <w:p>
            <w:pPr>
              <w:jc w:val="center"/>
              <w:ind w:right="612"/>
              <w:spacing w:after="0"/>
              <w:rPr>
                <w:sz w:val="20"/>
                <w:szCs w:val="20"/>
                <w:color w:val="auto"/>
              </w:rPr>
            </w:pPr>
            <w:r>
              <w:rPr>
                <w:rFonts w:ascii="Arial" w:cs="Arial" w:eastAsia="Arial" w:hAnsi="Arial"/>
                <w:sz w:val="22"/>
                <w:szCs w:val="22"/>
                <w:color w:val="auto"/>
                <w:w w:val="93"/>
              </w:rPr>
              <w:t>NUMBER OF</w:t>
            </w:r>
          </w:p>
        </w:tc>
        <w:tc>
          <w:tcPr>
            <w:tcW w:w="1480" w:type="dxa"/>
            <w:vAlign w:val="bottom"/>
          </w:tcPr>
          <w:p>
            <w:pPr>
              <w:jc w:val="right"/>
              <w:ind w:right="552"/>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418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39"/>
        </w:trPr>
        <w:tc>
          <w:tcPr>
            <w:tcW w:w="2240" w:type="dxa"/>
            <w:vAlign w:val="bottom"/>
            <w:vMerge w:val="restart"/>
          </w:tcPr>
          <w:p>
            <w:pPr>
              <w:jc w:val="center"/>
              <w:ind w:right="612"/>
              <w:spacing w:after="0" w:line="251" w:lineRule="exact"/>
              <w:rPr>
                <w:sz w:val="20"/>
                <w:szCs w:val="20"/>
                <w:color w:val="auto"/>
              </w:rPr>
            </w:pPr>
            <w:r>
              <w:rPr>
                <w:rFonts w:ascii="Arial" w:cs="Arial" w:eastAsia="Arial" w:hAnsi="Arial"/>
                <w:sz w:val="22"/>
                <w:szCs w:val="22"/>
                <w:color w:val="auto"/>
                <w:w w:val="92"/>
              </w:rPr>
              <w:t>SHARES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40" w:type="dxa"/>
            <w:vAlign w:val="bottom"/>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240" w:type="dxa"/>
            <w:vAlign w:val="bottom"/>
            <w:vMerge w:val="restart"/>
          </w:tcPr>
          <w:p>
            <w:pPr>
              <w:jc w:val="center"/>
              <w:ind w:right="612"/>
              <w:spacing w:after="0" w:line="216" w:lineRule="exact"/>
              <w:rPr>
                <w:sz w:val="20"/>
                <w:szCs w:val="20"/>
                <w:color w:val="auto"/>
              </w:rPr>
            </w:pPr>
            <w:r>
              <w:rPr>
                <w:rFonts w:ascii="Arial" w:cs="Arial" w:eastAsia="Arial" w:hAnsi="Arial"/>
                <w:sz w:val="22"/>
                <w:szCs w:val="22"/>
                <w:color w:val="auto"/>
                <w:w w:val="97"/>
              </w:rPr>
              <w:t>BENEFICIALLY</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1480" w:type="dxa"/>
            <w:vAlign w:val="bottom"/>
            <w:vMerge w:val="restart"/>
          </w:tcPr>
          <w:p>
            <w:pPr>
              <w:jc w:val="right"/>
              <w:ind w:right="55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5"/>
                <w:szCs w:val="15"/>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6"/>
              </w:rPr>
              <w:t>OWNED BY</w:t>
            </w:r>
          </w:p>
        </w:tc>
        <w:tc>
          <w:tcPr>
            <w:tcW w:w="1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4200" w:type="dxa"/>
            <w:vAlign w:val="bottom"/>
            <w:gridSpan w:val="2"/>
            <w:vMerge w:val="restart"/>
          </w:tcPr>
          <w:p>
            <w:pPr>
              <w:ind w:left="140"/>
              <w:spacing w:after="0"/>
              <w:rPr>
                <w:sz w:val="20"/>
                <w:szCs w:val="20"/>
                <w:color w:val="auto"/>
              </w:rPr>
            </w:pPr>
            <w:r>
              <w:rPr>
                <w:rFonts w:ascii="Arial" w:cs="Arial" w:eastAsia="Arial" w:hAnsi="Arial"/>
                <w:sz w:val="22"/>
                <w:szCs w:val="22"/>
                <w:color w:val="auto"/>
              </w:rPr>
              <w:t>473,193</w:t>
            </w:r>
          </w:p>
        </w:tc>
        <w:tc>
          <w:tcPr>
            <w:tcW w:w="0" w:type="dxa"/>
            <w:vAlign w:val="bottom"/>
          </w:tcPr>
          <w:p>
            <w:pPr>
              <w:spacing w:after="0"/>
              <w:rPr>
                <w:sz w:val="1"/>
                <w:szCs w:val="1"/>
                <w:color w:val="auto"/>
              </w:rPr>
            </w:pPr>
          </w:p>
        </w:tc>
      </w:tr>
      <w:tr>
        <w:trPr>
          <w:trHeight w:val="180"/>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8"/>
              </w:rPr>
              <w:t>EACH</w:t>
            </w:r>
          </w:p>
        </w:tc>
        <w:tc>
          <w:tcPr>
            <w:tcW w:w="148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1"/>
              </w:rPr>
              <w:t>REPORTING</w:t>
            </w:r>
          </w:p>
        </w:tc>
        <w:tc>
          <w:tcPr>
            <w:tcW w:w="1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24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1480" w:type="dxa"/>
            <w:vAlign w:val="bottom"/>
            <w:vMerge w:val="restart"/>
          </w:tcPr>
          <w:p>
            <w:pPr>
              <w:jc w:val="right"/>
              <w:ind w:right="552"/>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1"/>
                <w:szCs w:val="11"/>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2240" w:type="dxa"/>
            <w:vAlign w:val="bottom"/>
          </w:tcPr>
          <w:p>
            <w:pPr>
              <w:jc w:val="center"/>
              <w:ind w:right="612"/>
              <w:spacing w:after="0" w:line="210" w:lineRule="exact"/>
              <w:rPr>
                <w:sz w:val="20"/>
                <w:szCs w:val="20"/>
                <w:color w:val="auto"/>
              </w:rPr>
            </w:pPr>
            <w:r>
              <w:rPr>
                <w:rFonts w:ascii="Arial" w:cs="Arial" w:eastAsia="Arial" w:hAnsi="Arial"/>
                <w:sz w:val="22"/>
                <w:szCs w:val="22"/>
                <w:color w:val="auto"/>
                <w:w w:val="90"/>
              </w:rPr>
              <w:t>PERSON</w:t>
            </w:r>
          </w:p>
        </w:tc>
        <w:tc>
          <w:tcPr>
            <w:tcW w:w="1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240" w:type="dxa"/>
            <w:vAlign w:val="bottom"/>
          </w:tcPr>
          <w:p>
            <w:pPr>
              <w:jc w:val="center"/>
              <w:ind w:right="612"/>
              <w:spacing w:after="0"/>
              <w:rPr>
                <w:sz w:val="20"/>
                <w:szCs w:val="20"/>
                <w:color w:val="auto"/>
              </w:rPr>
            </w:pPr>
            <w:r>
              <w:rPr>
                <w:rFonts w:ascii="Arial" w:cs="Arial" w:eastAsia="Arial" w:hAnsi="Arial"/>
                <w:sz w:val="22"/>
                <w:szCs w:val="22"/>
                <w:color w:val="auto"/>
                <w:w w:val="99"/>
              </w:rPr>
              <w:t>WITH</w:t>
            </w:r>
          </w:p>
        </w:tc>
        <w:tc>
          <w:tcPr>
            <w:tcW w:w="148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Arial" w:cs="Arial" w:eastAsia="Arial" w:hAnsi="Arial"/>
                <w:sz w:val="22"/>
                <w:szCs w:val="22"/>
                <w:color w:val="auto"/>
              </w:rPr>
              <w:t>77,833</w:t>
            </w:r>
          </w:p>
        </w:tc>
        <w:tc>
          <w:tcPr>
            <w:tcW w:w="0" w:type="dxa"/>
            <w:vAlign w:val="bottom"/>
          </w:tcPr>
          <w:p>
            <w:pPr>
              <w:spacing w:after="0"/>
              <w:rPr>
                <w:sz w:val="1"/>
                <w:szCs w:val="1"/>
                <w:color w:val="auto"/>
              </w:rPr>
            </w:pPr>
          </w:p>
        </w:tc>
      </w:tr>
      <w:tr>
        <w:trPr>
          <w:trHeight w:val="58"/>
        </w:trPr>
        <w:tc>
          <w:tcPr>
            <w:tcW w:w="224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0" w:right="2579" w:hanging="966"/>
        <w:spacing w:after="0" w:line="251" w:lineRule="auto"/>
        <w:tabs>
          <w:tab w:leader="none" w:pos="460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DISPOSITIVE POWER 395,360</w:t>
      </w:r>
    </w:p>
    <w:p>
      <w:pPr>
        <w:spacing w:after="0" w:line="240" w:lineRule="exact"/>
        <w:rPr>
          <w:rFonts w:ascii="Arial" w:cs="Arial" w:eastAsia="Arial" w:hAnsi="Arial"/>
          <w:sz w:val="22"/>
          <w:szCs w:val="22"/>
          <w:color w:val="auto"/>
        </w:rPr>
      </w:pPr>
    </w:p>
    <w:p>
      <w:pPr>
        <w:ind w:left="720" w:right="2499" w:hanging="489"/>
        <w:spacing w:after="0" w:line="239" w:lineRule="auto"/>
        <w:tabs>
          <w:tab w:leader="none" w:pos="72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ind w:left="720"/>
        <w:spacing w:after="0"/>
        <w:rPr>
          <w:rFonts w:ascii="Arial" w:cs="Arial" w:eastAsia="Arial" w:hAnsi="Arial"/>
          <w:sz w:val="22"/>
          <w:szCs w:val="22"/>
          <w:color w:val="auto"/>
        </w:rPr>
      </w:pPr>
      <w:r>
        <w:rPr>
          <w:rFonts w:ascii="Arial" w:cs="Arial" w:eastAsia="Arial" w:hAnsi="Arial"/>
          <w:sz w:val="22"/>
          <w:szCs w:val="22"/>
          <w:color w:val="auto"/>
        </w:rPr>
        <w:t>473,193</w:t>
      </w:r>
    </w:p>
    <w:p>
      <w:pPr>
        <w:spacing w:after="0" w:line="256" w:lineRule="exact"/>
        <w:rPr>
          <w:sz w:val="20"/>
          <w:szCs w:val="20"/>
          <w:color w:val="auto"/>
        </w:rPr>
      </w:pPr>
    </w:p>
    <w:p>
      <w:pPr>
        <w:ind w:left="720" w:right="1879" w:hanging="543"/>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__</w:t>
      </w:r>
    </w:p>
    <w:p>
      <w:pPr>
        <w:spacing w:after="0" w:line="240" w:lineRule="exact"/>
        <w:rPr>
          <w:rFonts w:ascii="Arial" w:cs="Arial" w:eastAsia="Arial" w:hAnsi="Arial"/>
          <w:sz w:val="22"/>
          <w:szCs w:val="22"/>
          <w:color w:val="auto"/>
        </w:rPr>
      </w:pPr>
    </w:p>
    <w:p>
      <w:pPr>
        <w:ind w:left="720" w:right="3419" w:hanging="539"/>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5.99%</w:t>
      </w:r>
    </w:p>
    <w:p>
      <w:pPr>
        <w:spacing w:after="0" w:line="240" w:lineRule="exact"/>
        <w:rPr>
          <w:rFonts w:ascii="Arial" w:cs="Arial" w:eastAsia="Arial" w:hAnsi="Arial"/>
          <w:sz w:val="22"/>
          <w:szCs w:val="22"/>
          <w:color w:val="auto"/>
        </w:rPr>
      </w:pPr>
    </w:p>
    <w:p>
      <w:pPr>
        <w:ind w:left="720" w:right="6379" w:hanging="543"/>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CO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ectPr>
          <w:pgSz w:w="11900" w:h="16838" w:orient="portrait"/>
          <w:cols w:equalWidth="0" w:num="1">
            <w:col w:w="10219"/>
          </w:cols>
          <w:pgMar w:left="240" w:top="118" w:right="1440" w:bottom="0" w:gutter="0" w:footer="0" w:header="0"/>
        </w:sect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Item 1(a) Name of Issuer:</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Washington Post Co</w:t>
      </w:r>
    </w:p>
    <w:p>
      <w:pPr>
        <w:spacing w:after="0" w:line="200" w:lineRule="exact"/>
        <w:rPr>
          <w:sz w:val="20"/>
          <w:szCs w:val="20"/>
          <w:color w:val="auto"/>
        </w:rPr>
      </w:pPr>
    </w:p>
    <w:p>
      <w:pPr>
        <w:sectPr>
          <w:pgSz w:w="11900" w:h="16838" w:orient="portrait"/>
          <w:cols w:equalWidth="0" w:num="2">
            <w:col w:w="3700" w:space="720"/>
            <w:col w:w="5799"/>
          </w:cols>
          <w:pgMar w:left="240" w:top="118" w:right="1440" w:bottom="0" w:gutter="0" w:footer="0" w:header="0"/>
          <w:type w:val="continuous"/>
        </w:sectPr>
      </w:pPr>
    </w:p>
    <w:p>
      <w:pPr>
        <w:spacing w:after="0" w:line="14"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1(b) Address of Issuer's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1150 15th Street, NW</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20071</w:t>
      </w:r>
    </w:p>
    <w:p>
      <w:pPr>
        <w:sectPr>
          <w:pgSz w:w="11900" w:h="16838" w:orient="portrait"/>
          <w:cols w:equalWidth="0" w:num="2">
            <w:col w:w="3900" w:space="520"/>
            <w:col w:w="5799"/>
          </w:cols>
          <w:pgMar w:left="240" w:top="118" w:right="1440" w:bottom="0" w:gutter="0" w:footer="0" w:header="0"/>
          <w:type w:val="continuous"/>
        </w:sectPr>
      </w:pPr>
    </w:p>
    <w:bookmarkStart w:id="2" w:name="page3"/>
    <w:bookmarkEnd w:id="2"/>
    <w:p>
      <w:pPr>
        <w:spacing w:after="0" w:line="1" w:lineRule="exact"/>
        <w:rPr>
          <w:sz w:val="20"/>
          <w:szCs w:val="20"/>
          <w:color w:val="auto"/>
        </w:rPr>
      </w:pPr>
    </w:p>
    <w:p>
      <w:pPr>
        <w:ind w:left="100"/>
        <w:spacing w:after="0"/>
        <w:tabs>
          <w:tab w:leader="none" w:pos="4400" w:val="left"/>
        </w:tabs>
        <w:rPr>
          <w:sz w:val="20"/>
          <w:szCs w:val="20"/>
          <w:color w:val="auto"/>
        </w:rPr>
      </w:pPr>
      <w:r>
        <w:rPr>
          <w:rFonts w:ascii="Arial" w:cs="Arial" w:eastAsia="Arial" w:hAnsi="Arial"/>
          <w:sz w:val="22"/>
          <w:szCs w:val="22"/>
          <w:color w:val="auto"/>
        </w:rPr>
        <w:t>Item 2(a) Name of Person Filing:</w:t>
      </w:r>
      <w:r>
        <w:rPr>
          <w:sz w:val="20"/>
          <w:szCs w:val="20"/>
          <w:color w:val="auto"/>
        </w:rPr>
        <w:tab/>
      </w:r>
      <w:r>
        <w:rPr>
          <w:rFonts w:ascii="Arial" w:cs="Arial" w:eastAsia="Arial" w:hAnsi="Arial"/>
          <w:sz w:val="19"/>
          <w:szCs w:val="19"/>
          <w:color w:val="auto"/>
        </w:rPr>
        <w:t>Harris Associates L.P. ("Harris")</w:t>
      </w:r>
    </w:p>
    <w:p>
      <w:pPr>
        <w:spacing w:after="0" w:line="9" w:lineRule="exact"/>
        <w:rPr>
          <w:sz w:val="20"/>
          <w:szCs w:val="20"/>
          <w:color w:val="auto"/>
        </w:rPr>
      </w:pPr>
    </w:p>
    <w:p>
      <w:pPr>
        <w:jc w:val="right"/>
        <w:ind w:right="3340"/>
        <w:spacing w:after="0"/>
        <w:rPr>
          <w:sz w:val="20"/>
          <w:szCs w:val="20"/>
          <w:color w:val="auto"/>
        </w:rPr>
      </w:pPr>
      <w:r>
        <w:rPr>
          <w:rFonts w:ascii="Arial" w:cs="Arial" w:eastAsia="Arial" w:hAnsi="Arial"/>
          <w:sz w:val="22"/>
          <w:szCs w:val="22"/>
          <w:color w:val="auto"/>
        </w:rPr>
        <w:t>Harris Associates Inc. ("General Partner")</w:t>
      </w:r>
    </w:p>
    <w:p>
      <w:pPr>
        <w:sectPr>
          <w:pgSz w:w="11900" w:h="16839" w:orient="portrait"/>
          <w:cols w:equalWidth="0" w:num="1">
            <w:col w:w="11380"/>
          </w:cols>
          <w:pgMar w:left="240" w:top="118" w:right="279" w:bottom="0" w:gutter="0" w:footer="0" w:header="0"/>
        </w:sectPr>
      </w:pPr>
    </w:p>
    <w:p>
      <w:pPr>
        <w:spacing w:after="0" w:line="161"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2(b) Address of Principal Business Office or, if none, Residence: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3040"/>
        <w:spacing w:after="0" w:line="239" w:lineRule="auto"/>
        <w:rPr>
          <w:sz w:val="20"/>
          <w:szCs w:val="20"/>
          <w:color w:val="auto"/>
        </w:rPr>
      </w:pPr>
      <w:r>
        <w:rPr>
          <w:rFonts w:ascii="Arial" w:cs="Arial" w:eastAsia="Arial" w:hAnsi="Arial"/>
          <w:sz w:val="22"/>
          <w:szCs w:val="22"/>
          <w:color w:val="auto"/>
        </w:rPr>
        <w:t>Both Harris and the General Partner maintain their principal offices at:</w:t>
      </w:r>
    </w:p>
    <w:p>
      <w:pPr>
        <w:spacing w:after="0" w:line="230" w:lineRule="auto"/>
        <w:rPr>
          <w:sz w:val="20"/>
          <w:szCs w:val="20"/>
          <w:color w:val="auto"/>
        </w:rPr>
      </w:pPr>
      <w:r>
        <w:rPr>
          <w:rFonts w:ascii="Arial" w:cs="Arial" w:eastAsia="Arial" w:hAnsi="Arial"/>
          <w:sz w:val="22"/>
          <w:szCs w:val="22"/>
          <w:color w:val="auto"/>
        </w:rPr>
        <w:t>Two North LaSalle Street, Suite 500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60602-3790</w:t>
      </w:r>
    </w:p>
    <w:p>
      <w:pPr>
        <w:spacing w:after="0" w:line="151" w:lineRule="exact"/>
        <w:rPr>
          <w:sz w:val="20"/>
          <w:szCs w:val="20"/>
          <w:color w:val="auto"/>
        </w:rPr>
      </w:pPr>
    </w:p>
    <w:p>
      <w:pPr>
        <w:sectPr>
          <w:pgSz w:w="11900" w:h="16839" w:orient="portrait"/>
          <w:cols w:equalWidth="0" w:num="2">
            <w:col w:w="4180" w:space="240"/>
            <w:col w:w="6960"/>
          </w:cols>
          <w:pgMar w:left="240" w:top="118" w:right="279" w:bottom="0" w:gutter="0" w:footer="0" w:header="0"/>
          <w:type w:val="continuous"/>
        </w:sectPr>
      </w:pPr>
    </w:p>
    <w:tbl>
      <w:tblPr>
        <w:tblLayout w:type="fixed"/>
        <w:tblInd w:w="100" w:type="dxa"/>
        <w:tblCellMar>
          <w:top w:w="0" w:type="dxa"/>
          <w:left w:w="0" w:type="dxa"/>
          <w:bottom w:w="0" w:type="dxa"/>
          <w:right w:w="0" w:type="dxa"/>
        </w:tblCellMar>
      </w:tblPr>
      <w:tr>
        <w:trPr>
          <w:trHeight w:val="253"/>
        </w:trPr>
        <w:tc>
          <w:tcPr>
            <w:tcW w:w="4180" w:type="dxa"/>
            <w:vAlign w:val="bottom"/>
          </w:tcPr>
          <w:p>
            <w:pPr>
              <w:spacing w:after="0"/>
              <w:rPr>
                <w:sz w:val="20"/>
                <w:szCs w:val="20"/>
                <w:color w:val="auto"/>
              </w:rPr>
            </w:pPr>
            <w:r>
              <w:rPr>
                <w:rFonts w:ascii="Arial" w:cs="Arial" w:eastAsia="Arial" w:hAnsi="Arial"/>
                <w:sz w:val="22"/>
                <w:szCs w:val="22"/>
                <w:color w:val="auto"/>
              </w:rPr>
              <w:t>2(c) Citizenship:</w:t>
            </w:r>
          </w:p>
        </w:tc>
        <w:tc>
          <w:tcPr>
            <w:tcW w:w="4240" w:type="dxa"/>
            <w:vAlign w:val="bottom"/>
          </w:tcPr>
          <w:p>
            <w:pPr>
              <w:ind w:left="140"/>
              <w:spacing w:after="0"/>
              <w:rPr>
                <w:sz w:val="20"/>
                <w:szCs w:val="20"/>
                <w:color w:val="auto"/>
              </w:rPr>
            </w:pPr>
            <w:r>
              <w:rPr>
                <w:rFonts w:ascii="Arial" w:cs="Arial" w:eastAsia="Arial" w:hAnsi="Arial"/>
                <w:sz w:val="22"/>
                <w:szCs w:val="22"/>
                <w:color w:val="auto"/>
              </w:rPr>
              <w:t>Harris is a Delaware limited partnership.</w:t>
            </w:r>
          </w:p>
        </w:tc>
      </w:tr>
      <w:tr>
        <w:trPr>
          <w:trHeight w:val="275"/>
        </w:trPr>
        <w:tc>
          <w:tcPr>
            <w:tcW w:w="4180" w:type="dxa"/>
            <w:vAlign w:val="bottom"/>
          </w:tcPr>
          <w:p>
            <w:pPr>
              <w:spacing w:after="0"/>
              <w:rPr>
                <w:sz w:val="23"/>
                <w:szCs w:val="23"/>
                <w:color w:val="auto"/>
              </w:rPr>
            </w:pPr>
          </w:p>
        </w:tc>
        <w:tc>
          <w:tcPr>
            <w:tcW w:w="4240" w:type="dxa"/>
            <w:vAlign w:val="bottom"/>
          </w:tcPr>
          <w:p>
            <w:pPr>
              <w:ind w:left="140"/>
              <w:spacing w:after="0"/>
              <w:rPr>
                <w:sz w:val="20"/>
                <w:szCs w:val="20"/>
                <w:color w:val="auto"/>
              </w:rPr>
            </w:pPr>
            <w:r>
              <w:rPr>
                <w:rFonts w:ascii="Arial" w:cs="Arial" w:eastAsia="Arial" w:hAnsi="Arial"/>
                <w:sz w:val="22"/>
                <w:szCs w:val="22"/>
                <w:color w:val="auto"/>
                <w:w w:val="88"/>
              </w:rPr>
              <w:t>The General Partner is a Delaware corporation.</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2(d) Title of Class of Securities:</w:t>
            </w:r>
          </w:p>
        </w:tc>
        <w:tc>
          <w:tcPr>
            <w:tcW w:w="4240" w:type="dxa"/>
            <w:vAlign w:val="bottom"/>
          </w:tcPr>
          <w:p>
            <w:pPr>
              <w:ind w:left="140"/>
              <w:spacing w:after="0"/>
              <w:rPr>
                <w:sz w:val="20"/>
                <w:szCs w:val="20"/>
                <w:color w:val="auto"/>
              </w:rPr>
            </w:pPr>
            <w:r>
              <w:rPr>
                <w:rFonts w:ascii="Arial" w:cs="Arial" w:eastAsia="Arial" w:hAnsi="Arial"/>
                <w:sz w:val="22"/>
                <w:szCs w:val="22"/>
                <w:color w:val="auto"/>
                <w:w w:val="88"/>
              </w:rPr>
              <w:t>Common Stock, $0.01 Par Value (the “Shares”)</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2(e) CUSIP Number:</w:t>
            </w:r>
          </w:p>
        </w:tc>
        <w:tc>
          <w:tcPr>
            <w:tcW w:w="4240" w:type="dxa"/>
            <w:vAlign w:val="bottom"/>
          </w:tcPr>
          <w:p>
            <w:pPr>
              <w:ind w:left="140"/>
              <w:spacing w:after="0"/>
              <w:rPr>
                <w:sz w:val="20"/>
                <w:szCs w:val="20"/>
                <w:color w:val="auto"/>
              </w:rPr>
            </w:pPr>
            <w:r>
              <w:rPr>
                <w:rFonts w:ascii="Arial" w:cs="Arial" w:eastAsia="Arial" w:hAnsi="Arial"/>
                <w:sz w:val="22"/>
                <w:szCs w:val="22"/>
                <w:color w:val="auto"/>
              </w:rPr>
              <w:t>939640108</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rPr>
              <w:t>Item 3 If this statement if filed pursuant to</w:t>
            </w:r>
          </w:p>
        </w:tc>
        <w:tc>
          <w:tcPr>
            <w:tcW w:w="4240" w:type="dxa"/>
            <w:vAlign w:val="bottom"/>
          </w:tcPr>
          <w:p>
            <w:pPr>
              <w:ind w:left="140"/>
              <w:spacing w:after="0"/>
              <w:rPr>
                <w:sz w:val="20"/>
                <w:szCs w:val="20"/>
                <w:color w:val="auto"/>
              </w:rPr>
            </w:pPr>
            <w:r>
              <w:rPr>
                <w:rFonts w:ascii="Arial" w:cs="Arial" w:eastAsia="Arial" w:hAnsi="Arial"/>
                <w:sz w:val="22"/>
                <w:szCs w:val="22"/>
                <w:color w:val="auto"/>
              </w:rPr>
              <w:t>Not applicable.</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Rules 13d-1(b), or 13d-2(b):</w:t>
            </w:r>
          </w:p>
        </w:tc>
        <w:tc>
          <w:tcPr>
            <w:tcW w:w="4240" w:type="dxa"/>
            <w:vAlign w:val="bottom"/>
          </w:tcPr>
          <w:p>
            <w:pPr>
              <w:spacing w:after="0"/>
              <w:rPr>
                <w:sz w:val="23"/>
                <w:szCs w:val="23"/>
                <w:color w:val="auto"/>
              </w:rPr>
            </w:pP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9"/>
              </w:rPr>
              <w:t>Item 4 Ownership (at December 31, 2006):</w:t>
            </w:r>
          </w:p>
        </w:tc>
        <w:tc>
          <w:tcPr>
            <w:tcW w:w="4240" w:type="dxa"/>
            <w:vAlign w:val="bottom"/>
          </w:tcPr>
          <w:p>
            <w:pPr>
              <w:ind w:left="140"/>
              <w:spacing w:after="0"/>
              <w:rPr>
                <w:sz w:val="20"/>
                <w:szCs w:val="20"/>
                <w:color w:val="auto"/>
              </w:rPr>
            </w:pPr>
            <w:r>
              <w:rPr>
                <w:rFonts w:ascii="Arial" w:cs="Arial" w:eastAsia="Arial" w:hAnsi="Arial"/>
                <w:sz w:val="22"/>
                <w:szCs w:val="22"/>
                <w:color w:val="auto"/>
              </w:rPr>
              <w:t>473,193</w:t>
            </w: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rPr>
              <w:t>4(a) By reason of advisory and other</w:t>
            </w:r>
          </w:p>
        </w:tc>
        <w:tc>
          <w:tcPr>
            <w:tcW w:w="4240" w:type="dxa"/>
            <w:vAlign w:val="bottom"/>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w w:val="99"/>
              </w:rPr>
              <w:t>relationships with the person who owns the</w:t>
            </w:r>
          </w:p>
        </w:tc>
        <w:tc>
          <w:tcPr>
            <w:tcW w:w="4240" w:type="dxa"/>
            <w:vAlign w:val="bottom"/>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rPr>
              <w:t>Shares, Harris may be deemed to be the</w:t>
            </w:r>
          </w:p>
        </w:tc>
        <w:tc>
          <w:tcPr>
            <w:tcW w:w="4240" w:type="dxa"/>
            <w:vAlign w:val="bottom"/>
          </w:tcPr>
          <w:p>
            <w:pPr>
              <w:spacing w:after="0"/>
              <w:rPr>
                <w:sz w:val="21"/>
                <w:szCs w:val="21"/>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beneficial owner of the following shares:</w:t>
            </w:r>
          </w:p>
        </w:tc>
        <w:tc>
          <w:tcPr>
            <w:tcW w:w="4240" w:type="dxa"/>
            <w:vAlign w:val="bottom"/>
          </w:tcPr>
          <w:p>
            <w:pPr>
              <w:spacing w:after="0"/>
              <w:rPr>
                <w:sz w:val="23"/>
                <w:szCs w:val="23"/>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4(b) Percent of Class:</w:t>
            </w:r>
          </w:p>
        </w:tc>
        <w:tc>
          <w:tcPr>
            <w:tcW w:w="4240" w:type="dxa"/>
            <w:vAlign w:val="bottom"/>
          </w:tcPr>
          <w:p>
            <w:pPr>
              <w:ind w:left="140"/>
              <w:spacing w:after="0"/>
              <w:rPr>
                <w:sz w:val="20"/>
                <w:szCs w:val="20"/>
                <w:color w:val="auto"/>
              </w:rPr>
            </w:pPr>
            <w:r>
              <w:rPr>
                <w:rFonts w:ascii="Arial" w:cs="Arial" w:eastAsia="Arial" w:hAnsi="Arial"/>
                <w:sz w:val="22"/>
                <w:szCs w:val="22"/>
                <w:color w:val="auto"/>
              </w:rPr>
              <w:t>5.99%</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0"/>
              </w:rPr>
              <w:t>4(c) Number of shares as to which such person</w:t>
            </w:r>
          </w:p>
        </w:tc>
        <w:tc>
          <w:tcPr>
            <w:tcW w:w="4240" w:type="dxa"/>
            <w:vAlign w:val="bottom"/>
          </w:tcPr>
          <w:p>
            <w:pPr>
              <w:spacing w:after="0"/>
              <w:rPr>
                <w:sz w:val="24"/>
                <w:szCs w:val="24"/>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w w:val="91"/>
              </w:rPr>
              <w:t>has: (i) sole power to vote or to direct the vote:</w:t>
            </w:r>
          </w:p>
        </w:tc>
        <w:tc>
          <w:tcPr>
            <w:tcW w:w="4240" w:type="dxa"/>
            <w:vAlign w:val="bottom"/>
          </w:tcPr>
          <w:p>
            <w:pPr>
              <w:ind w:left="140"/>
              <w:spacing w:after="0"/>
              <w:rPr>
                <w:sz w:val="20"/>
                <w:szCs w:val="20"/>
                <w:color w:val="auto"/>
              </w:rPr>
            </w:pPr>
            <w:r>
              <w:rPr>
                <w:rFonts w:ascii="Arial" w:cs="Arial" w:eastAsia="Arial" w:hAnsi="Arial"/>
                <w:sz w:val="22"/>
                <w:szCs w:val="22"/>
                <w:color w:val="auto"/>
              </w:rPr>
              <w:t>None</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w w:val="95"/>
              </w:rPr>
              <w:t>(ii) shared power to vote or to direct the vote:</w:t>
            </w:r>
          </w:p>
        </w:tc>
        <w:tc>
          <w:tcPr>
            <w:tcW w:w="4240" w:type="dxa"/>
            <w:vAlign w:val="bottom"/>
          </w:tcPr>
          <w:p>
            <w:pPr>
              <w:ind w:left="140"/>
              <w:spacing w:after="0"/>
              <w:rPr>
                <w:sz w:val="20"/>
                <w:szCs w:val="20"/>
                <w:color w:val="auto"/>
              </w:rPr>
            </w:pPr>
            <w:r>
              <w:rPr>
                <w:rFonts w:ascii="Arial" w:cs="Arial" w:eastAsia="Arial" w:hAnsi="Arial"/>
                <w:sz w:val="22"/>
                <w:szCs w:val="22"/>
                <w:color w:val="auto"/>
              </w:rPr>
              <w:t>473,193</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rPr>
              <w:t>(iii) sole power to dispose or to direct the</w:t>
            </w:r>
          </w:p>
        </w:tc>
        <w:tc>
          <w:tcPr>
            <w:tcW w:w="4240" w:type="dxa"/>
            <w:vAlign w:val="bottom"/>
          </w:tcPr>
          <w:p>
            <w:pPr>
              <w:ind w:left="140"/>
              <w:spacing w:after="0"/>
              <w:rPr>
                <w:sz w:val="20"/>
                <w:szCs w:val="20"/>
                <w:color w:val="auto"/>
              </w:rPr>
            </w:pPr>
            <w:r>
              <w:rPr>
                <w:rFonts w:ascii="Arial" w:cs="Arial" w:eastAsia="Arial" w:hAnsi="Arial"/>
                <w:sz w:val="22"/>
                <w:szCs w:val="22"/>
                <w:color w:val="auto"/>
              </w:rPr>
              <w:t>77,833</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disposition of:</w:t>
            </w:r>
          </w:p>
        </w:tc>
        <w:tc>
          <w:tcPr>
            <w:tcW w:w="4240" w:type="dxa"/>
            <w:vAlign w:val="bottom"/>
          </w:tcPr>
          <w:p>
            <w:pPr>
              <w:spacing w:after="0"/>
              <w:rPr>
                <w:sz w:val="23"/>
                <w:szCs w:val="23"/>
                <w:color w:val="auto"/>
              </w:rPr>
            </w:pP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8"/>
              </w:rPr>
              <w:t>(iv) shared power to dispose or to direct the</w:t>
            </w:r>
          </w:p>
        </w:tc>
        <w:tc>
          <w:tcPr>
            <w:tcW w:w="4240" w:type="dxa"/>
            <w:vAlign w:val="bottom"/>
          </w:tcPr>
          <w:p>
            <w:pPr>
              <w:ind w:left="140"/>
              <w:spacing w:after="0"/>
              <w:rPr>
                <w:sz w:val="20"/>
                <w:szCs w:val="20"/>
                <w:color w:val="auto"/>
              </w:rPr>
            </w:pPr>
            <w:r>
              <w:rPr>
                <w:rFonts w:ascii="Arial" w:cs="Arial" w:eastAsia="Arial" w:hAnsi="Arial"/>
                <w:sz w:val="22"/>
                <w:szCs w:val="22"/>
                <w:color w:val="auto"/>
              </w:rPr>
              <w:t>395,360</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disposition of:</w:t>
            </w:r>
          </w:p>
        </w:tc>
        <w:tc>
          <w:tcPr>
            <w:tcW w:w="4240" w:type="dxa"/>
            <w:vAlign w:val="bottom"/>
          </w:tcPr>
          <w:p>
            <w:pPr>
              <w:spacing w:after="0"/>
              <w:rPr>
                <w:sz w:val="23"/>
                <w:szCs w:val="2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advise in the ordinary course of business, by either providing information or advice to the persons having such power, or by exercising the power to vote.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 addition, Harris serves as investment adviser to the Harris Associates Investment Trust (the Trust), and various of Harris' officers and directors are also officers and trustees of the Trust. Harris does not consider that the Trust is controlled by such persons. The Trust, through its various series, owns 395,360 Shares, which are included as Shares over which Harris has shared voting and dispositive power, and thus, as Shares beneficially owned by Harris because of Harris power to manage the Trusts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9" w:orient="portrait"/>
          <w:cols w:equalWidth="0" w:num="1">
            <w:col w:w="11380"/>
          </w:cols>
          <w:pgMar w:left="240" w:top="118" w:right="2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SIGNATURE</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2007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 of Harris Associates L.P.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By:/s/ Margaret K. McLaughlin</w:t>
      </w:r>
    </w:p>
    <w:p>
      <w:pPr>
        <w:spacing w:after="0" w:line="238" w:lineRule="auto"/>
        <w:rPr>
          <w:sz w:val="20"/>
          <w:szCs w:val="20"/>
          <w:color w:val="auto"/>
        </w:rPr>
      </w:pPr>
      <w:r>
        <w:rPr>
          <w:rFonts w:ascii="Arial" w:cs="Arial" w:eastAsia="Arial" w:hAnsi="Arial"/>
          <w:sz w:val="22"/>
          <w:szCs w:val="22"/>
          <w:color w:val="auto"/>
        </w:rPr>
        <w:t>Margaret K. McLaughlin</w:t>
      </w:r>
    </w:p>
    <w:p>
      <w:pPr>
        <w:spacing w:after="0"/>
        <w:rPr>
          <w:sz w:val="20"/>
          <w:szCs w:val="20"/>
          <w:color w:val="auto"/>
        </w:rPr>
      </w:pPr>
      <w:r>
        <w:rPr>
          <w:rFonts w:ascii="Arial" w:cs="Arial" w:eastAsia="Arial" w:hAnsi="Arial"/>
          <w:sz w:val="22"/>
          <w:szCs w:val="22"/>
          <w:color w:val="auto"/>
        </w:rPr>
        <w:t>Assistant General Counsel</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4"/>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lvl w:ilvl="1">
      <w:lvlJc w:val="left"/>
      <w:lvlText w:val="%2."/>
      <w:numFmt w:val="decimal"/>
      <w:start w:val="8"/>
    </w:lvl>
  </w:abstractNum>
  <w:abstractNum w:abstractNumId="8">
    <w:nsid w:val="12200854"/>
    <w:multiLevelType w:val="hybridMultilevel"/>
    <w:lvl w:ilvl="0">
      <w:lvlJc w:val="left"/>
      <w:lvlText w:val="%1."/>
      <w:numFmt w:val="decimal"/>
      <w:start w:val="9"/>
    </w:lvl>
    <w:lvl w:ilvl="1">
      <w:lvlJc w:val="left"/>
      <w:lvlText w:val="%2"/>
      <w:numFmt w:val="decimal"/>
      <w:start w:val="1"/>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2019-12-13T07:55:21Z</dcterms:created>
  <dcterms:modified xsi:type="dcterms:W3CDTF">2019-12-13T07:55:21Z</dcterms:modified>
</cp:coreProperties>
</file>