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87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(Amendment No. 2)*</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The Washington Post Company</w:t>
      </w:r>
    </w:p>
    <w:p>
      <w:pPr>
        <w:ind w:left="128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w:t>
      </w: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Class B Common Stock</w:t>
      </w:r>
    </w:p>
    <w:p>
      <w:pPr>
        <w:ind w:left="128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w:t>
      </w:r>
    </w:p>
    <w:p>
      <w:pPr>
        <w:jc w:val="center"/>
        <w:ind w:right="1879"/>
        <w:spacing w:after="0"/>
        <w:rPr>
          <w:sz w:val="20"/>
          <w:szCs w:val="20"/>
          <w:color w:val="auto"/>
        </w:rPr>
      </w:pPr>
      <w:r>
        <w:rPr>
          <w:rFonts w:ascii="Courier New" w:cs="Courier New" w:eastAsia="Courier New" w:hAnsi="Courier New"/>
          <w:sz w:val="18"/>
          <w:szCs w:val="18"/>
          <w:color w:val="auto"/>
        </w:rPr>
        <w:t>(Title of Class and Securities)</w:t>
      </w:r>
    </w:p>
    <w:p>
      <w:pPr>
        <w:spacing w:after="0" w:line="200"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939640108</w:t>
      </w:r>
    </w:p>
    <w:p>
      <w:pPr>
        <w:ind w:left="128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w:t>
      </w:r>
    </w:p>
    <w:p>
      <w:pPr>
        <w:spacing w:after="0" w:line="202"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(CUSIP Number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80" w:type="dxa"/>
            <w:vAlign w:val="bottom"/>
            <w:gridSpan w:val="2"/>
          </w:tcPr>
          <w:p>
            <w:pPr>
              <w:spacing w:after="0"/>
              <w:rPr>
                <w:sz w:val="20"/>
                <w:szCs w:val="20"/>
                <w:color w:val="auto"/>
              </w:rPr>
            </w:pPr>
            <w:r>
              <w:rPr>
                <w:rFonts w:ascii="Courier New" w:cs="Courier New" w:eastAsia="Courier New" w:hAnsi="Courier New"/>
                <w:sz w:val="18"/>
                <w:szCs w:val="18"/>
                <w:color w:val="auto"/>
              </w:rPr>
              <w:t>/X/</w:t>
            </w:r>
          </w:p>
        </w:tc>
        <w:tc>
          <w:tcPr>
            <w:tcW w:w="1640" w:type="dxa"/>
            <w:vAlign w:val="bottom"/>
            <w:gridSpan w:val="2"/>
          </w:tcPr>
          <w:p>
            <w:pPr>
              <w:ind w:left="280"/>
              <w:spacing w:after="0"/>
              <w:rPr>
                <w:sz w:val="20"/>
                <w:szCs w:val="20"/>
                <w:color w:val="auto"/>
              </w:rPr>
            </w:pPr>
            <w:r>
              <w:rPr>
                <w:rFonts w:ascii="Courier New" w:cs="Courier New" w:eastAsia="Courier New" w:hAnsi="Courier New"/>
                <w:sz w:val="18"/>
                <w:szCs w:val="18"/>
                <w:color w:val="auto"/>
                <w:w w:val="95"/>
              </w:rPr>
              <w:t>Rule 13d-1(b)</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Rule</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13d-1(c)</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Rule</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13d-1(d)</w:t>
            </w:r>
          </w:p>
        </w:tc>
      </w:tr>
    </w:tbl>
    <w:p>
      <w:pPr>
        <w:spacing w:after="0" w:line="207" w:lineRule="exact"/>
        <w:rPr>
          <w:sz w:val="24"/>
          <w:szCs w:val="24"/>
          <w:color w:val="auto"/>
        </w:rPr>
      </w:pPr>
    </w:p>
    <w:p>
      <w:pPr>
        <w:ind w:right="3259" w:firstLine="8"/>
        <w:spacing w:after="0" w:line="475"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page.</w:t>
      </w:r>
    </w:p>
    <w:p>
      <w:pPr>
        <w:spacing w:after="0" w:line="20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information required in the remainder of this cover page shall</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be deemed to be "filed" for the purpose of Section 18 of the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Exchange Act of 1934 ("Act") or otherwise subject to the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liabilities of that section of the Act but shall be subject to all</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other provisions of the Act (however, see the Notes).</w:t>
      </w:r>
    </w:p>
    <w:p>
      <w:pPr>
        <w:spacing w:after="0" w:line="200" w:lineRule="exact"/>
        <w:rPr>
          <w:sz w:val="24"/>
          <w:szCs w:val="24"/>
          <w:color w:val="auto"/>
        </w:rPr>
      </w:pPr>
    </w:p>
    <w:p>
      <w:pPr>
        <w:spacing w:after="0" w:line="204"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(Continued on following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020" w:type="dxa"/>
            <w:vAlign w:val="bottom"/>
          </w:tcPr>
          <w:p>
            <w:pPr>
              <w:spacing w:after="0"/>
              <w:rPr>
                <w:sz w:val="20"/>
                <w:szCs w:val="20"/>
                <w:color w:val="auto"/>
              </w:rPr>
            </w:pPr>
            <w:r>
              <w:rPr>
                <w:rFonts w:ascii="Courier New" w:cs="Courier New" w:eastAsia="Courier New" w:hAnsi="Courier New"/>
                <w:sz w:val="18"/>
                <w:szCs w:val="18"/>
                <w:color w:val="auto"/>
              </w:rPr>
              <w:t>CUSIP No. 939640108</w:t>
            </w:r>
          </w:p>
        </w:tc>
        <w:tc>
          <w:tcPr>
            <w:tcW w:w="2300" w:type="dxa"/>
            <w:vAlign w:val="bottom"/>
          </w:tcPr>
          <w:p>
            <w:pPr>
              <w:ind w:left="2000"/>
              <w:spacing w:after="0"/>
              <w:rPr>
                <w:sz w:val="20"/>
                <w:szCs w:val="20"/>
                <w:color w:val="auto"/>
              </w:rPr>
            </w:pPr>
            <w:r>
              <w:rPr>
                <w:rFonts w:ascii="Courier New" w:cs="Courier New" w:eastAsia="Courier New" w:hAnsi="Courier New"/>
                <w:sz w:val="18"/>
                <w:szCs w:val="18"/>
                <w:color w:val="auto"/>
                <w:w w:val="86"/>
              </w:rPr>
              <w:t>13G</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tabs>
          <w:tab w:leader="none" w:pos="4840" w:val="left"/>
        </w:tabs>
        <w:rPr>
          <w:sz w:val="20"/>
          <w:szCs w:val="20"/>
          <w:color w:val="auto"/>
        </w:rPr>
      </w:pPr>
      <w:r>
        <w:rPr>
          <w:rFonts w:ascii="Courier New" w:cs="Courier New" w:eastAsia="Courier New" w:hAnsi="Courier New"/>
          <w:sz w:val="18"/>
          <w:szCs w:val="18"/>
          <w:color w:val="auto"/>
        </w:rPr>
        <w:t>Southeastern Asset Management, Inc.</w:t>
      </w:r>
      <w:r>
        <w:rPr>
          <w:sz w:val="20"/>
          <w:szCs w:val="20"/>
          <w:color w:val="auto"/>
        </w:rPr>
        <w:tab/>
      </w:r>
      <w:r>
        <w:rPr>
          <w:rFonts w:ascii="Courier New" w:cs="Courier New" w:eastAsia="Courier New" w:hAnsi="Courier New"/>
          <w:sz w:val="16"/>
          <w:szCs w:val="16"/>
          <w:color w:val="auto"/>
        </w:rPr>
        <w:t>I.D. No. 62-0951781</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4"/>
          <w:szCs w:val="24"/>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4" w:lineRule="exact"/>
        <w:rPr>
          <w:rFonts w:ascii="Courier New" w:cs="Courier New" w:eastAsia="Courier New" w:hAnsi="Courier New"/>
          <w:sz w:val="18"/>
          <w:szCs w:val="18"/>
          <w:color w:val="auto"/>
        </w:rPr>
      </w:pPr>
    </w:p>
    <w:p>
      <w:pPr>
        <w:spacing w:after="0"/>
        <w:tabs>
          <w:tab w:leader="none" w:pos="0" w:val="left"/>
        </w:tabs>
        <w:numPr>
          <w:ilvl w:val="1"/>
          <w:numId w:val="3"/>
        </w:numPr>
        <w:rPr>
          <w:rFonts w:ascii="Courier New" w:cs="Courier New" w:eastAsia="Courier New" w:hAnsi="Courier New"/>
          <w:sz w:val="18"/>
          <w:szCs w:val="18"/>
          <w:color w:val="auto"/>
        </w:rPr>
      </w:pPr>
    </w:p>
    <w:p>
      <w:pPr>
        <w:ind w:left="5280" w:hanging="426"/>
        <w:spacing w:after="0" w:line="238" w:lineRule="auto"/>
        <w:tabs>
          <w:tab w:leader="none" w:pos="52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rFonts w:ascii="Courier New" w:cs="Courier New" w:eastAsia="Courier New" w:hAnsi="Courier New"/>
          <w:sz w:val="18"/>
          <w:szCs w:val="18"/>
          <w:color w:val="auto"/>
        </w:rPr>
      </w:pPr>
    </w:p>
    <w:p>
      <w:pPr>
        <w:ind w:left="540" w:right="5899" w:hanging="532"/>
        <w:spacing w:after="0" w:line="235"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Tennessee</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:(5) SOLE VOTING POWER</w:t>
      </w:r>
    </w:p>
    <w:p>
      <w:pPr>
        <w:ind w:left="3700"/>
        <w:spacing w:after="0" w:line="238" w:lineRule="auto"/>
        <w:tabs>
          <w:tab w:leader="none" w:pos="41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(Discretionary Accounts)</w:t>
      </w:r>
    </w:p>
    <w:p>
      <w:pPr>
        <w:spacing w:after="0"/>
        <w:tabs>
          <w:tab w:leader="none" w:pos="3680" w:val="left"/>
          <w:tab w:leader="none" w:pos="4720" w:val="left"/>
        </w:tabs>
        <w:rPr>
          <w:sz w:val="20"/>
          <w:szCs w:val="20"/>
          <w:color w:val="auto"/>
        </w:rPr>
      </w:pPr>
      <w:r>
        <w:rPr>
          <w:rFonts w:ascii="Courier New" w:cs="Courier New" w:eastAsia="Courier New" w:hAnsi="Courier New"/>
          <w:sz w:val="18"/>
          <w:szCs w:val="18"/>
          <w:color w:val="auto"/>
        </w:rPr>
        <w:t>NUMBER OF SHARES BENEFICIALLY</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96,115 shares</w:t>
      </w:r>
    </w:p>
    <w:p>
      <w:pPr>
        <w:spacing w:after="0"/>
        <w:tabs>
          <w:tab w:leader="none" w:pos="3680" w:val="left"/>
        </w:tabs>
        <w:rPr>
          <w:sz w:val="20"/>
          <w:szCs w:val="20"/>
          <w:color w:val="auto"/>
        </w:rPr>
      </w:pPr>
      <w:r>
        <w:rPr>
          <w:rFonts w:ascii="Courier New" w:cs="Courier New" w:eastAsia="Courier New" w:hAnsi="Courier New"/>
          <w:sz w:val="18"/>
          <w:szCs w:val="18"/>
          <w:color w:val="auto"/>
        </w:rPr>
        <w:t>OWNED BY EACH REPORTING PERSON</w:t>
      </w:r>
      <w:r>
        <w:rPr>
          <w:sz w:val="20"/>
          <w:szCs w:val="20"/>
          <w:color w:val="auto"/>
        </w:rPr>
        <w:tab/>
      </w:r>
      <w:r>
        <w:rPr>
          <w:rFonts w:ascii="Courier New" w:cs="Courier New" w:eastAsia="Courier New" w:hAnsi="Courier New"/>
          <w:sz w:val="16"/>
          <w:szCs w:val="16"/>
          <w:color w:val="auto"/>
        </w:rPr>
        <w:t>__________________________________________</w:t>
      </w:r>
    </w:p>
    <w:p>
      <w:pPr>
        <w:spacing w:after="0" w:line="238" w:lineRule="auto"/>
        <w:tabs>
          <w:tab w:leader="none" w:pos="3680" w:val="left"/>
        </w:tabs>
        <w:rPr>
          <w:sz w:val="20"/>
          <w:szCs w:val="20"/>
          <w:color w:val="auto"/>
        </w:rPr>
      </w:pPr>
      <w:r>
        <w:rPr>
          <w:rFonts w:ascii="Courier New" w:cs="Courier New" w:eastAsia="Courier New" w:hAnsi="Courier New"/>
          <w:sz w:val="18"/>
          <w:szCs w:val="18"/>
          <w:color w:val="auto"/>
        </w:rPr>
        <w:t>WITH</w:t>
      </w:r>
      <w:r>
        <w:rPr>
          <w:sz w:val="20"/>
          <w:szCs w:val="20"/>
          <w:color w:val="auto"/>
        </w:rPr>
        <w:tab/>
      </w:r>
      <w:r>
        <w:rPr>
          <w:rFonts w:ascii="Courier New" w:cs="Courier New" w:eastAsia="Courier New" w:hAnsi="Courier New"/>
          <w:sz w:val="18"/>
          <w:szCs w:val="18"/>
          <w:color w:val="auto"/>
        </w:rPr>
        <w:t>:(6) SHARED OR NO VOTING POWER</w:t>
      </w:r>
    </w:p>
    <w:p>
      <w:pPr>
        <w:spacing w:after="0" w:line="202" w:lineRule="exact"/>
        <w:rPr>
          <w:sz w:val="24"/>
          <w:szCs w:val="24"/>
          <w:color w:val="auto"/>
        </w:rPr>
      </w:pPr>
    </w:p>
    <w:p>
      <w:pPr>
        <w:ind w:left="4640"/>
        <w:spacing w:after="0"/>
        <w:rPr>
          <w:sz w:val="20"/>
          <w:szCs w:val="20"/>
          <w:color w:val="auto"/>
        </w:rPr>
      </w:pPr>
      <w:r>
        <w:rPr>
          <w:rFonts w:ascii="Courier New" w:cs="Courier New" w:eastAsia="Courier New" w:hAnsi="Courier New"/>
          <w:sz w:val="18"/>
          <w:szCs w:val="18"/>
          <w:color w:val="auto"/>
        </w:rPr>
        <w:t>279,517 shares (Shared)</w:t>
      </w:r>
    </w:p>
    <w:p>
      <w:pPr>
        <w:ind w:left="4860"/>
        <w:spacing w:after="0" w:line="238" w:lineRule="auto"/>
        <w:rPr>
          <w:sz w:val="20"/>
          <w:szCs w:val="20"/>
          <w:color w:val="auto"/>
        </w:rPr>
      </w:pPr>
      <w:r>
        <w:rPr>
          <w:rFonts w:ascii="Courier New" w:cs="Courier New" w:eastAsia="Courier New" w:hAnsi="Courier New"/>
          <w:sz w:val="18"/>
          <w:szCs w:val="18"/>
          <w:color w:val="auto"/>
        </w:rPr>
        <w:t>5,186 shares (No Vote)</w:t>
      </w:r>
    </w:p>
    <w:p>
      <w:pPr>
        <w:spacing w:after="0" w:line="5" w:lineRule="exact"/>
        <w:rPr>
          <w:sz w:val="24"/>
          <w:szCs w:val="24"/>
          <w:color w:val="auto"/>
        </w:rPr>
      </w:pPr>
    </w:p>
    <w:p>
      <w:pPr>
        <w:ind w:left="3700"/>
        <w:spacing w:after="0"/>
        <w:rPr>
          <w:sz w:val="20"/>
          <w:szCs w:val="20"/>
          <w:color w:val="auto"/>
        </w:rPr>
      </w:pPr>
      <w:r>
        <w:rPr>
          <w:rFonts w:ascii="Courier New" w:cs="Courier New" w:eastAsia="Courier New" w:hAnsi="Courier New"/>
          <w:sz w:val="16"/>
          <w:szCs w:val="16"/>
          <w:color w:val="auto"/>
        </w:rPr>
        <w:t>__________________________________________</w:t>
      </w:r>
    </w:p>
    <w:p>
      <w:pPr>
        <w:sectPr>
          <w:pgSz w:w="11900" w:h="16838" w:orient="portrait"/>
          <w:cols w:equalWidth="0" w:num="1">
            <w:col w:w="10219"/>
          </w:cols>
          <w:pgMar w:left="240" w:top="244" w:right="1440" w:bottom="0" w:gutter="0" w:footer="0" w:header="0"/>
        </w:sectPr>
      </w:pPr>
    </w:p>
    <w:bookmarkStart w:id="1" w:name="page2"/>
    <w:bookmarkEnd w:id="1"/>
    <w:p>
      <w:pPr>
        <w:ind w:left="3700"/>
        <w:spacing w:after="0"/>
        <w:rPr>
          <w:sz w:val="20"/>
          <w:szCs w:val="20"/>
          <w:color w:val="auto"/>
        </w:rPr>
      </w:pPr>
      <w:r>
        <w:rPr>
          <w:rFonts w:ascii="Courier New" w:cs="Courier New" w:eastAsia="Courier New" w:hAnsi="Courier New"/>
          <w:sz w:val="18"/>
          <w:szCs w:val="18"/>
          <w:color w:val="auto"/>
        </w:rPr>
        <w:t>:(7) SOLE DISPOSITIVE POWER</w:t>
      </w:r>
    </w:p>
    <w:p>
      <w:pPr>
        <w:ind w:left="4220"/>
        <w:spacing w:after="0" w:line="238" w:lineRule="auto"/>
        <w:rPr>
          <w:sz w:val="20"/>
          <w:szCs w:val="20"/>
          <w:color w:val="auto"/>
        </w:rPr>
      </w:pPr>
      <w:r>
        <w:rPr>
          <w:rFonts w:ascii="Courier New" w:cs="Courier New" w:eastAsia="Courier New" w:hAnsi="Courier New"/>
          <w:sz w:val="18"/>
          <w:szCs w:val="18"/>
          <w:color w:val="auto"/>
        </w:rPr>
        <w:t>(Discretionary Accounts)</w:t>
      </w:r>
    </w:p>
    <w:p>
      <w:pPr>
        <w:ind w:left="4640" w:hanging="945"/>
        <w:spacing w:after="0"/>
        <w:tabs>
          <w:tab w:leader="none" w:pos="4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101,301 shares</w:t>
      </w:r>
    </w:p>
    <w:p>
      <w:pPr>
        <w:spacing w:after="0" w:line="3" w:lineRule="exact"/>
        <w:rPr>
          <w:rFonts w:ascii="Courier New" w:cs="Courier New" w:eastAsia="Courier New" w:hAnsi="Courier New"/>
          <w:sz w:val="18"/>
          <w:szCs w:val="18"/>
          <w:color w:val="auto"/>
        </w:rPr>
      </w:pPr>
    </w:p>
    <w:p>
      <w:pPr>
        <w:ind w:left="37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w:t>
      </w:r>
    </w:p>
    <w:p>
      <w:pPr>
        <w:spacing w:after="0" w:line="16" w:lineRule="exact"/>
        <w:rPr>
          <w:rFonts w:ascii="Courier New" w:cs="Courier New" w:eastAsia="Courier New" w:hAnsi="Courier New"/>
          <w:sz w:val="18"/>
          <w:szCs w:val="18"/>
          <w:color w:val="auto"/>
        </w:rPr>
      </w:pPr>
    </w:p>
    <w:p>
      <w:pPr>
        <w:ind w:left="3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  SHARED OR NO DISPOSITIVE POWER</w:t>
      </w:r>
    </w:p>
    <w:p>
      <w:pPr>
        <w:spacing w:after="0" w:line="201" w:lineRule="exact"/>
        <w:rPr>
          <w:rFonts w:ascii="Courier New" w:cs="Courier New" w:eastAsia="Courier New" w:hAnsi="Courier New"/>
          <w:sz w:val="18"/>
          <w:szCs w:val="18"/>
          <w:color w:val="auto"/>
        </w:rPr>
      </w:pPr>
    </w:p>
    <w:p>
      <w:pPr>
        <w:ind w:left="4640" w:hanging="945"/>
        <w:spacing w:after="0"/>
        <w:tabs>
          <w:tab w:leader="none" w:pos="4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279,517 shares (Shared)</w:t>
      </w:r>
    </w:p>
    <w:p>
      <w:pPr>
        <w:ind w:left="5280"/>
        <w:spacing w:after="0" w:line="238" w:lineRule="auto"/>
        <w:rPr>
          <w:sz w:val="20"/>
          <w:szCs w:val="20"/>
          <w:color w:val="auto"/>
        </w:rPr>
      </w:pPr>
      <w:r>
        <w:rPr>
          <w:rFonts w:ascii="Courier New" w:cs="Courier New" w:eastAsia="Courier New" w:hAnsi="Courier New"/>
          <w:sz w:val="18"/>
          <w:szCs w:val="18"/>
          <w:color w:val="auto"/>
        </w:rPr>
        <w:t>0 shares (None)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380,818 shares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4199" w:hanging="632"/>
        <w:spacing w:after="0" w:line="235" w:lineRule="auto"/>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740" w:right="4619" w:hanging="732"/>
        <w:spacing w:after="0" w:line="235" w:lineRule="auto"/>
        <w:tabs>
          <w:tab w:leader="none" w:pos="63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4.8 %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7059" w:hanging="632"/>
        <w:spacing w:after="0" w:line="235" w:lineRule="auto"/>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60" w:type="dxa"/>
            <w:vAlign w:val="bottom"/>
          </w:tcPr>
          <w:p>
            <w:pPr>
              <w:spacing w:after="0"/>
              <w:rPr>
                <w:sz w:val="20"/>
                <w:szCs w:val="20"/>
                <w:color w:val="auto"/>
              </w:rPr>
            </w:pPr>
            <w:r>
              <w:rPr>
                <w:rFonts w:ascii="Courier New" w:cs="Courier New" w:eastAsia="Courier New" w:hAnsi="Courier New"/>
                <w:sz w:val="18"/>
                <w:szCs w:val="18"/>
                <w:color w:val="auto"/>
              </w:rPr>
              <w:t>CUSIP No.  939640108</w:t>
            </w:r>
          </w:p>
        </w:tc>
        <w:tc>
          <w:tcPr>
            <w:tcW w:w="2160" w:type="dxa"/>
            <w:vAlign w:val="bottom"/>
          </w:tcPr>
          <w:p>
            <w:pPr>
              <w:ind w:left="1840"/>
              <w:spacing w:after="0"/>
              <w:rPr>
                <w:sz w:val="20"/>
                <w:szCs w:val="20"/>
                <w:color w:val="auto"/>
              </w:rPr>
            </w:pPr>
            <w:r>
              <w:rPr>
                <w:rFonts w:ascii="Courier New" w:cs="Courier New" w:eastAsia="Courier New" w:hAnsi="Courier New"/>
                <w:sz w:val="18"/>
                <w:szCs w:val="18"/>
                <w:color w:val="auto"/>
                <w:w w:val="92"/>
              </w:rPr>
              <w:t>13G</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tabs>
          <w:tab w:leader="none" w:pos="4840" w:val="left"/>
        </w:tabs>
        <w:rPr>
          <w:sz w:val="20"/>
          <w:szCs w:val="20"/>
          <w:color w:val="auto"/>
        </w:rPr>
      </w:pPr>
      <w:r>
        <w:rPr>
          <w:rFonts w:ascii="Courier New" w:cs="Courier New" w:eastAsia="Courier New" w:hAnsi="Courier New"/>
          <w:sz w:val="18"/>
          <w:szCs w:val="18"/>
          <w:color w:val="auto"/>
        </w:rPr>
        <w:t>O. Mason Hawkins</w:t>
      </w:r>
      <w:r>
        <w:rPr>
          <w:sz w:val="20"/>
          <w:szCs w:val="20"/>
          <w:color w:val="auto"/>
        </w:rPr>
        <w:tab/>
      </w:r>
      <w:r>
        <w:rPr>
          <w:rFonts w:ascii="Courier New" w:cs="Courier New" w:eastAsia="Courier New" w:hAnsi="Courier New"/>
          <w:sz w:val="16"/>
          <w:szCs w:val="16"/>
          <w:color w:val="auto"/>
        </w:rPr>
        <w:t>I.D. No. XXX-XX-XXXX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4" w:lineRule="exact"/>
        <w:rPr>
          <w:rFonts w:ascii="Courier New" w:cs="Courier New" w:eastAsia="Courier New" w:hAnsi="Courier New"/>
          <w:sz w:val="18"/>
          <w:szCs w:val="18"/>
          <w:color w:val="auto"/>
        </w:rPr>
      </w:pPr>
    </w:p>
    <w:p>
      <w:pPr>
        <w:spacing w:after="0"/>
        <w:tabs>
          <w:tab w:leader="none" w:pos="0" w:val="left"/>
        </w:tabs>
        <w:numPr>
          <w:ilvl w:val="1"/>
          <w:numId w:val="10"/>
        </w:numPr>
        <w:rPr>
          <w:rFonts w:ascii="Courier New" w:cs="Courier New" w:eastAsia="Courier New" w:hAnsi="Courier New"/>
          <w:sz w:val="18"/>
          <w:szCs w:val="18"/>
          <w:color w:val="auto"/>
        </w:rPr>
      </w:pPr>
    </w:p>
    <w:p>
      <w:pPr>
        <w:ind w:left="5280" w:hanging="426"/>
        <w:spacing w:after="0" w:line="238" w:lineRule="auto"/>
        <w:tabs>
          <w:tab w:leader="none" w:pos="52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rFonts w:ascii="Courier New" w:cs="Courier New" w:eastAsia="Courier New" w:hAnsi="Courier New"/>
          <w:sz w:val="18"/>
          <w:szCs w:val="18"/>
          <w:color w:val="auto"/>
        </w:rPr>
      </w:pPr>
    </w:p>
    <w:p>
      <w:pPr>
        <w:ind w:left="540" w:right="5899" w:hanging="532"/>
        <w:spacing w:after="0" w:line="268" w:lineRule="auto"/>
        <w:tabs>
          <w:tab w:leader="none" w:pos="5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Citizen of United States</w:t>
      </w: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40" w:type="dxa"/>
            <w:vAlign w:val="bottom"/>
          </w:tcPr>
          <w:p>
            <w:pPr>
              <w:spacing w:after="0"/>
              <w:rPr>
                <w:sz w:val="17"/>
                <w:szCs w:val="17"/>
                <w:color w:val="auto"/>
              </w:rPr>
            </w:pPr>
          </w:p>
        </w:tc>
        <w:tc>
          <w:tcPr>
            <w:tcW w:w="680" w:type="dxa"/>
            <w:vAlign w:val="bottom"/>
          </w:tcPr>
          <w:p>
            <w:pPr>
              <w:ind w:left="260"/>
              <w:spacing w:after="0"/>
              <w:rPr>
                <w:sz w:val="20"/>
                <w:szCs w:val="20"/>
                <w:color w:val="auto"/>
              </w:rPr>
            </w:pPr>
            <w:r>
              <w:rPr>
                <w:rFonts w:ascii="Courier New" w:cs="Courier New" w:eastAsia="Courier New" w:hAnsi="Courier New"/>
                <w:sz w:val="18"/>
                <w:szCs w:val="18"/>
                <w:color w:val="auto"/>
                <w:w w:val="92"/>
              </w:rPr>
              <w:t>:(5)</w:t>
            </w:r>
          </w:p>
        </w:tc>
        <w:tc>
          <w:tcPr>
            <w:tcW w:w="400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40" w:type="dxa"/>
            <w:vAlign w:val="bottom"/>
          </w:tcPr>
          <w:p>
            <w:pPr>
              <w:spacing w:after="0"/>
              <w:rPr>
                <w:sz w:val="17"/>
                <w:szCs w:val="17"/>
                <w:color w:val="auto"/>
              </w:rPr>
            </w:pPr>
          </w:p>
        </w:tc>
        <w:tc>
          <w:tcPr>
            <w:tcW w:w="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4000" w:type="dxa"/>
            <w:vAlign w:val="bottom"/>
          </w:tcPr>
          <w:p>
            <w:pPr>
              <w:spacing w:after="0" w:line="203" w:lineRule="exact"/>
              <w:rPr>
                <w:sz w:val="20"/>
                <w:szCs w:val="20"/>
                <w:color w:val="auto"/>
              </w:rPr>
            </w:pPr>
            <w:r>
              <w:rPr>
                <w:rFonts w:ascii="Courier New" w:cs="Courier New" w:eastAsia="Courier New" w:hAnsi="Courier New"/>
                <w:sz w:val="18"/>
                <w:szCs w:val="18"/>
                <w:color w:val="auto"/>
              </w:rPr>
              <w:t>(Discretionary Accounts)</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BENEFICIALLY</w:t>
            </w:r>
          </w:p>
        </w:tc>
        <w:tc>
          <w:tcPr>
            <w:tcW w:w="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4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 PERSON</w:t>
            </w:r>
          </w:p>
        </w:tc>
        <w:tc>
          <w:tcPr>
            <w:tcW w:w="4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6"/>
              </w:rPr>
              <w:t>__________________________________________</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4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:(6) SHARED VOTING POWER</w:t>
            </w:r>
          </w:p>
        </w:tc>
      </w:tr>
    </w:tbl>
    <w:p>
      <w:pPr>
        <w:spacing w:after="0" w:line="201" w:lineRule="exact"/>
        <w:rPr>
          <w:sz w:val="20"/>
          <w:szCs w:val="20"/>
          <w:color w:val="auto"/>
        </w:rPr>
      </w:pPr>
    </w:p>
    <w:p>
      <w:pPr>
        <w:ind w:left="4220" w:hanging="525"/>
        <w:spacing w:after="0"/>
        <w:tabs>
          <w:tab w:leader="none" w:pos="422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4" w:lineRule="exact"/>
        <w:rPr>
          <w:rFonts w:ascii="Courier New" w:cs="Courier New" w:eastAsia="Courier New" w:hAnsi="Courier New"/>
          <w:sz w:val="18"/>
          <w:szCs w:val="18"/>
          <w:color w:val="auto"/>
        </w:rPr>
      </w:pPr>
    </w:p>
    <w:p>
      <w:pPr>
        <w:ind w:left="37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w:t>
      </w:r>
    </w:p>
    <w:p>
      <w:pPr>
        <w:spacing w:after="0" w:line="16" w:lineRule="exact"/>
        <w:rPr>
          <w:rFonts w:ascii="Courier New" w:cs="Courier New" w:eastAsia="Courier New" w:hAnsi="Courier New"/>
          <w:sz w:val="18"/>
          <w:szCs w:val="18"/>
          <w:color w:val="auto"/>
        </w:rPr>
      </w:pPr>
    </w:p>
    <w:p>
      <w:pPr>
        <w:ind w:left="3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 SOLE DISPOSITIVE POWER</w:t>
      </w:r>
    </w:p>
    <w:p>
      <w:pPr>
        <w:spacing w:after="0" w:line="201" w:lineRule="exact"/>
        <w:rPr>
          <w:rFonts w:ascii="Courier New" w:cs="Courier New" w:eastAsia="Courier New" w:hAnsi="Courier New"/>
          <w:sz w:val="18"/>
          <w:szCs w:val="18"/>
          <w:color w:val="auto"/>
        </w:rPr>
      </w:pPr>
    </w:p>
    <w:p>
      <w:pPr>
        <w:ind w:left="4220" w:hanging="525"/>
        <w:spacing w:after="0"/>
        <w:tabs>
          <w:tab w:leader="none" w:pos="422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4" w:lineRule="exact"/>
        <w:rPr>
          <w:rFonts w:ascii="Courier New" w:cs="Courier New" w:eastAsia="Courier New" w:hAnsi="Courier New"/>
          <w:sz w:val="18"/>
          <w:szCs w:val="18"/>
          <w:color w:val="auto"/>
        </w:rPr>
      </w:pPr>
    </w:p>
    <w:p>
      <w:pPr>
        <w:ind w:left="37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w:t>
      </w:r>
    </w:p>
    <w:p>
      <w:pPr>
        <w:spacing w:after="0" w:line="16" w:lineRule="exact"/>
        <w:rPr>
          <w:rFonts w:ascii="Courier New" w:cs="Courier New" w:eastAsia="Courier New" w:hAnsi="Courier New"/>
          <w:sz w:val="18"/>
          <w:szCs w:val="18"/>
          <w:color w:val="auto"/>
        </w:rPr>
      </w:pPr>
    </w:p>
    <w:p>
      <w:pPr>
        <w:ind w:left="3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 SHARED DISPOSITIVE POWER</w:t>
      </w:r>
    </w:p>
    <w:p>
      <w:pPr>
        <w:spacing w:after="0" w:line="201" w:lineRule="exact"/>
        <w:rPr>
          <w:rFonts w:ascii="Courier New" w:cs="Courier New" w:eastAsia="Courier New" w:hAnsi="Courier New"/>
          <w:sz w:val="18"/>
          <w:szCs w:val="18"/>
          <w:color w:val="auto"/>
        </w:rPr>
      </w:pPr>
    </w:p>
    <w:p>
      <w:pPr>
        <w:ind w:left="4220" w:hanging="525"/>
        <w:spacing w:after="0"/>
        <w:tabs>
          <w:tab w:leader="none" w:pos="422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None (See Item 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4199" w:hanging="632"/>
        <w:spacing w:after="0" w:line="235" w:lineRule="auto"/>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4619" w:hanging="632"/>
        <w:spacing w:after="0" w:line="235" w:lineRule="auto"/>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0.0 %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640" w:hanging="632"/>
        <w:spacing w:after="0"/>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640"/>
        <w:spacing w:after="0" w:line="238" w:lineRule="auto"/>
        <w:rPr>
          <w:sz w:val="20"/>
          <w:szCs w:val="20"/>
          <w:color w:val="auto"/>
        </w:rPr>
      </w:pPr>
      <w:r>
        <w:rPr>
          <w:rFonts w:ascii="Courier New" w:cs="Courier New" w:eastAsia="Courier New" w:hAnsi="Courier New"/>
          <w:sz w:val="18"/>
          <w:szCs w:val="18"/>
          <w:color w:val="auto"/>
        </w:rPr>
        <w:t>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 Name of Issuer: The Washington Post Company</w:t>
      </w:r>
    </w:p>
    <w:p>
      <w:pPr>
        <w:ind w:left="1060"/>
        <w:spacing w:after="0" w:line="238" w:lineRule="auto"/>
        <w:rPr>
          <w:sz w:val="20"/>
          <w:szCs w:val="20"/>
          <w:color w:val="auto"/>
        </w:rPr>
      </w:pPr>
      <w:r>
        <w:rPr>
          <w:rFonts w:ascii="Courier New" w:cs="Courier New" w:eastAsia="Courier New" w:hAnsi="Courier New"/>
          <w:sz w:val="18"/>
          <w:szCs w:val="18"/>
          <w:color w:val="auto"/>
        </w:rPr>
        <w:t>("Issuer")</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 Address of Issuer's Principal Executive Offices: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1150 15th Street, N.W.</w:t>
      </w:r>
    </w:p>
    <w:p>
      <w:pPr>
        <w:sectPr>
          <w:pgSz w:w="11900" w:h="16838" w:orient="portrait"/>
          <w:cols w:equalWidth="0" w:num="1">
            <w:col w:w="10219"/>
          </w:cols>
          <w:pgMar w:left="240" w:top="136" w:right="1440" w:bottom="0" w:gutter="0" w:footer="0" w:header="0"/>
        </w:sectPr>
      </w:pPr>
    </w:p>
    <w:bookmarkStart w:id="2" w:name="page3"/>
    <w:bookmarkEnd w:id="2"/>
    <w:p>
      <w:pPr>
        <w:ind w:left="1060"/>
        <w:spacing w:after="0"/>
        <w:tabs>
          <w:tab w:leader="none" w:pos="29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20071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7" w:lineRule="exact"/>
        <w:rPr>
          <w:sz w:val="20"/>
          <w:szCs w:val="20"/>
          <w:color w:val="auto"/>
        </w:rPr>
      </w:pPr>
    </w:p>
    <w:p>
      <w:pPr>
        <w:ind w:left="960" w:right="3159" w:hanging="425"/>
        <w:spacing w:after="0" w:line="235" w:lineRule="auto"/>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(b). Names and Principal Business Addresses of Persons Filing:</w:t>
      </w:r>
    </w:p>
    <w:p>
      <w:pPr>
        <w:spacing w:after="0" w:line="208" w:lineRule="exact"/>
        <w:rPr>
          <w:rFonts w:ascii="Courier New" w:cs="Courier New" w:eastAsia="Courier New" w:hAnsi="Courier New"/>
          <w:sz w:val="18"/>
          <w:szCs w:val="18"/>
          <w:color w:val="auto"/>
        </w:rPr>
      </w:pPr>
    </w:p>
    <w:p>
      <w:pPr>
        <w:ind w:left="1700" w:right="4839" w:hanging="1060"/>
        <w:spacing w:after="0" w:line="236" w:lineRule="auto"/>
        <w:tabs>
          <w:tab w:leader="none" w:pos="170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Southeastern Asset Management, Inc. 6410 Poplar Ave., Suite 900 Memphis, TN 38119</w:t>
      </w:r>
    </w:p>
    <w:p>
      <w:pPr>
        <w:spacing w:after="0" w:line="203" w:lineRule="exact"/>
        <w:rPr>
          <w:rFonts w:ascii="Courier New" w:cs="Courier New" w:eastAsia="Courier New" w:hAnsi="Courier New"/>
          <w:sz w:val="18"/>
          <w:szCs w:val="18"/>
          <w:color w:val="auto"/>
        </w:rPr>
      </w:pPr>
    </w:p>
    <w:p>
      <w:pPr>
        <w:ind w:left="1700" w:hanging="1060"/>
        <w:spacing w:after="0"/>
        <w:tabs>
          <w:tab w:leader="none" w:pos="170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O. Mason Hawkins</w:t>
      </w:r>
    </w:p>
    <w:p>
      <w:pPr>
        <w:spacing w:after="0" w:line="4" w:lineRule="exact"/>
        <w:rPr>
          <w:rFonts w:ascii="Courier New" w:cs="Courier New" w:eastAsia="Courier New" w:hAnsi="Courier New"/>
          <w:sz w:val="18"/>
          <w:szCs w:val="18"/>
          <w:color w:val="auto"/>
        </w:rPr>
      </w:pPr>
    </w:p>
    <w:p>
      <w:pPr>
        <w:ind w:left="1700" w:right="483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Chairman of the Board and C.E.O. Southeastern Asset Management, Inc. 6410 Poplar Ave., Suite 900 Memphis, TN 38119</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Citizenship: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Southeastern Asset Management, Inc. - A Tennessee corporation</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Mr. O. Mason Hawkins - U.S. Citizen</w:t>
      </w:r>
    </w:p>
    <w:p>
      <w:pPr>
        <w:spacing w:after="0" w:line="207" w:lineRule="exact"/>
        <w:rPr>
          <w:sz w:val="20"/>
          <w:szCs w:val="20"/>
          <w:color w:val="auto"/>
        </w:rPr>
      </w:pPr>
    </w:p>
    <w:p>
      <w:pPr>
        <w:ind w:left="1060" w:right="3259" w:hanging="526"/>
        <w:spacing w:after="0"/>
        <w:rPr>
          <w:sz w:val="20"/>
          <w:szCs w:val="20"/>
          <w:color w:val="auto"/>
        </w:rPr>
      </w:pPr>
      <w:r>
        <w:rPr>
          <w:rFonts w:ascii="Courier New" w:cs="Courier New" w:eastAsia="Courier New" w:hAnsi="Courier New"/>
          <w:sz w:val="18"/>
          <w:szCs w:val="18"/>
          <w:color w:val="auto"/>
        </w:rPr>
        <w:t>(d). Title of Class of Securities:</w:t>
      </w:r>
      <w:r>
        <w:rPr>
          <w:sz w:val="20"/>
          <w:szCs w:val="20"/>
          <w:color w:val="auto"/>
        </w:rPr>
        <w:t xml:space="preserve"> </w:t>
      </w:r>
      <w:r>
        <w:rPr>
          <w:rFonts w:ascii="Courier New" w:cs="Courier New" w:eastAsia="Courier New" w:hAnsi="Courier New"/>
          <w:sz w:val="18"/>
          <w:szCs w:val="18"/>
          <w:color w:val="auto"/>
        </w:rPr>
        <w:t>Class B Common Stock (the "Securities").</w:t>
      </w:r>
    </w:p>
    <w:p>
      <w:pPr>
        <w:spacing w:after="0" w:line="398" w:lineRule="exact"/>
        <w:rPr>
          <w:sz w:val="20"/>
          <w:szCs w:val="20"/>
          <w:color w:val="auto"/>
        </w:rPr>
      </w:pPr>
    </w:p>
    <w:p>
      <w:pPr>
        <w:ind w:left="540"/>
        <w:spacing w:after="0"/>
        <w:tabs>
          <w:tab w:leader="none" w:pos="2620" w:val="left"/>
        </w:tabs>
        <w:rPr>
          <w:sz w:val="20"/>
          <w:szCs w:val="20"/>
          <w:color w:val="auto"/>
        </w:rPr>
      </w:pPr>
      <w:r>
        <w:rPr>
          <w:rFonts w:ascii="Courier New" w:cs="Courier New" w:eastAsia="Courier New" w:hAnsi="Courier New"/>
          <w:sz w:val="18"/>
          <w:szCs w:val="18"/>
          <w:color w:val="auto"/>
        </w:rPr>
        <w:t>(e). Cusip Number:</w:t>
      </w:r>
      <w:r>
        <w:rPr>
          <w:sz w:val="20"/>
          <w:szCs w:val="20"/>
          <w:color w:val="auto"/>
        </w:rPr>
        <w:tab/>
      </w:r>
      <w:r>
        <w:rPr>
          <w:rFonts w:ascii="Courier New" w:cs="Courier New" w:eastAsia="Courier New" w:hAnsi="Courier New"/>
          <w:sz w:val="16"/>
          <w:szCs w:val="16"/>
          <w:color w:val="auto"/>
        </w:rPr>
        <w:t>939640108</w:t>
      </w:r>
    </w:p>
    <w:p>
      <w:pPr>
        <w:spacing w:after="0" w:line="200" w:lineRule="exact"/>
        <w:rPr>
          <w:sz w:val="20"/>
          <w:szCs w:val="20"/>
          <w:color w:val="auto"/>
        </w:rPr>
      </w:pPr>
    </w:p>
    <w:p>
      <w:pPr>
        <w:spacing w:after="0" w:line="204" w:lineRule="exact"/>
        <w:rPr>
          <w:sz w:val="20"/>
          <w:szCs w:val="20"/>
          <w:color w:val="auto"/>
        </w:rPr>
      </w:pPr>
    </w:p>
    <w:p>
      <w:pPr>
        <w:jc w:val="center"/>
        <w:ind w:right="3259"/>
        <w:spacing w:after="0"/>
        <w:tabs>
          <w:tab w:leader="none" w:pos="20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 (b) or</w:t>
      </w:r>
    </w:p>
    <w:p>
      <w:pPr>
        <w:jc w:val="center"/>
        <w:ind w:right="3259"/>
        <w:spacing w:after="0" w:line="238" w:lineRule="auto"/>
        <w:rPr>
          <w:sz w:val="20"/>
          <w:szCs w:val="20"/>
          <w:color w:val="auto"/>
        </w:rPr>
      </w:pPr>
      <w:r>
        <w:rPr>
          <w:rFonts w:ascii="Courier New" w:cs="Courier New" w:eastAsia="Courier New" w:hAnsi="Courier New"/>
          <w:sz w:val="18"/>
          <w:szCs w:val="18"/>
          <w:color w:val="auto"/>
        </w:rPr>
        <w:t>13d-2 (b), check whether the person filing is 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(e.)</w:t>
            </w:r>
          </w:p>
        </w:tc>
        <w:tc>
          <w:tcPr>
            <w:tcW w:w="6220" w:type="dxa"/>
            <w:vAlign w:val="bottom"/>
          </w:tcPr>
          <w:p>
            <w:pPr>
              <w:ind w:left="160"/>
              <w:spacing w:after="0"/>
              <w:rPr>
                <w:sz w:val="20"/>
                <w:szCs w:val="20"/>
                <w:color w:val="auto"/>
              </w:rPr>
            </w:pPr>
            <w:r>
              <w:rPr>
                <w:rFonts w:ascii="Courier New" w:cs="Courier New" w:eastAsia="Courier New" w:hAnsi="Courier New"/>
                <w:sz w:val="18"/>
                <w:szCs w:val="18"/>
                <w:color w:val="auto"/>
              </w:rPr>
              <w:t>Investment Adviser registered under Section 203 of the</w:t>
            </w:r>
          </w:p>
        </w:tc>
        <w:tc>
          <w:tcPr>
            <w:tcW w:w="11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6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Investment Advisers Act of 1940.  This statement is being</w:t>
            </w: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filed</w:t>
            </w:r>
          </w:p>
        </w:tc>
      </w:tr>
      <w:tr>
        <w:trPr>
          <w:trHeight w:val="203"/>
        </w:trPr>
        <w:tc>
          <w:tcPr>
            <w:tcW w:w="580" w:type="dxa"/>
            <w:vAlign w:val="bottom"/>
          </w:tcPr>
          <w:p>
            <w:pPr>
              <w:spacing w:after="0"/>
              <w:rPr>
                <w:sz w:val="17"/>
                <w:szCs w:val="17"/>
                <w:color w:val="auto"/>
              </w:rPr>
            </w:pPr>
          </w:p>
        </w:tc>
        <w:tc>
          <w:tcPr>
            <w:tcW w:w="7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by Southeastern Asset Management, Inc. as a registered investment</w:t>
            </w:r>
          </w:p>
        </w:tc>
      </w:tr>
      <w:tr>
        <w:trPr>
          <w:trHeight w:val="203"/>
        </w:trPr>
        <w:tc>
          <w:tcPr>
            <w:tcW w:w="580" w:type="dxa"/>
            <w:vAlign w:val="bottom"/>
          </w:tcPr>
          <w:p>
            <w:pPr>
              <w:spacing w:after="0"/>
              <w:rPr>
                <w:sz w:val="17"/>
                <w:szCs w:val="17"/>
                <w:color w:val="auto"/>
              </w:rPr>
            </w:pPr>
          </w:p>
        </w:tc>
        <w:tc>
          <w:tcPr>
            <w:tcW w:w="6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adviser. All of the securities covered by this report are</w:t>
            </w: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owned</w:t>
            </w:r>
          </w:p>
        </w:tc>
      </w:tr>
      <w:tr>
        <w:trPr>
          <w:trHeight w:val="203"/>
        </w:trPr>
        <w:tc>
          <w:tcPr>
            <w:tcW w:w="580" w:type="dxa"/>
            <w:vAlign w:val="bottom"/>
          </w:tcPr>
          <w:p>
            <w:pPr>
              <w:spacing w:after="0"/>
              <w:rPr>
                <w:sz w:val="17"/>
                <w:szCs w:val="17"/>
                <w:color w:val="auto"/>
              </w:rPr>
            </w:pPr>
          </w:p>
        </w:tc>
        <w:tc>
          <w:tcPr>
            <w:tcW w:w="6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legally by Southeastern's investment advisory clients and</w:t>
            </w: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580" w:type="dxa"/>
            <w:vAlign w:val="bottom"/>
          </w:tcPr>
          <w:p>
            <w:pPr>
              <w:spacing w:after="0"/>
              <w:rPr>
                <w:sz w:val="17"/>
                <w:szCs w:val="17"/>
                <w:color w:val="auto"/>
              </w:rPr>
            </w:pPr>
          </w:p>
        </w:tc>
        <w:tc>
          <w:tcPr>
            <w:tcW w:w="7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are owned directly or indirectly by Southeastern.  As permitted</w:t>
            </w:r>
          </w:p>
        </w:tc>
      </w:tr>
      <w:tr>
        <w:trPr>
          <w:trHeight w:val="203"/>
        </w:trPr>
        <w:tc>
          <w:tcPr>
            <w:tcW w:w="580" w:type="dxa"/>
            <w:vAlign w:val="bottom"/>
          </w:tcPr>
          <w:p>
            <w:pPr>
              <w:spacing w:after="0"/>
              <w:rPr>
                <w:sz w:val="17"/>
                <w:szCs w:val="17"/>
                <w:color w:val="auto"/>
              </w:rPr>
            </w:pPr>
          </w:p>
        </w:tc>
        <w:tc>
          <w:tcPr>
            <w:tcW w:w="7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by Rule 13d-4, the filing of this statement shall not be construed</w:t>
            </w:r>
          </w:p>
        </w:tc>
      </w:tr>
      <w:tr>
        <w:trPr>
          <w:trHeight w:val="203"/>
        </w:trPr>
        <w:tc>
          <w:tcPr>
            <w:tcW w:w="580" w:type="dxa"/>
            <w:vAlign w:val="bottom"/>
          </w:tcPr>
          <w:p>
            <w:pPr>
              <w:spacing w:after="0"/>
              <w:rPr>
                <w:sz w:val="17"/>
                <w:szCs w:val="17"/>
                <w:color w:val="auto"/>
              </w:rPr>
            </w:pPr>
          </w:p>
        </w:tc>
        <w:tc>
          <w:tcPr>
            <w:tcW w:w="7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as an admission that Southeastern Asset Management, Inc. is the</w:t>
            </w:r>
          </w:p>
        </w:tc>
      </w:tr>
      <w:tr>
        <w:trPr>
          <w:trHeight w:val="203"/>
        </w:trPr>
        <w:tc>
          <w:tcPr>
            <w:tcW w:w="580" w:type="dxa"/>
            <w:vAlign w:val="bottom"/>
          </w:tcPr>
          <w:p>
            <w:pPr>
              <w:spacing w:after="0"/>
              <w:rPr>
                <w:sz w:val="17"/>
                <w:szCs w:val="17"/>
                <w:color w:val="auto"/>
              </w:rPr>
            </w:pPr>
          </w:p>
        </w:tc>
        <w:tc>
          <w:tcPr>
            <w:tcW w:w="6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beneficial owner of any of the securities covered by this</w:t>
            </w: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statement.</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(g.)</w:t>
            </w:r>
          </w:p>
        </w:tc>
        <w:tc>
          <w:tcPr>
            <w:tcW w:w="7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Parent Holding Company.  This statement is also being filed by</w:t>
            </w:r>
          </w:p>
        </w:tc>
      </w:tr>
      <w:tr>
        <w:trPr>
          <w:trHeight w:val="203"/>
        </w:trPr>
        <w:tc>
          <w:tcPr>
            <w:tcW w:w="580" w:type="dxa"/>
            <w:vAlign w:val="bottom"/>
          </w:tcPr>
          <w:p>
            <w:pPr>
              <w:spacing w:after="0"/>
              <w:rPr>
                <w:sz w:val="17"/>
                <w:szCs w:val="17"/>
                <w:color w:val="auto"/>
              </w:rPr>
            </w:pPr>
          </w:p>
        </w:tc>
        <w:tc>
          <w:tcPr>
            <w:tcW w:w="6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Mr. O. Mason Hawkins, Chairman of the Board and C.E.O. of</w:t>
            </w:r>
          </w:p>
        </w:tc>
        <w:tc>
          <w:tcPr>
            <w:tcW w:w="11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6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Southeastern Asset Management, Inc. in the event he could</w:t>
            </w: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be</w:t>
            </w:r>
          </w:p>
        </w:tc>
      </w:tr>
      <w:tr>
        <w:trPr>
          <w:trHeight w:val="203"/>
        </w:trPr>
        <w:tc>
          <w:tcPr>
            <w:tcW w:w="580" w:type="dxa"/>
            <w:vAlign w:val="bottom"/>
          </w:tcPr>
          <w:p>
            <w:pPr>
              <w:spacing w:after="0"/>
              <w:rPr>
                <w:sz w:val="17"/>
                <w:szCs w:val="17"/>
                <w:color w:val="auto"/>
              </w:rPr>
            </w:pPr>
          </w:p>
        </w:tc>
        <w:tc>
          <w:tcPr>
            <w:tcW w:w="7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deemed to be a controlling person of that firm as the result of</w:t>
            </w:r>
          </w:p>
        </w:tc>
      </w:tr>
      <w:tr>
        <w:trPr>
          <w:trHeight w:val="203"/>
        </w:trPr>
        <w:tc>
          <w:tcPr>
            <w:tcW w:w="580" w:type="dxa"/>
            <w:vAlign w:val="bottom"/>
          </w:tcPr>
          <w:p>
            <w:pPr>
              <w:spacing w:after="0"/>
              <w:rPr>
                <w:sz w:val="17"/>
                <w:szCs w:val="17"/>
                <w:color w:val="auto"/>
              </w:rPr>
            </w:pPr>
          </w:p>
        </w:tc>
        <w:tc>
          <w:tcPr>
            <w:tcW w:w="7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his official positions with or ownership of its voting securities.</w:t>
            </w:r>
          </w:p>
        </w:tc>
      </w:tr>
      <w:tr>
        <w:trPr>
          <w:trHeight w:val="203"/>
        </w:trPr>
        <w:tc>
          <w:tcPr>
            <w:tcW w:w="580" w:type="dxa"/>
            <w:vAlign w:val="bottom"/>
          </w:tcPr>
          <w:p>
            <w:pPr>
              <w:spacing w:after="0"/>
              <w:rPr>
                <w:sz w:val="17"/>
                <w:szCs w:val="17"/>
                <w:color w:val="auto"/>
              </w:rPr>
            </w:pPr>
          </w:p>
        </w:tc>
        <w:tc>
          <w:tcPr>
            <w:tcW w:w="7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8"/>
              </w:rPr>
              <w:t>The existence of such control is expressly disclaimed.  Mr. Hawkins</w:t>
            </w:r>
          </w:p>
        </w:tc>
      </w:tr>
      <w:tr>
        <w:trPr>
          <w:trHeight w:val="203"/>
        </w:trPr>
        <w:tc>
          <w:tcPr>
            <w:tcW w:w="580" w:type="dxa"/>
            <w:vAlign w:val="bottom"/>
          </w:tcPr>
          <w:p>
            <w:pPr>
              <w:spacing w:after="0"/>
              <w:rPr>
                <w:sz w:val="17"/>
                <w:szCs w:val="17"/>
                <w:color w:val="auto"/>
              </w:rPr>
            </w:pPr>
          </w:p>
        </w:tc>
        <w:tc>
          <w:tcPr>
            <w:tcW w:w="7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does not own directly or indirectly any securities covered by</w:t>
            </w:r>
          </w:p>
        </w:tc>
      </w:tr>
      <w:tr>
        <w:trPr>
          <w:trHeight w:val="203"/>
        </w:trPr>
        <w:tc>
          <w:tcPr>
            <w:tcW w:w="580" w:type="dxa"/>
            <w:vAlign w:val="bottom"/>
          </w:tcPr>
          <w:p>
            <w:pPr>
              <w:spacing w:after="0"/>
              <w:rPr>
                <w:sz w:val="17"/>
                <w:szCs w:val="17"/>
                <w:color w:val="auto"/>
              </w:rPr>
            </w:pPr>
          </w:p>
        </w:tc>
        <w:tc>
          <w:tcPr>
            <w:tcW w:w="6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this statement for his own account.  As permitted by Rule</w:t>
            </w: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13d-4,</w:t>
            </w:r>
          </w:p>
        </w:tc>
      </w:tr>
      <w:tr>
        <w:trPr>
          <w:trHeight w:val="203"/>
        </w:trPr>
        <w:tc>
          <w:tcPr>
            <w:tcW w:w="580" w:type="dxa"/>
            <w:vAlign w:val="bottom"/>
          </w:tcPr>
          <w:p>
            <w:pPr>
              <w:spacing w:after="0"/>
              <w:rPr>
                <w:sz w:val="17"/>
                <w:szCs w:val="17"/>
                <w:color w:val="auto"/>
              </w:rPr>
            </w:pPr>
          </w:p>
        </w:tc>
        <w:tc>
          <w:tcPr>
            <w:tcW w:w="6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the filing of this statement shall not be construed as an</w:t>
            </w: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admission</w:t>
            </w:r>
          </w:p>
        </w:tc>
      </w:tr>
      <w:tr>
        <w:trPr>
          <w:trHeight w:val="203"/>
        </w:trPr>
        <w:tc>
          <w:tcPr>
            <w:tcW w:w="580" w:type="dxa"/>
            <w:vAlign w:val="bottom"/>
          </w:tcPr>
          <w:p>
            <w:pPr>
              <w:spacing w:after="0"/>
              <w:rPr>
                <w:sz w:val="17"/>
                <w:szCs w:val="17"/>
                <w:color w:val="auto"/>
              </w:rPr>
            </w:pPr>
          </w:p>
        </w:tc>
        <w:tc>
          <w:tcPr>
            <w:tcW w:w="7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that Mr. Hawkins is the beneficial owner of any of the securities</w:t>
            </w:r>
          </w:p>
        </w:tc>
      </w:tr>
      <w:tr>
        <w:trPr>
          <w:trHeight w:val="203"/>
        </w:trPr>
        <w:tc>
          <w:tcPr>
            <w:tcW w:w="580" w:type="dxa"/>
            <w:vAlign w:val="bottom"/>
          </w:tcPr>
          <w:p>
            <w:pPr>
              <w:spacing w:after="0"/>
              <w:rPr>
                <w:sz w:val="17"/>
                <w:szCs w:val="17"/>
                <w:color w:val="auto"/>
              </w:rPr>
            </w:pPr>
          </w:p>
        </w:tc>
        <w:tc>
          <w:tcPr>
            <w:tcW w:w="6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covered by this statement.</w:t>
            </w:r>
          </w:p>
        </w:tc>
        <w:tc>
          <w:tcPr>
            <w:tcW w:w="110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 Amount Beneficially Owned: (At 03/31/10)</w:t>
      </w:r>
    </w:p>
    <w:p>
      <w:pPr>
        <w:ind w:left="1060"/>
        <w:spacing w:after="0" w:line="238" w:lineRule="auto"/>
        <w:rPr>
          <w:sz w:val="20"/>
          <w:szCs w:val="20"/>
          <w:color w:val="auto"/>
        </w:rPr>
      </w:pPr>
      <w:r>
        <w:rPr>
          <w:rFonts w:ascii="Courier New" w:cs="Courier New" w:eastAsia="Courier New" w:hAnsi="Courier New"/>
          <w:sz w:val="18"/>
          <w:szCs w:val="18"/>
          <w:color w:val="auto"/>
        </w:rPr>
        <w:t>380,818 shares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 Percent of Class:</w:t>
      </w:r>
    </w:p>
    <w:p>
      <w:pPr>
        <w:ind w:left="1060"/>
        <w:spacing w:after="0" w:line="238" w:lineRule="auto"/>
        <w:rPr>
          <w:sz w:val="20"/>
          <w:szCs w:val="20"/>
          <w:color w:val="auto"/>
        </w:rPr>
      </w:pPr>
      <w:r>
        <w:rPr>
          <w:rFonts w:ascii="Courier New" w:cs="Courier New" w:eastAsia="Courier New" w:hAnsi="Courier New"/>
          <w:sz w:val="18"/>
          <w:szCs w:val="18"/>
          <w:color w:val="auto"/>
        </w:rPr>
        <w:t>4.8 %</w:t>
      </w:r>
    </w:p>
    <w:p>
      <w:pPr>
        <w:spacing w:after="0" w:line="207" w:lineRule="exact"/>
        <w:rPr>
          <w:sz w:val="20"/>
          <w:szCs w:val="20"/>
          <w:color w:val="auto"/>
        </w:rPr>
      </w:pPr>
    </w:p>
    <w:p>
      <w:pPr>
        <w:ind w:left="1060" w:right="2519"/>
        <w:spacing w:after="0" w:line="235" w:lineRule="auto"/>
        <w:rPr>
          <w:sz w:val="20"/>
          <w:szCs w:val="20"/>
          <w:color w:val="auto"/>
        </w:rPr>
      </w:pPr>
      <w:r>
        <w:rPr>
          <w:rFonts w:ascii="Courier New" w:cs="Courier New" w:eastAsia="Courier New" w:hAnsi="Courier New"/>
          <w:sz w:val="18"/>
          <w:szCs w:val="18"/>
          <w:color w:val="auto"/>
        </w:rPr>
        <w:t>Above percentage is based on 7,924,603 shares of Class B Common Stock outstanding.</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Number of shares as to which such person has:</w:t>
      </w:r>
    </w:p>
    <w:p>
      <w:pPr>
        <w:spacing w:after="0" w:line="201" w:lineRule="exact"/>
        <w:rPr>
          <w:sz w:val="20"/>
          <w:szCs w:val="20"/>
          <w:color w:val="auto"/>
        </w:rPr>
      </w:pPr>
    </w:p>
    <w:p>
      <w:pPr>
        <w:ind w:left="1060"/>
        <w:spacing w:after="0"/>
        <w:tabs>
          <w:tab w:leader="none" w:pos="178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6"/>
          <w:szCs w:val="16"/>
          <w:color w:val="auto"/>
        </w:rPr>
        <w:t>sole power to vote or to direct the vote:</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96,115 shares</w:t>
      </w:r>
    </w:p>
    <w:p>
      <w:pPr>
        <w:spacing w:after="0" w:line="201" w:lineRule="exact"/>
        <w:rPr>
          <w:sz w:val="20"/>
          <w:szCs w:val="20"/>
          <w:color w:val="auto"/>
        </w:rPr>
      </w:pPr>
    </w:p>
    <w:p>
      <w:pPr>
        <w:ind w:left="1060"/>
        <w:spacing w:after="0"/>
        <w:tabs>
          <w:tab w:leader="none" w:pos="1780" w:val="left"/>
        </w:tabs>
        <w:rPr>
          <w:sz w:val="20"/>
          <w:szCs w:val="20"/>
          <w:color w:val="auto"/>
        </w:rPr>
      </w:pPr>
      <w:r>
        <w:rPr>
          <w:rFonts w:ascii="Courier New" w:cs="Courier New" w:eastAsia="Courier New" w:hAnsi="Courier New"/>
          <w:sz w:val="18"/>
          <w:szCs w:val="18"/>
          <w:color w:val="auto"/>
        </w:rPr>
        <w:t>(ii).</w:t>
      </w:r>
      <w:r>
        <w:rPr>
          <w:sz w:val="20"/>
          <w:szCs w:val="20"/>
          <w:color w:val="auto"/>
        </w:rPr>
        <w:tab/>
      </w:r>
      <w:r>
        <w:rPr>
          <w:rFonts w:ascii="Courier New" w:cs="Courier New" w:eastAsia="Courier New" w:hAnsi="Courier New"/>
          <w:sz w:val="16"/>
          <w:szCs w:val="16"/>
          <w:color w:val="auto"/>
        </w:rPr>
        <w:t>shared or no power to vote or to direct the vote:</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Shared - 279,517 shares.</w:t>
      </w:r>
    </w:p>
    <w:p>
      <w:pPr>
        <w:spacing w:after="0" w:line="4" w:lineRule="exact"/>
        <w:rPr>
          <w:sz w:val="20"/>
          <w:szCs w:val="20"/>
          <w:color w:val="auto"/>
        </w:rPr>
      </w:pPr>
    </w:p>
    <w:p>
      <w:pPr>
        <w:ind w:left="1800" w:right="2939"/>
        <w:spacing w:after="0" w:line="237" w:lineRule="auto"/>
        <w:rPr>
          <w:sz w:val="20"/>
          <w:szCs w:val="20"/>
          <w:color w:val="auto"/>
        </w:rPr>
      </w:pPr>
      <w:r>
        <w:rPr>
          <w:rFonts w:ascii="Courier New" w:cs="Courier New" w:eastAsia="Courier New" w:hAnsi="Courier New"/>
          <w:sz w:val="18"/>
          <w:szCs w:val="18"/>
          <w:color w:val="auto"/>
        </w:rPr>
        <w:t>Securities owned by the following series of Longleaf Partners Funds Trust, an open-end management investment company registered under the Investment Company Act of 1940, as follows:</w:t>
      </w:r>
    </w:p>
    <w:p>
      <w:pPr>
        <w:sectPr>
          <w:pgSz w:w="11900" w:h="16838" w:orient="portrait"/>
          <w:cols w:equalWidth="0" w:num="1">
            <w:col w:w="10219"/>
          </w:cols>
          <w:pgMar w:left="240" w:top="136" w:right="1440" w:bottom="0" w:gutter="0" w:footer="0" w:header="0"/>
        </w:sectPr>
      </w:pPr>
    </w:p>
    <w:bookmarkStart w:id="3" w:name="page4"/>
    <w:bookmarkEnd w:id="3"/>
    <w:p>
      <w:pPr>
        <w:ind w:left="1800"/>
        <w:spacing w:after="0"/>
        <w:rPr>
          <w:sz w:val="20"/>
          <w:szCs w:val="20"/>
          <w:color w:val="auto"/>
        </w:rPr>
      </w:pPr>
      <w:r>
        <w:rPr>
          <w:rFonts w:ascii="Courier New" w:cs="Courier New" w:eastAsia="Courier New" w:hAnsi="Courier New"/>
          <w:sz w:val="18"/>
          <w:szCs w:val="18"/>
          <w:color w:val="auto"/>
        </w:rPr>
        <w:t>Longleaf Partners Small Cap Fund - 279,517</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No Power to Vote - 5,186.</w:t>
      </w:r>
    </w:p>
    <w:p>
      <w:pPr>
        <w:spacing w:after="0" w:line="207" w:lineRule="exact"/>
        <w:rPr>
          <w:sz w:val="20"/>
          <w:szCs w:val="20"/>
          <w:color w:val="auto"/>
        </w:rPr>
      </w:pPr>
    </w:p>
    <w:p>
      <w:pPr>
        <w:ind w:left="1800" w:right="3159" w:hanging="736"/>
        <w:spacing w:after="0" w:line="235" w:lineRule="auto"/>
        <w:rPr>
          <w:sz w:val="20"/>
          <w:szCs w:val="20"/>
          <w:color w:val="auto"/>
        </w:rPr>
      </w:pPr>
      <w:r>
        <w:rPr>
          <w:rFonts w:ascii="Courier New" w:cs="Courier New" w:eastAsia="Courier New" w:hAnsi="Courier New"/>
          <w:sz w:val="18"/>
          <w:szCs w:val="18"/>
          <w:color w:val="auto"/>
        </w:rPr>
        <w:t>(iii). sole power to dispose or to direct the disposition of:</w:t>
      </w:r>
    </w:p>
    <w:p>
      <w:pPr>
        <w:spacing w:after="0" w:line="203"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101,301 shares</w:t>
      </w:r>
    </w:p>
    <w:p>
      <w:pPr>
        <w:spacing w:after="0" w:line="207" w:lineRule="exact"/>
        <w:rPr>
          <w:sz w:val="20"/>
          <w:szCs w:val="20"/>
          <w:color w:val="auto"/>
        </w:rPr>
      </w:pPr>
    </w:p>
    <w:p>
      <w:pPr>
        <w:ind w:left="1800" w:right="3579" w:hanging="736"/>
        <w:spacing w:after="0" w:line="235" w:lineRule="auto"/>
        <w:tabs>
          <w:tab w:leader="none" w:pos="1780" w:val="left"/>
        </w:tabs>
        <w:rPr>
          <w:sz w:val="20"/>
          <w:szCs w:val="20"/>
          <w:color w:val="auto"/>
        </w:rPr>
      </w:pPr>
      <w:r>
        <w:rPr>
          <w:rFonts w:ascii="Courier New" w:cs="Courier New" w:eastAsia="Courier New" w:hAnsi="Courier New"/>
          <w:sz w:val="18"/>
          <w:szCs w:val="18"/>
          <w:color w:val="auto"/>
        </w:rPr>
        <w:t>(iv).</w:t>
        <w:tab/>
        <w:t>shared or no power to dispose or to direct the disposition of:</w:t>
      </w:r>
    </w:p>
    <w:p>
      <w:pPr>
        <w:spacing w:after="0" w:line="203"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Shared - 279,517 shares</w:t>
      </w:r>
    </w:p>
    <w:p>
      <w:pPr>
        <w:spacing w:after="0" w:line="4" w:lineRule="exact"/>
        <w:rPr>
          <w:sz w:val="20"/>
          <w:szCs w:val="20"/>
          <w:color w:val="auto"/>
        </w:rPr>
      </w:pPr>
    </w:p>
    <w:p>
      <w:pPr>
        <w:ind w:left="1800" w:right="2939"/>
        <w:spacing w:after="0" w:line="237" w:lineRule="auto"/>
        <w:rPr>
          <w:sz w:val="20"/>
          <w:szCs w:val="20"/>
          <w:color w:val="auto"/>
        </w:rPr>
      </w:pPr>
      <w:r>
        <w:rPr>
          <w:rFonts w:ascii="Courier New" w:cs="Courier New" w:eastAsia="Courier New" w:hAnsi="Courier New"/>
          <w:sz w:val="18"/>
          <w:szCs w:val="18"/>
          <w:color w:val="auto"/>
        </w:rPr>
        <w:t>Securities owned by the following series of Longleaf Partners Funds Trust, an open-end management investment company registered under the Investment Company Act of 1940, as follows:</w:t>
      </w:r>
    </w:p>
    <w:p>
      <w:pPr>
        <w:spacing w:after="0" w:line="202"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Longleaf Partners Small Cap Fund - 279,517</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No Power - 0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860" w:right="2519" w:hanging="842"/>
        <w:spacing w:after="0" w:line="235" w:lineRule="auto"/>
        <w:rPr>
          <w:sz w:val="20"/>
          <w:szCs w:val="20"/>
          <w:color w:val="auto"/>
        </w:rPr>
      </w:pPr>
      <w:r>
        <w:rPr>
          <w:rFonts w:ascii="Courier New" w:cs="Courier New" w:eastAsia="Courier New" w:hAnsi="Courier New"/>
          <w:sz w:val="18"/>
          <w:szCs w:val="18"/>
          <w:color w:val="auto"/>
        </w:rPr>
        <w:t>Item 5. Ownership of Five Percent or Less of a Class:</w:t>
      </w:r>
      <w:r>
        <w:rPr>
          <w:sz w:val="20"/>
          <w:szCs w:val="20"/>
          <w:color w:val="auto"/>
        </w:rPr>
        <w:t xml:space="preserve"> </w:t>
      </w:r>
      <w:r>
        <w:rPr>
          <w:rFonts w:ascii="Courier New" w:cs="Courier New" w:eastAsia="Courier New" w:hAnsi="Courier New"/>
          <w:sz w:val="18"/>
          <w:szCs w:val="18"/>
          <w:color w:val="auto"/>
        </w:rPr>
        <w:t>The filing parties no longer own 5% of the Securities of the Issuer.</w:t>
      </w:r>
    </w:p>
    <w:p>
      <w:pPr>
        <w:spacing w:after="0" w:line="200" w:lineRule="exact"/>
        <w:rPr>
          <w:sz w:val="20"/>
          <w:szCs w:val="20"/>
          <w:color w:val="auto"/>
        </w:rPr>
      </w:pPr>
    </w:p>
    <w:p>
      <w:pPr>
        <w:spacing w:after="0" w:line="211" w:lineRule="exact"/>
        <w:rPr>
          <w:sz w:val="20"/>
          <w:szCs w:val="20"/>
          <w:color w:val="auto"/>
        </w:rPr>
      </w:pPr>
    </w:p>
    <w:p>
      <w:pPr>
        <w:ind w:left="860" w:right="3479" w:hanging="842"/>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 N/A</w:t>
      </w:r>
    </w:p>
    <w:p>
      <w:pPr>
        <w:spacing w:after="0" w:line="200" w:lineRule="exact"/>
        <w:rPr>
          <w:sz w:val="20"/>
          <w:szCs w:val="20"/>
          <w:color w:val="auto"/>
        </w:rPr>
      </w:pPr>
    </w:p>
    <w:p>
      <w:pPr>
        <w:spacing w:after="0" w:line="211" w:lineRule="exact"/>
        <w:rPr>
          <w:sz w:val="20"/>
          <w:szCs w:val="20"/>
          <w:color w:val="auto"/>
        </w:rPr>
      </w:pPr>
    </w:p>
    <w:p>
      <w:pPr>
        <w:ind w:left="860" w:right="3359" w:hanging="842"/>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N/A</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ind w:left="860"/>
        <w:spacing w:after="0" w:line="238" w:lineRule="auto"/>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4"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8"/>
          <w:szCs w:val="18"/>
          <w:color w:val="auto"/>
        </w:rPr>
        <w:t>Item 9. Notice of Dissolution of Group:</w:t>
      </w:r>
      <w:r>
        <w:rPr>
          <w:sz w:val="20"/>
          <w:szCs w:val="20"/>
          <w:color w:val="auto"/>
        </w:rPr>
        <w:tab/>
      </w:r>
      <w:r>
        <w:rPr>
          <w:rFonts w:ascii="Courier New" w:cs="Courier New" w:eastAsia="Courier New" w:hAnsi="Courier New"/>
          <w:sz w:val="16"/>
          <w:szCs w:val="16"/>
          <w:color w:val="auto"/>
        </w:rPr>
        <w:t>N/A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0" w:lineRule="exact"/>
        <w:rPr>
          <w:sz w:val="20"/>
          <w:szCs w:val="20"/>
          <w:color w:val="auto"/>
        </w:rPr>
      </w:pPr>
    </w:p>
    <w:p>
      <w:pPr>
        <w:spacing w:after="0" w:line="209"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and do 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3679"/>
        <w:spacing w:after="0" w:line="237" w:lineRule="auto"/>
        <w:rPr>
          <w:sz w:val="20"/>
          <w:szCs w:val="20"/>
          <w:color w:val="auto"/>
        </w:rPr>
      </w:pPr>
      <w:r>
        <w:rPr>
          <w:rFonts w:ascii="Courier New" w:cs="Courier New" w:eastAsia="Courier New" w:hAnsi="Courier New"/>
          <w:sz w:val="18"/>
          <w:szCs w:val="18"/>
          <w:color w:val="auto"/>
        </w:rPr>
        <w:t>After reasonable inquiry and to the best of the knowledge and belief of the undersigned, the undersigned certifies that the information set forth in this statement is true, complete, and correct.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April 7, 2010</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Southeastern Asset Management, Inc.</w:t>
      </w:r>
    </w:p>
    <w:p>
      <w:pPr>
        <w:spacing w:after="0" w:line="201" w:lineRule="exact"/>
        <w:rPr>
          <w:sz w:val="20"/>
          <w:szCs w:val="20"/>
          <w:color w:val="auto"/>
        </w:rPr>
      </w:pPr>
    </w:p>
    <w:p>
      <w:pPr>
        <w:ind w:left="316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Andrew R. McCarroll</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Andrew R. McCarroll</w:t>
      </w:r>
    </w:p>
    <w:p>
      <w:pPr>
        <w:ind w:left="3160"/>
        <w:spacing w:after="0" w:line="238" w:lineRule="auto"/>
        <w:rPr>
          <w:sz w:val="20"/>
          <w:szCs w:val="20"/>
          <w:color w:val="auto"/>
        </w:rPr>
      </w:pPr>
      <w:r>
        <w:rPr>
          <w:rFonts w:ascii="Courier New" w:cs="Courier New" w:eastAsia="Courier New" w:hAnsi="Courier New"/>
          <w:sz w:val="18"/>
          <w:szCs w:val="18"/>
          <w:color w:val="auto"/>
        </w:rPr>
        <w:t>Vice President and General Counsel</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O. Mason Hawkins, Individually</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 O. Mason Hawkins</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ectPr>
          <w:pgSz w:w="11900" w:h="16838" w:orient="portrait"/>
          <w:cols w:equalWidth="0" w:num="1">
            <w:col w:w="10219"/>
          </w:cols>
          <w:pgMar w:left="240" w:top="136" w:right="1440" w:bottom="352" w:gutter="0" w:footer="0" w:header="0"/>
        </w:sectPr>
      </w:pPr>
    </w:p>
    <w:bookmarkStart w:id="4" w:name="page5"/>
    <w:bookmarkEnd w:id="4"/>
    <w:p>
      <w:pPr>
        <w:jc w:val="center"/>
        <w:ind w:right="3039"/>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In accordance with Rule 13d-1(k) under the Securities Exchange Act of 1934, the persons or entities named below agree to the joint filing on behalf of each of them of this Schedule 13G with respect to the Securities of the Issuer and further agree that this joint filing agreement be included as an exhibit to this Schedule 13G. In evidence thereof, the undersigned hereby execute this Agreement as of April 7, 2010.</w:t>
      </w:r>
    </w:p>
    <w:p>
      <w:pPr>
        <w:spacing w:after="0" w:line="200" w:lineRule="exact"/>
        <w:rPr>
          <w:sz w:val="20"/>
          <w:szCs w:val="20"/>
          <w:color w:val="auto"/>
        </w:rPr>
      </w:pPr>
    </w:p>
    <w:p>
      <w:pPr>
        <w:spacing w:after="0" w:line="208"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Southeastern Asset Management, Inc.</w:t>
      </w:r>
    </w:p>
    <w:p>
      <w:pPr>
        <w:spacing w:after="0" w:line="201" w:lineRule="exact"/>
        <w:rPr>
          <w:sz w:val="20"/>
          <w:szCs w:val="20"/>
          <w:color w:val="auto"/>
        </w:rPr>
      </w:pPr>
    </w:p>
    <w:p>
      <w:pPr>
        <w:ind w:left="316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Andrew R. McCarroll</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Andrew R. McCarroll</w:t>
      </w:r>
    </w:p>
    <w:p>
      <w:pPr>
        <w:ind w:left="3160"/>
        <w:spacing w:after="0" w:line="238" w:lineRule="auto"/>
        <w:rPr>
          <w:sz w:val="20"/>
          <w:szCs w:val="20"/>
          <w:color w:val="auto"/>
        </w:rPr>
      </w:pPr>
      <w:r>
        <w:rPr>
          <w:rFonts w:ascii="Courier New" w:cs="Courier New" w:eastAsia="Courier New" w:hAnsi="Courier New"/>
          <w:sz w:val="18"/>
          <w:szCs w:val="18"/>
          <w:color w:val="auto"/>
        </w:rPr>
        <w:t>Vice President and General Counsel</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O. Mason Hawkins, Individually</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 O. Mason Hawkins</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WPO13G2.doc</w:t>
      </w:r>
    </w:p>
    <w:p>
      <w:pPr>
        <w:spacing w:after="0"/>
        <w:rPr>
          <w:sz w:val="20"/>
          <w:szCs w:val="20"/>
          <w:color w:val="auto"/>
        </w:rPr>
      </w:pPr>
      <w:r>
        <w:rPr>
          <w:rFonts w:ascii="Courier New" w:cs="Courier New" w:eastAsia="Courier New" w:hAnsi="Courier New"/>
          <w:sz w:val="18"/>
          <w:szCs w:val="18"/>
          <w:color w:val="auto"/>
        </w:rPr>
        <w:t>SCHEDULE 13G - The Washington Post Company ("Issuer")</w:t>
      </w:r>
    </w:p>
    <w:p>
      <w:pPr>
        <w:spacing w:after="0" w:line="237" w:lineRule="auto"/>
        <w:rPr>
          <w:sz w:val="20"/>
          <w:szCs w:val="20"/>
          <w:color w:val="auto"/>
        </w:rPr>
      </w:pPr>
      <w:r>
        <w:rPr>
          <w:rFonts w:ascii="Courier New" w:cs="Courier New" w:eastAsia="Courier New" w:hAnsi="Courier New"/>
          <w:sz w:val="18"/>
          <w:szCs w:val="18"/>
          <w:color w:val="auto"/>
        </w:rPr>
        <w:t>Amendment #2</w:t>
      </w:r>
    </w:p>
    <w:p>
      <w:pPr>
        <w:spacing w:after="0" w:line="238" w:lineRule="auto"/>
        <w:rPr>
          <w:sz w:val="20"/>
          <w:szCs w:val="20"/>
          <w:color w:val="auto"/>
        </w:rPr>
      </w:pPr>
      <w:r>
        <w:rPr>
          <w:rFonts w:ascii="Courier New" w:cs="Courier New" w:eastAsia="Courier New" w:hAnsi="Courier New"/>
          <w:sz w:val="18"/>
          <w:szCs w:val="18"/>
          <w:color w:val="auto"/>
        </w:rPr>
        <w:t>7</w:t>
      </w:r>
    </w:p>
    <w:p>
      <w:pPr>
        <w:spacing w:after="0"/>
        <w:rPr>
          <w:sz w:val="20"/>
          <w:szCs w:val="20"/>
          <w:color w:val="auto"/>
        </w:rPr>
      </w:pPr>
      <w:r>
        <w:rPr>
          <w:rFonts w:ascii="Courier New" w:cs="Courier New" w:eastAsia="Courier New" w:hAnsi="Courier New"/>
          <w:sz w:val="18"/>
          <w:szCs w:val="18"/>
          <w:color w:val="auto"/>
        </w:rPr>
        <w:t>WPO13G2.doc</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1)"/>
      <w:numFmt w:val="decimal"/>
      <w:start w:val="2"/>
    </w:lvl>
    <w:lvl w:ilvl="1">
      <w:lvlJc w:val="left"/>
      <w:lvlText w:val="(%2)"/>
      <w:numFmt w:val="lowerLetter"/>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1)"/>
      <w:numFmt w:val="decimal"/>
      <w:start w:val="9"/>
    </w:lvl>
  </w:abstractNum>
  <w:abstractNum w:abstractNumId="5">
    <w:nsid w:val="216231B"/>
    <w:multiLevelType w:val="hybridMultilevel"/>
    <w:lvl w:ilvl="0">
      <w:lvlJc w:val="left"/>
      <w:lvlText w:val="(%1)"/>
      <w:numFmt w:val="decimal"/>
      <w:start w:val="10"/>
    </w:lvl>
  </w:abstractNum>
  <w:abstractNum w:abstractNumId="6">
    <w:nsid w:val="1F16E9E8"/>
    <w:multiLevelType w:val="hybridMultilevel"/>
    <w:lvl w:ilvl="0">
      <w:lvlJc w:val="left"/>
      <w:lvlText w:val="(%1)"/>
      <w:numFmt w:val="decimal"/>
      <w:start w:val="11"/>
    </w:lvl>
  </w:abstractNum>
  <w:abstractNum w:abstractNumId="7">
    <w:nsid w:val="1190CDE7"/>
    <w:multiLevelType w:val="hybridMultilevel"/>
    <w:lvl w:ilvl="0">
      <w:lvlJc w:val="left"/>
      <w:lvlText w:val="(%1)"/>
      <w:numFmt w:val="decimal"/>
      <w:start w:val="12"/>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2"/>
    </w:lvl>
    <w:lvl w:ilvl="1">
      <w:lvlJc w:val="left"/>
      <w:lvlText w:val="(%2)"/>
      <w:numFmt w:val="lowerLetter"/>
      <w:start w:val="1"/>
    </w:lvl>
  </w:abstractNum>
  <w:abstractNum w:abstractNumId="10">
    <w:nsid w:val="3352255A"/>
    <w:multiLevelType w:val="hybridMultilevel"/>
    <w:lvl w:ilvl="0">
      <w:lvlJc w:val="left"/>
      <w:lvlText w:val="(%1)"/>
      <w:numFmt w:val="decimal"/>
      <w:start w:val="8"/>
    </w:lvl>
    <w:lvl w:ilvl="1">
      <w:lvlJc w:val="left"/>
      <w:lvlText w:val=":"/>
      <w:numFmt w:val="bullet"/>
      <w:start w:val="1"/>
    </w:lvl>
  </w:abstractNum>
  <w:abstractNum w:abstractNumId="11">
    <w:nsid w:val="109CF92E"/>
    <w:multiLevelType w:val="hybridMultilevel"/>
    <w:lvl w:ilvl="0">
      <w:lvlJc w:val="left"/>
      <w:lvlText w:val="(%1)"/>
      <w:numFmt w:val="decimal"/>
      <w:start w:val="10"/>
    </w:lvl>
  </w:abstractNum>
  <w:abstractNum w:abstractNumId="12">
    <w:nsid w:val="DED7263"/>
    <w:multiLevelType w:val="hybridMultilevel"/>
    <w:lvl w:ilvl="0">
      <w:lvlJc w:val="left"/>
      <w:lvlText w:val="(%1)"/>
      <w:numFmt w:val="decimal"/>
      <w:start w:val="11"/>
    </w:lvl>
  </w:abstractNum>
  <w:abstractNum w:abstractNumId="13">
    <w:nsid w:val="7FDCC233"/>
    <w:multiLevelType w:val="hybridMultilevel"/>
    <w:lvl w:ilvl="0">
      <w:lvlJc w:val="left"/>
      <w:lvlText w:val="(%1)"/>
      <w:numFmt w:val="decimal"/>
      <w:start w:val="12"/>
    </w:lvl>
  </w:abstractNum>
  <w:abstractNum w:abstractNumId="14">
    <w:nsid w:val="1BEFD79F"/>
    <w:multiLevelType w:val="hybridMultilevel"/>
    <w:lvl w:ilvl="0">
      <w:lvlJc w:val="left"/>
      <w:lvlText w:val="(%1)"/>
      <w:numFmt w:val="lowerLetter"/>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2019-12-10T02:42:16Z</dcterms:created>
  <dcterms:modified xsi:type="dcterms:W3CDTF">2019-12-10T02:42:16Z</dcterms:modified>
</cp:coreProperties>
</file>