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271780</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338455</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August 2, 2017</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14"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103505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97"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306" w:lineRule="exact"/>
        <w:rPr>
          <w:sz w:val="24"/>
          <w:szCs w:val="24"/>
          <w:color w:val="auto"/>
        </w:rPr>
      </w:pPr>
    </w:p>
    <w:p>
      <w:pPr>
        <w:ind w:right="12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52" w:lineRule="exact"/>
        <w:rPr>
          <w:sz w:val="24"/>
          <w:szCs w:val="24"/>
          <w:color w:val="auto"/>
        </w:rPr>
      </w:pPr>
    </w:p>
    <w:p>
      <w:pPr>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52"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August 2, 2017, Graham Holdings Company issued a press release announcing the Company’s earnings for the second quarter ended June 30, 2017. A copy of this press release is furnished with this report as an exhibit to this Form 8-K.</w:t>
      </w:r>
    </w:p>
    <w:p>
      <w:pPr>
        <w:spacing w:after="0" w:line="200" w:lineRule="exact"/>
        <w:rPr>
          <w:sz w:val="20"/>
          <w:szCs w:val="20"/>
          <w:color w:val="auto"/>
        </w:rPr>
      </w:pPr>
    </w:p>
    <w:p>
      <w:pPr>
        <w:spacing w:after="0" w:line="2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August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323850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994" w:right="6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4"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4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440" w:val="left"/>
        </w:tabs>
        <w:rPr>
          <w:sz w:val="20"/>
          <w:szCs w:val="20"/>
          <w:color w:val="auto"/>
        </w:rPr>
      </w:pPr>
      <w:r>
        <w:rPr>
          <w:rFonts w:ascii="Arial" w:cs="Arial" w:eastAsia="Arial" w:hAnsi="Arial"/>
          <w:sz w:val="18"/>
          <w:szCs w:val="18"/>
          <w:color w:val="auto"/>
        </w:rPr>
        <w:t>Date: August 2, 2017</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9"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Wallace R. Cooney,</w:t>
      </w:r>
    </w:p>
    <w:p>
      <w:pPr>
        <w:jc w:val="center"/>
        <w:ind w:left="7280"/>
        <w:spacing w:after="0" w:line="234" w:lineRule="auto"/>
        <w:rPr>
          <w:sz w:val="20"/>
          <w:szCs w:val="20"/>
          <w:color w:val="auto"/>
        </w:rPr>
      </w:pPr>
      <w:r>
        <w:rPr>
          <w:rFonts w:ascii="Arial" w:cs="Arial" w:eastAsia="Arial" w:hAnsi="Arial"/>
          <w:sz w:val="18"/>
          <w:szCs w:val="18"/>
          <w:color w:val="auto"/>
        </w:rPr>
        <w:t>Senior Vice President-Finance</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1292860</wp:posOffset>
            </wp:positionV>
            <wp:extent cx="7212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994"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Graham Holdings Company Earnings Release dated August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99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Contact:</w:t>
            </w:r>
          </w:p>
        </w:tc>
        <w:tc>
          <w:tcPr>
            <w:tcW w:w="4020" w:type="dxa"/>
            <w:vAlign w:val="bottom"/>
          </w:tcPr>
          <w:p>
            <w:pPr>
              <w:jc w:val="right"/>
              <w:ind w:right="2070"/>
              <w:spacing w:after="0"/>
              <w:rPr>
                <w:sz w:val="20"/>
                <w:szCs w:val="20"/>
                <w:color w:val="auto"/>
              </w:rPr>
            </w:pPr>
            <w:r>
              <w:rPr>
                <w:rFonts w:ascii="Arial" w:cs="Arial" w:eastAsia="Arial" w:hAnsi="Arial"/>
                <w:sz w:val="18"/>
                <w:szCs w:val="18"/>
                <w:color w:val="auto"/>
              </w:rPr>
              <w:t>Wallace R. Cooney</w:t>
            </w:r>
          </w:p>
        </w:tc>
        <w:tc>
          <w:tcPr>
            <w:tcW w:w="4060" w:type="dxa"/>
            <w:vAlign w:val="bottom"/>
            <w:gridSpan w:val="2"/>
          </w:tcPr>
          <w:p>
            <w:pPr>
              <w:ind w:left="2180"/>
              <w:spacing w:after="0"/>
              <w:rPr>
                <w:sz w:val="20"/>
                <w:szCs w:val="20"/>
                <w:color w:val="auto"/>
              </w:rPr>
            </w:pPr>
            <w:r>
              <w:rPr>
                <w:rFonts w:ascii="Arial" w:cs="Arial" w:eastAsia="Arial" w:hAnsi="Arial"/>
                <w:sz w:val="18"/>
                <w:szCs w:val="18"/>
                <w:color w:val="auto"/>
                <w:w w:val="99"/>
              </w:rPr>
              <w:t>For Immediate Release</w:t>
            </w:r>
          </w:p>
        </w:tc>
      </w:tr>
      <w:tr>
        <w:trPr>
          <w:trHeight w:val="237"/>
        </w:trPr>
        <w:tc>
          <w:tcPr>
            <w:tcW w:w="960" w:type="dxa"/>
            <w:vAlign w:val="bottom"/>
          </w:tcPr>
          <w:p>
            <w:pPr>
              <w:spacing w:after="0"/>
              <w:rPr>
                <w:sz w:val="20"/>
                <w:szCs w:val="20"/>
                <w:color w:val="auto"/>
              </w:rPr>
            </w:pPr>
          </w:p>
        </w:tc>
        <w:tc>
          <w:tcPr>
            <w:tcW w:w="4020" w:type="dxa"/>
            <w:vAlign w:val="bottom"/>
          </w:tcPr>
          <w:p>
            <w:pPr>
              <w:jc w:val="right"/>
              <w:ind w:right="2410"/>
              <w:spacing w:after="0"/>
              <w:rPr>
                <w:sz w:val="20"/>
                <w:szCs w:val="20"/>
                <w:color w:val="auto"/>
              </w:rPr>
            </w:pPr>
            <w:r>
              <w:rPr>
                <w:rFonts w:ascii="Arial" w:cs="Arial" w:eastAsia="Arial" w:hAnsi="Arial"/>
                <w:sz w:val="18"/>
                <w:szCs w:val="18"/>
                <w:color w:val="auto"/>
              </w:rPr>
              <w:t>(703) 345-6470</w:t>
            </w:r>
          </w:p>
        </w:tc>
        <w:tc>
          <w:tcPr>
            <w:tcW w:w="2180" w:type="dxa"/>
            <w:vAlign w:val="bottom"/>
          </w:tcPr>
          <w:p>
            <w:pPr>
              <w:spacing w:after="0"/>
              <w:rPr>
                <w:sz w:val="20"/>
                <w:szCs w:val="20"/>
                <w:color w:val="auto"/>
              </w:rPr>
            </w:pPr>
          </w:p>
        </w:tc>
        <w:tc>
          <w:tcPr>
            <w:tcW w:w="18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August 2, 2017</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GRAHAM HOLDINGS COMPANY REPORTS</w:t>
      </w:r>
    </w:p>
    <w:p>
      <w:pPr>
        <w:jc w:val="center"/>
        <w:spacing w:after="0"/>
        <w:rPr>
          <w:sz w:val="20"/>
          <w:szCs w:val="20"/>
          <w:color w:val="auto"/>
        </w:rPr>
      </w:pPr>
      <w:r>
        <w:rPr>
          <w:rFonts w:ascii="Arial" w:cs="Arial" w:eastAsia="Arial" w:hAnsi="Arial"/>
          <w:sz w:val="18"/>
          <w:szCs w:val="18"/>
          <w:color w:val="auto"/>
        </w:rPr>
        <w:t>SECOND QUARTER EARNINGS</w:t>
      </w:r>
    </w:p>
    <w:p>
      <w:pPr>
        <w:spacing w:after="0" w:line="14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ARLINGTON, VA – Graham Holdings Company (NYSE: GHC) today reported income attributable to common shares of $42.0 million ($7.46 per share) for the second quarter of 2017, compared to $60.8 million ($10.76 per share) for the second quarter of 2016.</w:t>
      </w:r>
    </w:p>
    <w:p>
      <w:pPr>
        <w:spacing w:after="0" w:line="135"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The results for the second quarter of 2017 and 2016 were affected by a number of items as described in the following paragraphs. Excluding these items, income attributable to common shares was $45.6 million ($8.10 per share) for the second quarter of 2017, compared to $45.0 million ($7.97 per share) for the second quarter of 2016. (Refer to the Non-GAAP Financial Information schedule at the end of this release for additional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second quarter of 2017:</w:t>
      </w:r>
    </w:p>
    <w:p>
      <w:pPr>
        <w:spacing w:after="0" w:line="144" w:lineRule="exact"/>
        <w:rPr>
          <w:sz w:val="20"/>
          <w:szCs w:val="20"/>
          <w:color w:val="auto"/>
        </w:rPr>
      </w:pPr>
    </w:p>
    <w:p>
      <w:pPr>
        <w:ind w:left="180" w:right="4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$9.2 million goodwill and other long-lived asset impairment charge in other businesses (after-tax impact of $5.8 million, or $1.03 per share); and</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$3.5 million in non-operating foreign currency gains (after-tax impact of $2.2 million, or $0.39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second quarter of 2016:</w:t>
      </w:r>
    </w:p>
    <w:p>
      <w:pPr>
        <w:spacing w:after="0" w:line="144" w:lineRule="exact"/>
        <w:rPr>
          <w:sz w:val="20"/>
          <w:szCs w:val="20"/>
          <w:color w:val="auto"/>
        </w:rPr>
      </w:pPr>
    </w:p>
    <w:p>
      <w:pPr>
        <w:ind w:left="180" w:right="50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$38.6 million non-operating gain from the sales of land and marketable equity securities (after-tax impact of $23.9 million or $4.23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$3.2 million non-operating gain arising from the formation of a joint venture (after-tax impact of $1.7 million, or $0.29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$24.1 million in non-operating foreign currency losses (after-tax impact of $15.4 million, or $2.73 per share); and</w:t>
      </w:r>
    </w:p>
    <w:p>
      <w:pPr>
        <w:spacing w:after="0" w:line="144" w:lineRule="exact"/>
        <w:rPr>
          <w:rFonts w:ascii="Arial" w:cs="Arial" w:eastAsia="Arial" w:hAnsi="Arial"/>
          <w:sz w:val="18"/>
          <w:szCs w:val="18"/>
          <w:color w:val="auto"/>
        </w:rPr>
      </w:pPr>
    </w:p>
    <w:p>
      <w:pPr>
        <w:ind w:left="180" w:right="14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favorable $5.6 million out of period deferred tax adjustment related to the Kaplan Higher Education (KHE) goodwill impairment recorded in the third quarter of 2015 ($1.00 per share).</w:t>
      </w:r>
    </w:p>
    <w:p>
      <w:pPr>
        <w:spacing w:after="0" w:line="13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Revenue for the second quarter of 2017 was $676.1 million, up 7% from $628.9 million in the second quarter of 2016. Revenues increased at the television broadcasting division and in other businesses, offset by a decline at the education division. The Company reported operating income of $ 68.4 million for the second quarter of 2017, compared to $ 74.1 million for the second quarter of 2016. The operating income decline is driven by lower earnings at the television broadcasting division and in other businesses.</w:t>
      </w:r>
    </w:p>
    <w:p>
      <w:pPr>
        <w:spacing w:after="0" w:line="135"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On April 27, 2017, certain Kaplan subsidiaries entered into a Contribution and Transfer Agreement (Transfer Agreement) to contribute Kaplan University (KU), its institutional assets and operations to a new, nonprofit, public-benefit corporation (New University) affiliated with Purdue University (Purdue) in exchange for a Transition and Operations Support Agreement (TOSA) to provide key non-academic operations support to New University for an initial term of 30 years with a buy-out option after six years. The transfer does not include any of the assets of Kaplan University School of Professional and Continuing Education (KU-PACE), which provides professional training and exam preparation for professional certifications and licensures, nor does it include the transfer of other Kaplan businesses such as Kaplan Test Preparation and Kaplan International.</w:t>
      </w:r>
    </w:p>
    <w:p>
      <w:pPr>
        <w:spacing w:after="0" w:line="139"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Consummation of the transactions contemplated by the Transfer Agreement is subject to various closing conditions, including, among others, regulatory approvals from the U.S. Department of Education, the Indiana Commission for Higher Education and HLC, which is the regional accreditor of both Purdue and KU, and certain other state educational agencies and accreditors of programs. Kaplan is unable to predict with certainty when and if such approvals will be obtained; however, all approvals may not be received until the first quarter of 2018. If the transaction is not consummated by April 30, 2018, either party may terminate the Transfer Agreement.</w:t>
      </w:r>
    </w:p>
    <w:p>
      <w:pPr>
        <w:spacing w:after="0" w:line="137"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For the first six months of 2017, the company reported income attributable to common shares of $63.1 million ($11.21 per share), compared to $98.5 million ($17.33 per share) for the first six months of 2016. The results for the first six months of 2017 and 2016 were affected by a number of items as described in the following paragraphs. Excluding these items, income attributable to common shares was $59.7 million ($10.60 per share) for the first six</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5" w:name="page6"/>
    <w:bookmarkEnd w:id="5"/>
    <w:p>
      <w:pPr>
        <w:ind w:right="260"/>
        <w:spacing w:after="0" w:line="235" w:lineRule="auto"/>
        <w:rPr>
          <w:sz w:val="20"/>
          <w:szCs w:val="20"/>
          <w:color w:val="auto"/>
        </w:rPr>
      </w:pPr>
      <w:r>
        <w:rPr>
          <w:rFonts w:ascii="Arial" w:cs="Arial" w:eastAsia="Arial" w:hAnsi="Arial"/>
          <w:sz w:val="18"/>
          <w:szCs w:val="18"/>
          <w:color w:val="auto"/>
        </w:rPr>
        <w:t>months of 2017, compared to $73.2 million ($12.87 per share) for the first six months of 2016. (Refer to the Non-GAAP Financial Information schedule at the end of this release for additional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six months of 2017:</w:t>
      </w:r>
    </w:p>
    <w:p>
      <w:pPr>
        <w:spacing w:after="0" w:line="144"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$9.2 million goodwill and other long-lived asset impairment charge in other businesses (after-tax impact of $5.8 million, or $1.03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$5.2 million in non-operating foreign currency gains (after-tax impact of $3.3 million, or $0.58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$5.9 million in income tax benefits related to stock compensation ($1.06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six months of 2016:</w:t>
      </w:r>
    </w:p>
    <w:p>
      <w:pPr>
        <w:spacing w:after="0" w:line="144" w:lineRule="exact"/>
        <w:rPr>
          <w:sz w:val="20"/>
          <w:szCs w:val="20"/>
          <w:color w:val="auto"/>
        </w:rPr>
      </w:pPr>
    </w:p>
    <w:p>
      <w:pPr>
        <w:ind w:left="180" w:right="460" w:hanging="172"/>
        <w:spacing w:after="0" w:line="235"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$40.3 million non-operating gain from the sales of land and marketable equity securities (after-tax impact of $25.0 million, or $4.42 per share);</w:t>
      </w:r>
    </w:p>
    <w:p>
      <w:pPr>
        <w:spacing w:after="0" w:line="134" w:lineRule="exact"/>
        <w:rPr>
          <w:rFonts w:ascii="Arial" w:cs="Arial" w:eastAsia="Arial" w:hAnsi="Arial"/>
          <w:sz w:val="18"/>
          <w:szCs w:val="18"/>
          <w:color w:val="auto"/>
        </w:rPr>
      </w:pPr>
    </w:p>
    <w:p>
      <w:pPr>
        <w:ind w:left="180" w:right="60" w:hanging="172"/>
        <w:spacing w:after="0" w:line="235"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$22.2 million non-operating gain arising from the sale of a business and the formation of a joint venture (after-tax impact of $13.6 million, or $2.37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$29.5 million in non-operating foreign currency losses (after-tax impact of $18.9 million, or $3.33 per share); and</w:t>
      </w:r>
    </w:p>
    <w:p>
      <w:pPr>
        <w:spacing w:after="0" w:line="144" w:lineRule="exact"/>
        <w:rPr>
          <w:rFonts w:ascii="Arial" w:cs="Arial" w:eastAsia="Arial" w:hAnsi="Arial"/>
          <w:sz w:val="18"/>
          <w:szCs w:val="18"/>
          <w:color w:val="auto"/>
        </w:rPr>
      </w:pPr>
    </w:p>
    <w:p>
      <w:pPr>
        <w:ind w:left="180" w:right="320" w:hanging="172"/>
        <w:spacing w:after="0" w:line="235"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favorable $5.6 million out of period deferred tax adjustment related to the KHE goodwill impairment recorded in the third quarter of 2015 ($1.00 per share).</w:t>
      </w:r>
    </w:p>
    <w:p>
      <w:pPr>
        <w:spacing w:after="0" w:line="13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Revenue for the first six months of 2017 was $1,258.8 million, up 2% from $1,230.7 million in the first six months of 2016. Revenues increased at the television broadcasting division and in other businesses, offset by a decline at the education division. The Company reported operating income of $97.4 million for the first six months of 2017, compared to $126.0 million for first six months of 2016. Operating results declined at the education and television broadcasting divisions and in other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Education division revenue totaled $386.5 million for the second quarter of 2017, down 8% from revenue of $419.2 million for the same period of 2016. Kaplan reported operating income of $32.9 million for each of the second quarters of 2017 and 2016.</w:t>
      </w:r>
    </w:p>
    <w:p>
      <w:pPr>
        <w:spacing w:after="0" w:line="135" w:lineRule="exact"/>
        <w:rPr>
          <w:sz w:val="20"/>
          <w:szCs w:val="20"/>
          <w:color w:val="auto"/>
        </w:rPr>
      </w:pPr>
    </w:p>
    <w:p>
      <w:pPr>
        <w:jc w:val="both"/>
        <w:ind w:right="40"/>
        <w:spacing w:after="0" w:line="229" w:lineRule="auto"/>
        <w:rPr>
          <w:sz w:val="20"/>
          <w:szCs w:val="20"/>
          <w:color w:val="auto"/>
        </w:rPr>
      </w:pPr>
      <w:r>
        <w:rPr>
          <w:rFonts w:ascii="Arial" w:cs="Arial" w:eastAsia="Arial" w:hAnsi="Arial"/>
          <w:sz w:val="18"/>
          <w:szCs w:val="18"/>
          <w:color w:val="auto"/>
        </w:rPr>
        <w:t>For the first six months of 2017, education division revenue totaled $759.4 million, down 7% from revenue of $ 820.3 million for the same period of 2016. Kaplan reported operating income of $42.0 million for the first six months of 2017, compared to $47.4 million for the first six months of 2016.</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2016</w:t>
            </w:r>
          </w:p>
        </w:tc>
        <w:tc>
          <w:tcPr>
            <w:tcW w:w="15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2016</w:t>
            </w:r>
          </w:p>
        </w:tc>
        <w:tc>
          <w:tcPr>
            <w:tcW w:w="14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34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8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139,204</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157,980</w:t>
            </w:r>
          </w:p>
        </w:tc>
        <w:tc>
          <w:tcPr>
            <w:tcW w:w="1500" w:type="dxa"/>
            <w:vAlign w:val="bottom"/>
          </w:tcPr>
          <w:p>
            <w:pPr>
              <w:jc w:val="right"/>
              <w:ind w:right="400"/>
              <w:spacing w:after="0"/>
              <w:rPr>
                <w:sz w:val="20"/>
                <w:szCs w:val="20"/>
                <w:color w:val="auto"/>
              </w:rPr>
            </w:pPr>
            <w:r>
              <w:rPr>
                <w:rFonts w:ascii="Arial" w:cs="Arial" w:eastAsia="Arial" w:hAnsi="Arial"/>
                <w:sz w:val="16"/>
                <w:szCs w:val="16"/>
                <w:color w:val="auto"/>
              </w:rPr>
              <w:t>(12)</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283,514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323,529</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348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75,730</w:t>
            </w:r>
          </w:p>
        </w:tc>
        <w:tc>
          <w:tcPr>
            <w:tcW w:w="4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79,349</w:t>
            </w:r>
          </w:p>
        </w:tc>
        <w:tc>
          <w:tcPr>
            <w:tcW w:w="1500" w:type="dxa"/>
            <w:vAlign w:val="bottom"/>
          </w:tcPr>
          <w:p>
            <w:pPr>
              <w:jc w:val="right"/>
              <w:ind w:right="40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23"/>
                <w:szCs w:val="23"/>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140,298</w:t>
            </w:r>
          </w:p>
        </w:tc>
        <w:tc>
          <w:tcPr>
            <w:tcW w:w="38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145,811</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348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spacing w:after="0"/>
              <w:rPr>
                <w:sz w:val="23"/>
                <w:szCs w:val="23"/>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171,747</w:t>
            </w:r>
          </w:p>
        </w:tc>
        <w:tc>
          <w:tcPr>
            <w:tcW w:w="4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182,325</w:t>
            </w:r>
          </w:p>
        </w:tc>
        <w:tc>
          <w:tcPr>
            <w:tcW w:w="1500" w:type="dxa"/>
            <w:vAlign w:val="bottom"/>
          </w:tcPr>
          <w:p>
            <w:pPr>
              <w:jc w:val="right"/>
              <w:ind w:right="400"/>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23"/>
                <w:szCs w:val="23"/>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336,309</w:t>
            </w:r>
          </w:p>
        </w:tc>
        <w:tc>
          <w:tcPr>
            <w:tcW w:w="38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351,612</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348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57</w:t>
            </w:r>
          </w:p>
        </w:tc>
        <w:tc>
          <w:tcPr>
            <w:tcW w:w="4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71</w:t>
            </w:r>
          </w:p>
        </w:tc>
        <w:tc>
          <w:tcPr>
            <w:tcW w:w="38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143</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83"/>
        </w:trPr>
        <w:tc>
          <w:tcPr>
            <w:tcW w:w="348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(239)</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(796)</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386,499</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419,213</w:t>
            </w:r>
          </w:p>
        </w:tc>
        <w:tc>
          <w:tcPr>
            <w:tcW w:w="1500" w:type="dxa"/>
            <w:vAlign w:val="bottom"/>
          </w:tcPr>
          <w:p>
            <w:pPr>
              <w:jc w:val="right"/>
              <w:ind w:right="400"/>
              <w:spacing w:after="0"/>
              <w:rPr>
                <w:sz w:val="20"/>
                <w:szCs w:val="20"/>
                <w:color w:val="auto"/>
              </w:rPr>
            </w:pPr>
            <w:r>
              <w:rPr>
                <w:rFonts w:ascii="Arial" w:cs="Arial" w:eastAsia="Arial" w:hAnsi="Arial"/>
                <w:sz w:val="16"/>
                <w:szCs w:val="16"/>
                <w:color w:val="auto"/>
              </w:rPr>
              <w:t>(8)</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759,396</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820,289</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8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17,711</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17,237</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3</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30,315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38,543</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0"/>
        </w:trPr>
        <w:tc>
          <w:tcPr>
            <w:tcW w:w="348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5,741</w:t>
            </w:r>
          </w:p>
        </w:tc>
        <w:tc>
          <w:tcPr>
            <w:tcW w:w="4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7,036</w:t>
            </w:r>
          </w:p>
        </w:tc>
        <w:tc>
          <w:tcPr>
            <w:tcW w:w="1500" w:type="dxa"/>
            <w:vAlign w:val="bottom"/>
          </w:tcPr>
          <w:p>
            <w:pPr>
              <w:jc w:val="right"/>
              <w:ind w:right="400"/>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23"/>
                <w:szCs w:val="23"/>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2,877</w:t>
            </w:r>
          </w:p>
        </w:tc>
        <w:tc>
          <w:tcPr>
            <w:tcW w:w="38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4,726</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70"/>
        </w:trPr>
        <w:tc>
          <w:tcPr>
            <w:tcW w:w="348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spacing w:after="0"/>
              <w:rPr>
                <w:sz w:val="23"/>
                <w:szCs w:val="23"/>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15,954</w:t>
            </w:r>
          </w:p>
        </w:tc>
        <w:tc>
          <w:tcPr>
            <w:tcW w:w="4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16,479</w:t>
            </w:r>
          </w:p>
        </w:tc>
        <w:tc>
          <w:tcPr>
            <w:tcW w:w="1500" w:type="dxa"/>
            <w:vAlign w:val="bottom"/>
          </w:tcPr>
          <w:p>
            <w:pPr>
              <w:jc w:val="right"/>
              <w:ind w:right="400"/>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23"/>
                <w:szCs w:val="23"/>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23,661</w:t>
            </w:r>
          </w:p>
        </w:tc>
        <w:tc>
          <w:tcPr>
            <w:tcW w:w="38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21,376</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348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(5,128)</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(6,107)</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(12,477)</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(13,831)</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348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3"/>
                <w:szCs w:val="23"/>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(1,323)</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(1,704)</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(2,443)</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(3,385)</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83"/>
        </w:trPr>
        <w:tc>
          <w:tcPr>
            <w:tcW w:w="348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(30)</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23</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3480" w:type="dxa"/>
            <w:vAlign w:val="bottom"/>
          </w:tcPr>
          <w:p>
            <w:pPr>
              <w:spacing w:after="0"/>
              <w:rPr>
                <w:sz w:val="23"/>
                <w:szCs w:val="23"/>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32,925</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32,892</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41,956</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47,380</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 KHE also includes the domestic professional and other continuing education businesses.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6" w:name="page7"/>
    <w:bookmarkEnd w:id="6"/>
    <w:p>
      <w:pPr>
        <w:ind w:right="160"/>
        <w:spacing w:after="0" w:line="229" w:lineRule="auto"/>
        <w:rPr>
          <w:sz w:val="20"/>
          <w:szCs w:val="20"/>
          <w:color w:val="auto"/>
        </w:rPr>
      </w:pPr>
      <w:r>
        <w:rPr>
          <w:rFonts w:ascii="Arial" w:cs="Arial" w:eastAsia="Arial" w:hAnsi="Arial"/>
          <w:sz w:val="18"/>
          <w:szCs w:val="18"/>
          <w:color w:val="auto"/>
        </w:rPr>
        <w:t>In the second quarter and first six months of 2017, KHE revenue was down 12%, due to declines in average enrollments at Kaplan University, offset by increased revenues at the domestic professional and other continuing education businesses. KHE operating results declined in the first half of 2017 due primarily to lower enrollment at Kaplan University.</w:t>
      </w:r>
    </w:p>
    <w:p>
      <w:pPr>
        <w:spacing w:after="0" w:line="137"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New higher education student enrollments at Kaplan University declined 5% in the second quarter of 2017 and 1% for the first six months of 2017; total students at Kaplan University were 29,193 at June 30, 2017, down 13% from June 30, 2016.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enrollments at June 30, 2017 and 2016, by degree and certificate programs,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tcPr>
          <w:p>
            <w:pPr>
              <w:spacing w:after="0"/>
              <w:rPr>
                <w:sz w:val="17"/>
                <w:szCs w:val="17"/>
                <w:color w:val="auto"/>
              </w:rPr>
            </w:pPr>
          </w:p>
        </w:tc>
        <w:tc>
          <w:tcPr>
            <w:tcW w:w="20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As of June 30</w:t>
            </w:r>
          </w:p>
        </w:tc>
      </w:tr>
      <w:tr>
        <w:trPr>
          <w:trHeight w:val="264"/>
        </w:trPr>
        <w:tc>
          <w:tcPr>
            <w:tcW w:w="9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2016</w:t>
            </w:r>
          </w:p>
        </w:tc>
      </w:tr>
      <w:tr>
        <w:trPr>
          <w:trHeight w:val="250"/>
        </w:trPr>
        <w:tc>
          <w:tcPr>
            <w:tcW w:w="93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9.4%</w:t>
            </w:r>
          </w:p>
        </w:tc>
        <w:tc>
          <w:tcPr>
            <w:tcW w:w="8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16.9%</w:t>
            </w:r>
          </w:p>
        </w:tc>
        <w:tc>
          <w:tcPr>
            <w:tcW w:w="88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50.3%</w:t>
            </w:r>
          </w:p>
        </w:tc>
        <w:tc>
          <w:tcPr>
            <w:tcW w:w="880" w:type="dxa"/>
            <w:vAlign w:val="bottom"/>
          </w:tcPr>
          <w:p>
            <w:pPr>
              <w:jc w:val="right"/>
              <w:spacing w:after="0"/>
              <w:rPr>
                <w:sz w:val="20"/>
                <w:szCs w:val="20"/>
                <w:color w:val="auto"/>
              </w:rPr>
            </w:pPr>
            <w:r>
              <w:rPr>
                <w:rFonts w:ascii="Arial" w:cs="Arial" w:eastAsia="Arial" w:hAnsi="Arial"/>
                <w:sz w:val="16"/>
                <w:szCs w:val="16"/>
                <w:color w:val="auto"/>
              </w:rPr>
              <w:t>50.4%</w:t>
            </w:r>
          </w:p>
        </w:tc>
      </w:tr>
      <w:tr>
        <w:trPr>
          <w:trHeight w:val="283"/>
        </w:trPr>
        <w:tc>
          <w:tcPr>
            <w:tcW w:w="9360" w:type="dxa"/>
            <w:vAlign w:val="bottom"/>
          </w:tcPr>
          <w:p>
            <w:pPr>
              <w:ind w:left="40"/>
              <w:spacing w:after="0"/>
              <w:rPr>
                <w:sz w:val="20"/>
                <w:szCs w:val="20"/>
                <w:color w:val="auto"/>
              </w:rPr>
            </w:pPr>
            <w:r>
              <w:rPr>
                <w:rFonts w:ascii="Arial" w:cs="Arial" w:eastAsia="Arial" w:hAnsi="Arial"/>
                <w:sz w:val="16"/>
                <w:szCs w:val="16"/>
                <w:color w:val="auto"/>
              </w:rPr>
              <w:t>Master’s</w:t>
            </w: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23.4%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r>
      <w:tr>
        <w:trPr>
          <w:trHeight w:val="264"/>
        </w:trPr>
        <w:tc>
          <w:tcPr>
            <w:tcW w:w="9360" w:type="dxa"/>
            <w:vAlign w:val="bottom"/>
          </w:tcPr>
          <w:p>
            <w:pPr>
              <w:spacing w:after="0"/>
              <w:rPr>
                <w:sz w:val="22"/>
                <w:szCs w:val="22"/>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100.0%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5% and 4% for the second quarter and first six months of 2017, respectively. Enrollments, excluding the new economy skills training offerings, were up 3% in the second quarter and were flat for the first six months of 2017; however, unit prices were generally lower. In comparison to 2016, KTP operating results were down 18% and 39% in the second quarter and first six months of 2017, respectively, due to lower revenues. Operating losses for the new economy skills training programs were $7.2 million and $6.9 million for the first six months of 2017 and 2016, respectively. In July 2017, Kaplan announced that Dev Bootcamp, which makes up the majority of KTP’s new economy skills training programs, will be closing operations by the end of 2017.</w:t>
      </w:r>
    </w:p>
    <w:p>
      <w:pPr>
        <w:spacing w:after="0" w:line="139"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declined 6% and 4% for the second quarter and first six months of 2017, respectively. On a constant currency basis, revenue was flat for the second quarter and increased 2% for the first six months of 2017, respectively, primarily due to growth in Pathways enrollments. Operating income increased 11% in the first six months of 2017, due largely to the improved Pathways and English-language results, partially offset by a decline in Singapore. Operating income declined 3% in the second quarter of 2017, due largely to a decline in Singapore.</w:t>
      </w:r>
    </w:p>
    <w:p>
      <w:pPr>
        <w:spacing w:after="0" w:line="13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jc w:val="both"/>
        <w:ind w:right="40"/>
        <w:spacing w:after="0" w:line="229" w:lineRule="auto"/>
        <w:rPr>
          <w:sz w:val="20"/>
          <w:szCs w:val="20"/>
          <w:color w:val="auto"/>
        </w:rPr>
      </w:pPr>
      <w:r>
        <w:rPr>
          <w:rFonts w:ascii="Arial" w:cs="Arial" w:eastAsia="Arial" w:hAnsi="Arial"/>
          <w:sz w:val="18"/>
          <w:szCs w:val="18"/>
          <w:color w:val="auto"/>
        </w:rPr>
        <w:t>On January 17, 2017, the Company closed on its agreement with Nexstar Broadcasting Group, Inc. and Media General, Inc. to acquire WCWJ, a CW affiliate television station in Jacksonville, FL and WSLS, an NBC affiliate television station in Roanoke, VA for $60 million in cash and the assumption of certain pension obligations. The Company continues to operate both stations under their current network affiliations.</w:t>
      </w:r>
    </w:p>
    <w:p>
      <w:pPr>
        <w:spacing w:after="0" w:line="13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Revenue at the television broadcasting division increased 10% to $106.1 million in the second quarter of 2017, from $96.5 million in the same period of 2016. Excluding revenue from the two newly acquired stations, revenue increased 3% due to $5.8 million in higher retransmission revenues, offset by a $1.3 million decrease in political advertising revenue and lower network revenue. As previously disclosed, the Company’s NBC affiliates in Houston and Detroit are operating under a new contract with NBC effective January 1, 2017 that has resulted in a significant increase in network fees in 2017, compared to 2016. Operating income for the second quarter of 2017 decreased 11% to $39.3 million, from $44.2 million in the same period of 2016 due primarily to the significantly higher network fees. The Company’s television broadcasting division stations are operating under a new retransmission contract with Comcast effective April 1, 2017.</w:t>
      </w:r>
    </w:p>
    <w:p>
      <w:pPr>
        <w:spacing w:after="0" w:line="139"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Revenue at the television broadcasting division increased 5% to $197.6 million in the first six months of 2017, from $188.5 million in the same period of 2016. Excluding revenue from the two newly acquired stations, revenue declined 1% due to a $ 5.3 million decrease in political advertising revenue and lower network revenue, offset by $8.8 million in higher retransmission revenues. Operating income for the first six months of 2017 decreased 24% to $65.2 million from $85.4 million in the same period of 2016, due primarily to significantly higher network fees.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880"/>
        <w:spacing w:after="0" w:line="235" w:lineRule="auto"/>
        <w:rPr>
          <w:sz w:val="20"/>
          <w:szCs w:val="20"/>
          <w:color w:val="auto"/>
        </w:rPr>
      </w:pPr>
      <w:r>
        <w:rPr>
          <w:rFonts w:ascii="Arial" w:cs="Arial" w:eastAsia="Arial" w:hAnsi="Arial"/>
          <w:sz w:val="18"/>
          <w:szCs w:val="18"/>
          <w:color w:val="auto"/>
        </w:rPr>
        <w:t>Manufacturing includes four businesses: Dekko, a manufacturer of electrical workspace solutions, architectural lighting and electrical components and assemblies; Joyce/Dayton Corp., a Dayton, OH-based manufacturer of</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7" w:name="page8"/>
    <w:bookmarkEnd w:id="7"/>
    <w:p>
      <w:pPr>
        <w:jc w:val="both"/>
        <w:ind w:right="40"/>
        <w:spacing w:after="0" w:line="225" w:lineRule="auto"/>
        <w:rPr>
          <w:sz w:val="20"/>
          <w:szCs w:val="20"/>
          <w:color w:val="auto"/>
        </w:rPr>
      </w:pPr>
      <w:r>
        <w:rPr>
          <w:rFonts w:ascii="Arial" w:cs="Arial" w:eastAsia="Arial" w:hAnsi="Arial"/>
          <w:sz w:val="18"/>
          <w:szCs w:val="18"/>
          <w:color w:val="auto"/>
        </w:rPr>
        <w:t>screw jacks and other linear motion systems; Forney, a global supplier of products and systems that control and monitor combustion processes in electric utility and industrial applications; and Hoover Treated Wood Products, Inc., a Thomson, GA-based supplier of pressure impregnated kiln-dried lumber and plywood products for fire retardant and preservative applications that the Company acquired in April 2017. In September 2016, Dekko acquired Electri-Cable Assemblies (ECA), a Shelton, CT-based manufacturer of power, data and electrical solutions for the office furniture industry.</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the second quarter of 2017, the Company recorded a $9.2 million goodwill and other long-lived asset impairment charge at Forney, due to lower than expected revenues resulting from sluggish overall demand for its energy products. Excluding this impairment charge, manufacturing revenues and operating income increased in the first six months of 2017 due to the Hoover acquisition and growth and improved results at Dekko, including the ECA acquisition.</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Graham Healthcare Group (GHG) provides home health and hospice services in three states. In June 2016, the Company acquired the outstanding 20% redeemable noncontrolling interest in Residential Healthcare (Residential). Also in June 2016, Celtic Healthcare (Celtic) and Residential combined their business operations and the Company now owns 90% of the combined entity, known as GHG. Healthcare revenues increased 4% in the first six months of 2017, while operating results were down, due largely to increased bad debt expense and higher information systems and other integration costs. In the second quarter of 2016, GHG incurred approximately $2.0 million in expenses in conjunction with the June 2016 transactions discussed above. At the end of June 2017, GHG acquired Hometown Home Health and Hospice, a Lapeer, MI-based healthcare services provider.</w:t>
      </w:r>
    </w:p>
    <w:p>
      <w:pPr>
        <w:spacing w:after="0" w:line="139"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June 2016, Residential and a Michigan hospital formed a joint venture to provide home health services to West Michigan patients. Residential manages the operations of the joint venture and holds a 40% interest. The pro rata operating results of the joint venture are included in the Company’s equity in earnings of affiliates. In connection with this June 2016 transaction, the Company recorded a pre-tax gain of $3.2 million in the second quarter of 2016 that is included in other non-operating income.</w:t>
      </w:r>
    </w:p>
    <w:p>
      <w:pPr>
        <w:spacing w:after="0" w:line="13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SocialCode is a provider of marketing solutions on social, mobile and video platforms. SocialCode revenues increased 13% and 15% in the second quarter and for the first six months of 2017, due to growth in digital advertising service revenues. SocialCode reported operating income of $ 2.6 million and an operating loss of $1.9 million for the second quarter and first six months of 2017, compared to operating losses of $1.5 million and $4.4 million in the second quarter and first six months of 2016. The improved results include a $4.7 million and $3.9 million credit related to SocialCode’s phantom equity plans in the second quarter and first six months of 2017, respectively.</w:t>
      </w:r>
    </w:p>
    <w:p>
      <w:pPr>
        <w:spacing w:after="0" w:line="137" w:lineRule="exact"/>
        <w:rPr>
          <w:sz w:val="20"/>
          <w:szCs w:val="20"/>
          <w:color w:val="auto"/>
        </w:rPr>
      </w:pPr>
    </w:p>
    <w:p>
      <w:pPr>
        <w:ind w:right="400"/>
        <w:spacing w:after="0" w:line="229"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two investment stage businesses, Panoply and CyberVista. Losses from each of these businesses in the first six months of 2017 adversely affected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The total pension credit for the Company’s traditional defined benefit plan was $36.4 million and $32.1 million in the first six months of 2017 and 2016,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Without the pension credit, corporate office expenses declined slightly in the first six months of 2017.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66" w:lineRule="exact"/>
        <w:rPr>
          <w:sz w:val="20"/>
          <w:szCs w:val="20"/>
          <w:color w:val="auto"/>
        </w:rPr>
      </w:pPr>
    </w:p>
    <w:p>
      <w:pPr>
        <w:jc w:val="both"/>
        <w:ind w:right="80"/>
        <w:spacing w:after="0" w:line="227" w:lineRule="auto"/>
        <w:rPr>
          <w:sz w:val="20"/>
          <w:szCs w:val="20"/>
          <w:color w:val="auto"/>
        </w:rPr>
      </w:pPr>
      <w:r>
        <w:rPr>
          <w:rFonts w:ascii="Arial" w:cs="Arial" w:eastAsia="Arial" w:hAnsi="Arial"/>
          <w:sz w:val="18"/>
          <w:szCs w:val="18"/>
          <w:color w:val="auto"/>
        </w:rPr>
        <w:t>At June 30, 2017, the Company held interests in a number of home health and hospice joint ventures, and interests in several other affiliates. The Company recorded equity in earnings of affiliates of $ 1.3 million for the second quarter of 2017, compared to losses of $ 0.9 million for the second quarter of 2016. The Company recorded equity in earnings of affiliates of $2.0 million for the first six months of 2017, compared to $0.1 million for the first six months of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recorded total other non-operating income, net, of $4.1 million for the second quarter of 2017, compared to $19.0 million for the second quarter of 2016. The 2017 amounts included $3.5 million in foreign currency gains and other items. The 2016 amounts included a $34.1 million gain on the sale of land; a $4.5 million gain on the sale of marketable equity securities; a $3.2 million gain on the Residential joint venture transaction and other items, offset by $24.1 million in foreign currency losses and other items.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8" w:name="page9"/>
    <w:bookmarkEnd w:id="8"/>
    <w:p>
      <w:pPr>
        <w:spacing w:after="0" w:line="227" w:lineRule="auto"/>
        <w:rPr>
          <w:sz w:val="20"/>
          <w:szCs w:val="20"/>
          <w:color w:val="auto"/>
        </w:rPr>
      </w:pPr>
      <w:r>
        <w:rPr>
          <w:rFonts w:ascii="Arial" w:cs="Arial" w:eastAsia="Arial" w:hAnsi="Arial"/>
          <w:sz w:val="18"/>
          <w:szCs w:val="18"/>
          <w:color w:val="auto"/>
        </w:rPr>
        <w:t>The Company recorded total other non-operating income, net, of $4.9 million for the first six months of 2017, compared to $34.1 million for the first six months of 2016. The 2017 amounts included $ 5.2 million in foreign currency gains, offset by other items. The 2016 amounts included a $34.1 million gain on the sale of land; an $18.9 million gain on the sale of a business; a $6.3 million gain on the sale of marketable equity securities; a $3.2 million gain on the Residential joint venture transaction and other items, offset by $29.5 million in foreign currency losses.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The Company incurred net interest expense of $7.9 million and $14.6 million for the second quarter and first six months of 2017, compared to $7.3 million and $14.6 million for the second quarter and first six months of 2016. At June 30, 2017, the Company had $496.2 million in borrowings outstanding at an average interest rate of 6.2% and cash, marketable equity securities and other investments of $925.1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The Company’s effective tax rate for the first six months of 2017 was 29.7%, compared to 31.7% for the first six months of 2016. The low effective tax rate in the first six months of 2017 is due to a $5.9 million income tax benefit related to the vesting of restricted stock awards. In the first quarter of 2017, the Company adopted a new accounting standard that requires all excess income tax benefits and deficiencies from stock compensation to be recorded as discrete items in the provision for income taxes. Excluding this $5.9 million benefit, the overall income tax rate in the first six months of 2017 was 36.3%.</w:t>
      </w:r>
    </w:p>
    <w:p>
      <w:pPr>
        <w:spacing w:after="0" w:line="137"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the second quarter of 2016, the Company benefited from a favorable $5.6 million out of period deferred tax adjustment related to the KHE goodwill impairment recorded in the third quarter of 2015. Excluding this adjustment, the Company’s effective tax rate for the first six months of 2016 was 35.6%.</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6"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The calculation of diluted earnings per share for the second quarter and first six months of 2017 was based on 5,577,275 and 5,573,167 weighted average shares outstanding, compared to 5,574,336 and 5,612,959 for the second quarter and first six months of 2016. At June 30, 2017, there were 5,593,030 shares outstanding. On May 14, 2015, the Board of Directors authorized the Company to acquire up to 500,000 shares of its Class B common stock; the Company has remaining authorization for 223,526 shares as of June 30,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This press release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584"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88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2016</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34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676,087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628,933</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572,100</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532,470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15,871</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16,045</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10,531</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6,278</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9,224</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68,361</w:t>
            </w:r>
          </w:p>
        </w:tc>
        <w:tc>
          <w:tcPr>
            <w:tcW w:w="34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74,140</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Equity in earnings (losses) of affiliates, net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1,331</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(891)</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1,173</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721</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(9,035)</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(7,971)</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4,069</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19,000</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65,899</w:t>
            </w:r>
          </w:p>
        </w:tc>
        <w:tc>
          <w:tcPr>
            <w:tcW w:w="34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84,999</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23,900</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23,800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41,999</w:t>
            </w:r>
          </w:p>
        </w:tc>
        <w:tc>
          <w:tcPr>
            <w:tcW w:w="34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61,199</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64"/>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41,996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60,766</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7.51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10.82</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67"/>
        </w:trPr>
        <w:tc>
          <w:tcPr>
            <w:tcW w:w="834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5,539</w:t>
            </w:r>
          </w:p>
        </w:tc>
        <w:tc>
          <w:tcPr>
            <w:tcW w:w="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5,544</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34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7.46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10.76</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67"/>
        </w:trPr>
        <w:tc>
          <w:tcPr>
            <w:tcW w:w="834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5,577</w:t>
            </w:r>
          </w:p>
        </w:tc>
        <w:tc>
          <w:tcPr>
            <w:tcW w:w="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5,574</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760" w:right="259" w:bottom="1440" w:gutter="0" w:footer="0" w:header="0"/>
        </w:sectPr>
      </w:pPr>
    </w:p>
    <w:bookmarkStart w:id="10" w:name="page11"/>
    <w:bookmarkEnd w:id="10"/>
    <w:p>
      <w:pPr>
        <w:jc w:val="center"/>
        <w:ind w:right="90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90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1,258,804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1,230,673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1,104,275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1,059,315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30,523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32,806</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17,367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12,540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9,224</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97,415</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126,012</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1,980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2,536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1,312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(17,164)</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(15,919)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4,918</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34,096</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89,685</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145,614</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26,600</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46,200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63,085</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99,414</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63,082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98,546</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11.29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17.42</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87"/>
        </w:trPr>
        <w:tc>
          <w:tcPr>
            <w:tcW w:w="812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5,537</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5,584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12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11.21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17.33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87"/>
        </w:trPr>
        <w:tc>
          <w:tcPr>
            <w:tcW w:w="812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5,573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5,613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760"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4"/>
                <w:szCs w:val="24"/>
                <w:color w:val="auto"/>
              </w:rPr>
            </w:pPr>
          </w:p>
        </w:tc>
        <w:tc>
          <w:tcPr>
            <w:tcW w:w="1000" w:type="dxa"/>
            <w:vAlign w:val="bottom"/>
          </w:tcPr>
          <w:p>
            <w:pPr>
              <w:jc w:val="right"/>
              <w:ind w:right="3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2016</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386,499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419,213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759,396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820,289</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106,102</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96,520</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197,598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188,538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183,486</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113,269</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62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301,810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221,985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676,087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628,933</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7</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1,258,804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1,230,673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353,574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386,321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717,440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772,909</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66,838</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52,305</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132,365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103,103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192,404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118,331</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63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321,292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232,777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(5,090)</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(2,095)</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(9,708)</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(3,989)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607,726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554,793</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1,161,389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1,104,661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32,925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32,892</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41,956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47,380</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39,264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44,215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65,233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85,435</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(8,918)</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(5,062)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(76)</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(19,482)</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(10,792)</w:t>
            </w:r>
          </w:p>
        </w:tc>
        <w:tc>
          <w:tcPr>
            <w:tcW w:w="9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5,090</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2,095</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9,708</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68,361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74,140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97,415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126,012</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8,325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10,242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(19)</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16,909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21,345</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2,991</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2,450</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5,585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4,827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16</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4,264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3,073</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39</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7,448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6,100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291</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280</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581</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15,871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16,045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30,523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32,806</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4"/>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5"/>
        </w:trPr>
        <w:tc>
          <w:tcPr>
            <w:tcW w:w="4920" w:type="dxa"/>
            <w:vAlign w:val="bottom"/>
          </w:tcPr>
          <w:p>
            <w:pPr>
              <w:ind w:left="200"/>
              <w:spacing w:after="0"/>
              <w:rPr>
                <w:sz w:val="20"/>
                <w:szCs w:val="20"/>
                <w:color w:val="auto"/>
              </w:rPr>
            </w:pPr>
            <w:r>
              <w:rPr>
                <w:rFonts w:ascii="Arial" w:cs="Arial" w:eastAsia="Arial" w:hAnsi="Arial"/>
                <w:sz w:val="16"/>
                <w:szCs w:val="16"/>
                <w:b w:val="1"/>
                <w:bCs w:val="1"/>
                <w:color w:val="auto"/>
              </w:rPr>
              <w:t>Goodwill and Other Long-Lived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1,323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1,704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(22)</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2,443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3,385</w:t>
            </w: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970</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1,872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17,462</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4,511</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22,276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9,029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19,755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6,278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26,591</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12,540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Expense (Credit)</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2,153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3,018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(29)</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4,859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6,127</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479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418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972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857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415</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306</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36</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898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60</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(17,876)</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(36,246)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(31,869)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(14,829)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(12,266)</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(29,517)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w:t>
            </w: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60"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4"/>
                <w:szCs w:val="24"/>
                <w:color w:val="auto"/>
              </w:rPr>
            </w:pPr>
          </w:p>
        </w:tc>
        <w:tc>
          <w:tcPr>
            <w:tcW w:w="1000" w:type="dxa"/>
            <w:vAlign w:val="bottom"/>
          </w:tcPr>
          <w:p>
            <w:pPr>
              <w:jc w:val="right"/>
              <w:ind w:right="3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2016</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139,204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157,980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(12)</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283,514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323,529</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75,730</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79,349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140,298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145,811</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171,747</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182,325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336,309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351,612</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57</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9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(239)</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(796)</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386,499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419,213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759,396</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820,289</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121,493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140,743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253,199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284,986</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69,989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72,313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137,421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141,085</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155,793</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165,846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312,648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330,236</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5,185</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6,125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12,548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13,974</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1,323</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1,704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2,443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3,385</w:t>
            </w: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(209)</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(819)</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353,574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386,321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717,440</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772,909</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17,711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17,237</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3</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30,315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38,543</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5,741</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7,036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2,877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4,726</w:t>
            </w:r>
          </w:p>
        </w:tc>
        <w:tc>
          <w:tcPr>
            <w:tcW w:w="9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15,954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16,479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23,661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21,376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(5,128)</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(6,107)</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(12,477)</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(13,831)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(1,323)</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(1,704)</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(2,443)</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(3,385)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23</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32,925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32,892</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41,956</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47,380</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3,249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3,993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(19)</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6,680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8,168</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1,332</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1,615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2,673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3,396</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3,609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4,319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7,291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9,379</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135</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(57)</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265</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402</w:t>
            </w: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8,325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10,242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(19)</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16,909</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21,345</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2,044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1,905</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7</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4,088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3,810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911</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768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1,822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1,536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19</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87</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174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(889)</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(1,225)</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2,153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3,018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(29)</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4,859</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6,127</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6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OTHER BUSINESSES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4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24"/>
                <w:szCs w:val="24"/>
                <w:color w:val="auto"/>
              </w:rPr>
            </w:pPr>
          </w:p>
        </w:tc>
        <w:tc>
          <w:tcPr>
            <w:tcW w:w="1120" w:type="dxa"/>
            <w:vAlign w:val="bottom"/>
          </w:tcPr>
          <w:p>
            <w:pPr>
              <w:jc w:val="right"/>
              <w:ind w:right="4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2016</w:t>
            </w:r>
          </w:p>
        </w:tc>
        <w:tc>
          <w:tcPr>
            <w:tcW w:w="11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120,672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58,026</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182,570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114,701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59</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38,220</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36,498</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75,119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72,378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14,855</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13,126</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27,429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23,781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15</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9,739</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5,619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73</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16,692</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50</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183,486</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113,269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62</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301,810</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221,985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124,847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55,177</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183,080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110,715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65</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37,836</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37,544</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75,661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70,905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12,251</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14,581</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29,333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28,206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17,470</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11,029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58</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33,218</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22,951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45</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192,404</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118,331</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63</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321,292</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232,777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b w:val="1"/>
                <w:bCs w:val="1"/>
                <w:color w:val="auto"/>
              </w:rPr>
              <w:t>(4,175)</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2,849</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(510)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3,986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384</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(1,046)</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(542)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1,473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2,604</w:t>
            </w: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(1,455)</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(1,904)</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57</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(7,731)</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(5,410)</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(43)</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(16,526)</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(11,826)</w:t>
            </w: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(8,918)</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(5,062)</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(76)</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(19,482)</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(10,792)</w:t>
            </w:r>
          </w:p>
        </w:tc>
        <w:tc>
          <w:tcPr>
            <w:tcW w:w="9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2,404</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1,906</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26</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3,912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3,779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1,194</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666</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79</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2,263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1,403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61</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251</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213</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497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415</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288</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44</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776</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63</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4,264</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3,073</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39</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7,448</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6,100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w:t>
            </w:r>
          </w:p>
        </w:tc>
      </w:tr>
      <w:tr>
        <w:trPr>
          <w:trHeight w:val="184"/>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5"/>
        </w:trPr>
        <w:tc>
          <w:tcPr>
            <w:tcW w:w="4820" w:type="dxa"/>
            <w:vAlign w:val="bottom"/>
          </w:tcPr>
          <w:p>
            <w:pPr>
              <w:ind w:left="200"/>
              <w:spacing w:after="0"/>
              <w:rPr>
                <w:sz w:val="20"/>
                <w:szCs w:val="20"/>
                <w:color w:val="auto"/>
              </w:rPr>
            </w:pPr>
            <w:r>
              <w:rPr>
                <w:rFonts w:ascii="Arial" w:cs="Arial" w:eastAsia="Arial" w:hAnsi="Arial"/>
                <w:sz w:val="16"/>
                <w:szCs w:val="16"/>
                <w:b w:val="1"/>
                <w:bCs w:val="1"/>
                <w:color w:val="auto"/>
              </w:rPr>
              <w:t>Goodwill and Other Long-Lived Assets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15,734</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2,816</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18,811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5,633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1,644</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1,674</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3,298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3,355</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84</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167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17,462</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4,511</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22,276</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9,029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10</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166</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332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8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142</w:t>
            </w:r>
          </w:p>
        </w:tc>
        <w:tc>
          <w:tcPr>
            <w:tcW w:w="3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147</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296</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283"/>
        </w:trPr>
        <w:tc>
          <w:tcPr>
            <w:tcW w:w="48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85</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w:t>
            </w: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(39)</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223</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251</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64"/>
        </w:trPr>
        <w:tc>
          <w:tcPr>
            <w:tcW w:w="48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415</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306</w:t>
            </w: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36</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898</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60</w:t>
            </w: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60"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NON-GAAP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net income,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13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44" w:lineRule="exact"/>
        <w:rPr>
          <w:sz w:val="20"/>
          <w:szCs w:val="20"/>
          <w:color w:val="auto"/>
        </w:rPr>
      </w:pPr>
    </w:p>
    <w:p>
      <w:pPr>
        <w:jc w:val="both"/>
        <w:ind w:right="280"/>
        <w:spacing w:after="0" w:line="229" w:lineRule="auto"/>
        <w:rPr>
          <w:sz w:val="20"/>
          <w:szCs w:val="20"/>
          <w:color w:val="auto"/>
        </w:rPr>
      </w:pPr>
      <w:r>
        <w:rPr>
          <w:rFonts w:ascii="Arial" w:cs="Arial" w:eastAsia="Arial" w:hAnsi="Arial"/>
          <w:sz w:val="18"/>
          <w:szCs w:val="18"/>
          <w:color w:val="auto"/>
        </w:rPr>
        <w:t>Net income,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302" w:lineRule="exact"/>
        <w:rPr>
          <w:sz w:val="20"/>
          <w:szCs w:val="20"/>
          <w:color w:val="auto"/>
        </w:rPr>
      </w:pPr>
    </w:p>
    <w:p>
      <w:pPr>
        <w:ind w:left="694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4253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53865" cy="8890"/>
                    </a:xfrm>
                    <a:prstGeom prst="rect">
                      <a:avLst/>
                    </a:prstGeom>
                    <a:noFill/>
                  </pic:spPr>
                </pic:pic>
              </a:graphicData>
            </a:graphic>
          </wp:anchor>
        </w:drawing>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6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 before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9"/>
              </w:rPr>
              <w:t>Income</w:t>
            </w:r>
          </w:p>
        </w:tc>
        <w:tc>
          <w:tcPr>
            <w:tcW w:w="140" w:type="dxa"/>
            <w:vAlign w:val="bottom"/>
          </w:tcPr>
          <w:p>
            <w:pPr>
              <w:spacing w:after="0"/>
              <w:rPr>
                <w:sz w:val="17"/>
                <w:szCs w:val="17"/>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9"/>
              </w:rPr>
              <w:t>Net Income</w:t>
            </w:r>
          </w:p>
        </w:tc>
        <w:tc>
          <w:tcPr>
            <w:tcW w:w="1280" w:type="dxa"/>
            <w:vAlign w:val="bottom"/>
            <w:gridSpan w:val="2"/>
          </w:tcPr>
          <w:p>
            <w:pPr>
              <w:ind w:left="160"/>
              <w:spacing w:after="0"/>
              <w:rPr>
                <w:sz w:val="20"/>
                <w:szCs w:val="20"/>
                <w:color w:val="auto"/>
              </w:rPr>
            </w:pPr>
            <w:r>
              <w:rPr>
                <w:rFonts w:ascii="Arial" w:cs="Arial" w:eastAsia="Arial" w:hAnsi="Arial"/>
                <w:sz w:val="16"/>
                <w:szCs w:val="16"/>
                <w:color w:val="auto"/>
              </w:rPr>
              <w:t>Income before</w:t>
            </w:r>
          </w:p>
        </w:tc>
        <w:tc>
          <w:tcPr>
            <w:tcW w:w="980" w:type="dxa"/>
            <w:vAlign w:val="bottom"/>
          </w:tcPr>
          <w:p>
            <w:pPr>
              <w:jc w:val="center"/>
              <w:spacing w:after="0"/>
              <w:rPr>
                <w:sz w:val="20"/>
                <w:szCs w:val="20"/>
                <w:color w:val="auto"/>
              </w:rPr>
            </w:pPr>
            <w:r>
              <w:rPr>
                <w:rFonts w:ascii="Arial" w:cs="Arial" w:eastAsia="Arial" w:hAnsi="Arial"/>
                <w:sz w:val="16"/>
                <w:szCs w:val="16"/>
                <w:color w:val="auto"/>
              </w:rPr>
              <w:t>Income</w:t>
            </w:r>
          </w:p>
        </w:tc>
        <w:tc>
          <w:tcPr>
            <w:tcW w:w="140" w:type="dxa"/>
            <w:vAlign w:val="bottom"/>
          </w:tcPr>
          <w:p>
            <w:pPr>
              <w:spacing w:after="0"/>
              <w:rPr>
                <w:sz w:val="17"/>
                <w:szCs w:val="17"/>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120"/>
        </w:trPr>
        <w:tc>
          <w:tcPr>
            <w:tcW w:w="466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amounts)</w:t>
            </w:r>
          </w:p>
        </w:tc>
        <w:tc>
          <w:tcPr>
            <w:tcW w:w="1200" w:type="dxa"/>
            <w:vAlign w:val="bottom"/>
            <w:gridSpan w:val="2"/>
            <w:vMerge w:val="restart"/>
          </w:tcPr>
          <w:p>
            <w:pPr>
              <w:jc w:val="right"/>
              <w:ind w:right="39"/>
              <w:spacing w:after="0"/>
              <w:rPr>
                <w:sz w:val="20"/>
                <w:szCs w:val="20"/>
                <w:color w:val="auto"/>
              </w:rPr>
            </w:pPr>
            <w:r>
              <w:rPr>
                <w:rFonts w:ascii="Arial" w:cs="Arial" w:eastAsia="Arial" w:hAnsi="Arial"/>
                <w:sz w:val="16"/>
                <w:szCs w:val="16"/>
                <w:b w:val="1"/>
                <w:bCs w:val="1"/>
                <w:color w:val="auto"/>
              </w:rPr>
              <w:t>income taxes</w:t>
            </w: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Taxes</w:t>
            </w:r>
          </w:p>
        </w:tc>
        <w:tc>
          <w:tcPr>
            <w:tcW w:w="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28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income taxes</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auto"/>
                <w:w w:val="96"/>
              </w:rPr>
              <w:t>Taxes</w:t>
            </w:r>
          </w:p>
        </w:tc>
        <w:tc>
          <w:tcPr>
            <w:tcW w:w="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60" w:type="dxa"/>
            <w:vAlign w:val="bottom"/>
            <w:tcBorders>
              <w:bottom w:val="single" w:sz="8" w:color="auto"/>
            </w:tcBorders>
            <w:vMerge w:val="continue"/>
          </w:tcPr>
          <w:p>
            <w:pPr>
              <w:spacing w:after="0"/>
              <w:rPr>
                <w:sz w:val="9"/>
                <w:szCs w:val="9"/>
                <w:color w:val="auto"/>
              </w:rPr>
            </w:pPr>
          </w:p>
        </w:tc>
        <w:tc>
          <w:tcPr>
            <w:tcW w:w="1200" w:type="dxa"/>
            <w:vAlign w:val="bottom"/>
            <w:tcBorders>
              <w:bottom w:val="single" w:sz="8" w:color="auto"/>
            </w:tcBorders>
            <w:gridSpan w:val="2"/>
            <w:vMerge w:val="continue"/>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gridSpan w:val="2"/>
            <w:vMerge w:val="continue"/>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Amounts attributable to Graham Holdings Company</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180"/>
              <w:spacing w:after="0"/>
              <w:rPr>
                <w:sz w:val="20"/>
                <w:szCs w:val="20"/>
                <w:color w:val="auto"/>
              </w:rPr>
            </w:pPr>
            <w:r>
              <w:rPr>
                <w:rFonts w:ascii="Arial" w:cs="Arial" w:eastAsia="Arial" w:hAnsi="Arial"/>
                <w:sz w:val="16"/>
                <w:szCs w:val="16"/>
                <w:b w:val="1"/>
                <w:bCs w:val="1"/>
                <w:color w:val="auto"/>
              </w:rPr>
              <w:t>Common Stockholders</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20"/>
              <w:spacing w:after="0"/>
              <w:rPr>
                <w:sz w:val="20"/>
                <w:szCs w:val="20"/>
                <w:color w:val="auto"/>
              </w:rPr>
            </w:pPr>
            <w:r>
              <w:rPr>
                <w:rFonts w:ascii="Arial" w:cs="Arial" w:eastAsia="Arial" w:hAnsi="Arial"/>
                <w:sz w:val="16"/>
                <w:szCs w:val="16"/>
                <w:color w:val="auto"/>
              </w:rPr>
              <w:t>As reported</w:t>
            </w:r>
          </w:p>
        </w:tc>
        <w:tc>
          <w:tcPr>
            <w:tcW w:w="3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65,899</w:t>
            </w:r>
          </w:p>
        </w:tc>
        <w:tc>
          <w:tcPr>
            <w:tcW w:w="960" w:type="dxa"/>
            <w:vAlign w:val="bottom"/>
          </w:tcPr>
          <w:p>
            <w:pPr>
              <w:jc w:val="right"/>
              <w:ind w:right="120"/>
              <w:spacing w:after="0"/>
              <w:rPr>
                <w:sz w:val="20"/>
                <w:szCs w:val="20"/>
                <w:color w:val="auto"/>
              </w:rPr>
            </w:pPr>
            <w:r>
              <w:rPr>
                <w:rFonts w:ascii="Arial" w:cs="Arial" w:eastAsia="Arial" w:hAnsi="Arial"/>
                <w:sz w:val="16"/>
                <w:szCs w:val="16"/>
                <w:b w:val="1"/>
                <w:bCs w:val="1"/>
                <w:color w:val="auto"/>
              </w:rPr>
              <w:t>$ 23,900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41,999</w:t>
            </w:r>
          </w:p>
        </w:tc>
        <w:tc>
          <w:tcPr>
            <w:tcW w:w="400" w:type="dxa"/>
            <w:vAlign w:val="bottom"/>
          </w:tcPr>
          <w:p>
            <w:pPr>
              <w:ind w:left="1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84,999</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$ 23,800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61,199</w:t>
            </w:r>
          </w:p>
        </w:tc>
        <w:tc>
          <w:tcPr>
            <w:tcW w:w="0" w:type="dxa"/>
            <w:vAlign w:val="bottom"/>
          </w:tcPr>
          <w:p>
            <w:pPr>
              <w:spacing w:after="0"/>
              <w:rPr>
                <w:sz w:val="1"/>
                <w:szCs w:val="1"/>
                <w:color w:val="auto"/>
              </w:rPr>
            </w:pPr>
          </w:p>
        </w:tc>
      </w:tr>
      <w:tr>
        <w:trPr>
          <w:trHeight w:val="283"/>
        </w:trPr>
        <w:tc>
          <w:tcPr>
            <w:tcW w:w="4660" w:type="dxa"/>
            <w:vAlign w:val="bottom"/>
          </w:tcPr>
          <w:p>
            <w:pPr>
              <w:ind w:left="20"/>
              <w:spacing w:after="0"/>
              <w:rPr>
                <w:sz w:val="20"/>
                <w:szCs w:val="20"/>
                <w:color w:val="auto"/>
              </w:rPr>
            </w:pPr>
            <w:r>
              <w:rPr>
                <w:rFonts w:ascii="Arial" w:cs="Arial" w:eastAsia="Arial" w:hAnsi="Arial"/>
                <w:sz w:val="16"/>
                <w:szCs w:val="16"/>
                <w:color w:val="auto"/>
              </w:rPr>
              <w:t>Attributable to noncontrolling interests</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Attributable to Graham Holdings Company Stockholders</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41,996</w:t>
            </w: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60,766</w:t>
            </w:r>
          </w:p>
        </w:tc>
        <w:tc>
          <w:tcPr>
            <w:tcW w:w="0" w:type="dxa"/>
            <w:vAlign w:val="bottom"/>
          </w:tcPr>
          <w:p>
            <w:pPr>
              <w:spacing w:after="0"/>
              <w:rPr>
                <w:sz w:val="1"/>
                <w:szCs w:val="1"/>
                <w:color w:val="auto"/>
              </w:rPr>
            </w:pPr>
          </w:p>
        </w:tc>
      </w:tr>
      <w:tr>
        <w:trPr>
          <w:trHeight w:val="270"/>
        </w:trPr>
        <w:tc>
          <w:tcPr>
            <w:tcW w:w="4660" w:type="dxa"/>
            <w:vAlign w:val="bottom"/>
          </w:tcPr>
          <w:p>
            <w:pPr>
              <w:ind w:left="160"/>
              <w:spacing w:after="0"/>
              <w:rPr>
                <w:sz w:val="20"/>
                <w:szCs w:val="20"/>
                <w:color w:val="auto"/>
              </w:rPr>
            </w:pPr>
            <w:r>
              <w:rPr>
                <w:rFonts w:ascii="Arial" w:cs="Arial" w:eastAsia="Arial" w:hAnsi="Arial"/>
                <w:sz w:val="16"/>
                <w:szCs w:val="16"/>
                <w:color w:val="auto"/>
              </w:rPr>
              <w:t>Adjustments:</w:t>
            </w: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6"/>
                <w:szCs w:val="16"/>
                <w:color w:val="auto"/>
              </w:rPr>
              <w:t>Goodwill and other long-lived asset impairment charge</w:t>
            </w:r>
          </w:p>
        </w:tc>
        <w:tc>
          <w:tcPr>
            <w:tcW w:w="3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9,224</w:t>
            </w:r>
          </w:p>
        </w:tc>
        <w:tc>
          <w:tcPr>
            <w:tcW w:w="960" w:type="dxa"/>
            <w:vAlign w:val="bottom"/>
          </w:tcPr>
          <w:p>
            <w:pPr>
              <w:jc w:val="right"/>
              <w:ind w:right="120"/>
              <w:spacing w:after="0"/>
              <w:rPr>
                <w:sz w:val="20"/>
                <w:szCs w:val="20"/>
                <w:color w:val="auto"/>
              </w:rPr>
            </w:pPr>
            <w:r>
              <w:rPr>
                <w:rFonts w:ascii="Arial" w:cs="Arial" w:eastAsia="Arial" w:hAnsi="Arial"/>
                <w:sz w:val="16"/>
                <w:szCs w:val="16"/>
                <w:b w:val="1"/>
                <w:bCs w:val="1"/>
                <w:color w:val="auto"/>
              </w:rPr>
              <w:t>3,413</w:t>
            </w: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5,811</w:t>
            </w:r>
          </w:p>
        </w:tc>
        <w:tc>
          <w:tcPr>
            <w:tcW w:w="40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6"/>
                <w:szCs w:val="16"/>
                <w:color w:val="auto"/>
              </w:rPr>
              <w:t>Gain from the sales of land and marketable equity securities</w:t>
            </w:r>
          </w:p>
        </w:tc>
        <w:tc>
          <w:tcPr>
            <w:tcW w:w="34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(38,575)</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(14,659)</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(23,916)</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6"/>
                <w:szCs w:val="16"/>
                <w:color w:val="auto"/>
              </w:rPr>
              <w:t>Gain from the formation of a joint venture</w:t>
            </w:r>
          </w:p>
        </w:tc>
        <w:tc>
          <w:tcPr>
            <w:tcW w:w="34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(3,232)</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(1,577)</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(1,655)</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6"/>
                <w:szCs w:val="16"/>
                <w:color w:val="auto"/>
              </w:rPr>
              <w:t>Foreign currency (gain) loss</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(3,466)</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(1,283)</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(2,183)</w:t>
            </w:r>
          </w:p>
        </w:tc>
        <w:tc>
          <w:tcPr>
            <w:tcW w:w="40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24,084</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8,670</w:t>
            </w: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15,414</w:t>
            </w:r>
          </w:p>
        </w:tc>
        <w:tc>
          <w:tcPr>
            <w:tcW w:w="0" w:type="dxa"/>
            <w:vAlign w:val="bottom"/>
          </w:tcPr>
          <w:p>
            <w:pPr>
              <w:spacing w:after="0"/>
              <w:rPr>
                <w:sz w:val="1"/>
                <w:szCs w:val="1"/>
                <w:color w:val="auto"/>
              </w:rPr>
            </w:pPr>
          </w:p>
        </w:tc>
      </w:tr>
      <w:tr>
        <w:trPr>
          <w:trHeight w:val="283"/>
        </w:trPr>
        <w:tc>
          <w:tcPr>
            <w:tcW w:w="4660" w:type="dxa"/>
            <w:vAlign w:val="bottom"/>
          </w:tcPr>
          <w:p>
            <w:pPr>
              <w:ind w:left="260"/>
              <w:spacing w:after="0"/>
              <w:rPr>
                <w:sz w:val="20"/>
                <w:szCs w:val="20"/>
                <w:color w:val="auto"/>
              </w:rPr>
            </w:pPr>
            <w:r>
              <w:rPr>
                <w:rFonts w:ascii="Arial" w:cs="Arial" w:eastAsia="Arial" w:hAnsi="Arial"/>
                <w:sz w:val="16"/>
                <w:szCs w:val="16"/>
                <w:color w:val="auto"/>
              </w:rPr>
              <w:t>Favorable out of period deferred tax adjustment</w:t>
            </w:r>
          </w:p>
        </w:tc>
        <w:tc>
          <w:tcPr>
            <w:tcW w:w="34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4"/>
                <w:szCs w:val="24"/>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5,631</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(5,631)</w:t>
            </w:r>
          </w:p>
        </w:tc>
        <w:tc>
          <w:tcPr>
            <w:tcW w:w="0" w:type="dxa"/>
            <w:vAlign w:val="bottom"/>
          </w:tcPr>
          <w:p>
            <w:pPr>
              <w:spacing w:after="0"/>
              <w:rPr>
                <w:sz w:val="1"/>
                <w:szCs w:val="1"/>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6"/>
                <w:szCs w:val="16"/>
                <w:color w:val="auto"/>
              </w:rPr>
              <w:t>Net Income, adjusted (non-GAAP)</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45,624</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44,978</w:t>
            </w:r>
          </w:p>
        </w:tc>
        <w:tc>
          <w:tcPr>
            <w:tcW w:w="0" w:type="dxa"/>
            <w:vAlign w:val="bottom"/>
          </w:tcPr>
          <w:p>
            <w:pPr>
              <w:spacing w:after="0"/>
              <w:rPr>
                <w:sz w:val="1"/>
                <w:szCs w:val="1"/>
                <w:color w:val="auto"/>
              </w:rPr>
            </w:pPr>
          </w:p>
        </w:tc>
      </w:tr>
      <w:tr>
        <w:trPr>
          <w:trHeight w:val="441"/>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180"/>
              <w:spacing w:after="0"/>
              <w:rPr>
                <w:sz w:val="20"/>
                <w:szCs w:val="20"/>
                <w:color w:val="auto"/>
              </w:rPr>
            </w:pPr>
            <w:r>
              <w:rPr>
                <w:rFonts w:ascii="Arial" w:cs="Arial" w:eastAsia="Arial" w:hAnsi="Arial"/>
                <w:sz w:val="16"/>
                <w:szCs w:val="16"/>
                <w:b w:val="1"/>
                <w:bCs w:val="1"/>
                <w:color w:val="auto"/>
              </w:rPr>
              <w:t>Company Common Stockholders</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660" w:type="dxa"/>
            <w:vAlign w:val="bottom"/>
          </w:tcPr>
          <w:p>
            <w:pPr>
              <w:ind w:left="20"/>
              <w:spacing w:after="0"/>
              <w:rPr>
                <w:sz w:val="20"/>
                <w:szCs w:val="20"/>
                <w:color w:val="auto"/>
              </w:rPr>
            </w:pPr>
            <w:r>
              <w:rPr>
                <w:rFonts w:ascii="Arial" w:cs="Arial" w:eastAsia="Arial" w:hAnsi="Arial"/>
                <w:sz w:val="16"/>
                <w:szCs w:val="16"/>
                <w:color w:val="auto"/>
              </w:rPr>
              <w:t>Diluted income per common share, as reported</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7.46</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6"/>
                <w:szCs w:val="16"/>
                <w:color w:val="auto"/>
              </w:rPr>
              <w:t>Goodwill and other long-lived asset impairment charge</w:t>
            </w: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1.03</w:t>
            </w: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6"/>
                <w:szCs w:val="16"/>
                <w:color w:val="auto"/>
              </w:rPr>
              <w:t>Gain from the sales of land and marketable equity securities</w:t>
            </w: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6"/>
                <w:szCs w:val="16"/>
                <w:color w:val="auto"/>
              </w:rPr>
              <w:t>Gain from the formation of a joint venture</w:t>
            </w: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70"/>
        </w:trPr>
        <w:tc>
          <w:tcPr>
            <w:tcW w:w="4660" w:type="dxa"/>
            <w:vAlign w:val="bottom"/>
          </w:tcPr>
          <w:p>
            <w:pPr>
              <w:ind w:left="260"/>
              <w:spacing w:after="0"/>
              <w:rPr>
                <w:sz w:val="20"/>
                <w:szCs w:val="20"/>
                <w:color w:val="auto"/>
              </w:rPr>
            </w:pPr>
            <w:r>
              <w:rPr>
                <w:rFonts w:ascii="Arial" w:cs="Arial" w:eastAsia="Arial" w:hAnsi="Arial"/>
                <w:sz w:val="16"/>
                <w:szCs w:val="16"/>
                <w:color w:val="auto"/>
              </w:rPr>
              <w:t>Foreign currency (gain) loss</w:t>
            </w: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(0.39)</w:t>
            </w: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83"/>
        </w:trPr>
        <w:tc>
          <w:tcPr>
            <w:tcW w:w="4660" w:type="dxa"/>
            <w:vAlign w:val="bottom"/>
          </w:tcPr>
          <w:p>
            <w:pPr>
              <w:ind w:left="260"/>
              <w:spacing w:after="0"/>
              <w:rPr>
                <w:sz w:val="20"/>
                <w:szCs w:val="20"/>
                <w:color w:val="auto"/>
              </w:rPr>
            </w:pPr>
            <w:r>
              <w:rPr>
                <w:rFonts w:ascii="Arial" w:cs="Arial" w:eastAsia="Arial" w:hAnsi="Arial"/>
                <w:sz w:val="16"/>
                <w:szCs w:val="16"/>
                <w:color w:val="auto"/>
              </w:rPr>
              <w:t>Favorable out of period deferred tax adjustment</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6"/>
                <w:szCs w:val="16"/>
                <w:color w:val="auto"/>
              </w:rPr>
              <w:t>Diluted income per common share, adjusted (non-GAAP)</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8.10</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adjusted diluted per share amounts may not compute due to rounding.</w:t>
      </w:r>
    </w:p>
    <w:p>
      <w:pPr>
        <w:sectPr>
          <w:pgSz w:w="11900" w:h="16838" w:orient="portrait"/>
          <w:cols w:equalWidth="0" w:num="1">
            <w:col w:w="11400"/>
          </w:cols>
          <w:pgMar w:left="240" w:top="59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98" w:right="259" w:bottom="1440" w:gutter="0" w:footer="0" w:header="0"/>
          <w:type w:val="continuous"/>
        </w:sectPr>
      </w:pPr>
    </w:p>
    <w:bookmarkStart w:id="15" w:name="page16"/>
    <w:bookmarkEnd w:id="15"/>
    <w:p>
      <w:pPr>
        <w:ind w:left="700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43395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8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Income before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9"/>
              </w:rPr>
              <w:t>Income</w:t>
            </w:r>
          </w:p>
        </w:tc>
        <w:tc>
          <w:tcPr>
            <w:tcW w:w="140" w:type="dxa"/>
            <w:vAlign w:val="bottom"/>
          </w:tcPr>
          <w:p>
            <w:pPr>
              <w:spacing w:after="0"/>
              <w:rPr>
                <w:sz w:val="17"/>
                <w:szCs w:val="17"/>
                <w:color w:val="auto"/>
              </w:rPr>
            </w:pP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9"/>
              </w:rPr>
              <w:t>Net Income</w:t>
            </w:r>
          </w:p>
        </w:tc>
        <w:tc>
          <w:tcPr>
            <w:tcW w:w="12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Arial" w:cs="Arial" w:eastAsia="Arial" w:hAnsi="Arial"/>
                <w:sz w:val="16"/>
                <w:szCs w:val="16"/>
                <w:color w:val="auto"/>
              </w:rPr>
              <w:t>Income before</w:t>
            </w:r>
          </w:p>
        </w:tc>
        <w:tc>
          <w:tcPr>
            <w:tcW w:w="220" w:type="dxa"/>
            <w:vAlign w:val="bottom"/>
          </w:tcPr>
          <w:p>
            <w:pPr>
              <w:spacing w:after="0"/>
              <w:rPr>
                <w:sz w:val="17"/>
                <w:szCs w:val="17"/>
                <w:color w:val="auto"/>
              </w:rPr>
            </w:pPr>
          </w:p>
        </w:tc>
        <w:tc>
          <w:tcPr>
            <w:tcW w:w="860" w:type="dxa"/>
            <w:vAlign w:val="bottom"/>
          </w:tcPr>
          <w:p>
            <w:pPr>
              <w:jc w:val="center"/>
              <w:ind w:right="160"/>
              <w:spacing w:after="0"/>
              <w:rPr>
                <w:sz w:val="20"/>
                <w:szCs w:val="20"/>
                <w:color w:val="auto"/>
              </w:rPr>
            </w:pPr>
            <w:r>
              <w:rPr>
                <w:rFonts w:ascii="Arial" w:cs="Arial" w:eastAsia="Arial" w:hAnsi="Arial"/>
                <w:sz w:val="16"/>
                <w:szCs w:val="16"/>
                <w:color w:val="auto"/>
              </w:rPr>
              <w:t>Income</w:t>
            </w:r>
          </w:p>
        </w:tc>
        <w:tc>
          <w:tcPr>
            <w:tcW w:w="140" w:type="dxa"/>
            <w:vAlign w:val="bottom"/>
          </w:tcPr>
          <w:p>
            <w:pPr>
              <w:spacing w:after="0"/>
              <w:rPr>
                <w:sz w:val="17"/>
                <w:szCs w:val="17"/>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120"/>
        </w:trPr>
        <w:tc>
          <w:tcPr>
            <w:tcW w:w="4580" w:type="dxa"/>
            <w:vAlign w:val="bottom"/>
            <w:vMerge w:val="restart"/>
          </w:tcPr>
          <w:p>
            <w:pPr>
              <w:ind w:left="40"/>
              <w:spacing w:after="0"/>
              <w:rPr>
                <w:sz w:val="20"/>
                <w:szCs w:val="20"/>
                <w:color w:val="auto"/>
              </w:rPr>
            </w:pPr>
            <w:r>
              <w:rPr>
                <w:rFonts w:ascii="Arial" w:cs="Arial" w:eastAsia="Arial" w:hAnsi="Arial"/>
                <w:sz w:val="14"/>
                <w:szCs w:val="14"/>
                <w:color w:val="auto"/>
              </w:rPr>
              <w:t>(in thousands, except per share amounts)</w:t>
            </w:r>
          </w:p>
        </w:tc>
        <w:tc>
          <w:tcPr>
            <w:tcW w:w="124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rPr>
              <w:t>income taxes</w:t>
            </w: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Taxes</w:t>
            </w:r>
          </w:p>
        </w:tc>
        <w:tc>
          <w:tcPr>
            <w:tcW w:w="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income taxes</w:t>
            </w:r>
          </w:p>
        </w:tc>
        <w:tc>
          <w:tcPr>
            <w:tcW w:w="220" w:type="dxa"/>
            <w:vAlign w:val="bottom"/>
          </w:tcPr>
          <w:p>
            <w:pPr>
              <w:spacing w:after="0"/>
              <w:rPr>
                <w:sz w:val="10"/>
                <w:szCs w:val="10"/>
                <w:color w:val="auto"/>
              </w:rPr>
            </w:pPr>
          </w:p>
        </w:tc>
        <w:tc>
          <w:tcPr>
            <w:tcW w:w="860" w:type="dxa"/>
            <w:vAlign w:val="bottom"/>
            <w:vMerge w:val="restart"/>
          </w:tcPr>
          <w:p>
            <w:pPr>
              <w:jc w:val="center"/>
              <w:ind w:right="160"/>
              <w:spacing w:after="0"/>
              <w:rPr>
                <w:sz w:val="20"/>
                <w:szCs w:val="20"/>
                <w:color w:val="auto"/>
              </w:rPr>
            </w:pPr>
            <w:r>
              <w:rPr>
                <w:rFonts w:ascii="Arial" w:cs="Arial" w:eastAsia="Arial" w:hAnsi="Arial"/>
                <w:sz w:val="16"/>
                <w:szCs w:val="16"/>
                <w:color w:val="auto"/>
                <w:w w:val="96"/>
              </w:rPr>
              <w:t>Taxes</w:t>
            </w:r>
          </w:p>
        </w:tc>
        <w:tc>
          <w:tcPr>
            <w:tcW w:w="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80" w:type="dxa"/>
            <w:vAlign w:val="bottom"/>
            <w:tcBorders>
              <w:bottom w:val="single" w:sz="8" w:color="auto"/>
            </w:tcBorders>
            <w:vMerge w:val="continue"/>
          </w:tcPr>
          <w:p>
            <w:pPr>
              <w:spacing w:after="0"/>
              <w:rPr>
                <w:sz w:val="9"/>
                <w:szCs w:val="9"/>
                <w:color w:val="auto"/>
              </w:rPr>
            </w:pPr>
          </w:p>
        </w:tc>
        <w:tc>
          <w:tcPr>
            <w:tcW w:w="1240" w:type="dxa"/>
            <w:vAlign w:val="bottom"/>
            <w:tcBorders>
              <w:bottom w:val="single" w:sz="8" w:color="auto"/>
            </w:tcBorders>
            <w:gridSpan w:val="2"/>
            <w:vMerge w:val="continue"/>
          </w:tcPr>
          <w:p>
            <w:pPr>
              <w:spacing w:after="0"/>
              <w:rPr>
                <w:sz w:val="9"/>
                <w:szCs w:val="9"/>
                <w:color w:val="auto"/>
              </w:rPr>
            </w:pPr>
          </w:p>
        </w:tc>
        <w:tc>
          <w:tcPr>
            <w:tcW w:w="96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2"/>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Graham Holdings Company</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0"/>
              <w:spacing w:after="0"/>
              <w:rPr>
                <w:sz w:val="20"/>
                <w:szCs w:val="20"/>
                <w:color w:val="auto"/>
              </w:rPr>
            </w:pPr>
            <w:r>
              <w:rPr>
                <w:rFonts w:ascii="Arial" w:cs="Arial" w:eastAsia="Arial" w:hAnsi="Arial"/>
                <w:sz w:val="16"/>
                <w:szCs w:val="16"/>
                <w:b w:val="1"/>
                <w:bCs w:val="1"/>
                <w:color w:val="auto"/>
              </w:rPr>
              <w:t>Common Stockholders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40"/>
              <w:spacing w:after="0"/>
              <w:rPr>
                <w:sz w:val="20"/>
                <w:szCs w:val="20"/>
                <w:color w:val="auto"/>
              </w:rPr>
            </w:pPr>
            <w:r>
              <w:rPr>
                <w:rFonts w:ascii="Arial" w:cs="Arial" w:eastAsia="Arial" w:hAnsi="Arial"/>
                <w:sz w:val="16"/>
                <w:szCs w:val="16"/>
                <w:color w:val="auto"/>
              </w:rPr>
              <w:t>As reported</w:t>
            </w:r>
          </w:p>
        </w:tc>
        <w:tc>
          <w:tcPr>
            <w:tcW w:w="34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89,685</w:t>
            </w:r>
          </w:p>
        </w:tc>
        <w:tc>
          <w:tcPr>
            <w:tcW w:w="960" w:type="dxa"/>
            <w:vAlign w:val="bottom"/>
          </w:tcPr>
          <w:p>
            <w:pPr>
              <w:jc w:val="right"/>
              <w:ind w:right="120"/>
              <w:spacing w:after="0"/>
              <w:rPr>
                <w:sz w:val="20"/>
                <w:szCs w:val="20"/>
                <w:color w:val="auto"/>
              </w:rPr>
            </w:pPr>
            <w:r>
              <w:rPr>
                <w:rFonts w:ascii="Arial" w:cs="Arial" w:eastAsia="Arial" w:hAnsi="Arial"/>
                <w:sz w:val="16"/>
                <w:szCs w:val="16"/>
                <w:b w:val="1"/>
                <w:bCs w:val="1"/>
                <w:color w:val="auto"/>
              </w:rPr>
              <w:t>$ 26,600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63,085</w:t>
            </w:r>
          </w:p>
        </w:tc>
        <w:tc>
          <w:tcPr>
            <w:tcW w:w="3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145,614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46,200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99,414</w:t>
            </w:r>
          </w:p>
        </w:tc>
        <w:tc>
          <w:tcPr>
            <w:tcW w:w="0" w:type="dxa"/>
            <w:vAlign w:val="bottom"/>
          </w:tcPr>
          <w:p>
            <w:pPr>
              <w:spacing w:after="0"/>
              <w:rPr>
                <w:sz w:val="1"/>
                <w:szCs w:val="1"/>
                <w:color w:val="auto"/>
              </w:rPr>
            </w:pPr>
          </w:p>
        </w:tc>
      </w:tr>
      <w:tr>
        <w:trPr>
          <w:trHeight w:val="283"/>
        </w:trPr>
        <w:tc>
          <w:tcPr>
            <w:tcW w:w="4580" w:type="dxa"/>
            <w:vAlign w:val="bottom"/>
          </w:tcPr>
          <w:p>
            <w:pPr>
              <w:ind w:left="40"/>
              <w:spacing w:after="0"/>
              <w:rPr>
                <w:sz w:val="20"/>
                <w:szCs w:val="20"/>
                <w:color w:val="auto"/>
              </w:rPr>
            </w:pPr>
            <w:r>
              <w:rPr>
                <w:rFonts w:ascii="Arial" w:cs="Arial" w:eastAsia="Arial" w:hAnsi="Arial"/>
                <w:sz w:val="16"/>
                <w:szCs w:val="16"/>
                <w:color w:val="auto"/>
              </w:rPr>
              <w:t>Attributable to noncontrolling interests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6"/>
                <w:szCs w:val="16"/>
                <w:color w:val="auto"/>
              </w:rPr>
              <w:t>Attributable to Graham Holdings Company Stockholders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63,082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98,546</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280"/>
              <w:spacing w:after="0"/>
              <w:rPr>
                <w:sz w:val="20"/>
                <w:szCs w:val="20"/>
                <w:color w:val="auto"/>
              </w:rPr>
            </w:pPr>
            <w:r>
              <w:rPr>
                <w:rFonts w:ascii="Arial" w:cs="Arial" w:eastAsia="Arial" w:hAnsi="Arial"/>
                <w:sz w:val="16"/>
                <w:szCs w:val="16"/>
                <w:color w:val="auto"/>
              </w:rPr>
              <w:t>Goodwill and other long-lived asset impairment charge</w:t>
            </w:r>
          </w:p>
        </w:tc>
        <w:tc>
          <w:tcPr>
            <w:tcW w:w="340" w:type="dxa"/>
            <w:vAlign w:val="bottom"/>
          </w:tcPr>
          <w:p>
            <w:pPr>
              <w:spacing w:after="0"/>
              <w:rPr>
                <w:sz w:val="23"/>
                <w:szCs w:val="23"/>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9,224</w:t>
            </w:r>
          </w:p>
        </w:tc>
        <w:tc>
          <w:tcPr>
            <w:tcW w:w="960" w:type="dxa"/>
            <w:vAlign w:val="bottom"/>
          </w:tcPr>
          <w:p>
            <w:pPr>
              <w:jc w:val="right"/>
              <w:ind w:right="120"/>
              <w:spacing w:after="0"/>
              <w:rPr>
                <w:sz w:val="20"/>
                <w:szCs w:val="20"/>
                <w:color w:val="auto"/>
              </w:rPr>
            </w:pPr>
            <w:r>
              <w:rPr>
                <w:rFonts w:ascii="Arial" w:cs="Arial" w:eastAsia="Arial" w:hAnsi="Arial"/>
                <w:sz w:val="16"/>
                <w:szCs w:val="16"/>
                <w:b w:val="1"/>
                <w:bCs w:val="1"/>
                <w:color w:val="auto"/>
              </w:rPr>
              <w:t>3,413</w:t>
            </w: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5,811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580" w:type="dxa"/>
            <w:vAlign w:val="bottom"/>
          </w:tcPr>
          <w:p>
            <w:pPr>
              <w:ind w:left="280"/>
              <w:spacing w:after="0"/>
              <w:rPr>
                <w:sz w:val="20"/>
                <w:szCs w:val="20"/>
                <w:color w:val="auto"/>
              </w:rPr>
            </w:pPr>
            <w:r>
              <w:rPr>
                <w:rFonts w:ascii="Arial" w:cs="Arial" w:eastAsia="Arial" w:hAnsi="Arial"/>
                <w:sz w:val="16"/>
                <w:szCs w:val="16"/>
                <w:color w:val="auto"/>
              </w:rPr>
              <w:t>Gain from the sales of land and marketable equity</w:t>
            </w:r>
          </w:p>
        </w:tc>
        <w:tc>
          <w:tcPr>
            <w:tcW w:w="340" w:type="dxa"/>
            <w:vAlign w:val="bottom"/>
          </w:tcPr>
          <w:p>
            <w:pPr>
              <w:spacing w:after="0"/>
              <w:rPr>
                <w:sz w:val="20"/>
                <w:szCs w:val="20"/>
                <w:color w:val="auto"/>
              </w:rPr>
            </w:pPr>
          </w:p>
        </w:tc>
        <w:tc>
          <w:tcPr>
            <w:tcW w:w="9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1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580" w:type="dxa"/>
            <w:vAlign w:val="bottom"/>
          </w:tcPr>
          <w:p>
            <w:pPr>
              <w:ind w:left="440"/>
              <w:spacing w:after="0"/>
              <w:rPr>
                <w:sz w:val="20"/>
                <w:szCs w:val="20"/>
                <w:color w:val="auto"/>
              </w:rPr>
            </w:pPr>
            <w:r>
              <w:rPr>
                <w:rFonts w:ascii="Arial" w:cs="Arial" w:eastAsia="Arial" w:hAnsi="Arial"/>
                <w:sz w:val="16"/>
                <w:szCs w:val="16"/>
                <w:color w:val="auto"/>
              </w:rPr>
              <w:t>securities</w:t>
            </w:r>
          </w:p>
        </w:tc>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(40,328)</w:t>
            </w:r>
          </w:p>
        </w:tc>
        <w:tc>
          <w:tcPr>
            <w:tcW w:w="220" w:type="dxa"/>
            <w:vAlign w:val="bottom"/>
          </w:tcPr>
          <w:p>
            <w:pPr>
              <w:spacing w:after="0"/>
              <w:rPr>
                <w:sz w:val="16"/>
                <w:szCs w:val="16"/>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(15,324)</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(25,004)</w:t>
            </w:r>
          </w:p>
        </w:tc>
        <w:tc>
          <w:tcPr>
            <w:tcW w:w="0" w:type="dxa"/>
            <w:vAlign w:val="bottom"/>
          </w:tcPr>
          <w:p>
            <w:pPr>
              <w:spacing w:after="0"/>
              <w:rPr>
                <w:sz w:val="1"/>
                <w:szCs w:val="1"/>
                <w:color w:val="auto"/>
              </w:rPr>
            </w:pPr>
          </w:p>
        </w:tc>
      </w:tr>
      <w:tr>
        <w:trPr>
          <w:trHeight w:val="237"/>
        </w:trPr>
        <w:tc>
          <w:tcPr>
            <w:tcW w:w="4580" w:type="dxa"/>
            <w:vAlign w:val="bottom"/>
          </w:tcPr>
          <w:p>
            <w:pPr>
              <w:ind w:left="280"/>
              <w:spacing w:after="0"/>
              <w:rPr>
                <w:sz w:val="20"/>
                <w:szCs w:val="20"/>
                <w:color w:val="auto"/>
              </w:rPr>
            </w:pPr>
            <w:r>
              <w:rPr>
                <w:rFonts w:ascii="Arial" w:cs="Arial" w:eastAsia="Arial" w:hAnsi="Arial"/>
                <w:sz w:val="16"/>
                <w:szCs w:val="16"/>
                <w:color w:val="auto"/>
              </w:rPr>
              <w:t>Gain from the sale of a business and formation of a joint</w:t>
            </w:r>
          </w:p>
        </w:tc>
        <w:tc>
          <w:tcPr>
            <w:tcW w:w="340" w:type="dxa"/>
            <w:vAlign w:val="bottom"/>
          </w:tcPr>
          <w:p>
            <w:pPr>
              <w:spacing w:after="0"/>
              <w:rPr>
                <w:sz w:val="20"/>
                <w:szCs w:val="20"/>
                <w:color w:val="auto"/>
              </w:rPr>
            </w:pPr>
          </w:p>
        </w:tc>
        <w:tc>
          <w:tcPr>
            <w:tcW w:w="9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1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580" w:type="dxa"/>
            <w:vAlign w:val="bottom"/>
          </w:tcPr>
          <w:p>
            <w:pPr>
              <w:ind w:left="440"/>
              <w:spacing w:after="0"/>
              <w:rPr>
                <w:sz w:val="20"/>
                <w:szCs w:val="20"/>
                <w:color w:val="auto"/>
              </w:rPr>
            </w:pPr>
            <w:r>
              <w:rPr>
                <w:rFonts w:ascii="Arial" w:cs="Arial" w:eastAsia="Arial" w:hAnsi="Arial"/>
                <w:sz w:val="16"/>
                <w:szCs w:val="16"/>
                <w:color w:val="auto"/>
              </w:rPr>
              <w:t>venture</w:t>
            </w:r>
          </w:p>
        </w:tc>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(22,163)</w:t>
            </w:r>
          </w:p>
        </w:tc>
        <w:tc>
          <w:tcPr>
            <w:tcW w:w="220" w:type="dxa"/>
            <w:vAlign w:val="bottom"/>
          </w:tcPr>
          <w:p>
            <w:pPr>
              <w:spacing w:after="0"/>
              <w:rPr>
                <w:sz w:val="16"/>
                <w:szCs w:val="16"/>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(8,582)</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(13,581)</w:t>
            </w:r>
          </w:p>
        </w:tc>
        <w:tc>
          <w:tcPr>
            <w:tcW w:w="0" w:type="dxa"/>
            <w:vAlign w:val="bottom"/>
          </w:tcPr>
          <w:p>
            <w:pPr>
              <w:spacing w:after="0"/>
              <w:rPr>
                <w:sz w:val="1"/>
                <w:szCs w:val="1"/>
                <w:color w:val="auto"/>
              </w:rPr>
            </w:pPr>
          </w:p>
        </w:tc>
      </w:tr>
      <w:tr>
        <w:trPr>
          <w:trHeight w:val="270"/>
        </w:trPr>
        <w:tc>
          <w:tcPr>
            <w:tcW w:w="4580" w:type="dxa"/>
            <w:vAlign w:val="bottom"/>
          </w:tcPr>
          <w:p>
            <w:pPr>
              <w:ind w:left="280"/>
              <w:spacing w:after="0"/>
              <w:rPr>
                <w:sz w:val="20"/>
                <w:szCs w:val="20"/>
                <w:color w:val="auto"/>
              </w:rPr>
            </w:pPr>
            <w:r>
              <w:rPr>
                <w:rFonts w:ascii="Arial" w:cs="Arial" w:eastAsia="Arial" w:hAnsi="Arial"/>
                <w:sz w:val="16"/>
                <w:szCs w:val="16"/>
                <w:color w:val="auto"/>
              </w:rPr>
              <w:t>Foreign currency (gain) loss</w:t>
            </w:r>
          </w:p>
        </w:tc>
        <w:tc>
          <w:tcPr>
            <w:tcW w:w="34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(5,194)</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(1,922)</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(3,272)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29,527</w:t>
            </w:r>
          </w:p>
        </w:tc>
        <w:tc>
          <w:tcPr>
            <w:tcW w:w="22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10,630</w:t>
            </w: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18,897</w:t>
            </w:r>
          </w:p>
        </w:tc>
        <w:tc>
          <w:tcPr>
            <w:tcW w:w="0" w:type="dxa"/>
            <w:vAlign w:val="bottom"/>
          </w:tcPr>
          <w:p>
            <w:pPr>
              <w:spacing w:after="0"/>
              <w:rPr>
                <w:sz w:val="1"/>
                <w:szCs w:val="1"/>
                <w:color w:val="auto"/>
              </w:rPr>
            </w:pPr>
          </w:p>
        </w:tc>
      </w:tr>
      <w:tr>
        <w:trPr>
          <w:trHeight w:val="270"/>
        </w:trPr>
        <w:tc>
          <w:tcPr>
            <w:tcW w:w="4580" w:type="dxa"/>
            <w:vAlign w:val="bottom"/>
          </w:tcPr>
          <w:p>
            <w:pPr>
              <w:ind w:left="280"/>
              <w:spacing w:after="0"/>
              <w:rPr>
                <w:sz w:val="20"/>
                <w:szCs w:val="20"/>
                <w:color w:val="auto"/>
              </w:rPr>
            </w:pPr>
            <w:r>
              <w:rPr>
                <w:rFonts w:ascii="Arial" w:cs="Arial" w:eastAsia="Arial" w:hAnsi="Arial"/>
                <w:sz w:val="16"/>
                <w:szCs w:val="16"/>
                <w:color w:val="auto"/>
              </w:rPr>
              <w:t>Tax benefit related to stock compensation</w:t>
            </w:r>
          </w:p>
        </w:tc>
        <w:tc>
          <w:tcPr>
            <w:tcW w:w="340" w:type="dxa"/>
            <w:vAlign w:val="bottom"/>
          </w:tcPr>
          <w:p>
            <w:pPr>
              <w:spacing w:after="0"/>
              <w:rPr>
                <w:sz w:val="23"/>
                <w:szCs w:val="23"/>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b w:val="1"/>
                <w:bCs w:val="1"/>
                <w:color w:val="auto"/>
              </w:rPr>
              <w:t>5,933</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(5,933)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4580" w:type="dxa"/>
            <w:vAlign w:val="bottom"/>
          </w:tcPr>
          <w:p>
            <w:pPr>
              <w:ind w:left="280"/>
              <w:spacing w:after="0"/>
              <w:rPr>
                <w:sz w:val="20"/>
                <w:szCs w:val="20"/>
                <w:color w:val="auto"/>
              </w:rPr>
            </w:pPr>
            <w:r>
              <w:rPr>
                <w:rFonts w:ascii="Arial" w:cs="Arial" w:eastAsia="Arial" w:hAnsi="Arial"/>
                <w:sz w:val="16"/>
                <w:szCs w:val="16"/>
                <w:color w:val="auto"/>
              </w:rPr>
              <w:t>Favorable out of period deferred tax adjustment</w:t>
            </w:r>
          </w:p>
        </w:tc>
        <w:tc>
          <w:tcPr>
            <w:tcW w:w="340" w:type="dxa"/>
            <w:vAlign w:val="bottom"/>
          </w:tcPr>
          <w:p>
            <w:pPr>
              <w:spacing w:after="0"/>
              <w:rPr>
                <w:sz w:val="24"/>
                <w:szCs w:val="24"/>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5,631</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(5,631)</w:t>
            </w:r>
          </w:p>
        </w:tc>
        <w:tc>
          <w:tcPr>
            <w:tcW w:w="0" w:type="dxa"/>
            <w:vAlign w:val="bottom"/>
          </w:tcPr>
          <w:p>
            <w:pPr>
              <w:spacing w:after="0"/>
              <w:rPr>
                <w:sz w:val="1"/>
                <w:szCs w:val="1"/>
                <w:color w:val="auto"/>
              </w:rPr>
            </w:pPr>
          </w:p>
        </w:tc>
      </w:tr>
      <w:tr>
        <w:trPr>
          <w:trHeight w:val="250"/>
        </w:trPr>
        <w:tc>
          <w:tcPr>
            <w:tcW w:w="4580" w:type="dxa"/>
            <w:vAlign w:val="bottom"/>
          </w:tcPr>
          <w:p>
            <w:pPr>
              <w:ind w:left="40"/>
              <w:spacing w:after="0"/>
              <w:rPr>
                <w:sz w:val="20"/>
                <w:szCs w:val="20"/>
                <w:color w:val="auto"/>
              </w:rPr>
            </w:pPr>
            <w:r>
              <w:rPr>
                <w:rFonts w:ascii="Arial" w:cs="Arial" w:eastAsia="Arial" w:hAnsi="Arial"/>
                <w:sz w:val="16"/>
                <w:szCs w:val="16"/>
                <w:color w:val="auto"/>
              </w:rPr>
              <w:t>Net Income, adjusted (non-GAAP)</w:t>
            </w: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59,688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73,227</w:t>
            </w:r>
          </w:p>
        </w:tc>
        <w:tc>
          <w:tcPr>
            <w:tcW w:w="0" w:type="dxa"/>
            <w:vAlign w:val="bottom"/>
          </w:tcPr>
          <w:p>
            <w:pPr>
              <w:spacing w:after="0"/>
              <w:rPr>
                <w:sz w:val="1"/>
                <w:szCs w:val="1"/>
                <w:color w:val="auto"/>
              </w:rPr>
            </w:pPr>
          </w:p>
        </w:tc>
      </w:tr>
      <w:tr>
        <w:trPr>
          <w:trHeight w:val="441"/>
        </w:trPr>
        <w:tc>
          <w:tcPr>
            <w:tcW w:w="4580" w:type="dxa"/>
            <w:vAlign w:val="bottom"/>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0"/>
              <w:spacing w:after="0"/>
              <w:rPr>
                <w:sz w:val="20"/>
                <w:szCs w:val="20"/>
                <w:color w:val="auto"/>
              </w:rPr>
            </w:pPr>
            <w:r>
              <w:rPr>
                <w:rFonts w:ascii="Arial" w:cs="Arial" w:eastAsia="Arial" w:hAnsi="Arial"/>
                <w:sz w:val="16"/>
                <w:szCs w:val="16"/>
                <w:b w:val="1"/>
                <w:bCs w:val="1"/>
                <w:color w:val="auto"/>
              </w:rPr>
              <w:t>Company Common Stockholders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580" w:type="dxa"/>
            <w:vAlign w:val="bottom"/>
          </w:tcPr>
          <w:p>
            <w:pPr>
              <w:ind w:left="40"/>
              <w:spacing w:after="0"/>
              <w:rPr>
                <w:sz w:val="20"/>
                <w:szCs w:val="20"/>
                <w:color w:val="auto"/>
              </w:rPr>
            </w:pPr>
            <w:r>
              <w:rPr>
                <w:rFonts w:ascii="Arial" w:cs="Arial" w:eastAsia="Arial" w:hAnsi="Arial"/>
                <w:sz w:val="16"/>
                <w:szCs w:val="16"/>
                <w:color w:val="auto"/>
              </w:rPr>
              <w:t>Diluted income per common share, as reported</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11.21</w:t>
            </w:r>
          </w:p>
        </w:tc>
        <w:tc>
          <w:tcPr>
            <w:tcW w:w="1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17.33</w:t>
            </w:r>
          </w:p>
        </w:tc>
        <w:tc>
          <w:tcPr>
            <w:tcW w:w="0" w:type="dxa"/>
            <w:vAlign w:val="bottom"/>
          </w:tcPr>
          <w:p>
            <w:pPr>
              <w:spacing w:after="0"/>
              <w:rPr>
                <w:sz w:val="1"/>
                <w:szCs w:val="1"/>
                <w:color w:val="auto"/>
              </w:rPr>
            </w:pPr>
          </w:p>
        </w:tc>
      </w:tr>
      <w:tr>
        <w:trPr>
          <w:trHeight w:val="251"/>
        </w:trPr>
        <w:tc>
          <w:tcPr>
            <w:tcW w:w="458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280"/>
              <w:spacing w:after="0"/>
              <w:rPr>
                <w:sz w:val="20"/>
                <w:szCs w:val="20"/>
                <w:color w:val="auto"/>
              </w:rPr>
            </w:pPr>
            <w:r>
              <w:rPr>
                <w:rFonts w:ascii="Arial" w:cs="Arial" w:eastAsia="Arial" w:hAnsi="Arial"/>
                <w:sz w:val="16"/>
                <w:szCs w:val="16"/>
                <w:color w:val="auto"/>
              </w:rPr>
              <w:t>Goodwill and other long-lived asset impairment charge</w:t>
            </w: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1.03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580" w:type="dxa"/>
            <w:vAlign w:val="bottom"/>
          </w:tcPr>
          <w:p>
            <w:pPr>
              <w:ind w:left="280"/>
              <w:spacing w:after="0"/>
              <w:rPr>
                <w:sz w:val="20"/>
                <w:szCs w:val="20"/>
                <w:color w:val="auto"/>
              </w:rPr>
            </w:pPr>
            <w:r>
              <w:rPr>
                <w:rFonts w:ascii="Arial" w:cs="Arial" w:eastAsia="Arial" w:hAnsi="Arial"/>
                <w:sz w:val="16"/>
                <w:szCs w:val="16"/>
                <w:color w:val="auto"/>
              </w:rPr>
              <w:t>Gain from the sales of land and marketable equity</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580" w:type="dxa"/>
            <w:vAlign w:val="bottom"/>
          </w:tcPr>
          <w:p>
            <w:pPr>
              <w:ind w:left="440"/>
              <w:spacing w:after="0"/>
              <w:rPr>
                <w:sz w:val="20"/>
                <w:szCs w:val="20"/>
                <w:color w:val="auto"/>
              </w:rPr>
            </w:pPr>
            <w:r>
              <w:rPr>
                <w:rFonts w:ascii="Arial" w:cs="Arial" w:eastAsia="Arial" w:hAnsi="Arial"/>
                <w:sz w:val="16"/>
                <w:szCs w:val="16"/>
                <w:color w:val="auto"/>
              </w:rPr>
              <w:t>securities</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38"/>
        </w:trPr>
        <w:tc>
          <w:tcPr>
            <w:tcW w:w="4580" w:type="dxa"/>
            <w:vAlign w:val="bottom"/>
          </w:tcPr>
          <w:p>
            <w:pPr>
              <w:ind w:left="280"/>
              <w:spacing w:after="0"/>
              <w:rPr>
                <w:sz w:val="20"/>
                <w:szCs w:val="20"/>
                <w:color w:val="auto"/>
              </w:rPr>
            </w:pPr>
            <w:r>
              <w:rPr>
                <w:rFonts w:ascii="Arial" w:cs="Arial" w:eastAsia="Arial" w:hAnsi="Arial"/>
                <w:sz w:val="16"/>
                <w:szCs w:val="16"/>
                <w:color w:val="auto"/>
              </w:rPr>
              <w:t>Gain from the sale of a business and formation of a joint</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580" w:type="dxa"/>
            <w:vAlign w:val="bottom"/>
          </w:tcPr>
          <w:p>
            <w:pPr>
              <w:ind w:left="440"/>
              <w:spacing w:after="0"/>
              <w:rPr>
                <w:sz w:val="20"/>
                <w:szCs w:val="20"/>
                <w:color w:val="auto"/>
              </w:rPr>
            </w:pPr>
            <w:r>
              <w:rPr>
                <w:rFonts w:ascii="Arial" w:cs="Arial" w:eastAsia="Arial" w:hAnsi="Arial"/>
                <w:sz w:val="16"/>
                <w:szCs w:val="16"/>
                <w:color w:val="auto"/>
              </w:rPr>
              <w:t>venture</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70"/>
        </w:trPr>
        <w:tc>
          <w:tcPr>
            <w:tcW w:w="4580" w:type="dxa"/>
            <w:vAlign w:val="bottom"/>
          </w:tcPr>
          <w:p>
            <w:pPr>
              <w:ind w:left="280"/>
              <w:spacing w:after="0"/>
              <w:rPr>
                <w:sz w:val="20"/>
                <w:szCs w:val="20"/>
                <w:color w:val="auto"/>
              </w:rPr>
            </w:pPr>
            <w:r>
              <w:rPr>
                <w:rFonts w:ascii="Arial" w:cs="Arial" w:eastAsia="Arial" w:hAnsi="Arial"/>
                <w:sz w:val="16"/>
                <w:szCs w:val="16"/>
                <w:color w:val="auto"/>
              </w:rPr>
              <w:t>Foreign currency (gain) loss</w:t>
            </w: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(0.58)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70"/>
        </w:trPr>
        <w:tc>
          <w:tcPr>
            <w:tcW w:w="4580" w:type="dxa"/>
            <w:vAlign w:val="bottom"/>
          </w:tcPr>
          <w:p>
            <w:pPr>
              <w:ind w:left="280"/>
              <w:spacing w:after="0"/>
              <w:rPr>
                <w:sz w:val="20"/>
                <w:szCs w:val="20"/>
                <w:color w:val="auto"/>
              </w:rPr>
            </w:pPr>
            <w:r>
              <w:rPr>
                <w:rFonts w:ascii="Arial" w:cs="Arial" w:eastAsia="Arial" w:hAnsi="Arial"/>
                <w:sz w:val="16"/>
                <w:szCs w:val="16"/>
                <w:color w:val="auto"/>
              </w:rPr>
              <w:t>Tax benefit related to stock compensation</w:t>
            </w: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4580" w:type="dxa"/>
            <w:vAlign w:val="bottom"/>
          </w:tcPr>
          <w:p>
            <w:pPr>
              <w:ind w:left="280"/>
              <w:spacing w:after="0"/>
              <w:rPr>
                <w:sz w:val="20"/>
                <w:szCs w:val="20"/>
                <w:color w:val="auto"/>
              </w:rPr>
            </w:pPr>
            <w:r>
              <w:rPr>
                <w:rFonts w:ascii="Arial" w:cs="Arial" w:eastAsia="Arial" w:hAnsi="Arial"/>
                <w:sz w:val="16"/>
                <w:szCs w:val="16"/>
                <w:color w:val="auto"/>
              </w:rPr>
              <w:t>Favorable out of period deferred tax adjustment</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50"/>
        </w:trPr>
        <w:tc>
          <w:tcPr>
            <w:tcW w:w="4580" w:type="dxa"/>
            <w:vAlign w:val="bottom"/>
          </w:tcPr>
          <w:p>
            <w:pPr>
              <w:ind w:left="40"/>
              <w:spacing w:after="0"/>
              <w:rPr>
                <w:sz w:val="20"/>
                <w:szCs w:val="20"/>
                <w:color w:val="auto"/>
              </w:rPr>
            </w:pPr>
            <w:r>
              <w:rPr>
                <w:rFonts w:ascii="Arial" w:cs="Arial" w:eastAsia="Arial" w:hAnsi="Arial"/>
                <w:sz w:val="16"/>
                <w:szCs w:val="16"/>
                <w:color w:val="auto"/>
              </w:rPr>
              <w:t>Diluted income per common share, adjusted (non-GAAP)</w:t>
            </w: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12.87</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adjusted diluted per share amounts may not compute due to rounding.</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7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2019-12-05T07:54:57Z</dcterms:created>
  <dcterms:modified xsi:type="dcterms:W3CDTF">2019-12-05T07:54:57Z</dcterms:modified>
</cp:coreProperties>
</file>