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Washington Post Co.</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939640108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12/31/2011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939640108</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0"/>
                <w:szCs w:val="20"/>
                <w:color w:val="auto"/>
              </w:rPr>
            </w:pPr>
          </w:p>
        </w:tc>
        <w:tc>
          <w:tcPr>
            <w:tcW w:w="1102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49"/>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22"/>
                <w:szCs w:val="22"/>
                <w:color w:val="auto"/>
              </w:rPr>
              <w:t>Manning &amp; Napier Advisors, LLC</w:t>
            </w:r>
          </w:p>
        </w:tc>
        <w:tc>
          <w:tcPr>
            <w:tcW w:w="0" w:type="dxa"/>
            <w:vAlign w:val="bottom"/>
          </w:tcPr>
          <w:p>
            <w:pPr>
              <w:spacing w:after="0"/>
              <w:rPr>
                <w:sz w:val="1"/>
                <w:szCs w:val="1"/>
                <w:color w:val="auto"/>
              </w:rPr>
            </w:pPr>
          </w:p>
        </w:tc>
      </w:tr>
      <w:tr>
        <w:trPr>
          <w:trHeight w:val="407"/>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5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22"/>
                <w:szCs w:val="22"/>
                <w:color w:val="auto"/>
              </w:rPr>
              <w:t>45-3240790</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7"/>
                <w:szCs w:val="17"/>
                <w:color w:val="auto"/>
              </w:rPr>
            </w:pPr>
          </w:p>
        </w:tc>
        <w:tc>
          <w:tcPr>
            <w:tcW w:w="11020" w:type="dxa"/>
            <w:vAlign w:val="bottom"/>
            <w:tcBorders>
              <w:right w:val="single" w:sz="8" w:color="auto"/>
            </w:tcBorders>
            <w:gridSpan w:val="4"/>
          </w:tcPr>
          <w:p>
            <w:pPr>
              <w:ind w:left="80"/>
              <w:spacing w:after="0" w:line="203"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(a)</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60" w:type="dxa"/>
            <w:vAlign w:val="bottom"/>
            <w:tcBorders>
              <w:left w:val="single" w:sz="8" w:color="auto"/>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1102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10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94"/>
              </w:rPr>
              <w:t>New York</w:t>
            </w: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08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165,711</w:t>
            </w: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72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0"/>
              </w:rPr>
              <w:t>Shares</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Beneficially</w:t>
            </w: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20" w:type="dxa"/>
            <w:vAlign w:val="bottom"/>
            <w:tcBorders>
              <w:right w:val="single" w:sz="8" w:color="auto"/>
            </w:tcBorders>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8"/>
              </w:rPr>
              <w:t>Owned by</w:t>
            </w:r>
          </w:p>
        </w:tc>
        <w:tc>
          <w:tcPr>
            <w:tcW w:w="2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right w:val="single" w:sz="8" w:color="auto"/>
            </w:tcBorders>
          </w:tcPr>
          <w:p>
            <w:pPr>
              <w:jc w:val="center"/>
              <w:ind w:right="205"/>
              <w:spacing w:after="0" w:line="190" w:lineRule="exact"/>
              <w:rPr>
                <w:sz w:val="20"/>
                <w:szCs w:val="20"/>
                <w:color w:val="auto"/>
              </w:rPr>
            </w:pPr>
            <w:r>
              <w:rPr>
                <w:rFonts w:ascii="Arial" w:cs="Arial" w:eastAsia="Arial" w:hAnsi="Arial"/>
                <w:sz w:val="18"/>
                <w:szCs w:val="18"/>
                <w:color w:val="auto"/>
                <w:w w:val="87"/>
              </w:rPr>
              <w:t>Each</w:t>
            </w: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6"/>
                <w:szCs w:val="16"/>
                <w:color w:val="auto"/>
              </w:rPr>
            </w:pPr>
          </w:p>
        </w:tc>
        <w:tc>
          <w:tcPr>
            <w:tcW w:w="10020" w:type="dxa"/>
            <w:vAlign w:val="bottom"/>
            <w:tcBorders>
              <w:right w:val="single" w:sz="8" w:color="auto"/>
            </w:tcBorders>
          </w:tcPr>
          <w:p>
            <w:pPr>
              <w:ind w:left="4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9"/>
              </w:rPr>
              <w:t>Reporting</w:t>
            </w: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20" w:type="dxa"/>
            <w:vAlign w:val="bottom"/>
            <w:tcBorders>
              <w:right w:val="single" w:sz="8" w:color="auto"/>
            </w:tcBorders>
            <w:vMerge w:val="restart"/>
          </w:tcPr>
          <w:p>
            <w:pPr>
              <w:ind w:left="40"/>
              <w:spacing w:after="0"/>
              <w:rPr>
                <w:sz w:val="20"/>
                <w:szCs w:val="20"/>
                <w:color w:val="auto"/>
              </w:rPr>
            </w:pPr>
            <w:r>
              <w:rPr>
                <w:rFonts w:ascii="Arial" w:cs="Arial" w:eastAsia="Arial" w:hAnsi="Arial"/>
                <w:sz w:val="22"/>
                <w:szCs w:val="22"/>
                <w:color w:val="auto"/>
              </w:rPr>
              <w:t>236,811</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2"/>
          </w:tcPr>
          <w:p>
            <w:pPr>
              <w:jc w:val="center"/>
              <w:ind w:right="145"/>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tcBorders>
          </w:tcPr>
          <w:p>
            <w:pPr>
              <w:spacing w:after="0"/>
              <w:rPr>
                <w:sz w:val="4"/>
                <w:szCs w:val="4"/>
                <w:color w:val="auto"/>
              </w:rPr>
            </w:pPr>
          </w:p>
        </w:tc>
        <w:tc>
          <w:tcPr>
            <w:tcW w:w="720" w:type="dxa"/>
            <w:vAlign w:val="bottom"/>
            <w:tcBorders>
              <w:right w:val="single" w:sz="8" w:color="auto"/>
            </w:tcBorders>
            <w:gridSpan w:val="2"/>
            <w:vMerge w:val="restart"/>
          </w:tcPr>
          <w:p>
            <w:pPr>
              <w:jc w:val="center"/>
              <w:ind w:right="145"/>
              <w:spacing w:after="0"/>
              <w:rPr>
                <w:sz w:val="20"/>
                <w:szCs w:val="20"/>
                <w:color w:val="auto"/>
              </w:rPr>
            </w:pPr>
            <w:r>
              <w:rPr>
                <w:rFonts w:ascii="Arial" w:cs="Arial" w:eastAsia="Arial" w:hAnsi="Arial"/>
                <w:sz w:val="18"/>
                <w:szCs w:val="18"/>
                <w:color w:val="auto"/>
                <w:w w:val="97"/>
              </w:rPr>
              <w:t>With:</w:t>
            </w:r>
          </w:p>
        </w:tc>
        <w:tc>
          <w:tcPr>
            <w:tcW w:w="2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0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w w:val="98"/>
              </w:rPr>
              <w:t>Aggregate</w:t>
            </w:r>
          </w:p>
        </w:tc>
        <w:tc>
          <w:tcPr>
            <w:tcW w:w="10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236,811</w:t>
            </w: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22"/>
                <w:szCs w:val="22"/>
                <w:color w:val="auto"/>
              </w:rPr>
              <w:t>2.979134%</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IA</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 Name of Issuer:</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Washington Post Co.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1(b): Address of Issuer’s Principal Executive Offices:</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1150 15</w:t>
      </w:r>
      <w:r>
        <w:rPr>
          <w:rFonts w:ascii="Arial" w:cs="Arial" w:eastAsia="Arial" w:hAnsi="Arial"/>
          <w:sz w:val="11"/>
          <w:szCs w:val="11"/>
          <w:color w:val="auto"/>
        </w:rPr>
        <w:t>th</w:t>
      </w:r>
      <w:r>
        <w:rPr>
          <w:rFonts w:ascii="Arial" w:cs="Arial" w:eastAsia="Arial" w:hAnsi="Arial"/>
          <w:sz w:val="18"/>
          <w:szCs w:val="18"/>
          <w:color w:val="auto"/>
        </w:rPr>
        <w:t xml:space="preserve"> Street NW</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Washington D.C. 20071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 Filing:</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Manning &amp; Napier Advisors,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290 Woodcliff Drive</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Fairport, NY 14450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2(c): Citizenship:</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Common Stock, Par Value $1.00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Number:</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939640108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spacing w:after="0" w:line="5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Item 4: Ownership: Provide the following information regarding the aggregate number and percentage of the class of securities of the issuer identified in Item 1.</w:t>
      </w:r>
    </w:p>
    <w:p>
      <w:pPr>
        <w:spacing w:after="0" w:line="11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236,811</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2.979134%</w:t>
      </w:r>
    </w:p>
    <w:p>
      <w:pPr>
        <w:spacing w:after="0" w:line="164"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165,711</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236,811</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240" w:top="28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 Identification and Classification of the Subsidiary Which Acquired the Security Being Reported on By the Parent Holding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a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1/27/2012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wp:posOffset>
            </wp:positionV>
            <wp:extent cx="786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67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/s/ Michelle Thomas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Michelle Thomas, Corporate Secretary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2019-12-09T08:43:19Z</dcterms:created>
  <dcterms:modified xsi:type="dcterms:W3CDTF">2019-12-09T08:43:19Z</dcterms:modified>
</cp:coreProperties>
</file>