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403860</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443230</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November 2, 2012</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5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40" w:lineRule="exact"/>
        <w:rPr>
          <w:sz w:val="24"/>
          <w:szCs w:val="24"/>
          <w:color w:val="auto"/>
        </w:rPr>
      </w:pPr>
    </w:p>
    <w:p>
      <w:pPr>
        <w:ind w:left="5669" w:right="2560" w:hanging="5669"/>
        <w:spacing w:after="0" w:line="261" w:lineRule="auto"/>
        <w:tabs>
          <w:tab w:leader="none" w:pos="92" w:val="left"/>
        </w:tabs>
        <w:numPr>
          <w:ilvl w:val="0"/>
          <w:numId w:val="2"/>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177165</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88" w:right="1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3250" cy="1587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November 2, 2012, The Washington Post Company issued a press release announcing the Company’s earnings for the third quarter ended Septe 30, 2012. A copy of this press release is furnished with this report as an exhibit to this Form 8-K.</w:t>
      </w: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Exhibit 99.1 The Washington Post Company Earnings Release Dated November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1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00"/>
          </w:cols>
          <w:pgMar w:left="820" w:top="1149" w:right="179" w:bottom="1440" w:gutter="0" w:footer="0" w:header="0"/>
        </w:sectPr>
      </w:pPr>
    </w:p>
    <w:bookmarkStart w:id="2" w:name="page3"/>
    <w:bookmarkEnd w:id="2"/>
    <w:p>
      <w:pPr>
        <w:ind w:left="5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ind w:left="580" w:right="40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960" w:type="dxa"/>
            <w:vAlign w:val="bottom"/>
            <w:gridSpan w:val="4"/>
          </w:tcPr>
          <w:p>
            <w:pPr>
              <w:ind w:left="1600"/>
              <w:spacing w:after="0"/>
              <w:rPr>
                <w:sz w:val="20"/>
                <w:szCs w:val="20"/>
                <w:color w:val="auto"/>
              </w:rPr>
            </w:pPr>
            <w:r>
              <w:rPr>
                <w:rFonts w:ascii="Arial" w:cs="Arial" w:eastAsia="Arial" w:hAnsi="Arial"/>
                <w:sz w:val="17"/>
                <w:szCs w:val="17"/>
                <w:color w:val="auto"/>
              </w:rPr>
              <w:t>The Washington Post Company</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360" w:type="dxa"/>
            <w:vAlign w:val="bottom"/>
            <w:gridSpan w:val="3"/>
          </w:tcPr>
          <w:p>
            <w:pPr>
              <w:ind w:left="820"/>
              <w:spacing w:after="0"/>
              <w:rPr>
                <w:sz w:val="20"/>
                <w:szCs w:val="20"/>
                <w:color w:val="auto"/>
              </w:rPr>
            </w:pPr>
            <w:r>
              <w:rPr>
                <w:rFonts w:ascii="Arial" w:cs="Arial" w:eastAsia="Arial" w:hAnsi="Arial"/>
                <w:sz w:val="17"/>
                <w:szCs w:val="17"/>
                <w:color w:val="auto"/>
              </w:rPr>
              <w:t>(Registrant)</w:t>
            </w:r>
          </w:p>
        </w:tc>
      </w:tr>
      <w:tr>
        <w:trPr>
          <w:trHeight w:val="709"/>
        </w:trPr>
        <w:tc>
          <w:tcPr>
            <w:tcW w:w="58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auto"/>
              </w:rPr>
              <w:t>Date November 2, 2012</w:t>
            </w:r>
          </w:p>
        </w:tc>
        <w:tc>
          <w:tcPr>
            <w:tcW w:w="1600" w:type="dxa"/>
            <w:vAlign w:val="bottom"/>
          </w:tcPr>
          <w:p>
            <w:pPr>
              <w:spacing w:after="0"/>
              <w:rPr>
                <w:sz w:val="24"/>
                <w:szCs w:val="24"/>
                <w:color w:val="auto"/>
              </w:rPr>
            </w:pPr>
          </w:p>
        </w:tc>
        <w:tc>
          <w:tcPr>
            <w:tcW w:w="7360" w:type="dxa"/>
            <w:vAlign w:val="bottom"/>
            <w:gridSpan w:val="3"/>
          </w:tcPr>
          <w:p>
            <w:pPr>
              <w:ind w:left="960"/>
              <w:spacing w:after="0"/>
              <w:rPr>
                <w:sz w:val="20"/>
                <w:szCs w:val="20"/>
                <w:color w:val="auto"/>
              </w:rPr>
            </w:pPr>
            <w:r>
              <w:rPr>
                <w:rFonts w:ascii="Arial" w:cs="Arial" w:eastAsia="Arial" w:hAnsi="Arial"/>
                <w:sz w:val="17"/>
                <w:szCs w:val="17"/>
                <w:color w:val="auto"/>
              </w:rPr>
              <w:t>/s/ Hal S. Jones</w:t>
            </w:r>
          </w:p>
        </w:tc>
      </w:tr>
      <w:tr>
        <w:trPr>
          <w:trHeight w:val="190"/>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4240" w:type="dxa"/>
            <w:vAlign w:val="bottom"/>
            <w:tcBorders>
              <w:top w:val="single" w:sz="8" w:color="auto"/>
            </w:tcBorders>
          </w:tcPr>
          <w:p>
            <w:pPr>
              <w:jc w:val="right"/>
              <w:ind w:right="2497"/>
              <w:spacing w:after="0" w:line="190" w:lineRule="exact"/>
              <w:rPr>
                <w:sz w:val="20"/>
                <w:szCs w:val="20"/>
                <w:color w:val="auto"/>
              </w:rPr>
            </w:pPr>
            <w:r>
              <w:rPr>
                <w:rFonts w:ascii="Arial" w:cs="Arial" w:eastAsia="Arial" w:hAnsi="Arial"/>
                <w:sz w:val="17"/>
                <w:szCs w:val="17"/>
                <w:color w:val="auto"/>
              </w:rPr>
              <w:t>Hal S. Jones</w:t>
            </w:r>
          </w:p>
        </w:tc>
        <w:tc>
          <w:tcPr>
            <w:tcW w:w="3120" w:type="dxa"/>
            <w:vAlign w:val="bottom"/>
            <w:gridSpan w:val="2"/>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960" w:type="dxa"/>
            <w:vAlign w:val="bottom"/>
            <w:gridSpan w:val="4"/>
          </w:tcPr>
          <w:p>
            <w:pPr>
              <w:jc w:val="center"/>
              <w:ind w:right="3540"/>
              <w:spacing w:after="0" w:line="186" w:lineRule="exact"/>
              <w:rPr>
                <w:sz w:val="20"/>
                <w:szCs w:val="20"/>
                <w:color w:val="auto"/>
              </w:rPr>
            </w:pPr>
            <w:r>
              <w:rPr>
                <w:rFonts w:ascii="Arial" w:cs="Arial" w:eastAsia="Arial" w:hAnsi="Arial"/>
                <w:sz w:val="17"/>
                <w:szCs w:val="17"/>
                <w:color w:val="auto"/>
                <w:w w:val="97"/>
              </w:rPr>
              <w:t>Senior Vice President - Finance</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360" w:type="dxa"/>
            <w:vAlign w:val="bottom"/>
            <w:gridSpan w:val="3"/>
          </w:tcPr>
          <w:p>
            <w:pPr>
              <w:jc w:val="center"/>
              <w:ind w:right="5100"/>
              <w:spacing w:after="0"/>
              <w:rPr>
                <w:sz w:val="20"/>
                <w:szCs w:val="20"/>
                <w:color w:val="auto"/>
              </w:rPr>
            </w:pPr>
            <w:r>
              <w:rPr>
                <w:rFonts w:ascii="Arial" w:cs="Arial" w:eastAsia="Arial" w:hAnsi="Arial"/>
                <w:sz w:val="17"/>
                <w:szCs w:val="17"/>
                <w:color w:val="auto"/>
                <w:w w:val="97"/>
              </w:rPr>
              <w:t>(Principal Financial Officer)</w:t>
            </w:r>
          </w:p>
        </w:tc>
      </w:tr>
      <w:tr>
        <w:trPr>
          <w:trHeight w:val="763"/>
        </w:trPr>
        <w:tc>
          <w:tcPr>
            <w:tcW w:w="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840" w:type="dxa"/>
            <w:vAlign w:val="bottom"/>
            <w:gridSpan w:val="2"/>
          </w:tcPr>
          <w:p>
            <w:pPr>
              <w:jc w:val="right"/>
              <w:ind w:right="1977"/>
              <w:spacing w:after="0"/>
              <w:rPr>
                <w:sz w:val="20"/>
                <w:szCs w:val="20"/>
                <w:color w:val="auto"/>
              </w:rPr>
            </w:pPr>
            <w:r>
              <w:rPr>
                <w:rFonts w:ascii="Arial" w:cs="Arial" w:eastAsia="Arial" w:hAnsi="Arial"/>
                <w:sz w:val="17"/>
                <w:szCs w:val="17"/>
                <w:color w:val="auto"/>
              </w:rPr>
              <w:t>3</w:t>
            </w:r>
          </w:p>
        </w:tc>
        <w:tc>
          <w:tcPr>
            <w:tcW w:w="3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1149" w:right="1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38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The Washington Post Company Earnings Release dated November 2, 2012.</w:t>
      </w:r>
    </w:p>
    <w:p>
      <w:pPr>
        <w:spacing w:after="0" w:line="2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1149"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7"/>
                <w:szCs w:val="17"/>
                <w:color w:val="auto"/>
              </w:rPr>
              <w:t>Contact:</w:t>
            </w:r>
          </w:p>
        </w:tc>
        <w:tc>
          <w:tcPr>
            <w:tcW w:w="5300" w:type="dxa"/>
            <w:vAlign w:val="bottom"/>
          </w:tcPr>
          <w:p>
            <w:pPr>
              <w:ind w:left="280"/>
              <w:spacing w:after="0"/>
              <w:rPr>
                <w:sz w:val="20"/>
                <w:szCs w:val="20"/>
                <w:color w:val="auto"/>
              </w:rPr>
            </w:pPr>
            <w:r>
              <w:rPr>
                <w:rFonts w:ascii="Arial" w:cs="Arial" w:eastAsia="Arial" w:hAnsi="Arial"/>
                <w:sz w:val="17"/>
                <w:szCs w:val="17"/>
                <w:color w:val="auto"/>
              </w:rPr>
              <w:t>Hal S. Jones</w:t>
            </w:r>
          </w:p>
        </w:tc>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6"/>
              </w:rPr>
              <w:t>For Immediate Release</w:t>
            </w:r>
          </w:p>
        </w:tc>
      </w:tr>
      <w:tr>
        <w:trPr>
          <w:trHeight w:val="202"/>
        </w:trPr>
        <w:tc>
          <w:tcPr>
            <w:tcW w:w="880" w:type="dxa"/>
            <w:vAlign w:val="bottom"/>
          </w:tcPr>
          <w:p>
            <w:pPr>
              <w:spacing w:after="0"/>
              <w:rPr>
                <w:sz w:val="17"/>
                <w:szCs w:val="17"/>
                <w:color w:val="auto"/>
              </w:rPr>
            </w:pPr>
          </w:p>
        </w:tc>
        <w:tc>
          <w:tcPr>
            <w:tcW w:w="5300" w:type="dxa"/>
            <w:vAlign w:val="bottom"/>
          </w:tcPr>
          <w:p>
            <w:pPr>
              <w:ind w:left="260"/>
              <w:spacing w:after="0"/>
              <w:rPr>
                <w:sz w:val="20"/>
                <w:szCs w:val="20"/>
                <w:color w:val="auto"/>
              </w:rPr>
            </w:pPr>
            <w:r>
              <w:rPr>
                <w:rFonts w:ascii="Arial" w:cs="Arial" w:eastAsia="Arial" w:hAnsi="Arial"/>
                <w:sz w:val="17"/>
                <w:szCs w:val="17"/>
                <w:color w:val="auto"/>
              </w:rPr>
              <w:t>(202) 334-6645</w:t>
            </w:r>
          </w:p>
        </w:tc>
        <w:tc>
          <w:tcPr>
            <w:tcW w:w="1720" w:type="dxa"/>
            <w:vAlign w:val="bottom"/>
          </w:tcPr>
          <w:p>
            <w:pPr>
              <w:ind w:left="80"/>
              <w:spacing w:after="0"/>
              <w:rPr>
                <w:sz w:val="20"/>
                <w:szCs w:val="20"/>
                <w:color w:val="auto"/>
              </w:rPr>
            </w:pPr>
            <w:r>
              <w:rPr>
                <w:rFonts w:ascii="Arial" w:cs="Arial" w:eastAsia="Arial" w:hAnsi="Arial"/>
                <w:sz w:val="17"/>
                <w:szCs w:val="17"/>
                <w:color w:val="auto"/>
              </w:rPr>
              <w:t>November 2, 2012</w:t>
            </w:r>
          </w:p>
        </w:tc>
      </w:tr>
    </w:tbl>
    <w:p>
      <w:pPr>
        <w:spacing w:after="0" w:line="35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THE WASHINGTON POST COMPANY REPORTS</w:t>
      </w:r>
    </w:p>
    <w:p>
      <w:pPr>
        <w:jc w:val="center"/>
        <w:ind w:left="1160"/>
        <w:spacing w:after="0"/>
        <w:rPr>
          <w:sz w:val="20"/>
          <w:szCs w:val="20"/>
          <w:color w:val="auto"/>
        </w:rPr>
      </w:pPr>
      <w:r>
        <w:rPr>
          <w:rFonts w:ascii="Arial" w:cs="Arial" w:eastAsia="Arial" w:hAnsi="Arial"/>
          <w:sz w:val="17"/>
          <w:szCs w:val="17"/>
          <w:color w:val="auto"/>
        </w:rPr>
        <w:t>THIRD QUARTER EARNINGS</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WASHINGTON – The Washington Post Company (NYSE: WPO) today reported net income attributable to common shares of $93.8 million ($12.64 pe share) for the third quarter ended September 30, 2012, compared to a net loss attributable to common shares of $6.2 million ($ 0.82 loss per share) for third quarter of last year. However, net income includes $49.1 million ($6.61 per share) in income from discontinued operations and $ 18.8 million ($2.4 share) in losses from discontinued operations for the third quarter of 2012 and 2011, respectively (refer to “Discontinued Operations” discussion below Income from continuing operations attributable to common shares was $44.7 million ($6.03 per share) for the third quarter of 2012, compared to $12.6 million ($1.59 per share) for the third quarter of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third quarter of 2012:</w:t>
      </w:r>
    </w:p>
    <w:p>
      <w:pPr>
        <w:spacing w:after="0" w:line="127" w:lineRule="exact"/>
        <w:rPr>
          <w:sz w:val="20"/>
          <w:szCs w:val="20"/>
          <w:color w:val="auto"/>
        </w:rPr>
      </w:pPr>
    </w:p>
    <w:p>
      <w:pPr>
        <w:ind w:left="300" w:hanging="155"/>
        <w:spacing w:after="0" w:line="246" w:lineRule="auto"/>
        <w:tabs>
          <w:tab w:leader="none" w:pos="257" w:val="left"/>
        </w:tabs>
        <w:numPr>
          <w:ilvl w:val="0"/>
          <w:numId w:val="3"/>
        </w:numPr>
        <w:rPr>
          <w:rFonts w:ascii="Arial" w:cs="Arial" w:eastAsia="Arial" w:hAnsi="Arial"/>
          <w:sz w:val="17"/>
          <w:szCs w:val="17"/>
          <w:color w:val="auto"/>
        </w:rPr>
      </w:pPr>
      <w:r>
        <w:rPr>
          <w:rFonts w:ascii="Arial" w:cs="Arial" w:eastAsia="Arial" w:hAnsi="Arial"/>
          <w:sz w:val="17"/>
          <w:szCs w:val="17"/>
          <w:color w:val="auto"/>
        </w:rPr>
        <w:t>$12.2 million in early retirement, severance and restructuring charges at the newspaper publishing division and Kaplan (after-tax impact of $7.6 mi or $1.02 per share); and</w:t>
      </w:r>
    </w:p>
    <w:p>
      <w:pPr>
        <w:spacing w:after="0" w:line="120" w:lineRule="exact"/>
        <w:rPr>
          <w:rFonts w:ascii="Arial" w:cs="Arial" w:eastAsia="Arial" w:hAnsi="Arial"/>
          <w:sz w:val="17"/>
          <w:szCs w:val="17"/>
          <w:color w:val="auto"/>
        </w:rPr>
      </w:pPr>
    </w:p>
    <w:p>
      <w:pPr>
        <w:ind w:left="260" w:hanging="120"/>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$3.1 million in non-operating unrealized foreign currency gains (after-tax impact of $1.9 million, or $0.26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third quarter of 2011:</w:t>
      </w:r>
    </w:p>
    <w:p>
      <w:pPr>
        <w:spacing w:after="0" w:line="115" w:lineRule="exact"/>
        <w:rPr>
          <w:sz w:val="20"/>
          <w:szCs w:val="20"/>
          <w:color w:val="auto"/>
        </w:rPr>
      </w:pPr>
    </w:p>
    <w:p>
      <w:pPr>
        <w:ind w:left="260" w:hanging="11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$5.6 million in severance and restructuring charges at Kaplan (after-tax impact of $3.5 million, or $0.44 per share);</w:t>
      </w:r>
    </w:p>
    <w:p>
      <w:pPr>
        <w:spacing w:after="0" w:line="139" w:lineRule="exact"/>
        <w:rPr>
          <w:rFonts w:ascii="Arial" w:cs="Arial" w:eastAsia="Arial" w:hAnsi="Arial"/>
          <w:sz w:val="17"/>
          <w:szCs w:val="17"/>
          <w:color w:val="auto"/>
        </w:rPr>
      </w:pPr>
    </w:p>
    <w:p>
      <w:pPr>
        <w:ind w:left="260" w:hanging="11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$9.2 million impairment charge at one of the Company’s affiliates (after-tax impact of $5.7 million, or $0.72 per share);</w:t>
      </w:r>
    </w:p>
    <w:p>
      <w:pPr>
        <w:spacing w:after="0" w:line="139" w:lineRule="exact"/>
        <w:rPr>
          <w:rFonts w:ascii="Arial" w:cs="Arial" w:eastAsia="Arial" w:hAnsi="Arial"/>
          <w:sz w:val="17"/>
          <w:szCs w:val="17"/>
          <w:color w:val="auto"/>
        </w:rPr>
      </w:pPr>
    </w:p>
    <w:p>
      <w:pPr>
        <w:ind w:left="260" w:hanging="11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$23.1 million write-down of a marketable equity security (after-tax impact of $14.9 million, or $1.89 per share); and</w:t>
      </w:r>
    </w:p>
    <w:p>
      <w:pPr>
        <w:spacing w:after="0" w:line="127" w:lineRule="exact"/>
        <w:rPr>
          <w:rFonts w:ascii="Arial" w:cs="Arial" w:eastAsia="Arial" w:hAnsi="Arial"/>
          <w:sz w:val="17"/>
          <w:szCs w:val="17"/>
          <w:color w:val="auto"/>
        </w:rPr>
      </w:pPr>
    </w:p>
    <w:p>
      <w:pPr>
        <w:ind w:left="260" w:hanging="11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$6.7 million in non-operating unrealized foreign currency losses (after-tax impact of $4.2 million, or $0.54 per share).</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Excluding these items, income from continuing operations attributable to common shares was $50.4 million ($6.79 per share) for the third quarter of 20 compared to $40.9 million ($5.18 per share) for the third quarter of 2011. (Non-GAAP measures are discussed below.)</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Revenue for the third quarter of 2012 was $1,011.3 million, flat compared to $1,012.5 million in the third quarter of 2011. The Company reported opera income of $75.9 million in the third quarter of 2012, compared to operating income of $70.2 million in the third quarter of 2011. Revenues and operatin income increased at the television broadcasting and cable television divisions, offset by declines at the education and newspaper publishing divisions.</w:t>
      </w:r>
    </w:p>
    <w:p>
      <w:pPr>
        <w:spacing w:after="0" w:line="16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For the first nine months of 2012, the Company reported net income attributable to common shares of $176.7 million ($23.39 per share), compared to million ($6.81 per share) for the same period of 2011. However, net income includes $ 83.2 million ($11.01 per share) in income from discontinued operations and $28.8 million ($3.63 per share) in losses from discontinued operations for the first nine months of 2012 and 2011, respectively (refer to “Discontinued Operations” discussion below). Income from continuing operations attributable to common shares was $ 93.5 million ($12.38 per share) first nine months of 2012, compared to $83.3 million ($10.44 per share) for the first nine months of 2011. As a result of the Company’s share repurcha there were 6% fewer diluted average shares outstanding in the first nine months of 2012.</w:t>
      </w:r>
    </w:p>
    <w:p>
      <w:pPr>
        <w:spacing w:after="0" w:line="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6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90" w:right="1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Items included in the Company’s income from continuing operations for the first nine months of 2012:</w:t>
      </w:r>
    </w:p>
    <w:p>
      <w:pPr>
        <w:spacing w:after="0" w:line="177" w:lineRule="exact"/>
        <w:rPr>
          <w:sz w:val="20"/>
          <w:szCs w:val="20"/>
          <w:color w:val="auto"/>
        </w:rPr>
      </w:pPr>
    </w:p>
    <w:p>
      <w:pPr>
        <w:ind w:left="300" w:hanging="155"/>
        <w:spacing w:after="0" w:line="246" w:lineRule="auto"/>
        <w:tabs>
          <w:tab w:leader="none" w:pos="257" w:val="left"/>
        </w:tabs>
        <w:numPr>
          <w:ilvl w:val="0"/>
          <w:numId w:val="5"/>
        </w:numPr>
        <w:rPr>
          <w:rFonts w:ascii="Arial" w:cs="Arial" w:eastAsia="Arial" w:hAnsi="Arial"/>
          <w:sz w:val="17"/>
          <w:szCs w:val="17"/>
          <w:color w:val="auto"/>
        </w:rPr>
      </w:pPr>
      <w:r>
        <w:rPr>
          <w:rFonts w:ascii="Arial" w:cs="Arial" w:eastAsia="Arial" w:hAnsi="Arial"/>
          <w:sz w:val="17"/>
          <w:szCs w:val="17"/>
          <w:color w:val="auto"/>
        </w:rPr>
        <w:t>$22.4 million in early retirement, severance and restructuring charges at the newspaper publishing division and Kaplan (after-tax impact of $13.9 m or $1.85 per share);</w:t>
      </w:r>
    </w:p>
    <w:p>
      <w:pPr>
        <w:spacing w:after="0" w:line="170" w:lineRule="exact"/>
        <w:rPr>
          <w:rFonts w:ascii="Arial" w:cs="Arial" w:eastAsia="Arial" w:hAnsi="Arial"/>
          <w:sz w:val="17"/>
          <w:szCs w:val="17"/>
          <w:color w:val="auto"/>
        </w:rPr>
      </w:pPr>
    </w:p>
    <w:p>
      <w:pPr>
        <w:ind w:left="260" w:hanging="115"/>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$5.8 million gain on sales of cost method investments (after-tax impact of $3.7 million, or $0.48 per share); and</w:t>
      </w:r>
    </w:p>
    <w:p>
      <w:pPr>
        <w:spacing w:after="0" w:line="189" w:lineRule="exact"/>
        <w:rPr>
          <w:rFonts w:ascii="Arial" w:cs="Arial" w:eastAsia="Arial" w:hAnsi="Arial"/>
          <w:sz w:val="17"/>
          <w:szCs w:val="17"/>
          <w:color w:val="auto"/>
        </w:rPr>
      </w:pPr>
    </w:p>
    <w:p>
      <w:pPr>
        <w:ind w:left="260" w:hanging="120"/>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$3.2 million in non-operating unrealized foreign currency gains (after-tax impact of $2.0 million, or $0.27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nine months of 2011:</w:t>
      </w:r>
    </w:p>
    <w:p>
      <w:pPr>
        <w:spacing w:after="0" w:line="177" w:lineRule="exact"/>
        <w:rPr>
          <w:sz w:val="20"/>
          <w:szCs w:val="20"/>
          <w:color w:val="auto"/>
        </w:rPr>
      </w:pPr>
    </w:p>
    <w:p>
      <w:pPr>
        <w:ind w:left="260" w:hanging="120"/>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$19.6 million in severance and restructuring charges at Kaplan (after-tax impact of $12.2 million, or $1.52 per share);</w:t>
      </w:r>
    </w:p>
    <w:p>
      <w:pPr>
        <w:spacing w:after="0" w:line="189" w:lineRule="exact"/>
        <w:rPr>
          <w:rFonts w:ascii="Arial" w:cs="Arial" w:eastAsia="Arial" w:hAnsi="Arial"/>
          <w:sz w:val="17"/>
          <w:szCs w:val="17"/>
          <w:color w:val="auto"/>
        </w:rPr>
      </w:pPr>
    </w:p>
    <w:p>
      <w:pPr>
        <w:ind w:left="260" w:hanging="120"/>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$9.2 million impairment charge at one of the Company’s affiliates (after-tax impact of $5.7 million, or $0.72 per share);</w:t>
      </w:r>
    </w:p>
    <w:p>
      <w:pPr>
        <w:spacing w:after="0" w:line="189" w:lineRule="exact"/>
        <w:rPr>
          <w:rFonts w:ascii="Arial" w:cs="Arial" w:eastAsia="Arial" w:hAnsi="Arial"/>
          <w:sz w:val="17"/>
          <w:szCs w:val="17"/>
          <w:color w:val="auto"/>
        </w:rPr>
      </w:pPr>
    </w:p>
    <w:p>
      <w:pPr>
        <w:ind w:left="260" w:hanging="120"/>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$53.8 million write-down of a marketable equity security (after-tax impact of $34.6 million, or $4.34 per share); and</w:t>
      </w:r>
    </w:p>
    <w:p>
      <w:pPr>
        <w:spacing w:after="0" w:line="189" w:lineRule="exact"/>
        <w:rPr>
          <w:rFonts w:ascii="Arial" w:cs="Arial" w:eastAsia="Arial" w:hAnsi="Arial"/>
          <w:sz w:val="17"/>
          <w:szCs w:val="17"/>
          <w:color w:val="auto"/>
        </w:rPr>
      </w:pPr>
    </w:p>
    <w:p>
      <w:pPr>
        <w:ind w:left="260" w:hanging="120"/>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$3.7 million in non-operating unrealized foreign currency losses (after-tax impact of $2.3 million, or $0.29 per share).</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Excluding these items, income from continuing operations attributable to common shares was $101.7 million ($13.48 per share) for the first nine mont 2012, compared to $138.1 million ($17.31 per share) for the first nine months of 2011. (Non-GAAP measures are discussed below.)</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Revenue for the first nine months of 2012 was $2,967.6 million, down 4% from $3,090.7 million in the first nine months of 2011. Revenues were down education and newspaper publishing divisions, partially offset by increases at the television broadcasting and cable television divisions. The Company reported operating income of $159.0 million for the first nine months of 2012, compared to $216.6 million for the first nine months of 2011. Operating r were down at all of the Company’s divisions, except for the television broadcasting division.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97"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Education division revenue totaled $552.6 million for the third quarter of 2012, an 8% decline from revenue of $601.6 million for the third quarter of 20 Excluding revenue from acquired businesses, education division revenue declined 9% in the third quarter of 2012. Kaplan reported third quarter 2012 operating income of $14.7 million, down from $20.8 million in the third quarter of 2011.</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the first nine months of 2012, education division revenue totaled $1,652.1 million, a 9% decline from revenue of $1,823.7 million for the same peri 2011. Excluding revenue from acquired businesses, education division revenue declined 11% for the first nine months of 2012. Kaplan reported opera income of $6.5 million for the first nine months of 2012, compared to operating income of $65.4 million for the first nine months of 2011.</w:t>
      </w:r>
    </w:p>
    <w:p>
      <w:pPr>
        <w:spacing w:after="0" w:line="16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 light of recent revenue declines and other business challenges, Kaplan has formulated and implemented restructuring plans at its various businesse have resulted in significant costs in 2012 and 2011, with the objective of establishing lower costs levels in future periods. Across all businesses, sever and restructuring costs totaled $ 4.3 million and $9.3 million in the third quarter and first nine months of 2012, respectively, compared to $5.6 million an $19.6 million in the third quarter and first nine months of 2011, respectively. Kaplan expects to incur significant additional restructuring costs in the four quarter of 2012 and in 2013 at Kaplan Higher Education and Kaplan International.</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6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21" w:right="1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A summary of Kaplan’s operating results for the third quarter and the first nine months of 2012 compared to 2011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3"/>
          </w:tcPr>
          <w:p>
            <w:pPr>
              <w:jc w:val="right"/>
              <w:ind w:right="767"/>
              <w:spacing w:after="0"/>
              <w:rPr>
                <w:sz w:val="20"/>
                <w:szCs w:val="20"/>
                <w:color w:val="auto"/>
              </w:rPr>
            </w:pPr>
            <w:r>
              <w:rPr>
                <w:rFonts w:ascii="Arial" w:cs="Arial" w:eastAsia="Arial" w:hAnsi="Arial"/>
                <w:sz w:val="12"/>
                <w:szCs w:val="12"/>
                <w:b w:val="1"/>
                <w:bCs w:val="1"/>
                <w:color w:val="auto"/>
              </w:rPr>
              <w:t>Three Months Ended</w:t>
            </w:r>
          </w:p>
        </w:tc>
        <w:tc>
          <w:tcPr>
            <w:tcW w:w="1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647"/>
              <w:spacing w:after="0"/>
              <w:rPr>
                <w:sz w:val="20"/>
                <w:szCs w:val="20"/>
                <w:color w:val="auto"/>
              </w:rPr>
            </w:pPr>
            <w:r>
              <w:rPr>
                <w:rFonts w:ascii="Arial" w:cs="Arial" w:eastAsia="Arial" w:hAnsi="Arial"/>
                <w:sz w:val="12"/>
                <w:szCs w:val="12"/>
                <w:b w:val="1"/>
                <w:bCs w:val="1"/>
                <w:color w:val="auto"/>
              </w:rPr>
              <w:t>Nine Months Ended</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780" w:type="dxa"/>
            <w:vAlign w:val="bottom"/>
          </w:tcPr>
          <w:p>
            <w:pPr>
              <w:spacing w:after="0"/>
              <w:rPr>
                <w:sz w:val="9"/>
                <w:szCs w:val="9"/>
                <w:color w:val="auto"/>
              </w:rPr>
            </w:pPr>
          </w:p>
        </w:tc>
        <w:tc>
          <w:tcPr>
            <w:tcW w:w="1440" w:type="dxa"/>
            <w:vAlign w:val="bottom"/>
            <w:gridSpan w:val="2"/>
          </w:tcPr>
          <w:p>
            <w:pPr>
              <w:jc w:val="right"/>
              <w:ind w:right="307"/>
              <w:spacing w:after="0" w:line="114" w:lineRule="exact"/>
              <w:rPr>
                <w:sz w:val="20"/>
                <w:szCs w:val="20"/>
                <w:color w:val="auto"/>
              </w:rPr>
            </w:pPr>
            <w:r>
              <w:rPr>
                <w:rFonts w:ascii="Arial" w:cs="Arial" w:eastAsia="Arial" w:hAnsi="Arial"/>
                <w:sz w:val="12"/>
                <w:szCs w:val="12"/>
                <w:b w:val="1"/>
                <w:bCs w:val="1"/>
                <w:color w:val="auto"/>
              </w:rPr>
              <w:t>September 30,</w:t>
            </w:r>
          </w:p>
        </w:tc>
        <w:tc>
          <w:tcPr>
            <w:tcW w:w="400" w:type="dxa"/>
            <w:vAlign w:val="bottom"/>
          </w:tcPr>
          <w:p>
            <w:pPr>
              <w:spacing w:after="0"/>
              <w:rPr>
                <w:sz w:val="9"/>
                <w:szCs w:val="9"/>
                <w:color w:val="auto"/>
              </w:rPr>
            </w:pPr>
          </w:p>
        </w:tc>
        <w:tc>
          <w:tcPr>
            <w:tcW w:w="1060" w:type="dxa"/>
            <w:vAlign w:val="bottom"/>
          </w:tcPr>
          <w:p>
            <w:pPr>
              <w:jc w:val="right"/>
              <w:ind w:right="327"/>
              <w:spacing w:after="0" w:line="114" w:lineRule="exact"/>
              <w:rPr>
                <w:sz w:val="20"/>
                <w:szCs w:val="20"/>
                <w:color w:val="auto"/>
              </w:rPr>
            </w:pPr>
            <w:r>
              <w:rPr>
                <w:rFonts w:ascii="Arial" w:cs="Arial" w:eastAsia="Arial" w:hAnsi="Arial"/>
                <w:sz w:val="12"/>
                <w:szCs w:val="12"/>
                <w:color w:val="auto"/>
              </w:rPr>
              <w:t>October 2,</w:t>
            </w:r>
          </w:p>
        </w:tc>
        <w:tc>
          <w:tcPr>
            <w:tcW w:w="1120" w:type="dxa"/>
            <w:vAlign w:val="bottom"/>
          </w:tcPr>
          <w:p>
            <w:pPr>
              <w:spacing w:after="0"/>
              <w:rPr>
                <w:sz w:val="9"/>
                <w:szCs w:val="9"/>
                <w:color w:val="auto"/>
              </w:rPr>
            </w:pPr>
          </w:p>
        </w:tc>
        <w:tc>
          <w:tcPr>
            <w:tcW w:w="1360" w:type="dxa"/>
            <w:vAlign w:val="bottom"/>
            <w:gridSpan w:val="2"/>
          </w:tcPr>
          <w:p>
            <w:pPr>
              <w:jc w:val="right"/>
              <w:ind w:right="227"/>
              <w:spacing w:after="0" w:line="114" w:lineRule="exact"/>
              <w:rPr>
                <w:sz w:val="20"/>
                <w:szCs w:val="20"/>
                <w:color w:val="auto"/>
              </w:rPr>
            </w:pPr>
            <w:r>
              <w:rPr>
                <w:rFonts w:ascii="Arial" w:cs="Arial" w:eastAsia="Arial" w:hAnsi="Arial"/>
                <w:sz w:val="12"/>
                <w:szCs w:val="12"/>
                <w:b w:val="1"/>
                <w:bCs w:val="1"/>
                <w:color w:val="auto"/>
              </w:rPr>
              <w:t>September 30,</w:t>
            </w:r>
          </w:p>
        </w:tc>
        <w:tc>
          <w:tcPr>
            <w:tcW w:w="280" w:type="dxa"/>
            <w:vAlign w:val="bottom"/>
          </w:tcPr>
          <w:p>
            <w:pPr>
              <w:spacing w:after="0"/>
              <w:rPr>
                <w:sz w:val="9"/>
                <w:szCs w:val="9"/>
                <w:color w:val="auto"/>
              </w:rPr>
            </w:pPr>
          </w:p>
        </w:tc>
        <w:tc>
          <w:tcPr>
            <w:tcW w:w="960" w:type="dxa"/>
            <w:vAlign w:val="bottom"/>
          </w:tcPr>
          <w:p>
            <w:pPr>
              <w:jc w:val="right"/>
              <w:ind w:right="247"/>
              <w:spacing w:after="0" w:line="114" w:lineRule="exact"/>
              <w:rPr>
                <w:sz w:val="20"/>
                <w:szCs w:val="20"/>
                <w:color w:val="auto"/>
              </w:rPr>
            </w:pPr>
            <w:r>
              <w:rPr>
                <w:rFonts w:ascii="Arial" w:cs="Arial" w:eastAsia="Arial" w:hAnsi="Arial"/>
                <w:sz w:val="12"/>
                <w:szCs w:val="12"/>
                <w:color w:val="auto"/>
              </w:rPr>
              <w:t>October 2,</w:t>
            </w: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2012</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color w:val="auto"/>
              </w:rPr>
              <w:t>2011</w:t>
            </w:r>
          </w:p>
        </w:tc>
        <w:tc>
          <w:tcPr>
            <w:tcW w:w="112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color w:val="auto"/>
              </w:rPr>
              <w:t>% Change</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7"/>
              <w:spacing w:after="0"/>
              <w:rPr>
                <w:sz w:val="20"/>
                <w:szCs w:val="20"/>
                <w:color w:val="auto"/>
              </w:rPr>
            </w:pPr>
            <w:r>
              <w:rPr>
                <w:rFonts w:ascii="Arial" w:cs="Arial" w:eastAsia="Arial" w:hAnsi="Arial"/>
                <w:sz w:val="12"/>
                <w:szCs w:val="12"/>
                <w:b w:val="1"/>
                <w:bCs w:val="1"/>
                <w:color w:val="auto"/>
              </w:rPr>
              <w:t>2012</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color w:val="auto"/>
              </w:rPr>
              <w:t>2011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Ch</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36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w:t>
            </w:r>
          </w:p>
        </w:tc>
        <w:tc>
          <w:tcPr>
            <w:tcW w:w="108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273,703</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872,948</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0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56" w:lineRule="exact"/>
              <w:rPr>
                <w:sz w:val="20"/>
                <w:szCs w:val="20"/>
                <w:color w:val="auto"/>
              </w:rPr>
            </w:pPr>
            <w:r>
              <w:rPr>
                <w:rFonts w:ascii="Arial" w:cs="Arial" w:eastAsia="Arial" w:hAnsi="Arial"/>
                <w:sz w:val="15"/>
                <w:szCs w:val="15"/>
                <w:color w:val="auto"/>
              </w:rPr>
              <w:t>330,856</w:t>
            </w:r>
          </w:p>
        </w:tc>
        <w:tc>
          <w:tcPr>
            <w:tcW w:w="1120" w:type="dxa"/>
            <w:vAlign w:val="bottom"/>
          </w:tcPr>
          <w:p>
            <w:pPr>
              <w:jc w:val="right"/>
              <w:ind w:right="406"/>
              <w:spacing w:after="0" w:line="156" w:lineRule="exact"/>
              <w:rPr>
                <w:sz w:val="20"/>
                <w:szCs w:val="20"/>
                <w:color w:val="auto"/>
              </w:rPr>
            </w:pPr>
            <w:r>
              <w:rPr>
                <w:rFonts w:ascii="Arial" w:cs="Arial" w:eastAsia="Arial" w:hAnsi="Arial"/>
                <w:sz w:val="15"/>
                <w:szCs w:val="15"/>
                <w:color w:val="auto"/>
              </w:rPr>
              <w:t>(17)</w:t>
            </w:r>
          </w:p>
        </w:tc>
        <w:tc>
          <w:tcPr>
            <w:tcW w:w="36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56" w:lineRule="exact"/>
              <w:rPr>
                <w:sz w:val="20"/>
                <w:szCs w:val="20"/>
                <w:color w:val="auto"/>
              </w:rPr>
            </w:pPr>
            <w:r>
              <w:rPr>
                <w:rFonts w:ascii="Arial" w:cs="Arial" w:eastAsia="Arial" w:hAnsi="Arial"/>
                <w:sz w:val="15"/>
                <w:szCs w:val="15"/>
                <w:color w:val="auto"/>
              </w:rPr>
              <w:t>1,076,051</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60" w:type="dxa"/>
            <w:vAlign w:val="bottom"/>
          </w:tcPr>
          <w:p>
            <w:pPr>
              <w:spacing w:after="0"/>
              <w:rPr>
                <w:sz w:val="15"/>
                <w:szCs w:val="15"/>
                <w:color w:val="auto"/>
              </w:rPr>
            </w:pPr>
          </w:p>
        </w:tc>
        <w:tc>
          <w:tcPr>
            <w:tcW w:w="1080" w:type="dxa"/>
            <w:vAlign w:val="bottom"/>
          </w:tcPr>
          <w:p>
            <w:pPr>
              <w:jc w:val="right"/>
              <w:ind w:right="127"/>
              <w:spacing w:after="0"/>
              <w:rPr>
                <w:sz w:val="20"/>
                <w:szCs w:val="20"/>
                <w:color w:val="auto"/>
              </w:rPr>
            </w:pPr>
            <w:r>
              <w:rPr>
                <w:rFonts w:ascii="Arial" w:cs="Arial" w:eastAsia="Arial" w:hAnsi="Arial"/>
                <w:sz w:val="15"/>
                <w:szCs w:val="15"/>
                <w:b w:val="1"/>
                <w:bCs w:val="1"/>
                <w:color w:val="auto"/>
              </w:rPr>
              <w:t>81,151</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79,630</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2</w:t>
            </w:r>
          </w:p>
        </w:tc>
        <w:tc>
          <w:tcPr>
            <w:tcW w:w="360" w:type="dxa"/>
            <w:vAlign w:val="bottom"/>
          </w:tcPr>
          <w:p>
            <w:pPr>
              <w:spacing w:after="0"/>
              <w:rPr>
                <w:sz w:val="15"/>
                <w:szCs w:val="15"/>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223,767</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236,192</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60" w:type="dxa"/>
            <w:vAlign w:val="bottom"/>
          </w:tcPr>
          <w:p>
            <w:pPr>
              <w:spacing w:after="0"/>
              <w:rPr>
                <w:sz w:val="15"/>
                <w:szCs w:val="15"/>
                <w:color w:val="auto"/>
              </w:rPr>
            </w:pPr>
          </w:p>
        </w:tc>
        <w:tc>
          <w:tcPr>
            <w:tcW w:w="1080" w:type="dxa"/>
            <w:vAlign w:val="bottom"/>
          </w:tcPr>
          <w:p>
            <w:pPr>
              <w:jc w:val="right"/>
              <w:ind w:right="127"/>
              <w:spacing w:after="0"/>
              <w:rPr>
                <w:sz w:val="20"/>
                <w:szCs w:val="20"/>
                <w:color w:val="auto"/>
              </w:rPr>
            </w:pPr>
            <w:r>
              <w:rPr>
                <w:rFonts w:ascii="Arial" w:cs="Arial" w:eastAsia="Arial" w:hAnsi="Arial"/>
                <w:sz w:val="15"/>
                <w:szCs w:val="15"/>
                <w:b w:val="1"/>
                <w:bCs w:val="1"/>
                <w:color w:val="auto"/>
              </w:rPr>
              <w:t>197,858</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192,609</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3</w:t>
            </w:r>
          </w:p>
        </w:tc>
        <w:tc>
          <w:tcPr>
            <w:tcW w:w="360" w:type="dxa"/>
            <w:vAlign w:val="bottom"/>
          </w:tcPr>
          <w:p>
            <w:pPr>
              <w:spacing w:after="0"/>
              <w:rPr>
                <w:sz w:val="15"/>
                <w:szCs w:val="15"/>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555,899</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513,760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360" w:type="dxa"/>
            <w:vAlign w:val="bottom"/>
          </w:tcPr>
          <w:p>
            <w:pPr>
              <w:spacing w:after="0"/>
              <w:rPr>
                <w:sz w:val="15"/>
                <w:szCs w:val="15"/>
                <w:color w:val="auto"/>
              </w:rPr>
            </w:pPr>
          </w:p>
        </w:tc>
        <w:tc>
          <w:tcPr>
            <w:tcW w:w="1080" w:type="dxa"/>
            <w:vAlign w:val="bottom"/>
          </w:tcPr>
          <w:p>
            <w:pPr>
              <w:jc w:val="right"/>
              <w:ind w:right="127"/>
              <w:spacing w:after="0"/>
              <w:rPr>
                <w:sz w:val="20"/>
                <w:szCs w:val="20"/>
                <w:color w:val="auto"/>
              </w:rPr>
            </w:pPr>
            <w:r>
              <w:rPr>
                <w:rFonts w:ascii="Arial" w:cs="Arial" w:eastAsia="Arial" w:hAnsi="Arial"/>
                <w:sz w:val="15"/>
                <w:szCs w:val="15"/>
                <w:b w:val="1"/>
                <w:bCs w:val="1"/>
                <w:color w:val="auto"/>
              </w:rPr>
              <w:t>998</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1,293</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(23)</w:t>
            </w:r>
          </w:p>
        </w:tc>
        <w:tc>
          <w:tcPr>
            <w:tcW w:w="360" w:type="dxa"/>
            <w:vAlign w:val="bottom"/>
          </w:tcPr>
          <w:p>
            <w:pPr>
              <w:spacing w:after="0"/>
              <w:rPr>
                <w:sz w:val="15"/>
                <w:szCs w:val="15"/>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3,158</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3,475</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78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(1,125)</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(2,777)</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(3,705)</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360" w:type="dxa"/>
            <w:vAlign w:val="bottom"/>
            <w:tcBorders>
              <w:bottom w:val="single" w:sz="8" w:color="auto"/>
            </w:tcBorders>
          </w:tcPr>
          <w:p>
            <w:pPr>
              <w:jc w:val="right"/>
              <w:ind w:right="48"/>
              <w:spacing w:after="0" w:line="167"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552,585</w:t>
            </w:r>
          </w:p>
        </w:tc>
        <w:tc>
          <w:tcPr>
            <w:tcW w:w="4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601,611</w:t>
            </w:r>
          </w:p>
        </w:tc>
        <w:tc>
          <w:tcPr>
            <w:tcW w:w="1120" w:type="dxa"/>
            <w:vAlign w:val="bottom"/>
          </w:tcPr>
          <w:p>
            <w:pPr>
              <w:jc w:val="right"/>
              <w:ind w:right="406"/>
              <w:spacing w:after="0" w:line="167" w:lineRule="exact"/>
              <w:rPr>
                <w:sz w:val="20"/>
                <w:szCs w:val="20"/>
                <w:color w:val="auto"/>
              </w:rPr>
            </w:pPr>
            <w:r>
              <w:rPr>
                <w:rFonts w:ascii="Arial" w:cs="Arial" w:eastAsia="Arial" w:hAnsi="Arial"/>
                <w:sz w:val="15"/>
                <w:szCs w:val="15"/>
                <w:color w:val="auto"/>
              </w:rPr>
              <w:t>(8)</w:t>
            </w:r>
          </w:p>
        </w:tc>
        <w:tc>
          <w:tcPr>
            <w:tcW w:w="360" w:type="dxa"/>
            <w:vAlign w:val="bottom"/>
            <w:tcBorders>
              <w:bottom w:val="single" w:sz="8" w:color="auto"/>
            </w:tcBorders>
          </w:tcPr>
          <w:p>
            <w:pPr>
              <w:jc w:val="right"/>
              <w:ind w:right="48"/>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1,652,067</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1,823,696</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w:t>
            </w:r>
          </w:p>
        </w:tc>
        <w:tc>
          <w:tcPr>
            <w:tcW w:w="108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1,510</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16,329</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0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56" w:lineRule="exact"/>
              <w:rPr>
                <w:sz w:val="20"/>
                <w:szCs w:val="20"/>
                <w:color w:val="auto"/>
              </w:rPr>
            </w:pPr>
            <w:r>
              <w:rPr>
                <w:rFonts w:ascii="Arial" w:cs="Arial" w:eastAsia="Arial" w:hAnsi="Arial"/>
                <w:sz w:val="15"/>
                <w:szCs w:val="15"/>
                <w:color w:val="auto"/>
              </w:rPr>
              <w:t>25,083</w:t>
            </w:r>
          </w:p>
        </w:tc>
        <w:tc>
          <w:tcPr>
            <w:tcW w:w="1120" w:type="dxa"/>
            <w:vAlign w:val="bottom"/>
          </w:tcPr>
          <w:p>
            <w:pPr>
              <w:jc w:val="right"/>
              <w:ind w:right="406"/>
              <w:spacing w:after="0" w:line="156" w:lineRule="exact"/>
              <w:rPr>
                <w:sz w:val="20"/>
                <w:szCs w:val="20"/>
                <w:color w:val="auto"/>
              </w:rPr>
            </w:pPr>
            <w:r>
              <w:rPr>
                <w:rFonts w:ascii="Arial" w:cs="Arial" w:eastAsia="Arial" w:hAnsi="Arial"/>
                <w:sz w:val="15"/>
                <w:szCs w:val="15"/>
                <w:color w:val="auto"/>
              </w:rPr>
              <w:t>(94)</w:t>
            </w:r>
          </w:p>
        </w:tc>
        <w:tc>
          <w:tcPr>
            <w:tcW w:w="36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56" w:lineRule="exact"/>
              <w:rPr>
                <w:sz w:val="20"/>
                <w:szCs w:val="20"/>
                <w:color w:val="auto"/>
              </w:rPr>
            </w:pPr>
            <w:r>
              <w:rPr>
                <w:rFonts w:ascii="Arial" w:cs="Arial" w:eastAsia="Arial" w:hAnsi="Arial"/>
                <w:sz w:val="15"/>
                <w:szCs w:val="15"/>
                <w:color w:val="auto"/>
              </w:rPr>
              <w:t>120,890</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60" w:type="dxa"/>
            <w:vAlign w:val="bottom"/>
          </w:tcPr>
          <w:p>
            <w:pPr>
              <w:spacing w:after="0"/>
              <w:rPr>
                <w:sz w:val="15"/>
                <w:szCs w:val="15"/>
                <w:color w:val="auto"/>
              </w:rPr>
            </w:pPr>
          </w:p>
        </w:tc>
        <w:tc>
          <w:tcPr>
            <w:tcW w:w="1080" w:type="dxa"/>
            <w:vAlign w:val="bottom"/>
          </w:tcPr>
          <w:p>
            <w:pPr>
              <w:jc w:val="right"/>
              <w:ind w:right="127"/>
              <w:spacing w:after="0"/>
              <w:rPr>
                <w:sz w:val="20"/>
                <w:szCs w:val="20"/>
                <w:color w:val="auto"/>
              </w:rPr>
            </w:pPr>
            <w:r>
              <w:rPr>
                <w:rFonts w:ascii="Arial" w:cs="Arial" w:eastAsia="Arial" w:hAnsi="Arial"/>
                <w:sz w:val="15"/>
                <w:szCs w:val="15"/>
                <w:b w:val="1"/>
                <w:bCs w:val="1"/>
                <w:color w:val="auto"/>
              </w:rPr>
              <w:t>3,446</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(4,745)</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(4,067)</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(29,018)</w:t>
            </w:r>
          </w:p>
        </w:tc>
        <w:tc>
          <w:tcPr>
            <w:tcW w:w="54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60" w:type="dxa"/>
            <w:vAlign w:val="bottom"/>
          </w:tcPr>
          <w:p>
            <w:pPr>
              <w:spacing w:after="0"/>
              <w:rPr>
                <w:sz w:val="15"/>
                <w:szCs w:val="15"/>
                <w:color w:val="auto"/>
              </w:rPr>
            </w:pPr>
          </w:p>
        </w:tc>
        <w:tc>
          <w:tcPr>
            <w:tcW w:w="1080" w:type="dxa"/>
            <w:vAlign w:val="bottom"/>
          </w:tcPr>
          <w:p>
            <w:pPr>
              <w:jc w:val="right"/>
              <w:ind w:right="127"/>
              <w:spacing w:after="0"/>
              <w:rPr>
                <w:sz w:val="20"/>
                <w:szCs w:val="20"/>
                <w:color w:val="auto"/>
              </w:rPr>
            </w:pPr>
            <w:r>
              <w:rPr>
                <w:rFonts w:ascii="Arial" w:cs="Arial" w:eastAsia="Arial" w:hAnsi="Arial"/>
                <w:sz w:val="15"/>
                <w:szCs w:val="15"/>
                <w:b w:val="1"/>
                <w:bCs w:val="1"/>
                <w:color w:val="auto"/>
              </w:rPr>
              <w:t>20,619</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10,775</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91</w:t>
            </w:r>
          </w:p>
        </w:tc>
        <w:tc>
          <w:tcPr>
            <w:tcW w:w="360" w:type="dxa"/>
            <w:vAlign w:val="bottom"/>
          </w:tcPr>
          <w:p>
            <w:pPr>
              <w:spacing w:after="0"/>
              <w:rPr>
                <w:sz w:val="15"/>
                <w:szCs w:val="15"/>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33,336</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18,735</w:t>
            </w:r>
          </w:p>
        </w:tc>
        <w:tc>
          <w:tcPr>
            <w:tcW w:w="54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360" w:type="dxa"/>
            <w:vAlign w:val="bottom"/>
          </w:tcPr>
          <w:p>
            <w:pPr>
              <w:spacing w:after="0"/>
              <w:rPr>
                <w:sz w:val="15"/>
                <w:szCs w:val="15"/>
                <w:color w:val="auto"/>
              </w:rPr>
            </w:pPr>
          </w:p>
        </w:tc>
        <w:tc>
          <w:tcPr>
            <w:tcW w:w="1080" w:type="dxa"/>
            <w:vAlign w:val="bottom"/>
          </w:tcPr>
          <w:p>
            <w:pPr>
              <w:jc w:val="right"/>
              <w:ind w:right="127"/>
              <w:spacing w:after="0"/>
              <w:rPr>
                <w:sz w:val="20"/>
                <w:szCs w:val="20"/>
                <w:color w:val="auto"/>
              </w:rPr>
            </w:pPr>
            <w:r>
              <w:rPr>
                <w:rFonts w:ascii="Arial" w:cs="Arial" w:eastAsia="Arial" w:hAnsi="Arial"/>
                <w:sz w:val="15"/>
                <w:szCs w:val="15"/>
                <w:b w:val="1"/>
                <w:bCs w:val="1"/>
                <w:color w:val="auto"/>
              </w:rPr>
              <w:t>(6,617)</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(3,657)</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(81)</w:t>
            </w:r>
          </w:p>
        </w:tc>
        <w:tc>
          <w:tcPr>
            <w:tcW w:w="360" w:type="dxa"/>
            <w:vAlign w:val="bottom"/>
          </w:tcPr>
          <w:p>
            <w:pPr>
              <w:spacing w:after="0"/>
              <w:rPr>
                <w:sz w:val="15"/>
                <w:szCs w:val="15"/>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(28,143)</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(28,898)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60" w:type="dxa"/>
            <w:vAlign w:val="bottom"/>
          </w:tcPr>
          <w:p>
            <w:pPr>
              <w:spacing w:after="0"/>
              <w:rPr>
                <w:sz w:val="15"/>
                <w:szCs w:val="15"/>
                <w:color w:val="auto"/>
              </w:rPr>
            </w:pPr>
          </w:p>
        </w:tc>
        <w:tc>
          <w:tcPr>
            <w:tcW w:w="1080" w:type="dxa"/>
            <w:vAlign w:val="bottom"/>
          </w:tcPr>
          <w:p>
            <w:pPr>
              <w:jc w:val="right"/>
              <w:ind w:right="127"/>
              <w:spacing w:after="0"/>
              <w:rPr>
                <w:sz w:val="20"/>
                <w:szCs w:val="20"/>
                <w:color w:val="auto"/>
              </w:rPr>
            </w:pPr>
            <w:r>
              <w:rPr>
                <w:rFonts w:ascii="Arial" w:cs="Arial" w:eastAsia="Arial" w:hAnsi="Arial"/>
                <w:sz w:val="15"/>
                <w:szCs w:val="15"/>
                <w:b w:val="1"/>
                <w:bCs w:val="1"/>
                <w:color w:val="auto"/>
              </w:rPr>
              <w:t>(4,489)</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(5,568)</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19</w:t>
            </w:r>
          </w:p>
        </w:tc>
        <w:tc>
          <w:tcPr>
            <w:tcW w:w="360" w:type="dxa"/>
            <w:vAlign w:val="bottom"/>
          </w:tcPr>
          <w:p>
            <w:pPr>
              <w:spacing w:after="0"/>
              <w:rPr>
                <w:sz w:val="15"/>
                <w:szCs w:val="15"/>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(11,528)</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(15,023)</w:t>
            </w:r>
          </w:p>
        </w:tc>
        <w:tc>
          <w:tcPr>
            <w:tcW w:w="5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0"/>
        </w:trPr>
        <w:tc>
          <w:tcPr>
            <w:tcW w:w="378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224</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(1,080)</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579</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(1,293)</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360" w:type="dxa"/>
            <w:vAlign w:val="bottom"/>
            <w:tcBorders>
              <w:bottom w:val="single" w:sz="8" w:color="auto"/>
            </w:tcBorders>
          </w:tcPr>
          <w:p>
            <w:pPr>
              <w:jc w:val="right"/>
              <w:ind w:right="48"/>
              <w:spacing w:after="0" w:line="167"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14,693</w:t>
            </w:r>
          </w:p>
        </w:tc>
        <w:tc>
          <w:tcPr>
            <w:tcW w:w="4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20,808</w:t>
            </w:r>
          </w:p>
        </w:tc>
        <w:tc>
          <w:tcPr>
            <w:tcW w:w="1120" w:type="dxa"/>
            <w:vAlign w:val="bottom"/>
          </w:tcPr>
          <w:p>
            <w:pPr>
              <w:jc w:val="right"/>
              <w:ind w:right="406"/>
              <w:spacing w:after="0" w:line="167" w:lineRule="exact"/>
              <w:rPr>
                <w:sz w:val="20"/>
                <w:szCs w:val="20"/>
                <w:color w:val="auto"/>
              </w:rPr>
            </w:pPr>
            <w:r>
              <w:rPr>
                <w:rFonts w:ascii="Arial" w:cs="Arial" w:eastAsia="Arial" w:hAnsi="Arial"/>
                <w:sz w:val="15"/>
                <w:szCs w:val="15"/>
                <w:color w:val="auto"/>
              </w:rPr>
              <w:t>(29)</w:t>
            </w:r>
          </w:p>
        </w:tc>
        <w:tc>
          <w:tcPr>
            <w:tcW w:w="360" w:type="dxa"/>
            <w:vAlign w:val="bottom"/>
            <w:tcBorders>
              <w:bottom w:val="single" w:sz="8" w:color="auto"/>
            </w:tcBorders>
          </w:tcPr>
          <w:p>
            <w:pPr>
              <w:jc w:val="right"/>
              <w:ind w:right="48"/>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6,506</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65,393</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Kaplan sold Kidum in August 2012, EduNeering in April 2012 and Kaplan Learning Technologies in February 2012. Consequently, the education divisi operating results exclude these businesses.</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 In the third qua and first nine months of 2012, higher education revenue declined 17% and 19%, respectively, due largely to declines in average enrollments that refle weaker market demand over the past year. Operating income decreased 94% and 86% for the third quarter and first nine months of 2012, respectively These declines were due primarily to lower revenue, offset by expense reductions associated with lower enrollments and recent restructuring efforts.</w:t>
      </w:r>
    </w:p>
    <w:p>
      <w:pPr>
        <w:spacing w:after="0" w:line="170"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September 2012, KHE finalized a plan to consolidate its market presence at certain of its fixed-facility campuses. Under this plan, KHE has ceased enrollments at nine ground campuses as it considers alternatives for these locations, and is in the process of consolidating operations of four other campuses into existing, nearby locations. KHE will be teaching out the current students at these campuses. Revenues at these campuses represent approximately 4% of KHE’s total revenues. In connection with the plan, KHE expects to incur an estimated $18 million in restructuring costs from fixed write-downs and lease and severance obligations; $2.1 million of these restructuring costs were recorded in the third quarter of 2012, with the remaind be recorded in the fourth quarter of 2012 and in 2013. In the third quarter and first nine months of 2012, KHE incurred $2.7 million and $6.5 million in t severance and restructuring costs, respectively, compared to $ 1.6 million and $7.1 million in the third quarter and first nine months 2011, respectively. continues to assess and develop plans for both its fixed-facility and online programs and expects to incur significant additional restructuring costs in th fourth quarter of 2012 and in 2013.</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Although revenues were down substantially compared to the first nine months of 2011, new student enrollments at Kaplan University and KHE Campu increased 5% in the first nine months of 2012. For the third quarter of 2012, new student enrollments increased 9%. Total enrollments at September 3 2012, were down 8% compared to September 30, 2011, but increased 8% compared to June 30, 2012.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0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rPr>
              <w:t>Student Enrollments as of</w:t>
            </w:r>
          </w:p>
        </w:tc>
        <w:tc>
          <w:tcPr>
            <w:tcW w:w="700" w:type="dxa"/>
            <w:vAlign w:val="bottom"/>
            <w:tcBorders>
              <w:bottom w:val="single" w:sz="8" w:color="auto"/>
            </w:tcBorders>
          </w:tcPr>
          <w:p>
            <w:pPr>
              <w:spacing w:after="0"/>
              <w:rPr>
                <w:sz w:val="13"/>
                <w:szCs w:val="13"/>
                <w:color w:val="auto"/>
              </w:rPr>
            </w:pPr>
          </w:p>
        </w:tc>
      </w:tr>
      <w:tr>
        <w:trPr>
          <w:trHeight w:val="114"/>
        </w:trPr>
        <w:tc>
          <w:tcPr>
            <w:tcW w:w="7200" w:type="dxa"/>
            <w:vAlign w:val="bottom"/>
          </w:tcPr>
          <w:p>
            <w:pPr>
              <w:spacing w:after="0"/>
              <w:rPr>
                <w:sz w:val="9"/>
                <w:szCs w:val="9"/>
                <w:color w:val="auto"/>
              </w:rPr>
            </w:pPr>
          </w:p>
        </w:tc>
        <w:tc>
          <w:tcPr>
            <w:tcW w:w="1280" w:type="dxa"/>
            <w:vAlign w:val="bottom"/>
          </w:tcPr>
          <w:p>
            <w:pPr>
              <w:jc w:val="right"/>
              <w:ind w:right="151"/>
              <w:spacing w:after="0" w:line="114" w:lineRule="exact"/>
              <w:rPr>
                <w:sz w:val="20"/>
                <w:szCs w:val="20"/>
                <w:color w:val="auto"/>
              </w:rPr>
            </w:pPr>
            <w:r>
              <w:rPr>
                <w:rFonts w:ascii="Arial" w:cs="Arial" w:eastAsia="Arial" w:hAnsi="Arial"/>
                <w:sz w:val="12"/>
                <w:szCs w:val="12"/>
                <w:b w:val="1"/>
                <w:bCs w:val="1"/>
                <w:color w:val="auto"/>
              </w:rPr>
              <w:t>September 30,</w:t>
            </w:r>
          </w:p>
        </w:tc>
        <w:tc>
          <w:tcPr>
            <w:tcW w:w="1760" w:type="dxa"/>
            <w:vAlign w:val="bottom"/>
          </w:tcPr>
          <w:p>
            <w:pPr>
              <w:jc w:val="center"/>
              <w:ind w:right="12"/>
              <w:spacing w:after="0" w:line="114" w:lineRule="exact"/>
              <w:rPr>
                <w:sz w:val="20"/>
                <w:szCs w:val="20"/>
                <w:color w:val="auto"/>
              </w:rPr>
            </w:pPr>
            <w:r>
              <w:rPr>
                <w:rFonts w:ascii="Arial" w:cs="Arial" w:eastAsia="Arial" w:hAnsi="Arial"/>
                <w:sz w:val="12"/>
                <w:szCs w:val="12"/>
                <w:color w:val="auto"/>
              </w:rPr>
              <w:t>June 30,</w:t>
            </w:r>
          </w:p>
        </w:tc>
        <w:tc>
          <w:tcPr>
            <w:tcW w:w="700" w:type="dxa"/>
            <w:vAlign w:val="bottom"/>
          </w:tcPr>
          <w:p>
            <w:pPr>
              <w:jc w:val="right"/>
              <w:spacing w:after="0" w:line="114" w:lineRule="exact"/>
              <w:rPr>
                <w:sz w:val="20"/>
                <w:szCs w:val="20"/>
                <w:color w:val="auto"/>
              </w:rPr>
            </w:pPr>
            <w:r>
              <w:rPr>
                <w:rFonts w:ascii="Arial" w:cs="Arial" w:eastAsia="Arial" w:hAnsi="Arial"/>
                <w:sz w:val="12"/>
                <w:szCs w:val="12"/>
                <w:color w:val="auto"/>
              </w:rPr>
              <w:t>Septembe</w:t>
            </w:r>
          </w:p>
        </w:tc>
      </w:tr>
      <w:tr>
        <w:trPr>
          <w:trHeight w:val="151"/>
        </w:trPr>
        <w:tc>
          <w:tcPr>
            <w:tcW w:w="7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2"/>
                <w:szCs w:val="12"/>
                <w:b w:val="1"/>
                <w:bCs w:val="1"/>
                <w:color w:val="auto"/>
              </w:rPr>
              <w:t>2012</w:t>
            </w:r>
          </w:p>
        </w:tc>
        <w:tc>
          <w:tcPr>
            <w:tcW w:w="176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color w:val="auto"/>
              </w:rPr>
              <w:t>2012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28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49,132</w:t>
            </w:r>
          </w:p>
        </w:tc>
        <w:tc>
          <w:tcPr>
            <w:tcW w:w="1760" w:type="dxa"/>
            <w:vAlign w:val="bottom"/>
          </w:tcPr>
          <w:p>
            <w:pPr>
              <w:jc w:val="right"/>
              <w:ind w:right="272"/>
              <w:spacing w:after="0" w:line="150" w:lineRule="exact"/>
              <w:rPr>
                <w:sz w:val="20"/>
                <w:szCs w:val="20"/>
                <w:color w:val="auto"/>
              </w:rPr>
            </w:pPr>
            <w:r>
              <w:rPr>
                <w:rFonts w:ascii="Arial" w:cs="Arial" w:eastAsia="Arial" w:hAnsi="Arial"/>
                <w:sz w:val="15"/>
                <w:szCs w:val="15"/>
                <w:color w:val="auto"/>
              </w:rPr>
              <w:t>44,756</w:t>
            </w:r>
          </w:p>
        </w:tc>
        <w:tc>
          <w:tcPr>
            <w:tcW w:w="700" w:type="dxa"/>
            <w:vAlign w:val="bottom"/>
          </w:tcPr>
          <w:p>
            <w:pPr>
              <w:spacing w:after="0"/>
              <w:rPr>
                <w:sz w:val="13"/>
                <w:szCs w:val="13"/>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KHE Campuses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24,129</w:t>
            </w:r>
          </w:p>
        </w:tc>
        <w:tc>
          <w:tcPr>
            <w:tcW w:w="1760" w:type="dxa"/>
            <w:vAlign w:val="bottom"/>
            <w:tcBorders>
              <w:bottom w:val="single" w:sz="8" w:color="auto"/>
            </w:tcBorders>
          </w:tcPr>
          <w:p>
            <w:pPr>
              <w:jc w:val="right"/>
              <w:ind w:right="272"/>
              <w:spacing w:after="0"/>
              <w:rPr>
                <w:sz w:val="20"/>
                <w:szCs w:val="20"/>
                <w:color w:val="auto"/>
              </w:rPr>
            </w:pPr>
            <w:r>
              <w:rPr>
                <w:rFonts w:ascii="Arial" w:cs="Arial" w:eastAsia="Arial" w:hAnsi="Arial"/>
                <w:sz w:val="15"/>
                <w:szCs w:val="15"/>
                <w:color w:val="auto"/>
              </w:rPr>
              <w:t>22,849</w:t>
            </w:r>
          </w:p>
        </w:tc>
        <w:tc>
          <w:tcPr>
            <w:tcW w:w="700" w:type="dxa"/>
            <w:vAlign w:val="bottom"/>
            <w:tcBorders>
              <w:bottom w:val="single" w:sz="8" w:color="auto"/>
            </w:tcBorders>
          </w:tcPr>
          <w:p>
            <w:pPr>
              <w:spacing w:after="0"/>
              <w:rPr>
                <w:sz w:val="16"/>
                <w:szCs w:val="16"/>
                <w:color w:val="auto"/>
              </w:rPr>
            </w:pPr>
          </w:p>
        </w:tc>
      </w:tr>
      <w:tr>
        <w:trPr>
          <w:trHeight w:val="166"/>
        </w:trPr>
        <w:tc>
          <w:tcPr>
            <w:tcW w:w="7200" w:type="dxa"/>
            <w:vAlign w:val="bottom"/>
          </w:tcPr>
          <w:p>
            <w:pPr>
              <w:spacing w:after="0"/>
              <w:rPr>
                <w:sz w:val="14"/>
                <w:szCs w:val="14"/>
                <w:color w:val="auto"/>
              </w:rPr>
            </w:pPr>
          </w:p>
        </w:tc>
        <w:tc>
          <w:tcPr>
            <w:tcW w:w="1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73,261</w:t>
            </w:r>
          </w:p>
        </w:tc>
        <w:tc>
          <w:tcPr>
            <w:tcW w:w="1760" w:type="dxa"/>
            <w:vAlign w:val="bottom"/>
            <w:tcBorders>
              <w:bottom w:val="single" w:sz="8" w:color="auto"/>
            </w:tcBorders>
          </w:tcPr>
          <w:p>
            <w:pPr>
              <w:jc w:val="right"/>
              <w:ind w:right="272"/>
              <w:spacing w:after="0" w:line="167" w:lineRule="exact"/>
              <w:rPr>
                <w:sz w:val="20"/>
                <w:szCs w:val="20"/>
                <w:color w:val="auto"/>
              </w:rPr>
            </w:pPr>
            <w:r>
              <w:rPr>
                <w:rFonts w:ascii="Arial" w:cs="Arial" w:eastAsia="Arial" w:hAnsi="Arial"/>
                <w:sz w:val="15"/>
                <w:szCs w:val="15"/>
                <w:color w:val="auto"/>
              </w:rPr>
              <w:t>67,605</w:t>
            </w:r>
          </w:p>
        </w:tc>
        <w:tc>
          <w:tcPr>
            <w:tcW w:w="700" w:type="dxa"/>
            <w:vAlign w:val="bottom"/>
            <w:tcBorders>
              <w:bottom w:val="single" w:sz="8" w:color="auto"/>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Kaplan University enrollments included 6,822, 5,681 and 6,036 campus-based students as of September 30, 2012, June 30, 2012, and September 30 2011, respectively.</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84" w:right="1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Kaplan University and KHE Campuses enrollments at September 30, 2012, and September 30, 2011, by degree and certificate programs, are as follo</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216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b w:val="1"/>
                <w:bCs w:val="1"/>
                <w:color w:val="auto"/>
              </w:rPr>
              <w:t>As of September 30,</w:t>
            </w:r>
          </w:p>
        </w:tc>
        <w:tc>
          <w:tcPr>
            <w:tcW w:w="320" w:type="dxa"/>
            <w:vAlign w:val="bottom"/>
            <w:tcBorders>
              <w:bottom w:val="single" w:sz="8" w:color="auto"/>
            </w:tcBorders>
          </w:tcPr>
          <w:p>
            <w:pPr>
              <w:spacing w:after="0"/>
              <w:rPr>
                <w:sz w:val="13"/>
                <w:szCs w:val="13"/>
                <w:color w:val="auto"/>
              </w:rPr>
            </w:pPr>
          </w:p>
        </w:tc>
      </w:tr>
      <w:tr>
        <w:trPr>
          <w:trHeight w:val="129"/>
        </w:trPr>
        <w:tc>
          <w:tcPr>
            <w:tcW w:w="84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jc w:val="right"/>
              <w:ind w:right="1329"/>
              <w:spacing w:after="0" w:line="129" w:lineRule="exact"/>
              <w:rPr>
                <w:sz w:val="20"/>
                <w:szCs w:val="20"/>
                <w:color w:val="auto"/>
              </w:rPr>
            </w:pPr>
            <w:r>
              <w:rPr>
                <w:rFonts w:ascii="Arial" w:cs="Arial" w:eastAsia="Arial" w:hAnsi="Arial"/>
                <w:sz w:val="12"/>
                <w:szCs w:val="12"/>
                <w:b w:val="1"/>
                <w:bCs w:val="1"/>
                <w:color w:val="auto"/>
              </w:rPr>
              <w:t>2012</w:t>
            </w: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2160" w:type="dxa"/>
            <w:vAlign w:val="bottom"/>
          </w:tcPr>
          <w:p>
            <w:pPr>
              <w:jc w:val="right"/>
              <w:ind w:right="929"/>
              <w:spacing w:after="0" w:line="150" w:lineRule="exact"/>
              <w:rPr>
                <w:sz w:val="20"/>
                <w:szCs w:val="20"/>
                <w:color w:val="auto"/>
              </w:rPr>
            </w:pPr>
            <w:r>
              <w:rPr>
                <w:rFonts w:ascii="Arial" w:cs="Arial" w:eastAsia="Arial" w:hAnsi="Arial"/>
                <w:sz w:val="15"/>
                <w:szCs w:val="15"/>
                <w:b w:val="1"/>
                <w:bCs w:val="1"/>
                <w:color w:val="auto"/>
              </w:rPr>
              <w:t>23.6 %</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Associate’s</w:t>
            </w:r>
          </w:p>
        </w:tc>
        <w:tc>
          <w:tcPr>
            <w:tcW w:w="2160" w:type="dxa"/>
            <w:vAlign w:val="bottom"/>
          </w:tcPr>
          <w:p>
            <w:pPr>
              <w:jc w:val="right"/>
              <w:ind w:right="929"/>
              <w:spacing w:after="0"/>
              <w:rPr>
                <w:sz w:val="20"/>
                <w:szCs w:val="20"/>
                <w:color w:val="auto"/>
              </w:rPr>
            </w:pPr>
            <w:r>
              <w:rPr>
                <w:rFonts w:ascii="Arial" w:cs="Arial" w:eastAsia="Arial" w:hAnsi="Arial"/>
                <w:sz w:val="15"/>
                <w:szCs w:val="15"/>
                <w:b w:val="1"/>
                <w:bCs w:val="1"/>
                <w:color w:val="auto"/>
              </w:rPr>
              <w:t>30.7 %</w:t>
            </w: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Bachelor’s</w:t>
            </w:r>
          </w:p>
        </w:tc>
        <w:tc>
          <w:tcPr>
            <w:tcW w:w="2160" w:type="dxa"/>
            <w:vAlign w:val="bottom"/>
          </w:tcPr>
          <w:p>
            <w:pPr>
              <w:jc w:val="right"/>
              <w:ind w:right="929"/>
              <w:spacing w:after="0"/>
              <w:rPr>
                <w:sz w:val="20"/>
                <w:szCs w:val="20"/>
                <w:color w:val="auto"/>
              </w:rPr>
            </w:pPr>
            <w:r>
              <w:rPr>
                <w:rFonts w:ascii="Arial" w:cs="Arial" w:eastAsia="Arial" w:hAnsi="Arial"/>
                <w:sz w:val="15"/>
                <w:szCs w:val="15"/>
                <w:b w:val="1"/>
                <w:bCs w:val="1"/>
                <w:color w:val="auto"/>
              </w:rPr>
              <w:t>32.7 %</w:t>
            </w: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Master’s</w:t>
            </w:r>
          </w:p>
        </w:tc>
        <w:tc>
          <w:tcPr>
            <w:tcW w:w="2160" w:type="dxa"/>
            <w:vAlign w:val="bottom"/>
            <w:tcBorders>
              <w:bottom w:val="single" w:sz="8" w:color="auto"/>
            </w:tcBorders>
          </w:tcPr>
          <w:p>
            <w:pPr>
              <w:jc w:val="right"/>
              <w:ind w:right="929"/>
              <w:spacing w:after="0"/>
              <w:rPr>
                <w:sz w:val="20"/>
                <w:szCs w:val="20"/>
                <w:color w:val="auto"/>
              </w:rPr>
            </w:pPr>
            <w:r>
              <w:rPr>
                <w:rFonts w:ascii="Arial" w:cs="Arial" w:eastAsia="Arial" w:hAnsi="Arial"/>
                <w:sz w:val="15"/>
                <w:szCs w:val="15"/>
                <w:b w:val="1"/>
                <w:bCs w:val="1"/>
                <w:color w:val="auto"/>
              </w:rPr>
              <w:t>13.0 %</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460" w:type="dxa"/>
            <w:vAlign w:val="bottom"/>
          </w:tcPr>
          <w:p>
            <w:pPr>
              <w:spacing w:after="0"/>
              <w:rPr>
                <w:sz w:val="14"/>
                <w:szCs w:val="14"/>
                <w:color w:val="auto"/>
              </w:rPr>
            </w:pPr>
          </w:p>
        </w:tc>
        <w:tc>
          <w:tcPr>
            <w:tcW w:w="2160" w:type="dxa"/>
            <w:vAlign w:val="bottom"/>
            <w:tcBorders>
              <w:bottom w:val="single" w:sz="8" w:color="auto"/>
            </w:tcBorders>
          </w:tcPr>
          <w:p>
            <w:pPr>
              <w:jc w:val="right"/>
              <w:ind w:right="929"/>
              <w:spacing w:after="0" w:line="167" w:lineRule="exact"/>
              <w:rPr>
                <w:sz w:val="20"/>
                <w:szCs w:val="20"/>
                <w:color w:val="auto"/>
              </w:rPr>
            </w:pPr>
            <w:r>
              <w:rPr>
                <w:rFonts w:ascii="Arial" w:cs="Arial" w:eastAsia="Arial" w:hAnsi="Arial"/>
                <w:sz w:val="15"/>
                <w:szCs w:val="15"/>
                <w:b w:val="1"/>
                <w:bCs w:val="1"/>
                <w:color w:val="auto"/>
              </w:rPr>
              <w:t>100.0 %</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84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Kaplan Test Preparation (KTP) includes Kaplan’s standardized test preparation and tutoring offerings. KTP revenue increased 2% in the third quarter o 2012, while revenues declined 5% for the first nine months of 2012. Enrollment increased 21% and 12% for the third quarter and first nine months of 2 respectively, driven by strength in pre-college, medical and bar review programs. Enrollment increases were offset by competitive pricing pressure and continued shift in demand to lower priced online test preparation offerings. The improvement in KTP operating results in the first nine months of 2012 i largely from lower operating expenses due to restructuring activities in prior years. Also, $3.5 million and $12.0 million in restructuring costs were reco in the third quarter and first nine months of 2011, respectively.</w:t>
      </w:r>
    </w:p>
    <w:p>
      <w:pPr>
        <w:spacing w:after="0" w:line="17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Kaplan International includes English-language programs, and postsecondary education and professional training businesses outside the United State May 2011, Kaplan Australia acquired Franklyn Scholar and Carrick Education Group, national providers of vocational training and higher education in Australia. In June 2011, Kaplan acquired Structuralia, a provider of e-learning for the engineering and infrastructure sector in Spain. Kaplan Internation revenue increased 3% and 8% in the third quarter and first nine months of 2012, respectively. Excluding revenue from acquired businesses, Kaplan International revenue increased 2% in both the third quarter and the first nine months of 2012 due to enrollment growth in the English-language and Singapore higher education programs. Kaplan International operating income increased in the first nine months of 2012 due largely to strong results in Singapore, offset by combined losses from businesses acquired in 2011. These losses are primarily in Australia, where Kaplan is in the process of consolidating operations and expects to incur restructuring costs in the fourth quarter of 2012 and in 2013.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Corporate represents unallocated expenses of Kaplan, Inc.’s corporate office and other minor shared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Cable Television</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Cable television division revenue increased 6% in the third quarter of 2012 to $199.6 million, from $187.9 million for the third quarter of 2011; for the fi nine months of 2012, revenue increased 3% to $585.4 million, from $569.4 million in the same period of 2011. The revenue increase for the first nine months of 2012 is due to continued growth of the division’s Internet and telephone service revenues and rate increases for many subscribers in June 2 offset by an increase in promotional discounts and a decline in basic video subscribers.</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Cable television division operating income increased 8% to $39.9 million, from $36.8 million in the third quarter of 2011, due to increased revenues, of higher programming costs. Cable division operating income for the first nine months of 2012 decreased 3% to $111.1 million, from $114.9 million for th nine months of 2011, primarily due to higher programming costs.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At September 30, 2012, Primary Service Units (PSUs) were up slightly from the prior year due to growth in high-speed data and telephony subscribers offset by a decrease in basic video subscribers. A summary of PSUs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Pr>
          <w:p>
            <w:pPr>
              <w:spacing w:after="0"/>
              <w:rPr>
                <w:sz w:val="13"/>
                <w:szCs w:val="13"/>
                <w:color w:val="auto"/>
              </w:rPr>
            </w:pPr>
          </w:p>
        </w:tc>
        <w:tc>
          <w:tcPr>
            <w:tcW w:w="22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2"/>
                <w:szCs w:val="12"/>
                <w:b w:val="1"/>
                <w:bCs w:val="1"/>
                <w:color w:val="auto"/>
              </w:rPr>
              <w:t>As of September 30,</w:t>
            </w:r>
          </w:p>
        </w:tc>
      </w:tr>
      <w:tr>
        <w:trPr>
          <w:trHeight w:val="129"/>
        </w:trPr>
        <w:tc>
          <w:tcPr>
            <w:tcW w:w="86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70"/>
              <w:spacing w:after="0" w:line="129" w:lineRule="exact"/>
              <w:rPr>
                <w:sz w:val="20"/>
                <w:szCs w:val="20"/>
                <w:color w:val="auto"/>
              </w:rPr>
            </w:pPr>
            <w:r>
              <w:rPr>
                <w:rFonts w:ascii="Arial" w:cs="Arial" w:eastAsia="Arial" w:hAnsi="Arial"/>
                <w:sz w:val="12"/>
                <w:szCs w:val="12"/>
                <w:b w:val="1"/>
                <w:bCs w:val="1"/>
                <w:color w:val="auto"/>
              </w:rPr>
              <w:t>2012</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2011</w:t>
            </w:r>
          </w:p>
        </w:tc>
      </w:tr>
      <w:tr>
        <w:trPr>
          <w:trHeight w:val="150"/>
        </w:trPr>
        <w:tc>
          <w:tcPr>
            <w:tcW w:w="8680" w:type="dxa"/>
            <w:vAlign w:val="bottom"/>
          </w:tcPr>
          <w:p>
            <w:pPr>
              <w:spacing w:after="0" w:line="150" w:lineRule="exact"/>
              <w:rPr>
                <w:sz w:val="20"/>
                <w:szCs w:val="20"/>
                <w:color w:val="auto"/>
              </w:rPr>
            </w:pPr>
            <w:r>
              <w:rPr>
                <w:rFonts w:ascii="Arial" w:cs="Arial" w:eastAsia="Arial" w:hAnsi="Arial"/>
                <w:sz w:val="15"/>
                <w:szCs w:val="15"/>
                <w:color w:val="auto"/>
              </w:rPr>
              <w:t>Basic video</w:t>
            </w:r>
          </w:p>
        </w:tc>
        <w:tc>
          <w:tcPr>
            <w:tcW w:w="1600" w:type="dxa"/>
            <w:vAlign w:val="bottom"/>
          </w:tcPr>
          <w:p>
            <w:pPr>
              <w:jc w:val="right"/>
              <w:ind w:right="310"/>
              <w:spacing w:after="0" w:line="150" w:lineRule="exact"/>
              <w:rPr>
                <w:sz w:val="20"/>
                <w:szCs w:val="20"/>
                <w:color w:val="auto"/>
              </w:rPr>
            </w:pPr>
            <w:r>
              <w:rPr>
                <w:rFonts w:ascii="Arial" w:cs="Arial" w:eastAsia="Arial" w:hAnsi="Arial"/>
                <w:sz w:val="15"/>
                <w:szCs w:val="15"/>
                <w:b w:val="1"/>
                <w:bCs w:val="1"/>
                <w:color w:val="auto"/>
              </w:rPr>
              <w:t>605,057</w:t>
            </w:r>
          </w:p>
        </w:tc>
        <w:tc>
          <w:tcPr>
            <w:tcW w:w="660" w:type="dxa"/>
            <w:vAlign w:val="bottom"/>
          </w:tcPr>
          <w:p>
            <w:pPr>
              <w:jc w:val="right"/>
              <w:spacing w:after="0" w:line="150" w:lineRule="exact"/>
              <w:rPr>
                <w:sz w:val="20"/>
                <w:szCs w:val="20"/>
                <w:color w:val="auto"/>
              </w:rPr>
            </w:pPr>
            <w:r>
              <w:rPr>
                <w:rFonts w:ascii="Arial" w:cs="Arial" w:eastAsia="Arial" w:hAnsi="Arial"/>
                <w:sz w:val="15"/>
                <w:szCs w:val="15"/>
                <w:color w:val="auto"/>
              </w:rPr>
              <w:t>6</w:t>
            </w: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High-speed data</w:t>
            </w:r>
          </w:p>
        </w:tc>
        <w:tc>
          <w:tcPr>
            <w:tcW w:w="1600" w:type="dxa"/>
            <w:vAlign w:val="bottom"/>
          </w:tcPr>
          <w:p>
            <w:pPr>
              <w:jc w:val="right"/>
              <w:ind w:right="310"/>
              <w:spacing w:after="0"/>
              <w:rPr>
                <w:sz w:val="20"/>
                <w:szCs w:val="20"/>
                <w:color w:val="auto"/>
              </w:rPr>
            </w:pPr>
            <w:r>
              <w:rPr>
                <w:rFonts w:ascii="Arial" w:cs="Arial" w:eastAsia="Arial" w:hAnsi="Arial"/>
                <w:sz w:val="15"/>
                <w:szCs w:val="15"/>
                <w:b w:val="1"/>
                <w:bCs w:val="1"/>
                <w:color w:val="auto"/>
              </w:rPr>
              <w:t>462,808</w:t>
            </w:r>
          </w:p>
        </w:tc>
        <w:tc>
          <w:tcPr>
            <w:tcW w:w="6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Telephony</w:t>
            </w:r>
          </w:p>
        </w:tc>
        <w:tc>
          <w:tcPr>
            <w:tcW w:w="1600" w:type="dxa"/>
            <w:vAlign w:val="bottom"/>
            <w:tcBorders>
              <w:bottom w:val="single" w:sz="8" w:color="auto"/>
            </w:tcBorders>
          </w:tcPr>
          <w:p>
            <w:pPr>
              <w:jc w:val="right"/>
              <w:ind w:right="310"/>
              <w:spacing w:after="0"/>
              <w:rPr>
                <w:sz w:val="20"/>
                <w:szCs w:val="20"/>
                <w:color w:val="auto"/>
              </w:rPr>
            </w:pPr>
            <w:r>
              <w:rPr>
                <w:rFonts w:ascii="Arial" w:cs="Arial" w:eastAsia="Arial" w:hAnsi="Arial"/>
                <w:sz w:val="15"/>
                <w:szCs w:val="15"/>
                <w:b w:val="1"/>
                <w:bCs w:val="1"/>
                <w:color w:val="auto"/>
              </w:rPr>
              <w:t>185,647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680" w:type="dxa"/>
            <w:vAlign w:val="bottom"/>
          </w:tcPr>
          <w:p>
            <w:pPr>
              <w:spacing w:after="0"/>
              <w:rPr>
                <w:sz w:val="14"/>
                <w:szCs w:val="14"/>
                <w:color w:val="auto"/>
              </w:rPr>
            </w:pPr>
          </w:p>
        </w:tc>
        <w:tc>
          <w:tcPr>
            <w:tcW w:w="1600" w:type="dxa"/>
            <w:vAlign w:val="bottom"/>
            <w:tcBorders>
              <w:bottom w:val="single" w:sz="8" w:color="auto"/>
            </w:tcBorders>
          </w:tcPr>
          <w:p>
            <w:pPr>
              <w:jc w:val="right"/>
              <w:ind w:right="310"/>
              <w:spacing w:after="0" w:line="167" w:lineRule="exact"/>
              <w:rPr>
                <w:sz w:val="20"/>
                <w:szCs w:val="20"/>
                <w:color w:val="auto"/>
              </w:rPr>
            </w:pPr>
            <w:r>
              <w:rPr>
                <w:rFonts w:ascii="Arial" w:cs="Arial" w:eastAsia="Arial" w:hAnsi="Arial"/>
                <w:sz w:val="15"/>
                <w:szCs w:val="15"/>
                <w:b w:val="1"/>
                <w:bCs w:val="1"/>
                <w:color w:val="auto"/>
              </w:rPr>
              <w:t>1,253,512</w:t>
            </w:r>
          </w:p>
        </w:tc>
        <w:tc>
          <w:tcPr>
            <w:tcW w:w="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r>
      <w:tr>
        <w:trPr>
          <w:trHeight w:val="20"/>
        </w:trPr>
        <w:tc>
          <w:tcPr>
            <w:tcW w:w="8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Newspaper Publishing</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Newspaper publishing division revenue totaled $137.3 million for the third quarter of 2012, down 4% from revenue of $143.5 million for the third quarte 2011; division revenue declined 7% to $419.6 million for the first nine months of</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84" w:right="139" w:bottom="1440" w:gutter="0" w:footer="0" w:header="0"/>
        </w:sectPr>
      </w:pPr>
    </w:p>
    <w:bookmarkStart w:id="9" w:name="page10"/>
    <w:bookmarkEnd w:id="9"/>
    <w:p>
      <w:pPr>
        <w:spacing w:after="0" w:line="230" w:lineRule="auto"/>
        <w:rPr>
          <w:sz w:val="20"/>
          <w:szCs w:val="20"/>
          <w:color w:val="auto"/>
        </w:rPr>
      </w:pPr>
      <w:r>
        <w:rPr>
          <w:rFonts w:ascii="Arial" w:cs="Arial" w:eastAsia="Arial" w:hAnsi="Arial"/>
          <w:sz w:val="17"/>
          <w:szCs w:val="17"/>
          <w:color w:val="auto"/>
        </w:rPr>
        <w:t>2012, from $450.4 million for the first nine months of 2011. Print advertising revenue at The Washington Post in the third quarter of 2012 declined 11% $51.4 million, from $57.6 million in the third quarter of 2011, and declined 14% to $160.7 million for the first nine months of 2012, from $187.4 million f first nine months of 2011. The decline is largely due to reductions in general and retail advertising. Revenue generated by the Company’s newspaper publishing activities, primarily washingtonpost.com and Slate, increased 13% to $26.9 million for the third quarter of 2012, versus $23.8 million for the quarter of 2011; newspaper online revenues increased 4% to $77.5 million for the first nine months of 2012, versus $74.3 million for the first nine mont 2011. Display online advertising revenue increased 18% and 5% for the third quarter and first nine months of 2012, respectively. Online classified advertising revenue increased 1% for the third quarter and decreased 1% for the first nine months of 2012.</w:t>
      </w:r>
    </w:p>
    <w:p>
      <w:pPr>
        <w:spacing w:after="0" w:line="17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the first nine months of 2012, Post daily and Sunday circulation declined 9.2% and 6.5%, respectively, compared to the same periods of the prior y For the nine months ended September 30, 2012, average daily circulation at The Washington Post totaled 471,200 and average Sunday circulation to 689,000.</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newspaper publishing division reported an operating loss of $21.8 million in the third quarter of 2012 and an operating loss of $10.8 million in the t quarter of 2011, including noncash pension expense of $ 16.2 million and $ 5.2 million, respectively. The newspaper publishing division reported an ope loss of $56.3 million for the first nine months of 2012 and an operating loss of $28.0 million for the first nine months of 2011, including noncash pensio expense of $32.6 million and $17.2 million, respectively. Included in pension expense for the third quarter of 2012 was a $7.5 million Voluntary Retirem Incentive Program (VRIP) for certain employees.</w:t>
      </w:r>
    </w:p>
    <w:p>
      <w:pPr>
        <w:spacing w:after="0" w:line="176"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decline in operating results for the third quarter of 2012 is due to the revenue reductions discussed above and $ 7.8 million in early retirement and severance expense, offset partially by a decline in other operating expenses. The decline in operating results for the first nine months of 2012 is prima due to the revenue reductions discussed above and $13.1 million in early retirement and severance expense, offset partially by a decline in other oper expenses. Newsprint expense was down 9% and 10% for the third quarter and first nine months of 2012, respectively, due to a decline in newsprint consumption.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Television Broadcasting</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Revenue for the television broadcasting division increased 44% to $ 106.4 million in the third quarter of 2012, from $73.8 million in the same period of operating income for the third quarter of 2012 more than doubled to $54.1 million, from $24.1 million in the same period of 2011. For the first nine mon 2012, revenue increased 23% to $283.5 million, from $231.0 million in the same period of 2011; operating income for the first nine months of 2012 increased 69% to $128.8 million, from $76.2 million in the same period of 2011.</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increase in revenue and operating income for the third quarter and first nine months of 2012 reflects improved advertising demand across many p categories. This includes a $ 15.6 million and $22.1 million increase in political advertising revenue in the third quarter and first nine months of 2012, respectively; $10.8 million in incremental summer Olympics-related advertising at the Company’s NBC affiliates in the third quarter of 2012; and increa retransmission revenues.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97"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Other businesses includes the operating results of Social Code, an agency specializing in paid advertising on social-media platforms, and WaPo Labs digital team focused on emerging technologies and new product development.</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September 2012, The Washington Post Company entered into a stock purchase agreement to acquire a controlling interest in Celtic Healthcare, Inc (Celtic), a provider of home healthcare and hospice services in the northeastern and mid-Atlantic regions. The transaction is expected to close in Nove 2012. The operating results of Celtic will be included in other businesses.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as well as a net pension credit.</w:t>
      </w:r>
    </w:p>
    <w:p>
      <w:pPr>
        <w:ind w:left="54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34" w:right="1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auto"/>
        </w:rPr>
        <w:t>Equity in Earnings (Losses) of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holds a 49% interest in Bowater Mersey Paper Company, a 16.5% interest in Classified Ventures, LLC and interests in several other aff</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equity in earnings of affiliates, net, was $4.1 million for the third quarter of 2012, compared to a loss of $1.5 million for the third quarte 2011. For the first nine months of 2012, the Company’s equity in earnings of affiliates, net, totaled $11.3 million, compared to $5.4 million for the same period of 2011. In the third quarter of 2011, a $9.2 million impairment charge was recorded on the Company’s interest in Bowater Mersey Paper Comp</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Non-Operating Income (Expense)</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recorded other non-operating income, net, of $4.2 million for the third quarter of 2012, compared to other non-operating expense, net, o $29.7 million for the third quarter of 2011. The third quarter 2012 non-operating expense, net, included $ 3.1 million in unrealized foreign currency gain other items. The third quarter 2011 non-operating expense, net, included a $23.1 million write-down of a marketable equity security (Corinthian Colleg Inc.), $6.7 million in unrealized foreign currency losses and other items.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recorded non-operating income, net, of $12.1 million for the first nine months of 2012, compared to other non-operating expense, net, o $56.3 million for the same period of the prior year. The 2012 non-operating income, net, included a $7.3 million gain on sales of cost method investme $3.2 million in unrealized foreign currency gains and other items. The 2011 non-operating expense, net, included a $53.8 million write-down of a mark equity security (Corinthian Colleges, Inc.), $3.7 million in unrealized foreign currency losses and other items.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Net Interest Expense</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incurred net interest expense of $8.1 million and $24.4 million for the third quarter and first nine months of 2012, respectively, compared $7.7 million and $21.6 million for the same periods of 2011. At September 30, 2012, the Company had $456.5 million in borrowings outstanding, at an average interest rate of 7.0%.</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9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effective tax rate for income from continuing operations for the first nine months of 2012 was 40.3%, compared to 41.6% for the first nine months 2011.</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Discontinued Operations</w:t>
      </w:r>
    </w:p>
    <w:p>
      <w:pPr>
        <w:spacing w:after="0" w:line="197"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Kaplan sold Kidum in August 2012, EduNeering in April 2012 and Kaplan Learning Technologies in February 2012. The Company also divested its int in Avenue100 Media Solutions on July 31, 2012. Consequently, the Company’s income from continuing operations excludes these businesses, which been reclassified to discontinued operations, net of tax.</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sale of Kaplan Learning Technologies resulted in a pre-tax loss of $3.1 million, which was recorded in the first quarter of 2012. The sale of EduNe resulted in a pre-tax gain of $29.5 million, which was recorded in the second quarter of 2012. The sale of Kidum resulted in a pre-tax gain of $3.6 milli which was recorded in the third quarter of 2012.</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connection with each of the sales of the Company’s stock in EduNeering and Kaplan Learning Technologies, in the first quarter of 2012, the Compa recorded $23.2 million of income tax benefits related to the excess of the outside stock tax basis over the net book value of the net assets disposed.</w:t>
      </w:r>
    </w:p>
    <w:p>
      <w:pPr>
        <w:spacing w:after="0" w:line="160"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 connection with the disposal of Avenue100 Media Solutions, Inc., the Company recorded a pre-tax loss of $ 5.7 million in the third quarter of 2012. A income tax benefit of $44.5 million was also recorded in the third quarter of 2012 as the Company determined that Avenue100 Media Solutions, Inc. h value. The income tax benefit is due to the Company’s tax basis in the stock of Avenue100 exceeding its net book value as a result of goodwill and oth intangible asset impairment charges recorded in 2008, 2010 and 2011 for which no tax benefit was previously recorded.</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14" w:right="1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auto"/>
        </w:rPr>
        <w:t>Earnings (Loss) Per Share</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calculation of diluted earnings per share for the third quarter and first nine months of 2012 was based on 7,376,255 and 7,507,946 weighted aver shares outstanding, respectively, compared to 7,882,709 and 7,978,520, respectively, for the third quarter and first nine months of 2011. In the first nin months of 2012, the Company repurchased 284,550 shares of its Class B common stock at a cost of $97.5 million. At September 30, 2012, there were 7,378,237 shares outstanding and the Company had remaining authorization from the Board of Directors to purchase up to 208,924 shares of Class B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 statements. For more information about these forward-looking statements and related risks, please refer to the section titled “Forward-Looking Statem in Part I of the Company’s Annual Report on Form 10-K.</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64" w:right="139" w:bottom="1440" w:gutter="0" w:footer="0" w:header="0"/>
        </w:sectPr>
      </w:pPr>
    </w:p>
    <w:bookmarkStart w:id="12" w:name="page13"/>
    <w:bookmarkEnd w:id="12"/>
    <w:p>
      <w:pPr>
        <w:jc w:val="center"/>
        <w:ind w:left="1160"/>
        <w:spacing w:after="0"/>
        <w:rPr>
          <w:sz w:val="20"/>
          <w:szCs w:val="20"/>
          <w:color w:val="auto"/>
        </w:rPr>
      </w:pPr>
      <w:r>
        <w:rPr>
          <w:rFonts w:ascii="Arial" w:cs="Arial" w:eastAsia="Arial" w:hAnsi="Arial"/>
          <w:sz w:val="17"/>
          <w:szCs w:val="17"/>
          <w:color w:val="auto"/>
        </w:rPr>
        <w:t>THE WASHINGTON POST COMPANY</w:t>
      </w:r>
    </w:p>
    <w:p>
      <w:pPr>
        <w:jc w:val="center"/>
        <w:ind w:left="1160"/>
        <w:spacing w:after="0" w:line="228" w:lineRule="auto"/>
        <w:rPr>
          <w:sz w:val="20"/>
          <w:szCs w:val="20"/>
          <w:color w:val="auto"/>
        </w:rPr>
      </w:pPr>
      <w:r>
        <w:rPr>
          <w:rFonts w:ascii="Arial" w:cs="Arial" w:eastAsia="Arial" w:hAnsi="Arial"/>
          <w:sz w:val="17"/>
          <w:szCs w:val="17"/>
          <w:u w:val="single" w:color="auto"/>
          <w:color w:val="auto"/>
        </w:rPr>
        <w:t>CONSOLIDATED STATEMENTS OF OPERATIONS</w:t>
      </w:r>
    </w:p>
    <w:p>
      <w:pPr>
        <w:jc w:val="center"/>
        <w:ind w:left="1160"/>
        <w:spacing w:after="0"/>
        <w:rPr>
          <w:sz w:val="20"/>
          <w:szCs w:val="20"/>
          <w:color w:val="auto"/>
        </w:rPr>
      </w:pPr>
      <w:r>
        <w:rPr>
          <w:rFonts w:ascii="Arial" w:cs="Arial" w:eastAsia="Arial" w:hAnsi="Arial"/>
          <w:sz w:val="17"/>
          <w:szCs w:val="17"/>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2"/>
                <w:szCs w:val="12"/>
                <w:b w:val="1"/>
                <w:bCs w:val="1"/>
                <w:color w:val="auto"/>
              </w:rPr>
              <w:t>Three Months Ended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339"/>
              <w:spacing w:after="0"/>
              <w:rPr>
                <w:sz w:val="20"/>
                <w:szCs w:val="20"/>
                <w:color w:val="auto"/>
              </w:rPr>
            </w:pPr>
            <w:r>
              <w:rPr>
                <w:rFonts w:ascii="Arial" w:cs="Arial" w:eastAsia="Arial" w:hAnsi="Arial"/>
                <w:sz w:val="12"/>
                <w:szCs w:val="12"/>
                <w:b w:val="1"/>
                <w:bCs w:val="1"/>
                <w:color w:val="auto"/>
              </w:rPr>
              <w:t>September 30,</w:t>
            </w:r>
          </w:p>
        </w:tc>
        <w:tc>
          <w:tcPr>
            <w:tcW w:w="380" w:type="dxa"/>
            <w:vAlign w:val="bottom"/>
          </w:tcPr>
          <w:p>
            <w:pPr>
              <w:spacing w:after="0"/>
              <w:rPr>
                <w:sz w:val="15"/>
                <w:szCs w:val="15"/>
                <w:color w:val="auto"/>
              </w:rPr>
            </w:pPr>
          </w:p>
        </w:tc>
        <w:tc>
          <w:tcPr>
            <w:tcW w:w="1060" w:type="dxa"/>
            <w:vAlign w:val="bottom"/>
          </w:tcPr>
          <w:p>
            <w:pPr>
              <w:jc w:val="right"/>
              <w:ind w:right="319"/>
              <w:spacing w:after="0"/>
              <w:rPr>
                <w:sz w:val="20"/>
                <w:szCs w:val="20"/>
                <w:color w:val="auto"/>
              </w:rPr>
            </w:pPr>
            <w:r>
              <w:rPr>
                <w:rFonts w:ascii="Arial" w:cs="Arial" w:eastAsia="Arial" w:hAnsi="Arial"/>
                <w:sz w:val="12"/>
                <w:szCs w:val="12"/>
                <w:color w:val="auto"/>
              </w:rPr>
              <w:t>October 2,</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020" w:type="dxa"/>
            <w:vAlign w:val="bottom"/>
          </w:tcPr>
          <w:p>
            <w:pPr>
              <w:ind w:left="580"/>
              <w:spacing w:after="0"/>
              <w:rPr>
                <w:sz w:val="20"/>
                <w:szCs w:val="20"/>
                <w:color w:val="auto"/>
              </w:rPr>
            </w:pPr>
            <w:r>
              <w:rPr>
                <w:rFonts w:ascii="Arial" w:cs="Arial" w:eastAsia="Arial" w:hAnsi="Arial"/>
                <w:sz w:val="12"/>
                <w:szCs w:val="12"/>
                <w:color w:val="auto"/>
              </w:rPr>
              <w:t>(in thousands, except per share amounts)</w:t>
            </w:r>
          </w:p>
        </w:tc>
        <w:tc>
          <w:tcPr>
            <w:tcW w:w="1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2011</w:t>
            </w:r>
          </w:p>
        </w:tc>
        <w:tc>
          <w:tcPr>
            <w:tcW w:w="64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w w:val="77"/>
              </w:rPr>
              <w:t>Ch</w:t>
            </w: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Operating revenues</w:t>
            </w:r>
          </w:p>
        </w:tc>
        <w:tc>
          <w:tcPr>
            <w:tcW w:w="1880" w:type="dxa"/>
            <w:vAlign w:val="bottom"/>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1,011,334</w:t>
            </w:r>
          </w:p>
        </w:tc>
        <w:tc>
          <w:tcPr>
            <w:tcW w:w="380" w:type="dxa"/>
            <w:vAlign w:val="bottom"/>
          </w:tcPr>
          <w:p>
            <w:pPr>
              <w:jc w:val="right"/>
              <w:ind w:right="17"/>
              <w:spacing w:after="0" w:line="170"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1,012,498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b w:val="1"/>
                <w:bCs w:val="1"/>
                <w:color w:val="auto"/>
              </w:rPr>
              <w:t>(866,583)</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(874,350)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Depreciation of property, plant and equipment</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b w:val="1"/>
                <w:bCs w:val="1"/>
                <w:color w:val="auto"/>
              </w:rPr>
              <w:t>(63,739)</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(61,589)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Amortization of intangible assets</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(5,091)</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Operating income</w:t>
            </w: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75,921</w:t>
            </w:r>
          </w:p>
        </w:tc>
        <w:tc>
          <w:tcPr>
            <w:tcW w:w="38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70,239</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Equity in earnings (losses) of affiliates, net</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b w:val="1"/>
                <w:bCs w:val="1"/>
                <w:color w:val="auto"/>
              </w:rPr>
              <w:t>4,099</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(1,494)</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Interest income</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b w:val="1"/>
                <w:bCs w:val="1"/>
                <w:color w:val="auto"/>
              </w:rPr>
              <w:t>648</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994</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Interest expense</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b w:val="1"/>
                <w:bCs w:val="1"/>
                <w:color w:val="auto"/>
              </w:rPr>
              <w:t>(8,738)</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(8,667)</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Other income (expense), net</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4,163</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(29,650)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Income from continuing operations before income taxes</w:t>
            </w: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76,093</w:t>
            </w:r>
          </w:p>
        </w:tc>
        <w:tc>
          <w:tcPr>
            <w:tcW w:w="38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31,422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Provision for income taxes</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31,200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Income from continuing operations</w:t>
            </w: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44,893</w:t>
            </w:r>
          </w:p>
        </w:tc>
        <w:tc>
          <w:tcPr>
            <w:tcW w:w="38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12,822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Income (loss) from discontinued operations, net of tax</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49,054</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(18,788)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Net income (loss)</w:t>
            </w: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93,947</w:t>
            </w:r>
          </w:p>
        </w:tc>
        <w:tc>
          <w:tcPr>
            <w:tcW w:w="38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(5,966)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Net loss (income) attributable to noncontrolling interests</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71</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Net income (loss) attributable to The Washington Post Company</w:t>
            </w: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94,018</w:t>
            </w:r>
          </w:p>
        </w:tc>
        <w:tc>
          <w:tcPr>
            <w:tcW w:w="38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(5,982)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Redeemable preferred stock dividends</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(222)</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b w:val="1"/>
                <w:bCs w:val="1"/>
                <w:color w:val="auto"/>
              </w:rPr>
              <w:t>Net Income (Loss) Attributable to The Washington Post Company</w:t>
            </w:r>
          </w:p>
        </w:tc>
        <w:tc>
          <w:tcPr>
            <w:tcW w:w="21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93,796</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20" w:type="dxa"/>
            <w:vAlign w:val="bottom"/>
          </w:tcPr>
          <w:p>
            <w:pPr>
              <w:ind w:left="800"/>
              <w:spacing w:after="0"/>
              <w:rPr>
                <w:sz w:val="20"/>
                <w:szCs w:val="20"/>
                <w:color w:val="auto"/>
              </w:rPr>
            </w:pPr>
            <w:r>
              <w:rPr>
                <w:rFonts w:ascii="Arial" w:cs="Arial" w:eastAsia="Arial" w:hAnsi="Arial"/>
                <w:sz w:val="17"/>
                <w:szCs w:val="17"/>
                <w:b w:val="1"/>
                <w:bCs w:val="1"/>
                <w:color w:val="auto"/>
              </w:rPr>
              <w:t>Common Stockholders</w:t>
            </w:r>
          </w:p>
        </w:tc>
        <w:tc>
          <w:tcPr>
            <w:tcW w:w="214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(6,208)</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580"/>
              <w:spacing w:after="0"/>
              <w:rPr>
                <w:sz w:val="20"/>
                <w:szCs w:val="20"/>
                <w:color w:val="auto"/>
              </w:rPr>
            </w:pPr>
            <w:r>
              <w:rPr>
                <w:rFonts w:ascii="Arial" w:cs="Arial" w:eastAsia="Arial" w:hAnsi="Arial"/>
                <w:sz w:val="17"/>
                <w:szCs w:val="17"/>
                <w:b w:val="1"/>
                <w:bCs w:val="1"/>
                <w:color w:val="auto"/>
              </w:rPr>
              <w:t>Amounts Attributable to The Washington Post Company</w:t>
            </w:r>
          </w:p>
        </w:tc>
        <w:tc>
          <w:tcPr>
            <w:tcW w:w="1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860"/>
              <w:spacing w:after="0"/>
              <w:rPr>
                <w:sz w:val="20"/>
                <w:szCs w:val="20"/>
                <w:color w:val="auto"/>
              </w:rPr>
            </w:pPr>
            <w:r>
              <w:rPr>
                <w:rFonts w:ascii="Arial" w:cs="Arial" w:eastAsia="Arial" w:hAnsi="Arial"/>
                <w:sz w:val="17"/>
                <w:szCs w:val="17"/>
                <w:b w:val="1"/>
                <w:bCs w:val="1"/>
                <w:color w:val="auto"/>
              </w:rPr>
              <w:t>Common Stockholders</w:t>
            </w:r>
          </w:p>
        </w:tc>
        <w:tc>
          <w:tcPr>
            <w:tcW w:w="21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44,742</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80" w:lineRule="exact"/>
              <w:rPr>
                <w:sz w:val="20"/>
                <w:szCs w:val="20"/>
                <w:color w:val="auto"/>
              </w:rPr>
            </w:pPr>
            <w:r>
              <w:rPr>
                <w:rFonts w:ascii="Arial" w:cs="Arial" w:eastAsia="Arial" w:hAnsi="Arial"/>
                <w:sz w:val="17"/>
                <w:szCs w:val="17"/>
                <w:color w:val="auto"/>
              </w:rPr>
              <w:t>Income from continuing operations</w:t>
            </w:r>
          </w:p>
        </w:tc>
        <w:tc>
          <w:tcPr>
            <w:tcW w:w="214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380" w:type="dxa"/>
            <w:vAlign w:val="bottom"/>
          </w:tcPr>
          <w:p>
            <w:pPr>
              <w:jc w:val="right"/>
              <w:ind w:right="17"/>
              <w:spacing w:after="0" w:line="180"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0" w:lineRule="exact"/>
              <w:rPr>
                <w:sz w:val="20"/>
                <w:szCs w:val="20"/>
                <w:color w:val="auto"/>
              </w:rPr>
            </w:pPr>
            <w:r>
              <w:rPr>
                <w:rFonts w:ascii="Arial" w:cs="Arial" w:eastAsia="Arial" w:hAnsi="Arial"/>
                <w:sz w:val="17"/>
                <w:szCs w:val="17"/>
                <w:color w:val="auto"/>
              </w:rPr>
              <w:t>12,580</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Income (loss) from discontinued operations, net of tax</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49,054</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(18,788)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79" w:lineRule="exact"/>
              <w:rPr>
                <w:sz w:val="20"/>
                <w:szCs w:val="20"/>
                <w:color w:val="auto"/>
              </w:rPr>
            </w:pPr>
            <w:r>
              <w:rPr>
                <w:rFonts w:ascii="Arial" w:cs="Arial" w:eastAsia="Arial" w:hAnsi="Arial"/>
                <w:sz w:val="17"/>
                <w:szCs w:val="17"/>
                <w:color w:val="auto"/>
              </w:rPr>
              <w:t>Net income (loss)</w:t>
            </w:r>
          </w:p>
        </w:tc>
        <w:tc>
          <w:tcPr>
            <w:tcW w:w="1880" w:type="dxa"/>
            <w:vAlign w:val="bottom"/>
          </w:tcPr>
          <w:p>
            <w:pPr>
              <w:spacing w:after="0"/>
              <w:rPr>
                <w:sz w:val="15"/>
                <w:szCs w:val="15"/>
                <w:color w:val="auto"/>
              </w:rPr>
            </w:pPr>
          </w:p>
        </w:tc>
        <w:tc>
          <w:tcPr>
            <w:tcW w:w="2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93,796</w:t>
            </w:r>
          </w:p>
        </w:tc>
        <w:tc>
          <w:tcPr>
            <w:tcW w:w="38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(6,208)</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580"/>
              <w:spacing w:after="0"/>
              <w:rPr>
                <w:sz w:val="20"/>
                <w:szCs w:val="20"/>
                <w:color w:val="auto"/>
              </w:rPr>
            </w:pPr>
            <w:r>
              <w:rPr>
                <w:rFonts w:ascii="Arial" w:cs="Arial" w:eastAsia="Arial" w:hAnsi="Arial"/>
                <w:sz w:val="17"/>
                <w:szCs w:val="17"/>
                <w:b w:val="1"/>
                <w:bCs w:val="1"/>
                <w:color w:val="auto"/>
                <w:w w:val="96"/>
              </w:rPr>
              <w:t>Per Share Information Attributable to The Washington Post Company</w:t>
            </w: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860"/>
              <w:spacing w:after="0"/>
              <w:rPr>
                <w:sz w:val="20"/>
                <w:szCs w:val="20"/>
                <w:color w:val="auto"/>
              </w:rPr>
            </w:pPr>
            <w:r>
              <w:rPr>
                <w:rFonts w:ascii="Arial" w:cs="Arial" w:eastAsia="Arial" w:hAnsi="Arial"/>
                <w:sz w:val="17"/>
                <w:szCs w:val="17"/>
                <w:b w:val="1"/>
                <w:bCs w:val="1"/>
                <w:color w:val="auto"/>
              </w:rPr>
              <w:t>Common Stockholders</w:t>
            </w:r>
          </w:p>
        </w:tc>
        <w:tc>
          <w:tcPr>
            <w:tcW w:w="21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6.03</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80" w:lineRule="exact"/>
              <w:rPr>
                <w:sz w:val="20"/>
                <w:szCs w:val="20"/>
                <w:color w:val="auto"/>
              </w:rPr>
            </w:pPr>
            <w:r>
              <w:rPr>
                <w:rFonts w:ascii="Arial" w:cs="Arial" w:eastAsia="Arial" w:hAnsi="Arial"/>
                <w:sz w:val="17"/>
                <w:szCs w:val="17"/>
                <w:color w:val="auto"/>
              </w:rPr>
              <w:t>Basic income per common share from continuing operations</w:t>
            </w:r>
          </w:p>
        </w:tc>
        <w:tc>
          <w:tcPr>
            <w:tcW w:w="214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380" w:type="dxa"/>
            <w:vAlign w:val="bottom"/>
          </w:tcPr>
          <w:p>
            <w:pPr>
              <w:jc w:val="right"/>
              <w:ind w:right="17"/>
              <w:spacing w:after="0" w:line="180"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0" w:lineRule="exact"/>
              <w:rPr>
                <w:sz w:val="20"/>
                <w:szCs w:val="20"/>
                <w:color w:val="auto"/>
              </w:rPr>
            </w:pPr>
            <w:r>
              <w:rPr>
                <w:rFonts w:ascii="Arial" w:cs="Arial" w:eastAsia="Arial" w:hAnsi="Arial"/>
                <w:sz w:val="17"/>
                <w:szCs w:val="17"/>
                <w:color w:val="auto"/>
              </w:rPr>
              <w:t>1.59</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Basic income (loss) per common share from discontinued operations</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6.61</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79" w:lineRule="exact"/>
              <w:rPr>
                <w:sz w:val="20"/>
                <w:szCs w:val="20"/>
                <w:color w:val="auto"/>
              </w:rPr>
            </w:pPr>
            <w:r>
              <w:rPr>
                <w:rFonts w:ascii="Arial" w:cs="Arial" w:eastAsia="Arial" w:hAnsi="Arial"/>
                <w:sz w:val="17"/>
                <w:szCs w:val="17"/>
                <w:color w:val="auto"/>
              </w:rPr>
              <w:t>Basic net income (loss) per common share</w:t>
            </w:r>
          </w:p>
        </w:tc>
        <w:tc>
          <w:tcPr>
            <w:tcW w:w="1880" w:type="dxa"/>
            <w:vAlign w:val="bottom"/>
          </w:tcPr>
          <w:p>
            <w:pPr>
              <w:spacing w:after="0"/>
              <w:rPr>
                <w:sz w:val="15"/>
                <w:szCs w:val="15"/>
                <w:color w:val="auto"/>
              </w:rPr>
            </w:pPr>
          </w:p>
        </w:tc>
        <w:tc>
          <w:tcPr>
            <w:tcW w:w="2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12.64</w:t>
            </w:r>
          </w:p>
        </w:tc>
        <w:tc>
          <w:tcPr>
            <w:tcW w:w="38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(0.82)</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ind w:left="580"/>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1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7,272</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7,802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20" w:type="dxa"/>
            <w:vAlign w:val="bottom"/>
          </w:tcPr>
          <w:p>
            <w:pPr>
              <w:ind w:left="580"/>
              <w:spacing w:after="0"/>
              <w:rPr>
                <w:sz w:val="20"/>
                <w:szCs w:val="20"/>
                <w:color w:val="auto"/>
              </w:rPr>
            </w:pPr>
            <w:r>
              <w:rPr>
                <w:rFonts w:ascii="Arial" w:cs="Arial" w:eastAsia="Arial" w:hAnsi="Arial"/>
                <w:sz w:val="17"/>
                <w:szCs w:val="17"/>
                <w:color w:val="auto"/>
              </w:rPr>
              <w:t>Diluted income per common share from continuing operations</w:t>
            </w:r>
          </w:p>
        </w:tc>
        <w:tc>
          <w:tcPr>
            <w:tcW w:w="21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119"/>
              <w:spacing w:after="0"/>
              <w:rPr>
                <w:sz w:val="20"/>
                <w:szCs w:val="20"/>
                <w:color w:val="auto"/>
              </w:rPr>
            </w:pPr>
            <w:r>
              <w:rPr>
                <w:rFonts w:ascii="Arial" w:cs="Arial" w:eastAsia="Arial" w:hAnsi="Arial"/>
                <w:sz w:val="17"/>
                <w:szCs w:val="17"/>
                <w:b w:val="1"/>
                <w:bCs w:val="1"/>
                <w:color w:val="auto"/>
              </w:rPr>
              <w:t>6.03</w:t>
            </w:r>
          </w:p>
        </w:tc>
        <w:tc>
          <w:tcPr>
            <w:tcW w:w="3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1.59</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Diluted income (loss) per common share from discontinued operations</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6.61</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79" w:lineRule="exact"/>
              <w:rPr>
                <w:sz w:val="20"/>
                <w:szCs w:val="20"/>
                <w:color w:val="auto"/>
              </w:rPr>
            </w:pPr>
            <w:r>
              <w:rPr>
                <w:rFonts w:ascii="Arial" w:cs="Arial" w:eastAsia="Arial" w:hAnsi="Arial"/>
                <w:sz w:val="17"/>
                <w:szCs w:val="17"/>
                <w:color w:val="auto"/>
              </w:rPr>
              <w:t>Diluted net income (loss) per common share</w:t>
            </w:r>
          </w:p>
        </w:tc>
        <w:tc>
          <w:tcPr>
            <w:tcW w:w="1880" w:type="dxa"/>
            <w:vAlign w:val="bottom"/>
          </w:tcPr>
          <w:p>
            <w:pPr>
              <w:spacing w:after="0"/>
              <w:rPr>
                <w:sz w:val="15"/>
                <w:szCs w:val="15"/>
                <w:color w:val="auto"/>
              </w:rPr>
            </w:pPr>
          </w:p>
        </w:tc>
        <w:tc>
          <w:tcPr>
            <w:tcW w:w="2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12.64</w:t>
            </w:r>
          </w:p>
        </w:tc>
        <w:tc>
          <w:tcPr>
            <w:tcW w:w="38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(0.82)</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ind w:left="580"/>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1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7,376</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7,883</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20" w:type="dxa"/>
            <w:vAlign w:val="bottom"/>
          </w:tcPr>
          <w:p>
            <w:pPr>
              <w:spacing w:after="0"/>
              <w:rPr>
                <w:sz w:val="15"/>
                <w:szCs w:val="15"/>
                <w:color w:val="auto"/>
              </w:rPr>
            </w:pPr>
          </w:p>
        </w:tc>
        <w:tc>
          <w:tcPr>
            <w:tcW w:w="1880" w:type="dxa"/>
            <w:vAlign w:val="bottom"/>
          </w:tcPr>
          <w:p>
            <w:pPr>
              <w:jc w:val="center"/>
              <w:ind w:right="1277"/>
              <w:spacing w:after="0" w:line="174" w:lineRule="exact"/>
              <w:rPr>
                <w:sz w:val="20"/>
                <w:szCs w:val="20"/>
                <w:color w:val="auto"/>
              </w:rPr>
            </w:pPr>
            <w:r>
              <w:rPr>
                <w:rFonts w:ascii="Arial" w:cs="Arial" w:eastAsia="Arial" w:hAnsi="Arial"/>
                <w:sz w:val="17"/>
                <w:szCs w:val="17"/>
                <w:color w:val="auto"/>
                <w:w w:val="95"/>
              </w:rPr>
              <w:t>-more-</w:t>
            </w: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6020" w:type="dxa"/>
            <w:vAlign w:val="bottom"/>
          </w:tcPr>
          <w:p>
            <w:pPr>
              <w:spacing w:after="0"/>
              <w:rPr>
                <w:sz w:val="24"/>
                <w:szCs w:val="24"/>
                <w:color w:val="auto"/>
              </w:rPr>
            </w:pPr>
          </w:p>
        </w:tc>
        <w:tc>
          <w:tcPr>
            <w:tcW w:w="1880" w:type="dxa"/>
            <w:vAlign w:val="bottom"/>
          </w:tcPr>
          <w:p>
            <w:pPr>
              <w:jc w:val="right"/>
              <w:ind w:right="1477"/>
              <w:spacing w:after="0"/>
              <w:rPr>
                <w:sz w:val="20"/>
                <w:szCs w:val="20"/>
                <w:color w:val="auto"/>
              </w:rPr>
            </w:pPr>
            <w:r>
              <w:rPr>
                <w:rFonts w:ascii="Arial" w:cs="Arial" w:eastAsia="Arial" w:hAnsi="Arial"/>
                <w:sz w:val="17"/>
                <w:szCs w:val="17"/>
                <w:color w:val="auto"/>
              </w:rPr>
              <w:t>8</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02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725" w:right="1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7"/>
          <w:szCs w:val="17"/>
          <w:color w:val="auto"/>
        </w:rPr>
        <w:t>THE WASHINGTON POST COMPANY</w:t>
      </w:r>
    </w:p>
    <w:p>
      <w:pPr>
        <w:jc w:val="center"/>
        <w:ind w:right="-39"/>
        <w:spacing w:after="0" w:line="228" w:lineRule="auto"/>
        <w:rPr>
          <w:sz w:val="20"/>
          <w:szCs w:val="20"/>
          <w:color w:val="auto"/>
        </w:rPr>
      </w:pPr>
      <w:r>
        <w:rPr>
          <w:rFonts w:ascii="Arial" w:cs="Arial" w:eastAsia="Arial" w:hAnsi="Arial"/>
          <w:sz w:val="17"/>
          <w:szCs w:val="17"/>
          <w:u w:val="single" w:color="auto"/>
          <w:color w:val="auto"/>
        </w:rPr>
        <w:t>CONSOLIDATED STATEMENTS OF OPERATIONS</w:t>
      </w:r>
    </w:p>
    <w:p>
      <w:pPr>
        <w:jc w:val="center"/>
        <w:ind w:right="-39"/>
        <w:spacing w:after="0"/>
        <w:rPr>
          <w:sz w:val="20"/>
          <w:szCs w:val="20"/>
          <w:color w:val="auto"/>
        </w:rPr>
      </w:pPr>
      <w:r>
        <w:rPr>
          <w:rFonts w:ascii="Arial" w:cs="Arial" w:eastAsia="Arial" w:hAnsi="Arial"/>
          <w:sz w:val="17"/>
          <w:szCs w:val="17"/>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2"/>
                <w:szCs w:val="12"/>
                <w:b w:val="1"/>
                <w:bCs w:val="1"/>
                <w:color w:val="auto"/>
              </w:rPr>
              <w:t>Nine Months Ended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339"/>
              <w:spacing w:after="0"/>
              <w:rPr>
                <w:sz w:val="20"/>
                <w:szCs w:val="20"/>
                <w:color w:val="auto"/>
              </w:rPr>
            </w:pPr>
            <w:r>
              <w:rPr>
                <w:rFonts w:ascii="Arial" w:cs="Arial" w:eastAsia="Arial" w:hAnsi="Arial"/>
                <w:sz w:val="12"/>
                <w:szCs w:val="12"/>
                <w:b w:val="1"/>
                <w:bCs w:val="1"/>
                <w:color w:val="auto"/>
              </w:rPr>
              <w:t>September 30,</w:t>
            </w:r>
          </w:p>
        </w:tc>
        <w:tc>
          <w:tcPr>
            <w:tcW w:w="380" w:type="dxa"/>
            <w:vAlign w:val="bottom"/>
          </w:tcPr>
          <w:p>
            <w:pPr>
              <w:spacing w:after="0"/>
              <w:rPr>
                <w:sz w:val="15"/>
                <w:szCs w:val="15"/>
                <w:color w:val="auto"/>
              </w:rPr>
            </w:pPr>
          </w:p>
        </w:tc>
        <w:tc>
          <w:tcPr>
            <w:tcW w:w="1060" w:type="dxa"/>
            <w:vAlign w:val="bottom"/>
          </w:tcPr>
          <w:p>
            <w:pPr>
              <w:jc w:val="right"/>
              <w:ind w:right="319"/>
              <w:spacing w:after="0"/>
              <w:rPr>
                <w:sz w:val="20"/>
                <w:szCs w:val="20"/>
                <w:color w:val="auto"/>
              </w:rPr>
            </w:pPr>
            <w:r>
              <w:rPr>
                <w:rFonts w:ascii="Arial" w:cs="Arial" w:eastAsia="Arial" w:hAnsi="Arial"/>
                <w:sz w:val="12"/>
                <w:szCs w:val="12"/>
                <w:color w:val="auto"/>
              </w:rPr>
              <w:t>October 2,</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020" w:type="dxa"/>
            <w:vAlign w:val="bottom"/>
          </w:tcPr>
          <w:p>
            <w:pPr>
              <w:ind w:left="580"/>
              <w:spacing w:after="0"/>
              <w:rPr>
                <w:sz w:val="20"/>
                <w:szCs w:val="20"/>
                <w:color w:val="auto"/>
              </w:rPr>
            </w:pPr>
            <w:r>
              <w:rPr>
                <w:rFonts w:ascii="Arial" w:cs="Arial" w:eastAsia="Arial" w:hAnsi="Arial"/>
                <w:sz w:val="12"/>
                <w:szCs w:val="12"/>
                <w:color w:val="auto"/>
              </w:rPr>
              <w:t>(In thousands, except per share amounts)</w:t>
            </w:r>
          </w:p>
        </w:tc>
        <w:tc>
          <w:tcPr>
            <w:tcW w:w="1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2011</w:t>
            </w:r>
          </w:p>
        </w:tc>
        <w:tc>
          <w:tcPr>
            <w:tcW w:w="64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w w:val="77"/>
              </w:rPr>
              <w:t>Ch</w:t>
            </w: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Operating revenues</w:t>
            </w:r>
          </w:p>
        </w:tc>
        <w:tc>
          <w:tcPr>
            <w:tcW w:w="1880" w:type="dxa"/>
            <w:vAlign w:val="bottom"/>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2,967,557</w:t>
            </w:r>
          </w:p>
        </w:tc>
        <w:tc>
          <w:tcPr>
            <w:tcW w:w="380" w:type="dxa"/>
            <w:vAlign w:val="bottom"/>
          </w:tcPr>
          <w:p>
            <w:pPr>
              <w:jc w:val="right"/>
              <w:ind w:right="17"/>
              <w:spacing w:after="0" w:line="170"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3,090,724</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b w:val="1"/>
                <w:bCs w:val="1"/>
                <w:color w:val="auto"/>
              </w:rPr>
              <w:t>(2,606,446)</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(2,670,703)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Depreciation of property, plant and equipment</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b w:val="1"/>
                <w:bCs w:val="1"/>
                <w:color w:val="auto"/>
              </w:rPr>
              <w:t>(188,763)</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(186,133)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Amortization of intangible assets</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(13,392)</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(17,293)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Operating income</w:t>
            </w: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158,956</w:t>
            </w:r>
          </w:p>
        </w:tc>
        <w:tc>
          <w:tcPr>
            <w:tcW w:w="38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216,595</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Equity in earnings of affiliates, net</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b w:val="1"/>
                <w:bCs w:val="1"/>
                <w:color w:val="auto"/>
              </w:rPr>
              <w:t>11,301</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5,381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Interest income</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b w:val="1"/>
                <w:bCs w:val="1"/>
                <w:color w:val="auto"/>
              </w:rPr>
              <w:t>2,492</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2,973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Interest expense</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b w:val="1"/>
                <w:bCs w:val="1"/>
                <w:color w:val="auto"/>
              </w:rPr>
              <w:t>(26,880)</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(24,588)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Other income (expense), net</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12,116</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(56,273)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Income from continuing operations before income taxes</w:t>
            </w: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157,985</w:t>
            </w:r>
          </w:p>
        </w:tc>
        <w:tc>
          <w:tcPr>
            <w:tcW w:w="38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144,088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Provision for income taxes</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63,600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Income from continuing operations</w:t>
            </w: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94,385</w:t>
            </w:r>
          </w:p>
        </w:tc>
        <w:tc>
          <w:tcPr>
            <w:tcW w:w="38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84,188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Income (loss) from discontinued operations, net of tax</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83,177</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(28,762)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177,562</w:t>
            </w:r>
          </w:p>
        </w:tc>
        <w:tc>
          <w:tcPr>
            <w:tcW w:w="38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55,426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Net (income) loss attributable to noncontrolling interests</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Net income attributable to The Washington Post Company</w:t>
            </w: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177,552</w:t>
            </w:r>
          </w:p>
        </w:tc>
        <w:tc>
          <w:tcPr>
            <w:tcW w:w="38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55,436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Redeemable preferred stock dividends</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(895)</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b w:val="1"/>
                <w:bCs w:val="1"/>
                <w:color w:val="auto"/>
              </w:rPr>
              <w:t>Net Income Attributable to The Washington Post Company</w:t>
            </w:r>
          </w:p>
        </w:tc>
        <w:tc>
          <w:tcPr>
            <w:tcW w:w="21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176,657</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20" w:type="dxa"/>
            <w:vAlign w:val="bottom"/>
          </w:tcPr>
          <w:p>
            <w:pPr>
              <w:ind w:left="800"/>
              <w:spacing w:after="0"/>
              <w:rPr>
                <w:sz w:val="20"/>
                <w:szCs w:val="20"/>
                <w:color w:val="auto"/>
              </w:rPr>
            </w:pPr>
            <w:r>
              <w:rPr>
                <w:rFonts w:ascii="Arial" w:cs="Arial" w:eastAsia="Arial" w:hAnsi="Arial"/>
                <w:sz w:val="17"/>
                <w:szCs w:val="17"/>
                <w:b w:val="1"/>
                <w:bCs w:val="1"/>
                <w:color w:val="auto"/>
              </w:rPr>
              <w:t>Common Stockholders</w:t>
            </w:r>
          </w:p>
        </w:tc>
        <w:tc>
          <w:tcPr>
            <w:tcW w:w="214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54,519</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580"/>
              <w:spacing w:after="0"/>
              <w:rPr>
                <w:sz w:val="20"/>
                <w:szCs w:val="20"/>
                <w:color w:val="auto"/>
              </w:rPr>
            </w:pPr>
            <w:r>
              <w:rPr>
                <w:rFonts w:ascii="Arial" w:cs="Arial" w:eastAsia="Arial" w:hAnsi="Arial"/>
                <w:sz w:val="17"/>
                <w:szCs w:val="17"/>
                <w:b w:val="1"/>
                <w:bCs w:val="1"/>
                <w:color w:val="auto"/>
              </w:rPr>
              <w:t>Amounts Attributable to The Washington Post Company</w:t>
            </w:r>
          </w:p>
        </w:tc>
        <w:tc>
          <w:tcPr>
            <w:tcW w:w="1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800"/>
              <w:spacing w:after="0"/>
              <w:rPr>
                <w:sz w:val="20"/>
                <w:szCs w:val="20"/>
                <w:color w:val="auto"/>
              </w:rPr>
            </w:pPr>
            <w:r>
              <w:rPr>
                <w:rFonts w:ascii="Arial" w:cs="Arial" w:eastAsia="Arial" w:hAnsi="Arial"/>
                <w:sz w:val="17"/>
                <w:szCs w:val="17"/>
                <w:b w:val="1"/>
                <w:bCs w:val="1"/>
                <w:color w:val="auto"/>
              </w:rPr>
              <w:t>Common Stockholders</w:t>
            </w:r>
          </w:p>
        </w:tc>
        <w:tc>
          <w:tcPr>
            <w:tcW w:w="21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93,480</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80" w:lineRule="exact"/>
              <w:rPr>
                <w:sz w:val="20"/>
                <w:szCs w:val="20"/>
                <w:color w:val="auto"/>
              </w:rPr>
            </w:pPr>
            <w:r>
              <w:rPr>
                <w:rFonts w:ascii="Arial" w:cs="Arial" w:eastAsia="Arial" w:hAnsi="Arial"/>
                <w:sz w:val="17"/>
                <w:szCs w:val="17"/>
                <w:color w:val="auto"/>
              </w:rPr>
              <w:t>Income from continuing operations</w:t>
            </w:r>
          </w:p>
        </w:tc>
        <w:tc>
          <w:tcPr>
            <w:tcW w:w="214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380" w:type="dxa"/>
            <w:vAlign w:val="bottom"/>
          </w:tcPr>
          <w:p>
            <w:pPr>
              <w:jc w:val="right"/>
              <w:ind w:right="17"/>
              <w:spacing w:after="0" w:line="180"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0" w:lineRule="exact"/>
              <w:rPr>
                <w:sz w:val="20"/>
                <w:szCs w:val="20"/>
                <w:color w:val="auto"/>
              </w:rPr>
            </w:pPr>
            <w:r>
              <w:rPr>
                <w:rFonts w:ascii="Arial" w:cs="Arial" w:eastAsia="Arial" w:hAnsi="Arial"/>
                <w:sz w:val="17"/>
                <w:szCs w:val="17"/>
                <w:color w:val="auto"/>
              </w:rPr>
              <w:t>83,281</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Income (loss) from discontinued operations, net of tax</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83,177</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(28,762)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79"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5"/>
                <w:szCs w:val="15"/>
                <w:color w:val="auto"/>
              </w:rPr>
            </w:pPr>
          </w:p>
        </w:tc>
        <w:tc>
          <w:tcPr>
            <w:tcW w:w="2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176,657</w:t>
            </w:r>
          </w:p>
        </w:tc>
        <w:tc>
          <w:tcPr>
            <w:tcW w:w="38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54,519</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580"/>
              <w:spacing w:after="0"/>
              <w:rPr>
                <w:sz w:val="20"/>
                <w:szCs w:val="20"/>
                <w:color w:val="auto"/>
              </w:rPr>
            </w:pPr>
            <w:r>
              <w:rPr>
                <w:rFonts w:ascii="Arial" w:cs="Arial" w:eastAsia="Arial" w:hAnsi="Arial"/>
                <w:sz w:val="17"/>
                <w:szCs w:val="17"/>
                <w:b w:val="1"/>
                <w:bCs w:val="1"/>
                <w:color w:val="auto"/>
                <w:w w:val="96"/>
              </w:rPr>
              <w:t>Per Share Information Attributable to The Washington Post Company</w:t>
            </w: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800"/>
              <w:spacing w:after="0"/>
              <w:rPr>
                <w:sz w:val="20"/>
                <w:szCs w:val="20"/>
                <w:color w:val="auto"/>
              </w:rPr>
            </w:pPr>
            <w:r>
              <w:rPr>
                <w:rFonts w:ascii="Arial" w:cs="Arial" w:eastAsia="Arial" w:hAnsi="Arial"/>
                <w:sz w:val="17"/>
                <w:szCs w:val="17"/>
                <w:b w:val="1"/>
                <w:bCs w:val="1"/>
                <w:color w:val="auto"/>
              </w:rPr>
              <w:t>Common Stockholders</w:t>
            </w:r>
          </w:p>
        </w:tc>
        <w:tc>
          <w:tcPr>
            <w:tcW w:w="21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12.38</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80" w:lineRule="exact"/>
              <w:rPr>
                <w:sz w:val="20"/>
                <w:szCs w:val="20"/>
                <w:color w:val="auto"/>
              </w:rPr>
            </w:pPr>
            <w:r>
              <w:rPr>
                <w:rFonts w:ascii="Arial" w:cs="Arial" w:eastAsia="Arial" w:hAnsi="Arial"/>
                <w:sz w:val="17"/>
                <w:szCs w:val="17"/>
                <w:color w:val="auto"/>
              </w:rPr>
              <w:t>Basic income per common share from continuing operations</w:t>
            </w:r>
          </w:p>
        </w:tc>
        <w:tc>
          <w:tcPr>
            <w:tcW w:w="214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380" w:type="dxa"/>
            <w:vAlign w:val="bottom"/>
          </w:tcPr>
          <w:p>
            <w:pPr>
              <w:jc w:val="right"/>
              <w:ind w:right="17"/>
              <w:spacing w:after="0" w:line="180"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0" w:lineRule="exact"/>
              <w:rPr>
                <w:sz w:val="20"/>
                <w:szCs w:val="20"/>
                <w:color w:val="auto"/>
              </w:rPr>
            </w:pPr>
            <w:r>
              <w:rPr>
                <w:rFonts w:ascii="Arial" w:cs="Arial" w:eastAsia="Arial" w:hAnsi="Arial"/>
                <w:sz w:val="17"/>
                <w:szCs w:val="17"/>
                <w:color w:val="auto"/>
              </w:rPr>
              <w:t>10.44</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Basic income (loss) per common share from discontinued operations</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11.01</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79" w:lineRule="exact"/>
              <w:rPr>
                <w:sz w:val="20"/>
                <w:szCs w:val="20"/>
                <w:color w:val="auto"/>
              </w:rPr>
            </w:pPr>
            <w:r>
              <w:rPr>
                <w:rFonts w:ascii="Arial" w:cs="Arial" w:eastAsia="Arial" w:hAnsi="Arial"/>
                <w:sz w:val="17"/>
                <w:szCs w:val="17"/>
                <w:color w:val="auto"/>
              </w:rPr>
              <w:t>Basic net income per common share</w:t>
            </w:r>
          </w:p>
        </w:tc>
        <w:tc>
          <w:tcPr>
            <w:tcW w:w="1880" w:type="dxa"/>
            <w:vAlign w:val="bottom"/>
          </w:tcPr>
          <w:p>
            <w:pPr>
              <w:spacing w:after="0"/>
              <w:rPr>
                <w:sz w:val="15"/>
                <w:szCs w:val="15"/>
                <w:color w:val="auto"/>
              </w:rPr>
            </w:pPr>
          </w:p>
        </w:tc>
        <w:tc>
          <w:tcPr>
            <w:tcW w:w="2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23.39</w:t>
            </w:r>
          </w:p>
        </w:tc>
        <w:tc>
          <w:tcPr>
            <w:tcW w:w="38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6.81</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ind w:left="580"/>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1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7,405</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7,900</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20" w:type="dxa"/>
            <w:vAlign w:val="bottom"/>
          </w:tcPr>
          <w:p>
            <w:pPr>
              <w:ind w:left="580"/>
              <w:spacing w:after="0"/>
              <w:rPr>
                <w:sz w:val="20"/>
                <w:szCs w:val="20"/>
                <w:color w:val="auto"/>
              </w:rPr>
            </w:pPr>
            <w:r>
              <w:rPr>
                <w:rFonts w:ascii="Arial" w:cs="Arial" w:eastAsia="Arial" w:hAnsi="Arial"/>
                <w:sz w:val="17"/>
                <w:szCs w:val="17"/>
                <w:color w:val="auto"/>
              </w:rPr>
              <w:t>Diluted income per common share from continuing operations</w:t>
            </w:r>
          </w:p>
        </w:tc>
        <w:tc>
          <w:tcPr>
            <w:tcW w:w="21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119"/>
              <w:spacing w:after="0"/>
              <w:rPr>
                <w:sz w:val="20"/>
                <w:szCs w:val="20"/>
                <w:color w:val="auto"/>
              </w:rPr>
            </w:pPr>
            <w:r>
              <w:rPr>
                <w:rFonts w:ascii="Arial" w:cs="Arial" w:eastAsia="Arial" w:hAnsi="Arial"/>
                <w:sz w:val="17"/>
                <w:szCs w:val="17"/>
                <w:b w:val="1"/>
                <w:bCs w:val="1"/>
                <w:color w:val="auto"/>
              </w:rPr>
              <w:t>12.38</w:t>
            </w:r>
          </w:p>
        </w:tc>
        <w:tc>
          <w:tcPr>
            <w:tcW w:w="3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10.44</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Diluted income (loss) per common share from discontinued operations</w:t>
            </w: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11.01</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79" w:lineRule="exact"/>
              <w:rPr>
                <w:sz w:val="20"/>
                <w:szCs w:val="20"/>
                <w:color w:val="auto"/>
              </w:rPr>
            </w:pPr>
            <w:r>
              <w:rPr>
                <w:rFonts w:ascii="Arial" w:cs="Arial" w:eastAsia="Arial" w:hAnsi="Arial"/>
                <w:sz w:val="17"/>
                <w:szCs w:val="17"/>
                <w:color w:val="auto"/>
              </w:rPr>
              <w:t>Diluted net income per common share</w:t>
            </w:r>
          </w:p>
        </w:tc>
        <w:tc>
          <w:tcPr>
            <w:tcW w:w="1880" w:type="dxa"/>
            <w:vAlign w:val="bottom"/>
          </w:tcPr>
          <w:p>
            <w:pPr>
              <w:spacing w:after="0"/>
              <w:rPr>
                <w:sz w:val="15"/>
                <w:szCs w:val="15"/>
                <w:color w:val="auto"/>
              </w:rPr>
            </w:pPr>
          </w:p>
        </w:tc>
        <w:tc>
          <w:tcPr>
            <w:tcW w:w="2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23.39</w:t>
            </w:r>
          </w:p>
        </w:tc>
        <w:tc>
          <w:tcPr>
            <w:tcW w:w="38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6.81</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ind w:left="580"/>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1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7,508</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7,979</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20" w:type="dxa"/>
            <w:vAlign w:val="bottom"/>
          </w:tcPr>
          <w:p>
            <w:pPr>
              <w:spacing w:after="0"/>
              <w:rPr>
                <w:sz w:val="15"/>
                <w:szCs w:val="15"/>
                <w:color w:val="auto"/>
              </w:rPr>
            </w:pPr>
          </w:p>
        </w:tc>
        <w:tc>
          <w:tcPr>
            <w:tcW w:w="1880" w:type="dxa"/>
            <w:vAlign w:val="bottom"/>
          </w:tcPr>
          <w:p>
            <w:pPr>
              <w:jc w:val="center"/>
              <w:ind w:right="1277"/>
              <w:spacing w:after="0" w:line="174" w:lineRule="exact"/>
              <w:rPr>
                <w:sz w:val="20"/>
                <w:szCs w:val="20"/>
                <w:color w:val="auto"/>
              </w:rPr>
            </w:pPr>
            <w:r>
              <w:rPr>
                <w:rFonts w:ascii="Arial" w:cs="Arial" w:eastAsia="Arial" w:hAnsi="Arial"/>
                <w:sz w:val="17"/>
                <w:szCs w:val="17"/>
                <w:color w:val="auto"/>
                <w:w w:val="95"/>
              </w:rPr>
              <w:t>-more-</w:t>
            </w: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6020" w:type="dxa"/>
            <w:vAlign w:val="bottom"/>
          </w:tcPr>
          <w:p>
            <w:pPr>
              <w:spacing w:after="0"/>
              <w:rPr>
                <w:sz w:val="24"/>
                <w:szCs w:val="24"/>
                <w:color w:val="auto"/>
              </w:rPr>
            </w:pPr>
          </w:p>
        </w:tc>
        <w:tc>
          <w:tcPr>
            <w:tcW w:w="1880" w:type="dxa"/>
            <w:vAlign w:val="bottom"/>
          </w:tcPr>
          <w:p>
            <w:pPr>
              <w:jc w:val="right"/>
              <w:ind w:right="1477"/>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02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775" w:right="139" w:bottom="1440" w:gutter="0" w:footer="0" w:header="0"/>
        </w:sectPr>
      </w:pPr>
    </w:p>
    <w:bookmarkStart w:id="14" w:name="page15"/>
    <w:bookmarkEnd w:id="14"/>
    <w:p>
      <w:pPr>
        <w:jc w:val="center"/>
        <w:ind w:right="-139"/>
        <w:spacing w:after="0"/>
        <w:rPr>
          <w:sz w:val="20"/>
          <w:szCs w:val="20"/>
          <w:color w:val="auto"/>
        </w:rPr>
      </w:pPr>
      <w:r>
        <w:rPr>
          <w:rFonts w:ascii="Arial" w:cs="Arial" w:eastAsia="Arial" w:hAnsi="Arial"/>
          <w:sz w:val="17"/>
          <w:szCs w:val="17"/>
          <w:color w:val="auto"/>
        </w:rPr>
        <w:t>THE WASHINGTON POST COMPANY</w:t>
      </w:r>
    </w:p>
    <w:p>
      <w:pPr>
        <w:jc w:val="center"/>
        <w:ind w:right="-139"/>
        <w:spacing w:after="0" w:line="228" w:lineRule="auto"/>
        <w:rPr>
          <w:sz w:val="20"/>
          <w:szCs w:val="20"/>
          <w:color w:val="auto"/>
        </w:rPr>
      </w:pPr>
      <w:r>
        <w:rPr>
          <w:rFonts w:ascii="Arial" w:cs="Arial" w:eastAsia="Arial" w:hAnsi="Arial"/>
          <w:sz w:val="17"/>
          <w:szCs w:val="17"/>
          <w:u w:val="single" w:color="auto"/>
          <w:color w:val="auto"/>
        </w:rPr>
        <w:t>BUSINESS SEGMENT INFORMATION</w:t>
      </w:r>
    </w:p>
    <w:p>
      <w:pPr>
        <w:jc w:val="center"/>
        <w:ind w:right="-139"/>
        <w:spacing w:after="0"/>
        <w:rPr>
          <w:sz w:val="20"/>
          <w:szCs w:val="20"/>
          <w:color w:val="auto"/>
        </w:rPr>
      </w:pPr>
      <w:r>
        <w:rPr>
          <w:rFonts w:ascii="Arial" w:cs="Arial" w:eastAsia="Arial" w:hAnsi="Arial"/>
          <w:sz w:val="17"/>
          <w:szCs w:val="17"/>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2"/>
                <w:szCs w:val="12"/>
                <w:b w:val="1"/>
                <w:bCs w:val="1"/>
                <w:color w:val="auto"/>
              </w:rPr>
              <w:t>Three Months Ended</w:t>
            </w:r>
          </w:p>
        </w:tc>
        <w:tc>
          <w:tcPr>
            <w:tcW w:w="10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2"/>
                <w:szCs w:val="12"/>
                <w:b w:val="1"/>
                <w:bCs w:val="1"/>
                <w:color w:val="auto"/>
              </w:rPr>
              <w:t>Nine Months Ended</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440" w:type="dxa"/>
            <w:vAlign w:val="bottom"/>
            <w:gridSpan w:val="2"/>
          </w:tcPr>
          <w:p>
            <w:pPr>
              <w:jc w:val="right"/>
              <w:ind w:right="302"/>
              <w:spacing w:after="0"/>
              <w:rPr>
                <w:sz w:val="20"/>
                <w:szCs w:val="20"/>
                <w:color w:val="auto"/>
              </w:rPr>
            </w:pPr>
            <w:r>
              <w:rPr>
                <w:rFonts w:ascii="Arial" w:cs="Arial" w:eastAsia="Arial" w:hAnsi="Arial"/>
                <w:sz w:val="12"/>
                <w:szCs w:val="12"/>
                <w:b w:val="1"/>
                <w:bCs w:val="1"/>
                <w:color w:val="auto"/>
              </w:rPr>
              <w:t>September 30,</w:t>
            </w:r>
          </w:p>
        </w:tc>
        <w:tc>
          <w:tcPr>
            <w:tcW w:w="340" w:type="dxa"/>
            <w:vAlign w:val="bottom"/>
          </w:tcPr>
          <w:p>
            <w:pPr>
              <w:spacing w:after="0"/>
              <w:rPr>
                <w:sz w:val="13"/>
                <w:szCs w:val="13"/>
                <w:color w:val="auto"/>
              </w:rPr>
            </w:pPr>
          </w:p>
        </w:tc>
        <w:tc>
          <w:tcPr>
            <w:tcW w:w="980" w:type="dxa"/>
            <w:vAlign w:val="bottom"/>
          </w:tcPr>
          <w:p>
            <w:pPr>
              <w:jc w:val="right"/>
              <w:ind w:right="262"/>
              <w:spacing w:after="0"/>
              <w:rPr>
                <w:sz w:val="20"/>
                <w:szCs w:val="20"/>
                <w:color w:val="auto"/>
              </w:rPr>
            </w:pPr>
            <w:r>
              <w:rPr>
                <w:rFonts w:ascii="Arial" w:cs="Arial" w:eastAsia="Arial" w:hAnsi="Arial"/>
                <w:sz w:val="12"/>
                <w:szCs w:val="12"/>
                <w:color w:val="auto"/>
              </w:rPr>
              <w:t>October 2,</w:t>
            </w:r>
          </w:p>
        </w:tc>
        <w:tc>
          <w:tcPr>
            <w:tcW w:w="1040" w:type="dxa"/>
            <w:vAlign w:val="bottom"/>
          </w:tcPr>
          <w:p>
            <w:pPr>
              <w:jc w:val="right"/>
              <w:ind w:right="382"/>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82"/>
              <w:spacing w:after="0"/>
              <w:rPr>
                <w:sz w:val="20"/>
                <w:szCs w:val="20"/>
                <w:color w:val="auto"/>
              </w:rPr>
            </w:pPr>
            <w:r>
              <w:rPr>
                <w:rFonts w:ascii="Arial" w:cs="Arial" w:eastAsia="Arial" w:hAnsi="Arial"/>
                <w:sz w:val="12"/>
                <w:szCs w:val="12"/>
                <w:b w:val="1"/>
                <w:bCs w:val="1"/>
                <w:color w:val="auto"/>
              </w:rPr>
              <w:t>September 30,</w:t>
            </w:r>
          </w:p>
        </w:tc>
        <w:tc>
          <w:tcPr>
            <w:tcW w:w="360" w:type="dxa"/>
            <w:vAlign w:val="bottom"/>
          </w:tcPr>
          <w:p>
            <w:pPr>
              <w:spacing w:after="0"/>
              <w:rPr>
                <w:sz w:val="13"/>
                <w:szCs w:val="13"/>
                <w:color w:val="auto"/>
              </w:rPr>
            </w:pPr>
          </w:p>
        </w:tc>
        <w:tc>
          <w:tcPr>
            <w:tcW w:w="1060" w:type="dxa"/>
            <w:vAlign w:val="bottom"/>
          </w:tcPr>
          <w:p>
            <w:pPr>
              <w:jc w:val="right"/>
              <w:ind w:right="322"/>
              <w:spacing w:after="0"/>
              <w:rPr>
                <w:sz w:val="20"/>
                <w:szCs w:val="20"/>
                <w:color w:val="auto"/>
              </w:rPr>
            </w:pPr>
            <w:r>
              <w:rPr>
                <w:rFonts w:ascii="Arial" w:cs="Arial" w:eastAsia="Arial" w:hAnsi="Arial"/>
                <w:sz w:val="12"/>
                <w:szCs w:val="12"/>
                <w:color w:val="auto"/>
              </w:rPr>
              <w:t>October 2,</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22"/>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2"/>
                <w:szCs w:val="12"/>
                <w:color w:val="auto"/>
              </w:rPr>
              <w:t>2011</w:t>
            </w: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color w:val="auto"/>
              </w:rPr>
              <w:t>Change</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82"/>
              <w:spacing w:after="0"/>
              <w:rPr>
                <w:sz w:val="20"/>
                <w:szCs w:val="20"/>
                <w:color w:val="auto"/>
              </w:rPr>
            </w:pPr>
            <w:r>
              <w:rPr>
                <w:rFonts w:ascii="Arial" w:cs="Arial" w:eastAsia="Arial" w:hAnsi="Arial"/>
                <w:sz w:val="12"/>
                <w:szCs w:val="12"/>
                <w:b w:val="1"/>
                <w:bCs w:val="1"/>
                <w:color w:val="auto"/>
              </w:rPr>
              <w:t>2012</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2"/>
                <w:szCs w:val="12"/>
                <w:color w:val="auto"/>
              </w:rPr>
              <w:t>2011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Cha</w:t>
            </w:r>
          </w:p>
        </w:tc>
        <w:tc>
          <w:tcPr>
            <w:tcW w:w="0" w:type="dxa"/>
            <w:vAlign w:val="bottom"/>
          </w:tcPr>
          <w:p>
            <w:pPr>
              <w:spacing w:after="0"/>
              <w:rPr>
                <w:sz w:val="1"/>
                <w:szCs w:val="1"/>
                <w:color w:val="auto"/>
              </w:rPr>
            </w:pPr>
          </w:p>
        </w:tc>
      </w:tr>
      <w:tr>
        <w:trPr>
          <w:trHeight w:val="160"/>
        </w:trPr>
        <w:tc>
          <w:tcPr>
            <w:tcW w:w="3780" w:type="dxa"/>
            <w:vAlign w:val="bottom"/>
          </w:tcPr>
          <w:p>
            <w:pPr>
              <w:spacing w:after="0" w:line="161" w:lineRule="exact"/>
              <w:rPr>
                <w:sz w:val="20"/>
                <w:szCs w:val="20"/>
                <w:color w:val="auto"/>
              </w:rPr>
            </w:pPr>
            <w:r>
              <w:rPr>
                <w:rFonts w:ascii="Arial" w:cs="Arial" w:eastAsia="Arial" w:hAnsi="Arial"/>
                <w:sz w:val="16"/>
                <w:szCs w:val="16"/>
                <w:b w:val="1"/>
                <w:bCs w:val="1"/>
                <w:color w:val="auto"/>
              </w:rPr>
              <w:t>Operating Revenues:</w:t>
            </w:r>
          </w:p>
        </w:tc>
        <w:tc>
          <w:tcPr>
            <w:tcW w:w="36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552,585</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1,652,067</w:t>
            </w: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601,611</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(8)</w:t>
            </w:r>
          </w:p>
        </w:tc>
        <w:tc>
          <w:tcPr>
            <w:tcW w:w="3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1,823,696</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199,625</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187,892</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585,414</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569,403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137,276</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143,495</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419,550</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450,411</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106,411</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73,830</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283,499</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230,953</w:t>
            </w: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15,834</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5,764</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27,779</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16,617</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(397)</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(752)</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Operating Expenses:</w:t>
            </w:r>
          </w:p>
        </w:tc>
        <w:tc>
          <w:tcPr>
            <w:tcW w:w="360" w:type="dxa"/>
            <w:vAlign w:val="bottom"/>
            <w:tcBorders>
              <w:bottom w:val="single" w:sz="8" w:color="auto"/>
            </w:tcBorders>
          </w:tcPr>
          <w:p>
            <w:pPr>
              <w:jc w:val="right"/>
              <w:ind w:right="43"/>
              <w:spacing w:after="0" w:line="166"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2"/>
              <w:spacing w:after="0" w:line="166" w:lineRule="exact"/>
              <w:rPr>
                <w:sz w:val="20"/>
                <w:szCs w:val="20"/>
                <w:color w:val="auto"/>
              </w:rPr>
            </w:pPr>
            <w:r>
              <w:rPr>
                <w:rFonts w:ascii="Arial" w:cs="Arial" w:eastAsia="Arial" w:hAnsi="Arial"/>
                <w:sz w:val="16"/>
                <w:szCs w:val="16"/>
                <w:b w:val="1"/>
                <w:bCs w:val="1"/>
                <w:color w:val="auto"/>
              </w:rPr>
              <w:t>1,011,334</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1,012,498</w:t>
            </w:r>
          </w:p>
        </w:tc>
        <w:tc>
          <w:tcPr>
            <w:tcW w:w="1040" w:type="dxa"/>
            <w:vAlign w:val="bottom"/>
          </w:tcPr>
          <w:p>
            <w:pPr>
              <w:jc w:val="right"/>
              <w:ind w:right="262"/>
              <w:spacing w:after="0" w:line="166" w:lineRule="exact"/>
              <w:rPr>
                <w:sz w:val="20"/>
                <w:szCs w:val="20"/>
                <w:color w:val="auto"/>
              </w:rPr>
            </w:pPr>
            <w:r>
              <w:rPr>
                <w:rFonts w:ascii="Arial" w:cs="Arial" w:eastAsia="Arial" w:hAnsi="Arial"/>
                <w:sz w:val="16"/>
                <w:szCs w:val="16"/>
                <w:color w:val="auto"/>
              </w:rPr>
              <w:t>0</w:t>
            </w:r>
          </w:p>
        </w:tc>
        <w:tc>
          <w:tcPr>
            <w:tcW w:w="340" w:type="dxa"/>
            <w:vAlign w:val="bottom"/>
            <w:tcBorders>
              <w:bottom w:val="single" w:sz="8" w:color="auto"/>
            </w:tcBorders>
          </w:tcPr>
          <w:p>
            <w:pPr>
              <w:jc w:val="right"/>
              <w:ind w:right="43"/>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b w:val="1"/>
                <w:bCs w:val="1"/>
                <w:color w:val="auto"/>
              </w:rPr>
              <w:t>2,967,557</w:t>
            </w:r>
          </w:p>
        </w:tc>
        <w:tc>
          <w:tcPr>
            <w:tcW w:w="360" w:type="dxa"/>
            <w:vAlign w:val="bottom"/>
            <w:tcBorders>
              <w:bottom w:val="single" w:sz="8" w:color="auto"/>
            </w:tcBorders>
          </w:tcPr>
          <w:p>
            <w:pPr>
              <w:jc w:val="right"/>
              <w:ind w:right="1"/>
              <w:spacing w:after="0" w:line="16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3,090,724</w:t>
            </w:r>
          </w:p>
        </w:tc>
        <w:tc>
          <w:tcPr>
            <w:tcW w:w="5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537,892</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1,645,561</w:t>
            </w: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580,803</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(7)</w:t>
            </w:r>
          </w:p>
        </w:tc>
        <w:tc>
          <w:tcPr>
            <w:tcW w:w="3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1,758,303</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159,712</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151,097</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474,278</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454,476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159,101</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154,256</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475,885</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478,408</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52,329</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49,757</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154,690</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154,718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21,082</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7,509</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44,445</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22,288</w:t>
            </w: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5,694</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(1,069)</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14,494</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6,292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(397)</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(752)</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360" w:type="dxa"/>
            <w:vAlign w:val="bottom"/>
            <w:tcBorders>
              <w:bottom w:val="single" w:sz="8" w:color="auto"/>
            </w:tcBorders>
          </w:tcPr>
          <w:p>
            <w:pPr>
              <w:jc w:val="right"/>
              <w:ind w:right="43"/>
              <w:spacing w:after="0" w:line="166"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2"/>
              <w:spacing w:after="0" w:line="166" w:lineRule="exact"/>
              <w:rPr>
                <w:sz w:val="20"/>
                <w:szCs w:val="20"/>
                <w:color w:val="auto"/>
              </w:rPr>
            </w:pPr>
            <w:r>
              <w:rPr>
                <w:rFonts w:ascii="Arial" w:cs="Arial" w:eastAsia="Arial" w:hAnsi="Arial"/>
                <w:sz w:val="16"/>
                <w:szCs w:val="16"/>
                <w:b w:val="1"/>
                <w:bCs w:val="1"/>
                <w:color w:val="auto"/>
              </w:rPr>
              <w:t>935,413</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942,259</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jc w:val="right"/>
              <w:ind w:right="43"/>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b w:val="1"/>
                <w:bCs w:val="1"/>
                <w:color w:val="auto"/>
              </w:rPr>
              <w:t>2,808,601</w:t>
            </w:r>
          </w:p>
        </w:tc>
        <w:tc>
          <w:tcPr>
            <w:tcW w:w="360" w:type="dxa"/>
            <w:vAlign w:val="bottom"/>
            <w:tcBorders>
              <w:bottom w:val="single" w:sz="8" w:color="auto"/>
            </w:tcBorders>
          </w:tcPr>
          <w:p>
            <w:pPr>
              <w:jc w:val="right"/>
              <w:ind w:right="1"/>
              <w:spacing w:after="0" w:line="16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2,874,129</w:t>
            </w:r>
          </w:p>
        </w:tc>
        <w:tc>
          <w:tcPr>
            <w:tcW w:w="5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78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14,693</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20,808</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(29)</w:t>
            </w:r>
          </w:p>
        </w:tc>
        <w:tc>
          <w:tcPr>
            <w:tcW w:w="3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6,506</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65,393</w:t>
            </w: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39,913</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36,795</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111,136</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114,927</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(21,825)</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(10,761)</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(56,335)</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(27,997)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54,082</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24,073</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128,809</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76,235</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(5,248)</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(1,745)</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(16,666)</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(5,671)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(5,694)</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(14,494)</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(6,292)</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360" w:type="dxa"/>
            <w:vAlign w:val="bottom"/>
            <w:tcBorders>
              <w:bottom w:val="single" w:sz="8" w:color="auto"/>
            </w:tcBorders>
          </w:tcPr>
          <w:p>
            <w:pPr>
              <w:jc w:val="right"/>
              <w:ind w:right="43"/>
              <w:spacing w:after="0" w:line="166"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2"/>
              <w:spacing w:after="0" w:line="166" w:lineRule="exact"/>
              <w:rPr>
                <w:sz w:val="20"/>
                <w:szCs w:val="20"/>
                <w:color w:val="auto"/>
              </w:rPr>
            </w:pPr>
            <w:r>
              <w:rPr>
                <w:rFonts w:ascii="Arial" w:cs="Arial" w:eastAsia="Arial" w:hAnsi="Arial"/>
                <w:sz w:val="16"/>
                <w:szCs w:val="16"/>
                <w:b w:val="1"/>
                <w:bCs w:val="1"/>
                <w:color w:val="auto"/>
              </w:rPr>
              <w:t>75,921</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70,239</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jc w:val="right"/>
              <w:ind w:right="43"/>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b w:val="1"/>
                <w:bCs w:val="1"/>
                <w:color w:val="auto"/>
              </w:rPr>
              <w:t>158,956</w:t>
            </w:r>
          </w:p>
        </w:tc>
        <w:tc>
          <w:tcPr>
            <w:tcW w:w="360" w:type="dxa"/>
            <w:vAlign w:val="bottom"/>
            <w:tcBorders>
              <w:bottom w:val="single" w:sz="8" w:color="auto"/>
            </w:tcBorders>
          </w:tcPr>
          <w:p>
            <w:pPr>
              <w:jc w:val="right"/>
              <w:ind w:right="1"/>
              <w:spacing w:after="0" w:line="16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216,595</w:t>
            </w:r>
          </w:p>
        </w:tc>
        <w:tc>
          <w:tcPr>
            <w:tcW w:w="540" w:type="dxa"/>
            <w:vAlign w:val="bottom"/>
          </w:tcPr>
          <w:p>
            <w:pPr>
              <w:jc w:val="right"/>
              <w:spacing w:after="0" w:line="16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3780" w:type="dxa"/>
            <w:vAlign w:val="bottom"/>
          </w:tcPr>
          <w:p>
            <w:pPr>
              <w:spacing w:after="0"/>
              <w:rPr>
                <w:sz w:val="20"/>
                <w:szCs w:val="20"/>
                <w:color w:val="auto"/>
              </w:rPr>
            </w:pPr>
            <w:r>
              <w:rPr>
                <w:rFonts w:ascii="Arial" w:cs="Arial" w:eastAsia="Arial" w:hAnsi="Arial"/>
                <w:sz w:val="16"/>
                <w:szCs w:val="16"/>
                <w:b w:val="1"/>
                <w:bCs w:val="1"/>
                <w:color w:val="auto"/>
              </w:rPr>
              <w:t>Depreciation:</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22,024</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20,338</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63,752</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61,635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32,310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31,661</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96,741</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94,980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6,274</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6,453</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18,792</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19,893</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3,126</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3,137</w:t>
            </w:r>
          </w:p>
        </w:tc>
        <w:tc>
          <w:tcPr>
            <w:tcW w:w="1040" w:type="dxa"/>
            <w:vAlign w:val="bottom"/>
          </w:tcPr>
          <w:p>
            <w:pPr>
              <w:jc w:val="right"/>
              <w:ind w:right="262"/>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9,473</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9,381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5</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5</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360" w:type="dxa"/>
            <w:vAlign w:val="bottom"/>
            <w:tcBorders>
              <w:bottom w:val="single" w:sz="8" w:color="auto"/>
            </w:tcBorders>
          </w:tcPr>
          <w:p>
            <w:pPr>
              <w:jc w:val="right"/>
              <w:ind w:right="43"/>
              <w:spacing w:after="0" w:line="166"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2"/>
              <w:spacing w:after="0" w:line="166" w:lineRule="exact"/>
              <w:rPr>
                <w:sz w:val="20"/>
                <w:szCs w:val="20"/>
                <w:color w:val="auto"/>
              </w:rPr>
            </w:pPr>
            <w:r>
              <w:rPr>
                <w:rFonts w:ascii="Arial" w:cs="Arial" w:eastAsia="Arial" w:hAnsi="Arial"/>
                <w:sz w:val="16"/>
                <w:szCs w:val="16"/>
                <w:b w:val="1"/>
                <w:bCs w:val="1"/>
                <w:color w:val="auto"/>
              </w:rPr>
              <w:t>63,739</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61,589</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jc w:val="right"/>
              <w:ind w:right="43"/>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b w:val="1"/>
                <w:bCs w:val="1"/>
                <w:color w:val="auto"/>
              </w:rPr>
              <w:t>188,763</w:t>
            </w:r>
          </w:p>
        </w:tc>
        <w:tc>
          <w:tcPr>
            <w:tcW w:w="360" w:type="dxa"/>
            <w:vAlign w:val="bottom"/>
            <w:tcBorders>
              <w:bottom w:val="single" w:sz="8" w:color="auto"/>
            </w:tcBorders>
          </w:tcPr>
          <w:p>
            <w:pPr>
              <w:jc w:val="right"/>
              <w:ind w:right="1"/>
              <w:spacing w:after="0" w:line="16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186,133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20"/>
                <w:szCs w:val="20"/>
                <w:color w:val="auto"/>
              </w:rPr>
            </w:pPr>
            <w:r>
              <w:rPr>
                <w:rFonts w:ascii="Arial" w:cs="Arial" w:eastAsia="Arial" w:hAnsi="Arial"/>
                <w:sz w:val="16"/>
                <w:szCs w:val="16"/>
                <w:b w:val="1"/>
                <w:bCs w:val="1"/>
                <w:color w:val="auto"/>
              </w:rPr>
              <w:t>Amortization of Intangible Assets: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4,489</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5,568</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(19)</w:t>
            </w:r>
          </w:p>
        </w:tc>
        <w:tc>
          <w:tcPr>
            <w:tcW w:w="3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11,528</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15,023</w:t>
            </w: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52</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159</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w:t>
            </w: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150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(48)</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505</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869</w:t>
            </w: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400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1,200</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Pension Expense (Credit):</w:t>
            </w:r>
          </w:p>
        </w:tc>
        <w:tc>
          <w:tcPr>
            <w:tcW w:w="360" w:type="dxa"/>
            <w:vAlign w:val="bottom"/>
            <w:tcBorders>
              <w:bottom w:val="single" w:sz="8" w:color="auto"/>
            </w:tcBorders>
          </w:tcPr>
          <w:p>
            <w:pPr>
              <w:jc w:val="right"/>
              <w:ind w:right="43"/>
              <w:spacing w:after="0" w:line="166"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2"/>
              <w:spacing w:after="0" w:line="166" w:lineRule="exact"/>
              <w:rPr>
                <w:sz w:val="20"/>
                <w:szCs w:val="20"/>
                <w:color w:val="auto"/>
              </w:rPr>
            </w:pPr>
            <w:r>
              <w:rPr>
                <w:rFonts w:ascii="Arial" w:cs="Arial" w:eastAsia="Arial" w:hAnsi="Arial"/>
                <w:sz w:val="16"/>
                <w:szCs w:val="16"/>
                <w:b w:val="1"/>
                <w:bCs w:val="1"/>
                <w:color w:val="auto"/>
              </w:rPr>
              <w:t>5,091</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6,320</w:t>
            </w:r>
          </w:p>
        </w:tc>
        <w:tc>
          <w:tcPr>
            <w:tcW w:w="1040" w:type="dxa"/>
            <w:vAlign w:val="bottom"/>
          </w:tcPr>
          <w:p>
            <w:pPr>
              <w:jc w:val="right"/>
              <w:ind w:right="302"/>
              <w:spacing w:after="0" w:line="166" w:lineRule="exact"/>
              <w:rPr>
                <w:sz w:val="20"/>
                <w:szCs w:val="20"/>
                <w:color w:val="auto"/>
              </w:rPr>
            </w:pPr>
            <w:r>
              <w:rPr>
                <w:rFonts w:ascii="Arial" w:cs="Arial" w:eastAsia="Arial" w:hAnsi="Arial"/>
                <w:sz w:val="16"/>
                <w:szCs w:val="16"/>
                <w:color w:val="auto"/>
              </w:rPr>
              <w:t>(19)</w:t>
            </w:r>
          </w:p>
        </w:tc>
        <w:tc>
          <w:tcPr>
            <w:tcW w:w="340" w:type="dxa"/>
            <w:vAlign w:val="bottom"/>
            <w:tcBorders>
              <w:bottom w:val="single" w:sz="8" w:color="auto"/>
            </w:tcBorders>
          </w:tcPr>
          <w:p>
            <w:pPr>
              <w:jc w:val="right"/>
              <w:ind w:right="43"/>
              <w:spacing w:after="0" w:line="166"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b w:val="1"/>
                <w:bCs w:val="1"/>
                <w:color w:val="auto"/>
              </w:rPr>
              <w:t>13,392</w:t>
            </w:r>
          </w:p>
        </w:tc>
        <w:tc>
          <w:tcPr>
            <w:tcW w:w="360" w:type="dxa"/>
            <w:vAlign w:val="bottom"/>
            <w:tcBorders>
              <w:bottom w:val="single" w:sz="8" w:color="auto"/>
            </w:tcBorders>
          </w:tcPr>
          <w:p>
            <w:pPr>
              <w:jc w:val="right"/>
              <w:ind w:right="1"/>
              <w:spacing w:after="0" w:line="16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17,293</w:t>
            </w:r>
          </w:p>
        </w:tc>
        <w:tc>
          <w:tcPr>
            <w:tcW w:w="540" w:type="dxa"/>
            <w:vAlign w:val="bottom"/>
          </w:tcPr>
          <w:p>
            <w:pPr>
              <w:jc w:val="right"/>
              <w:spacing w:after="0" w:line="16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0"/>
        </w:trPr>
        <w:tc>
          <w:tcPr>
            <w:tcW w:w="3780" w:type="dxa"/>
            <w:vAlign w:val="bottom"/>
            <w:vMerge w:val="continue"/>
          </w:tcPr>
          <w:p>
            <w:pPr>
              <w:spacing w:after="0"/>
              <w:rPr>
                <w:sz w:val="13"/>
                <w:szCs w:val="13"/>
                <w:color w:val="auto"/>
              </w:rPr>
            </w:pPr>
          </w:p>
        </w:tc>
        <w:tc>
          <w:tcPr>
            <w:tcW w:w="36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3,522</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7,883</w:t>
            </w: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1,655</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4,859</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694</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455</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53</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1,738</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1,470</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16,181</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5,241</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32,554</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17,226</w:t>
            </w: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1,432</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3,447</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18</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38</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(9,021)</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(9,185)</w:t>
            </w:r>
          </w:p>
        </w:tc>
        <w:tc>
          <w:tcPr>
            <w:tcW w:w="1040" w:type="dxa"/>
            <w:vAlign w:val="bottom"/>
          </w:tcPr>
          <w:p>
            <w:pPr>
              <w:jc w:val="right"/>
              <w:ind w:right="302"/>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(27,215)</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(27,729)</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360" w:type="dxa"/>
            <w:vAlign w:val="bottom"/>
          </w:tcPr>
          <w:p>
            <w:pPr>
              <w:jc w:val="right"/>
              <w:ind w:right="43"/>
              <w:spacing w:after="0" w:line="178" w:lineRule="exact"/>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42"/>
              <w:spacing w:after="0" w:line="178" w:lineRule="exact"/>
              <w:rPr>
                <w:sz w:val="20"/>
                <w:szCs w:val="20"/>
                <w:color w:val="auto"/>
              </w:rPr>
            </w:pPr>
            <w:r>
              <w:rPr>
                <w:rFonts w:ascii="Arial" w:cs="Arial" w:eastAsia="Arial" w:hAnsi="Arial"/>
                <w:sz w:val="16"/>
                <w:szCs w:val="16"/>
                <w:b w:val="1"/>
                <w:bCs w:val="1"/>
                <w:color w:val="auto"/>
              </w:rPr>
              <w:t>12,826</w:t>
            </w:r>
          </w:p>
        </w:tc>
        <w:tc>
          <w:tcPr>
            <w:tcW w:w="3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(1,505)</w:t>
            </w:r>
          </w:p>
        </w:tc>
        <w:tc>
          <w:tcPr>
            <w:tcW w:w="1040" w:type="dxa"/>
            <w:vAlign w:val="bottom"/>
          </w:tcPr>
          <w:p>
            <w:pPr>
              <w:jc w:val="right"/>
              <w:ind w:right="302"/>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3"/>
              <w:spacing w:after="0" w:line="178" w:lineRule="exact"/>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22"/>
              <w:spacing w:after="0" w:line="178" w:lineRule="exact"/>
              <w:rPr>
                <w:sz w:val="20"/>
                <w:szCs w:val="20"/>
                <w:color w:val="auto"/>
              </w:rPr>
            </w:pPr>
            <w:r>
              <w:rPr>
                <w:rFonts w:ascii="Arial" w:cs="Arial" w:eastAsia="Arial" w:hAnsi="Arial"/>
                <w:sz w:val="16"/>
                <w:szCs w:val="16"/>
                <w:b w:val="1"/>
                <w:bCs w:val="1"/>
                <w:color w:val="auto"/>
              </w:rPr>
              <w:t>18,445</w:t>
            </w:r>
          </w:p>
        </w:tc>
        <w:tc>
          <w:tcPr>
            <w:tcW w:w="360" w:type="dxa"/>
            <w:vAlign w:val="bottom"/>
          </w:tcPr>
          <w:p>
            <w:pPr>
              <w:jc w:val="right"/>
              <w:ind w:right="1"/>
              <w:spacing w:after="0" w:line="178"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78" w:lineRule="exact"/>
              <w:rPr>
                <w:sz w:val="20"/>
                <w:szCs w:val="20"/>
                <w:color w:val="auto"/>
              </w:rPr>
            </w:pPr>
            <w:r>
              <w:rPr>
                <w:rFonts w:ascii="Arial" w:cs="Arial" w:eastAsia="Arial" w:hAnsi="Arial"/>
                <w:sz w:val="16"/>
                <w:szCs w:val="16"/>
                <w:color w:val="auto"/>
              </w:rPr>
              <w:t>(2,855)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-6985</wp:posOffset>
            </wp:positionV>
            <wp:extent cx="420814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08145" cy="7620"/>
                    </a:xfrm>
                    <a:prstGeom prst="rect">
                      <a:avLst/>
                    </a:prstGeom>
                    <a:noFill/>
                  </pic:spPr>
                </pic:pic>
              </a:graphicData>
            </a:graphic>
          </wp:anchor>
        </w:drawing>
      </w:r>
    </w:p>
    <w:p>
      <w:pPr>
        <w:jc w:val="center"/>
        <w:ind w:left="1160"/>
        <w:spacing w:after="0"/>
        <w:rPr>
          <w:sz w:val="20"/>
          <w:szCs w:val="20"/>
          <w:color w:val="auto"/>
        </w:rPr>
      </w:pPr>
      <w:r>
        <w:rPr>
          <w:rFonts w:ascii="Arial" w:cs="Arial" w:eastAsia="Arial" w:hAnsi="Arial"/>
          <w:sz w:val="17"/>
          <w:szCs w:val="17"/>
          <w:color w:val="auto"/>
        </w:rPr>
        <w:t>-more-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25" w:right="1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NON-GAAP FINANCIAL INFORMATION</w:t>
      </w:r>
    </w:p>
    <w:p>
      <w:pPr>
        <w:spacing w:after="0" w:line="228" w:lineRule="auto"/>
        <w:rPr>
          <w:sz w:val="20"/>
          <w:szCs w:val="20"/>
          <w:color w:val="auto"/>
        </w:rPr>
      </w:pPr>
      <w:r>
        <w:rPr>
          <w:rFonts w:ascii="Arial" w:cs="Arial" w:eastAsia="Arial" w:hAnsi="Arial"/>
          <w:sz w:val="17"/>
          <w:szCs w:val="17"/>
          <w:color w:val="auto"/>
        </w:rPr>
        <w:t>THE WASHINGTON POST COMPANY</w:t>
      </w:r>
    </w:p>
    <w:p>
      <w:pPr>
        <w:spacing w:after="0"/>
        <w:rPr>
          <w:sz w:val="20"/>
          <w:szCs w:val="20"/>
          <w:color w:val="auto"/>
        </w:rPr>
      </w:pPr>
      <w:r>
        <w:rPr>
          <w:rFonts w:ascii="Arial" w:cs="Arial" w:eastAsia="Arial" w:hAnsi="Arial"/>
          <w:sz w:val="17"/>
          <w:szCs w:val="17"/>
          <w:color w:val="auto"/>
        </w:rPr>
        <w:t>(Unaudited)</w:t>
      </w:r>
    </w:p>
    <w:p>
      <w:pPr>
        <w:spacing w:after="0" w:line="15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addition to the results reported in accordance with accounting principles generally accepted in the United States (“GAAP”) included in this press rele the Company has provided information regarding income from continuing operations excluding certain items described below reconciled to the most d comparable GAAP measures. Management believes these non-GAAP measures, when read in conjunction with the company‘s GAAP financials, prov useful information to investors by offering:</w:t>
      </w:r>
    </w:p>
    <w:p>
      <w:pPr>
        <w:spacing w:after="0" w:line="88" w:lineRule="exact"/>
        <w:rPr>
          <w:sz w:val="20"/>
          <w:szCs w:val="20"/>
          <w:color w:val="auto"/>
        </w:rPr>
      </w:pPr>
    </w:p>
    <w:p>
      <w:pPr>
        <w:ind w:left="420" w:hanging="131"/>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to make meaningful period-to-period comparisons of the Company’s ongoing results;</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to identify trends in the Company’s underlying business; and</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better understanding of how management plans and measures the Company’s underlying business.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Income from continuing operations excluding certain items should not be considered a substitute or alternative to computations calculated in accordan with and required by GAAP. These non-GAAP financial measures should be read only in conjunction with financial information presented on a GAAP b</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non-GAAP financial measures to the most directly comparable GAAP measures: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240" w:type="dxa"/>
            <w:vAlign w:val="bottom"/>
          </w:tcPr>
          <w:p>
            <w:pPr>
              <w:spacing w:after="0"/>
              <w:rPr>
                <w:sz w:val="13"/>
                <w:szCs w:val="13"/>
                <w:color w:val="auto"/>
              </w:rPr>
            </w:pPr>
          </w:p>
        </w:tc>
        <w:tc>
          <w:tcPr>
            <w:tcW w:w="2820" w:type="dxa"/>
            <w:vAlign w:val="bottom"/>
            <w:tcBorders>
              <w:bottom w:val="single" w:sz="8" w:color="auto"/>
            </w:tcBorders>
            <w:gridSpan w:val="2"/>
          </w:tcPr>
          <w:p>
            <w:pPr>
              <w:jc w:val="right"/>
              <w:ind w:right="787"/>
              <w:spacing w:after="0"/>
              <w:rPr>
                <w:sz w:val="20"/>
                <w:szCs w:val="20"/>
                <w:color w:val="auto"/>
              </w:rPr>
            </w:pPr>
            <w:r>
              <w:rPr>
                <w:rFonts w:ascii="Arial" w:cs="Arial" w:eastAsia="Arial" w:hAnsi="Arial"/>
                <w:sz w:val="12"/>
                <w:szCs w:val="12"/>
                <w:b w:val="1"/>
                <w:bCs w:val="1"/>
                <w:color w:val="auto"/>
              </w:rPr>
              <w:t>Three Months Ended</w:t>
            </w: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14"/>
        </w:trPr>
        <w:tc>
          <w:tcPr>
            <w:tcW w:w="6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80" w:type="dxa"/>
            <w:vAlign w:val="bottom"/>
          </w:tcPr>
          <w:p>
            <w:pPr>
              <w:jc w:val="center"/>
              <w:ind w:right="128"/>
              <w:spacing w:after="0" w:line="114" w:lineRule="exact"/>
              <w:rPr>
                <w:sz w:val="20"/>
                <w:szCs w:val="20"/>
                <w:color w:val="auto"/>
              </w:rPr>
            </w:pPr>
            <w:r>
              <w:rPr>
                <w:rFonts w:ascii="Arial" w:cs="Arial" w:eastAsia="Arial" w:hAnsi="Arial"/>
                <w:sz w:val="12"/>
                <w:szCs w:val="12"/>
                <w:b w:val="1"/>
                <w:bCs w:val="1"/>
                <w:color w:val="auto"/>
              </w:rPr>
              <w:t>September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340" w:type="dxa"/>
            <w:vAlign w:val="bottom"/>
          </w:tcPr>
          <w:p>
            <w:pPr>
              <w:jc w:val="right"/>
              <w:ind w:right="348"/>
              <w:spacing w:after="0"/>
              <w:rPr>
                <w:sz w:val="20"/>
                <w:szCs w:val="20"/>
                <w:color w:val="auto"/>
              </w:rPr>
            </w:pPr>
            <w:r>
              <w:rPr>
                <w:rFonts w:ascii="Arial" w:cs="Arial" w:eastAsia="Arial" w:hAnsi="Arial"/>
                <w:sz w:val="12"/>
                <w:szCs w:val="12"/>
                <w:b w:val="1"/>
                <w:bCs w:val="1"/>
                <w:color w:val="auto"/>
              </w:rPr>
              <w:t>September 30,</w:t>
            </w:r>
          </w:p>
        </w:tc>
        <w:tc>
          <w:tcPr>
            <w:tcW w:w="1480" w:type="dxa"/>
            <w:vAlign w:val="bottom"/>
          </w:tcPr>
          <w:p>
            <w:pPr>
              <w:jc w:val="right"/>
              <w:ind w:right="507"/>
              <w:spacing w:after="0"/>
              <w:rPr>
                <w:sz w:val="20"/>
                <w:szCs w:val="20"/>
                <w:color w:val="auto"/>
              </w:rPr>
            </w:pPr>
            <w:r>
              <w:rPr>
                <w:rFonts w:ascii="Arial" w:cs="Arial" w:eastAsia="Arial" w:hAnsi="Arial"/>
                <w:sz w:val="12"/>
                <w:szCs w:val="12"/>
                <w:color w:val="auto"/>
              </w:rPr>
              <w:t>October 2,</w:t>
            </w:r>
          </w:p>
        </w:tc>
        <w:tc>
          <w:tcPr>
            <w:tcW w:w="1080" w:type="dxa"/>
            <w:vAlign w:val="bottom"/>
          </w:tcPr>
          <w:p>
            <w:pPr>
              <w:jc w:val="center"/>
              <w:ind w:right="128"/>
              <w:spacing w:after="0"/>
              <w:rPr>
                <w:sz w:val="20"/>
                <w:szCs w:val="20"/>
                <w:color w:val="auto"/>
              </w:rPr>
            </w:pPr>
            <w:r>
              <w:rPr>
                <w:rFonts w:ascii="Arial" w:cs="Arial" w:eastAsia="Arial" w:hAnsi="Arial"/>
                <w:sz w:val="12"/>
                <w:szCs w:val="12"/>
                <w:b w:val="1"/>
                <w:bCs w:val="1"/>
                <w:color w:val="auto"/>
                <w:w w:val="95"/>
              </w:rPr>
              <w:t>30,</w:t>
            </w:r>
          </w:p>
        </w:tc>
        <w:tc>
          <w:tcPr>
            <w:tcW w:w="800" w:type="dxa"/>
            <w:vAlign w:val="bottom"/>
          </w:tcPr>
          <w:p>
            <w:pPr>
              <w:jc w:val="right"/>
              <w:spacing w:after="0"/>
              <w:rPr>
                <w:sz w:val="20"/>
                <w:szCs w:val="20"/>
                <w:color w:val="auto"/>
              </w:rPr>
            </w:pPr>
            <w:r>
              <w:rPr>
                <w:rFonts w:ascii="Arial" w:cs="Arial" w:eastAsia="Arial" w:hAnsi="Arial"/>
                <w:sz w:val="12"/>
                <w:szCs w:val="12"/>
                <w:color w:val="auto"/>
              </w:rPr>
              <w:t>October</w:t>
            </w:r>
          </w:p>
        </w:tc>
        <w:tc>
          <w:tcPr>
            <w:tcW w:w="0" w:type="dxa"/>
            <w:vAlign w:val="bottom"/>
          </w:tcPr>
          <w:p>
            <w:pPr>
              <w:spacing w:after="0"/>
              <w:rPr>
                <w:sz w:val="1"/>
                <w:szCs w:val="1"/>
                <w:color w:val="auto"/>
              </w:rPr>
            </w:pPr>
          </w:p>
        </w:tc>
      </w:tr>
      <w:tr>
        <w:trPr>
          <w:trHeight w:val="151"/>
        </w:trPr>
        <w:tc>
          <w:tcPr>
            <w:tcW w:w="6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2"/>
                <w:szCs w:val="12"/>
                <w:b w:val="1"/>
                <w:bCs w:val="1"/>
                <w:color w:val="auto"/>
              </w:rPr>
              <w:t>2012</w:t>
            </w:r>
          </w:p>
        </w:tc>
        <w:tc>
          <w:tcPr>
            <w:tcW w:w="1480" w:type="dxa"/>
            <w:vAlign w:val="bottom"/>
            <w:tcBorders>
              <w:bottom w:val="single" w:sz="8" w:color="auto"/>
            </w:tcBorders>
          </w:tcPr>
          <w:p>
            <w:pPr>
              <w:jc w:val="right"/>
              <w:ind w:right="667"/>
              <w:spacing w:after="0"/>
              <w:rPr>
                <w:sz w:val="20"/>
                <w:szCs w:val="20"/>
                <w:color w:val="auto"/>
              </w:rPr>
            </w:pPr>
            <w:r>
              <w:rPr>
                <w:rFonts w:ascii="Arial" w:cs="Arial" w:eastAsia="Arial" w:hAnsi="Arial"/>
                <w:sz w:val="12"/>
                <w:szCs w:val="12"/>
                <w:color w:val="auto"/>
              </w:rPr>
              <w:t>2011</w:t>
            </w:r>
          </w:p>
        </w:tc>
        <w:tc>
          <w:tcPr>
            <w:tcW w:w="1080" w:type="dxa"/>
            <w:vAlign w:val="bottom"/>
            <w:tcBorders>
              <w:bottom w:val="single" w:sz="8" w:color="auto"/>
            </w:tcBorders>
          </w:tcPr>
          <w:p>
            <w:pPr>
              <w:jc w:val="center"/>
              <w:ind w:right="168"/>
              <w:spacing w:after="0"/>
              <w:rPr>
                <w:sz w:val="20"/>
                <w:szCs w:val="20"/>
                <w:color w:val="auto"/>
              </w:rPr>
            </w:pPr>
            <w:r>
              <w:rPr>
                <w:rFonts w:ascii="Arial" w:cs="Arial" w:eastAsia="Arial" w:hAnsi="Arial"/>
                <w:sz w:val="12"/>
                <w:szCs w:val="12"/>
                <w:b w:val="1"/>
                <w:bCs w:val="1"/>
                <w:color w:val="auto"/>
              </w:rPr>
              <w:t>2012</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50"/>
        </w:trPr>
        <w:tc>
          <w:tcPr>
            <w:tcW w:w="6240" w:type="dxa"/>
            <w:vAlign w:val="bottom"/>
          </w:tcPr>
          <w:p>
            <w:pPr>
              <w:spacing w:after="0" w:line="150" w:lineRule="exact"/>
              <w:rPr>
                <w:sz w:val="20"/>
                <w:szCs w:val="20"/>
                <w:color w:val="auto"/>
              </w:rPr>
            </w:pPr>
            <w:r>
              <w:rPr>
                <w:rFonts w:ascii="Arial" w:cs="Arial" w:eastAsia="Arial" w:hAnsi="Arial"/>
                <w:sz w:val="15"/>
                <w:szCs w:val="15"/>
                <w:b w:val="1"/>
                <w:bCs w:val="1"/>
                <w:color w:val="auto"/>
              </w:rPr>
              <w:t>Amounts attributable to The Washington Post Company</w:t>
            </w:r>
          </w:p>
        </w:tc>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240" w:type="dxa"/>
            <w:vAlign w:val="bottom"/>
          </w:tcPr>
          <w:p>
            <w:pPr>
              <w:ind w:left="260"/>
              <w:spacing w:after="0"/>
              <w:rPr>
                <w:sz w:val="20"/>
                <w:szCs w:val="20"/>
                <w:color w:val="auto"/>
              </w:rPr>
            </w:pPr>
            <w:r>
              <w:rPr>
                <w:rFonts w:ascii="Arial" w:cs="Arial" w:eastAsia="Arial" w:hAnsi="Arial"/>
                <w:sz w:val="15"/>
                <w:szCs w:val="15"/>
                <w:b w:val="1"/>
                <w:bCs w:val="1"/>
                <w:color w:val="auto"/>
              </w:rPr>
              <w:t>common stockholders</w:t>
            </w:r>
          </w:p>
        </w:tc>
        <w:tc>
          <w:tcPr>
            <w:tcW w:w="1340" w:type="dxa"/>
            <w:vAlign w:val="bottom"/>
            <w:vMerge w:val="restart"/>
          </w:tcPr>
          <w:p>
            <w:pPr>
              <w:jc w:val="right"/>
              <w:ind w:right="268"/>
              <w:spacing w:after="0"/>
              <w:rPr>
                <w:sz w:val="20"/>
                <w:szCs w:val="20"/>
                <w:color w:val="auto"/>
              </w:rPr>
            </w:pPr>
            <w:r>
              <w:rPr>
                <w:rFonts w:ascii="Arial" w:cs="Arial" w:eastAsia="Arial" w:hAnsi="Arial"/>
                <w:sz w:val="15"/>
                <w:szCs w:val="15"/>
                <w:b w:val="1"/>
                <w:bCs w:val="1"/>
                <w:color w:val="auto"/>
              </w:rPr>
              <w:t>$ 44,742</w:t>
            </w:r>
          </w:p>
        </w:tc>
        <w:tc>
          <w:tcPr>
            <w:tcW w:w="1480" w:type="dxa"/>
            <w:vAlign w:val="bottom"/>
          </w:tcPr>
          <w:p>
            <w:pPr>
              <w:spacing w:after="0"/>
              <w:rPr>
                <w:sz w:val="16"/>
                <w:szCs w:val="16"/>
                <w:color w:val="auto"/>
              </w:rPr>
            </w:pPr>
          </w:p>
        </w:tc>
        <w:tc>
          <w:tcPr>
            <w:tcW w:w="1080" w:type="dxa"/>
            <w:vAlign w:val="bottom"/>
            <w:vMerge w:val="restart"/>
          </w:tcPr>
          <w:p>
            <w:pPr>
              <w:jc w:val="right"/>
              <w:ind w:right="228"/>
              <w:spacing w:after="0"/>
              <w:rPr>
                <w:sz w:val="20"/>
                <w:szCs w:val="20"/>
                <w:color w:val="auto"/>
              </w:rPr>
            </w:pPr>
            <w:r>
              <w:rPr>
                <w:rFonts w:ascii="Arial" w:cs="Arial" w:eastAsia="Arial" w:hAnsi="Arial"/>
                <w:sz w:val="15"/>
                <w:szCs w:val="15"/>
                <w:b w:val="1"/>
                <w:bCs w:val="1"/>
                <w:color w:val="auto"/>
              </w:rPr>
              <w:t>$ 93,480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240" w:type="dxa"/>
            <w:vAlign w:val="bottom"/>
          </w:tcPr>
          <w:p>
            <w:pPr>
              <w:spacing w:after="0"/>
              <w:rPr>
                <w:sz w:val="20"/>
                <w:szCs w:val="20"/>
                <w:color w:val="auto"/>
              </w:rPr>
            </w:pPr>
            <w:r>
              <w:rPr>
                <w:rFonts w:ascii="Arial" w:cs="Arial" w:eastAsia="Arial" w:hAnsi="Arial"/>
                <w:sz w:val="15"/>
                <w:szCs w:val="15"/>
                <w:color w:val="auto"/>
              </w:rPr>
              <w:t>Income from continuing operations, as reported</w:t>
            </w:r>
          </w:p>
        </w:tc>
        <w:tc>
          <w:tcPr>
            <w:tcW w:w="134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$ 12,580</w:t>
            </w:r>
          </w:p>
        </w:tc>
        <w:tc>
          <w:tcPr>
            <w:tcW w:w="10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6240" w:type="dxa"/>
            <w:vAlign w:val="bottom"/>
          </w:tcPr>
          <w:p>
            <w:pPr>
              <w:ind w:left="260"/>
              <w:spacing w:after="0"/>
              <w:rPr>
                <w:sz w:val="20"/>
                <w:szCs w:val="20"/>
                <w:color w:val="auto"/>
              </w:rPr>
            </w:pPr>
            <w:r>
              <w:rPr>
                <w:rFonts w:ascii="Arial" w:cs="Arial" w:eastAsia="Arial" w:hAnsi="Arial"/>
                <w:sz w:val="15"/>
                <w:szCs w:val="15"/>
                <w:color w:val="auto"/>
              </w:rPr>
              <w:t>Adjustments:</w:t>
            </w: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40" w:type="dxa"/>
            <w:vAlign w:val="bottom"/>
          </w:tcPr>
          <w:p>
            <w:pPr>
              <w:ind w:left="500"/>
              <w:spacing w:after="0"/>
              <w:rPr>
                <w:sz w:val="20"/>
                <w:szCs w:val="20"/>
                <w:color w:val="auto"/>
              </w:rPr>
            </w:pPr>
            <w:r>
              <w:rPr>
                <w:rFonts w:ascii="Arial" w:cs="Arial" w:eastAsia="Arial" w:hAnsi="Arial"/>
                <w:sz w:val="15"/>
                <w:szCs w:val="15"/>
                <w:color w:val="auto"/>
              </w:rPr>
              <w:t>Severance and restructuring charges</w:t>
            </w:r>
          </w:p>
        </w:tc>
        <w:tc>
          <w:tcPr>
            <w:tcW w:w="1340" w:type="dxa"/>
            <w:vAlign w:val="bottom"/>
          </w:tcPr>
          <w:p>
            <w:pPr>
              <w:jc w:val="right"/>
              <w:ind w:right="308"/>
              <w:spacing w:after="0"/>
              <w:rPr>
                <w:sz w:val="20"/>
                <w:szCs w:val="20"/>
                <w:color w:val="auto"/>
              </w:rPr>
            </w:pPr>
            <w:r>
              <w:rPr>
                <w:rFonts w:ascii="Arial" w:cs="Arial" w:eastAsia="Arial" w:hAnsi="Arial"/>
                <w:sz w:val="15"/>
                <w:szCs w:val="15"/>
                <w:b w:val="1"/>
                <w:bCs w:val="1"/>
                <w:color w:val="auto"/>
              </w:rPr>
              <w:t>7,553</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3,472</w:t>
            </w:r>
          </w:p>
        </w:tc>
        <w:tc>
          <w:tcPr>
            <w:tcW w:w="1080" w:type="dxa"/>
            <w:vAlign w:val="bottom"/>
          </w:tcPr>
          <w:p>
            <w:pPr>
              <w:jc w:val="right"/>
              <w:ind w:right="268"/>
              <w:spacing w:after="0"/>
              <w:rPr>
                <w:sz w:val="20"/>
                <w:szCs w:val="20"/>
                <w:color w:val="auto"/>
              </w:rPr>
            </w:pPr>
            <w:r>
              <w:rPr>
                <w:rFonts w:ascii="Arial" w:cs="Arial" w:eastAsia="Arial" w:hAnsi="Arial"/>
                <w:sz w:val="15"/>
                <w:szCs w:val="15"/>
                <w:b w:val="1"/>
                <w:bCs w:val="1"/>
                <w:color w:val="auto"/>
              </w:rPr>
              <w:t>13,905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ind w:left="500"/>
              <w:spacing w:after="0"/>
              <w:rPr>
                <w:sz w:val="20"/>
                <w:szCs w:val="20"/>
                <w:color w:val="auto"/>
              </w:rPr>
            </w:pPr>
            <w:r>
              <w:rPr>
                <w:rFonts w:ascii="Arial" w:cs="Arial" w:eastAsia="Arial" w:hAnsi="Arial"/>
                <w:sz w:val="15"/>
                <w:szCs w:val="15"/>
                <w:color w:val="auto"/>
              </w:rPr>
              <w:t>Marketable equity securities write-down</w:t>
            </w:r>
          </w:p>
        </w:tc>
        <w:tc>
          <w:tcPr>
            <w:tcW w:w="1340" w:type="dxa"/>
            <w:vAlign w:val="bottom"/>
          </w:tcPr>
          <w:p>
            <w:pPr>
              <w:jc w:val="right"/>
              <w:ind w:right="308"/>
              <w:spacing w:after="0"/>
              <w:rPr>
                <w:sz w:val="20"/>
                <w:szCs w:val="20"/>
                <w:color w:val="auto"/>
              </w:rPr>
            </w:pPr>
            <w:r>
              <w:rPr>
                <w:rFonts w:ascii="Arial" w:cs="Arial" w:eastAsia="Arial" w:hAnsi="Arial"/>
                <w:sz w:val="15"/>
                <w:szCs w:val="15"/>
                <w:b w:val="1"/>
                <w:bCs w:val="1"/>
                <w:color w:val="auto"/>
              </w:rPr>
              <w:t>―</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14,875</w:t>
            </w:r>
          </w:p>
        </w:tc>
        <w:tc>
          <w:tcPr>
            <w:tcW w:w="1080" w:type="dxa"/>
            <w:vAlign w:val="bottom"/>
          </w:tcPr>
          <w:p>
            <w:pPr>
              <w:jc w:val="right"/>
              <w:ind w:right="268"/>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ind w:left="500"/>
              <w:spacing w:after="0"/>
              <w:rPr>
                <w:sz w:val="20"/>
                <w:szCs w:val="20"/>
                <w:color w:val="auto"/>
              </w:rPr>
            </w:pPr>
            <w:r>
              <w:rPr>
                <w:rFonts w:ascii="Arial" w:cs="Arial" w:eastAsia="Arial" w:hAnsi="Arial"/>
                <w:sz w:val="15"/>
                <w:szCs w:val="15"/>
                <w:color w:val="auto"/>
              </w:rPr>
              <w:t>Gain on sales of cost method investments</w:t>
            </w:r>
          </w:p>
        </w:tc>
        <w:tc>
          <w:tcPr>
            <w:tcW w:w="1340" w:type="dxa"/>
            <w:vAlign w:val="bottom"/>
          </w:tcPr>
          <w:p>
            <w:pPr>
              <w:jc w:val="right"/>
              <w:ind w:right="308"/>
              <w:spacing w:after="0"/>
              <w:rPr>
                <w:sz w:val="20"/>
                <w:szCs w:val="20"/>
                <w:color w:val="auto"/>
              </w:rPr>
            </w:pPr>
            <w:r>
              <w:rPr>
                <w:rFonts w:ascii="Arial" w:cs="Arial" w:eastAsia="Arial" w:hAnsi="Arial"/>
                <w:sz w:val="15"/>
                <w:szCs w:val="15"/>
                <w:b w:val="1"/>
                <w:bCs w:val="1"/>
                <w:color w:val="auto"/>
              </w:rPr>
              <w:t>―</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8"/>
              <w:spacing w:after="0"/>
              <w:rPr>
                <w:sz w:val="20"/>
                <w:szCs w:val="20"/>
                <w:color w:val="auto"/>
              </w:rPr>
            </w:pPr>
            <w:r>
              <w:rPr>
                <w:rFonts w:ascii="Arial" w:cs="Arial" w:eastAsia="Arial" w:hAnsi="Arial"/>
                <w:sz w:val="15"/>
                <w:szCs w:val="15"/>
                <w:b w:val="1"/>
                <w:bCs w:val="1"/>
                <w:color w:val="auto"/>
              </w:rPr>
              <w:t>(3,657)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ind w:left="500"/>
              <w:spacing w:after="0"/>
              <w:rPr>
                <w:sz w:val="20"/>
                <w:szCs w:val="20"/>
                <w:color w:val="auto"/>
              </w:rPr>
            </w:pPr>
            <w:r>
              <w:rPr>
                <w:rFonts w:ascii="Arial" w:cs="Arial" w:eastAsia="Arial" w:hAnsi="Arial"/>
                <w:sz w:val="15"/>
                <w:szCs w:val="15"/>
                <w:color w:val="auto"/>
              </w:rPr>
              <w:t>Foreign currency (gain) loss</w:t>
            </w:r>
          </w:p>
        </w:tc>
        <w:tc>
          <w:tcPr>
            <w:tcW w:w="1340" w:type="dxa"/>
            <w:vAlign w:val="bottom"/>
          </w:tcPr>
          <w:p>
            <w:pPr>
              <w:jc w:val="right"/>
              <w:ind w:right="308"/>
              <w:spacing w:after="0"/>
              <w:rPr>
                <w:sz w:val="20"/>
                <w:szCs w:val="20"/>
                <w:color w:val="auto"/>
              </w:rPr>
            </w:pPr>
            <w:r>
              <w:rPr>
                <w:rFonts w:ascii="Arial" w:cs="Arial" w:eastAsia="Arial" w:hAnsi="Arial"/>
                <w:sz w:val="15"/>
                <w:szCs w:val="15"/>
                <w:b w:val="1"/>
                <w:bCs w:val="1"/>
                <w:color w:val="auto"/>
              </w:rPr>
              <w:t>(1,928)</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4,239</w:t>
            </w:r>
          </w:p>
        </w:tc>
        <w:tc>
          <w:tcPr>
            <w:tcW w:w="1080" w:type="dxa"/>
            <w:vAlign w:val="bottom"/>
          </w:tcPr>
          <w:p>
            <w:pPr>
              <w:jc w:val="right"/>
              <w:ind w:right="268"/>
              <w:spacing w:after="0"/>
              <w:rPr>
                <w:sz w:val="20"/>
                <w:szCs w:val="20"/>
                <w:color w:val="auto"/>
              </w:rPr>
            </w:pPr>
            <w:r>
              <w:rPr>
                <w:rFonts w:ascii="Arial" w:cs="Arial" w:eastAsia="Arial" w:hAnsi="Arial"/>
                <w:sz w:val="15"/>
                <w:szCs w:val="15"/>
                <w:b w:val="1"/>
                <w:bCs w:val="1"/>
                <w:color w:val="auto"/>
              </w:rPr>
              <w:t>(1,997)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240" w:type="dxa"/>
            <w:vAlign w:val="bottom"/>
          </w:tcPr>
          <w:p>
            <w:pPr>
              <w:ind w:left="500"/>
              <w:spacing w:after="0"/>
              <w:rPr>
                <w:sz w:val="20"/>
                <w:szCs w:val="20"/>
                <w:color w:val="auto"/>
              </w:rPr>
            </w:pPr>
            <w:r>
              <w:rPr>
                <w:rFonts w:ascii="Arial" w:cs="Arial" w:eastAsia="Arial" w:hAnsi="Arial"/>
                <w:sz w:val="15"/>
                <w:szCs w:val="15"/>
                <w:color w:val="auto"/>
              </w:rPr>
              <w:t>Investment in affiliates impairment charges</w:t>
            </w: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5,703</w:t>
            </w: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240" w:type="dxa"/>
            <w:vAlign w:val="bottom"/>
          </w:tcPr>
          <w:p>
            <w:pPr>
              <w:spacing w:after="0" w:line="167" w:lineRule="exact"/>
              <w:rPr>
                <w:sz w:val="20"/>
                <w:szCs w:val="20"/>
                <w:color w:val="auto"/>
              </w:rPr>
            </w:pPr>
            <w:r>
              <w:rPr>
                <w:rFonts w:ascii="Arial" w:cs="Arial" w:eastAsia="Arial" w:hAnsi="Arial"/>
                <w:sz w:val="15"/>
                <w:szCs w:val="15"/>
                <w:color w:val="auto"/>
              </w:rPr>
              <w:t>Income from continuing operations, adjusted (non-GAAP)</w:t>
            </w:r>
          </w:p>
        </w:tc>
        <w:tc>
          <w:tcPr>
            <w:tcW w:w="1340" w:type="dxa"/>
            <w:vAlign w:val="bottom"/>
            <w:tcBorders>
              <w:bottom w:val="single" w:sz="8" w:color="auto"/>
            </w:tcBorders>
          </w:tcPr>
          <w:p>
            <w:pPr>
              <w:jc w:val="right"/>
              <w:ind w:right="268"/>
              <w:spacing w:after="0" w:line="167" w:lineRule="exact"/>
              <w:rPr>
                <w:sz w:val="20"/>
                <w:szCs w:val="20"/>
                <w:color w:val="auto"/>
              </w:rPr>
            </w:pPr>
            <w:r>
              <w:rPr>
                <w:rFonts w:ascii="Arial" w:cs="Arial" w:eastAsia="Arial" w:hAnsi="Arial"/>
                <w:sz w:val="15"/>
                <w:szCs w:val="15"/>
                <w:b w:val="1"/>
                <w:bCs w:val="1"/>
                <w:color w:val="auto"/>
              </w:rPr>
              <w:t>$ 50,367</w:t>
            </w:r>
          </w:p>
        </w:tc>
        <w:tc>
          <w:tcPr>
            <w:tcW w:w="148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$ 40,869</w:t>
            </w:r>
          </w:p>
        </w:tc>
        <w:tc>
          <w:tcPr>
            <w:tcW w:w="1080" w:type="dxa"/>
            <w:vAlign w:val="bottom"/>
            <w:tcBorders>
              <w:bottom w:val="single" w:sz="8" w:color="auto"/>
            </w:tcBorders>
          </w:tcPr>
          <w:p>
            <w:pPr>
              <w:jc w:val="right"/>
              <w:ind w:right="228"/>
              <w:spacing w:after="0" w:line="167" w:lineRule="exact"/>
              <w:rPr>
                <w:sz w:val="20"/>
                <w:szCs w:val="20"/>
                <w:color w:val="auto"/>
              </w:rPr>
            </w:pPr>
            <w:r>
              <w:rPr>
                <w:rFonts w:ascii="Arial" w:cs="Arial" w:eastAsia="Arial" w:hAnsi="Arial"/>
                <w:sz w:val="15"/>
                <w:szCs w:val="15"/>
                <w:b w:val="1"/>
                <w:bCs w:val="1"/>
                <w:color w:val="auto"/>
              </w:rPr>
              <w:t>$ 101,731</w:t>
            </w:r>
          </w:p>
        </w:tc>
        <w:tc>
          <w:tcPr>
            <w:tcW w:w="8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$ 1</w:t>
            </w:r>
          </w:p>
        </w:tc>
        <w:tc>
          <w:tcPr>
            <w:tcW w:w="0" w:type="dxa"/>
            <w:vAlign w:val="bottom"/>
          </w:tcPr>
          <w:p>
            <w:pPr>
              <w:spacing w:after="0"/>
              <w:rPr>
                <w:sz w:val="1"/>
                <w:szCs w:val="1"/>
                <w:color w:val="auto"/>
              </w:rPr>
            </w:pPr>
          </w:p>
        </w:tc>
      </w:tr>
      <w:tr>
        <w:trPr>
          <w:trHeight w:val="348"/>
        </w:trPr>
        <w:tc>
          <w:tcPr>
            <w:tcW w:w="6240" w:type="dxa"/>
            <w:vAlign w:val="bottom"/>
          </w:tcPr>
          <w:p>
            <w:pPr>
              <w:spacing w:after="0"/>
              <w:rPr>
                <w:sz w:val="20"/>
                <w:szCs w:val="20"/>
                <w:color w:val="auto"/>
              </w:rPr>
            </w:pPr>
            <w:r>
              <w:rPr>
                <w:rFonts w:ascii="Arial" w:cs="Arial" w:eastAsia="Arial" w:hAnsi="Arial"/>
                <w:sz w:val="15"/>
                <w:szCs w:val="15"/>
                <w:b w:val="1"/>
                <w:bCs w:val="1"/>
                <w:color w:val="auto"/>
              </w:rPr>
              <w:t>Per share information attributable to The Washington</w:t>
            </w: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240" w:type="dxa"/>
            <w:vAlign w:val="bottom"/>
          </w:tcPr>
          <w:p>
            <w:pPr>
              <w:ind w:left="260"/>
              <w:spacing w:after="0"/>
              <w:rPr>
                <w:sz w:val="20"/>
                <w:szCs w:val="20"/>
                <w:color w:val="auto"/>
              </w:rPr>
            </w:pPr>
            <w:r>
              <w:rPr>
                <w:rFonts w:ascii="Arial" w:cs="Arial" w:eastAsia="Arial" w:hAnsi="Arial"/>
                <w:sz w:val="15"/>
                <w:szCs w:val="15"/>
                <w:b w:val="1"/>
                <w:bCs w:val="1"/>
                <w:color w:val="auto"/>
              </w:rPr>
              <w:t>Post Company common stockholders</w:t>
            </w: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24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1340" w:type="dxa"/>
            <w:vAlign w:val="bottom"/>
            <w:vMerge w:val="restart"/>
          </w:tcPr>
          <w:p>
            <w:pPr>
              <w:jc w:val="right"/>
              <w:ind w:right="268"/>
              <w:spacing w:after="0"/>
              <w:rPr>
                <w:sz w:val="20"/>
                <w:szCs w:val="20"/>
                <w:color w:val="auto"/>
              </w:rPr>
            </w:pPr>
            <w:r>
              <w:rPr>
                <w:rFonts w:ascii="Arial" w:cs="Arial" w:eastAsia="Arial" w:hAnsi="Arial"/>
                <w:sz w:val="15"/>
                <w:szCs w:val="15"/>
                <w:b w:val="1"/>
                <w:bCs w:val="1"/>
                <w:color w:val="auto"/>
              </w:rPr>
              <w:t>$ 6.03</w:t>
            </w:r>
          </w:p>
        </w:tc>
        <w:tc>
          <w:tcPr>
            <w:tcW w:w="1480" w:type="dxa"/>
            <w:vAlign w:val="bottom"/>
          </w:tcPr>
          <w:p>
            <w:pPr>
              <w:spacing w:after="0"/>
              <w:rPr>
                <w:sz w:val="15"/>
                <w:szCs w:val="15"/>
                <w:color w:val="auto"/>
              </w:rPr>
            </w:pPr>
          </w:p>
        </w:tc>
        <w:tc>
          <w:tcPr>
            <w:tcW w:w="1080" w:type="dxa"/>
            <w:vAlign w:val="bottom"/>
            <w:vMerge w:val="restart"/>
          </w:tcPr>
          <w:p>
            <w:pPr>
              <w:jc w:val="right"/>
              <w:ind w:right="228"/>
              <w:spacing w:after="0"/>
              <w:rPr>
                <w:sz w:val="20"/>
                <w:szCs w:val="20"/>
                <w:color w:val="auto"/>
              </w:rPr>
            </w:pPr>
            <w:r>
              <w:rPr>
                <w:rFonts w:ascii="Arial" w:cs="Arial" w:eastAsia="Arial" w:hAnsi="Arial"/>
                <w:sz w:val="15"/>
                <w:szCs w:val="15"/>
                <w:b w:val="1"/>
                <w:bCs w:val="1"/>
                <w:color w:val="auto"/>
              </w:rPr>
              <w:t>$ 12.38</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240" w:type="dxa"/>
            <w:vAlign w:val="bottom"/>
          </w:tcPr>
          <w:p>
            <w:pPr>
              <w:ind w:left="260"/>
              <w:spacing w:after="0"/>
              <w:rPr>
                <w:sz w:val="20"/>
                <w:szCs w:val="20"/>
                <w:color w:val="auto"/>
              </w:rPr>
            </w:pPr>
            <w:r>
              <w:rPr>
                <w:rFonts w:ascii="Arial" w:cs="Arial" w:eastAsia="Arial" w:hAnsi="Arial"/>
                <w:sz w:val="15"/>
                <w:szCs w:val="15"/>
                <w:color w:val="auto"/>
              </w:rPr>
              <w:t>as reported</w:t>
            </w:r>
          </w:p>
        </w:tc>
        <w:tc>
          <w:tcPr>
            <w:tcW w:w="134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$ 1.59</w:t>
            </w:r>
          </w:p>
        </w:tc>
        <w:tc>
          <w:tcPr>
            <w:tcW w:w="10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240" w:type="dxa"/>
            <w:vAlign w:val="bottom"/>
          </w:tcPr>
          <w:p>
            <w:pPr>
              <w:ind w:left="260"/>
              <w:spacing w:after="0"/>
              <w:rPr>
                <w:sz w:val="20"/>
                <w:szCs w:val="20"/>
                <w:color w:val="auto"/>
              </w:rPr>
            </w:pPr>
            <w:r>
              <w:rPr>
                <w:rFonts w:ascii="Arial" w:cs="Arial" w:eastAsia="Arial" w:hAnsi="Arial"/>
                <w:sz w:val="15"/>
                <w:szCs w:val="15"/>
                <w:color w:val="auto"/>
              </w:rPr>
              <w:t>Adjustments:</w:t>
            </w: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40" w:type="dxa"/>
            <w:vAlign w:val="bottom"/>
          </w:tcPr>
          <w:p>
            <w:pPr>
              <w:ind w:left="500"/>
              <w:spacing w:after="0"/>
              <w:rPr>
                <w:sz w:val="20"/>
                <w:szCs w:val="20"/>
                <w:color w:val="auto"/>
              </w:rPr>
            </w:pPr>
            <w:r>
              <w:rPr>
                <w:rFonts w:ascii="Arial" w:cs="Arial" w:eastAsia="Arial" w:hAnsi="Arial"/>
                <w:sz w:val="15"/>
                <w:szCs w:val="15"/>
                <w:color w:val="auto"/>
              </w:rPr>
              <w:t>Severance and restructuring charges</w:t>
            </w:r>
          </w:p>
        </w:tc>
        <w:tc>
          <w:tcPr>
            <w:tcW w:w="1340" w:type="dxa"/>
            <w:vAlign w:val="bottom"/>
          </w:tcPr>
          <w:p>
            <w:pPr>
              <w:jc w:val="right"/>
              <w:ind w:right="308"/>
              <w:spacing w:after="0"/>
              <w:rPr>
                <w:sz w:val="20"/>
                <w:szCs w:val="20"/>
                <w:color w:val="auto"/>
              </w:rPr>
            </w:pPr>
            <w:r>
              <w:rPr>
                <w:rFonts w:ascii="Arial" w:cs="Arial" w:eastAsia="Arial" w:hAnsi="Arial"/>
                <w:sz w:val="15"/>
                <w:szCs w:val="15"/>
                <w:b w:val="1"/>
                <w:bCs w:val="1"/>
                <w:color w:val="auto"/>
              </w:rPr>
              <w:t>1.02</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0.44</w:t>
            </w:r>
          </w:p>
        </w:tc>
        <w:tc>
          <w:tcPr>
            <w:tcW w:w="1080" w:type="dxa"/>
            <w:vAlign w:val="bottom"/>
          </w:tcPr>
          <w:p>
            <w:pPr>
              <w:jc w:val="right"/>
              <w:ind w:right="268"/>
              <w:spacing w:after="0"/>
              <w:rPr>
                <w:sz w:val="20"/>
                <w:szCs w:val="20"/>
                <w:color w:val="auto"/>
              </w:rPr>
            </w:pPr>
            <w:r>
              <w:rPr>
                <w:rFonts w:ascii="Arial" w:cs="Arial" w:eastAsia="Arial" w:hAnsi="Arial"/>
                <w:sz w:val="15"/>
                <w:szCs w:val="15"/>
                <w:b w:val="1"/>
                <w:bCs w:val="1"/>
                <w:color w:val="auto"/>
              </w:rPr>
              <w:t>1.85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ind w:left="500"/>
              <w:spacing w:after="0"/>
              <w:rPr>
                <w:sz w:val="20"/>
                <w:szCs w:val="20"/>
                <w:color w:val="auto"/>
              </w:rPr>
            </w:pPr>
            <w:r>
              <w:rPr>
                <w:rFonts w:ascii="Arial" w:cs="Arial" w:eastAsia="Arial" w:hAnsi="Arial"/>
                <w:sz w:val="15"/>
                <w:szCs w:val="15"/>
                <w:color w:val="auto"/>
              </w:rPr>
              <w:t>Marketable equity securities write-down</w:t>
            </w:r>
          </w:p>
        </w:tc>
        <w:tc>
          <w:tcPr>
            <w:tcW w:w="1340" w:type="dxa"/>
            <w:vAlign w:val="bottom"/>
          </w:tcPr>
          <w:p>
            <w:pPr>
              <w:jc w:val="right"/>
              <w:ind w:right="308"/>
              <w:spacing w:after="0"/>
              <w:rPr>
                <w:sz w:val="20"/>
                <w:szCs w:val="20"/>
                <w:color w:val="auto"/>
              </w:rPr>
            </w:pPr>
            <w:r>
              <w:rPr>
                <w:rFonts w:ascii="Arial" w:cs="Arial" w:eastAsia="Arial" w:hAnsi="Arial"/>
                <w:sz w:val="15"/>
                <w:szCs w:val="15"/>
                <w:b w:val="1"/>
                <w:bCs w:val="1"/>
                <w:color w:val="auto"/>
              </w:rPr>
              <w:t>―</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1.89</w:t>
            </w:r>
          </w:p>
        </w:tc>
        <w:tc>
          <w:tcPr>
            <w:tcW w:w="1080" w:type="dxa"/>
            <w:vAlign w:val="bottom"/>
          </w:tcPr>
          <w:p>
            <w:pPr>
              <w:jc w:val="right"/>
              <w:ind w:right="268"/>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ind w:left="500"/>
              <w:spacing w:after="0"/>
              <w:rPr>
                <w:sz w:val="20"/>
                <w:szCs w:val="20"/>
                <w:color w:val="auto"/>
              </w:rPr>
            </w:pPr>
            <w:r>
              <w:rPr>
                <w:rFonts w:ascii="Arial" w:cs="Arial" w:eastAsia="Arial" w:hAnsi="Arial"/>
                <w:sz w:val="15"/>
                <w:szCs w:val="15"/>
                <w:color w:val="auto"/>
              </w:rPr>
              <w:t>Gain on sales of cost method investments</w:t>
            </w:r>
          </w:p>
        </w:tc>
        <w:tc>
          <w:tcPr>
            <w:tcW w:w="1340" w:type="dxa"/>
            <w:vAlign w:val="bottom"/>
          </w:tcPr>
          <w:p>
            <w:pPr>
              <w:jc w:val="right"/>
              <w:ind w:right="308"/>
              <w:spacing w:after="0"/>
              <w:rPr>
                <w:sz w:val="20"/>
                <w:szCs w:val="20"/>
                <w:color w:val="auto"/>
              </w:rPr>
            </w:pPr>
            <w:r>
              <w:rPr>
                <w:rFonts w:ascii="Arial" w:cs="Arial" w:eastAsia="Arial" w:hAnsi="Arial"/>
                <w:sz w:val="15"/>
                <w:szCs w:val="15"/>
                <w:b w:val="1"/>
                <w:bCs w:val="1"/>
                <w:color w:val="auto"/>
              </w:rPr>
              <w:t>―</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8"/>
              <w:spacing w:after="0"/>
              <w:rPr>
                <w:sz w:val="20"/>
                <w:szCs w:val="20"/>
                <w:color w:val="auto"/>
              </w:rPr>
            </w:pPr>
            <w:r>
              <w:rPr>
                <w:rFonts w:ascii="Arial" w:cs="Arial" w:eastAsia="Arial" w:hAnsi="Arial"/>
                <w:sz w:val="15"/>
                <w:szCs w:val="15"/>
                <w:b w:val="1"/>
                <w:bCs w:val="1"/>
                <w:color w:val="auto"/>
              </w:rPr>
              <w:t>(0.48)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ind w:left="500"/>
              <w:spacing w:after="0"/>
              <w:rPr>
                <w:sz w:val="20"/>
                <w:szCs w:val="20"/>
                <w:color w:val="auto"/>
              </w:rPr>
            </w:pPr>
            <w:r>
              <w:rPr>
                <w:rFonts w:ascii="Arial" w:cs="Arial" w:eastAsia="Arial" w:hAnsi="Arial"/>
                <w:sz w:val="15"/>
                <w:szCs w:val="15"/>
                <w:color w:val="auto"/>
              </w:rPr>
              <w:t>Foreign currency (gain) loss</w:t>
            </w:r>
          </w:p>
        </w:tc>
        <w:tc>
          <w:tcPr>
            <w:tcW w:w="1340" w:type="dxa"/>
            <w:vAlign w:val="bottom"/>
          </w:tcPr>
          <w:p>
            <w:pPr>
              <w:jc w:val="right"/>
              <w:ind w:right="308"/>
              <w:spacing w:after="0"/>
              <w:rPr>
                <w:sz w:val="20"/>
                <w:szCs w:val="20"/>
                <w:color w:val="auto"/>
              </w:rPr>
            </w:pPr>
            <w:r>
              <w:rPr>
                <w:rFonts w:ascii="Arial" w:cs="Arial" w:eastAsia="Arial" w:hAnsi="Arial"/>
                <w:sz w:val="15"/>
                <w:szCs w:val="15"/>
                <w:b w:val="1"/>
                <w:bCs w:val="1"/>
                <w:color w:val="auto"/>
              </w:rPr>
              <w:t>(0.26)</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0.54</w:t>
            </w:r>
          </w:p>
        </w:tc>
        <w:tc>
          <w:tcPr>
            <w:tcW w:w="1080" w:type="dxa"/>
            <w:vAlign w:val="bottom"/>
          </w:tcPr>
          <w:p>
            <w:pPr>
              <w:jc w:val="right"/>
              <w:ind w:right="268"/>
              <w:spacing w:after="0"/>
              <w:rPr>
                <w:sz w:val="20"/>
                <w:szCs w:val="20"/>
                <w:color w:val="auto"/>
              </w:rPr>
            </w:pPr>
            <w:r>
              <w:rPr>
                <w:rFonts w:ascii="Arial" w:cs="Arial" w:eastAsia="Arial" w:hAnsi="Arial"/>
                <w:sz w:val="15"/>
                <w:szCs w:val="15"/>
                <w:b w:val="1"/>
                <w:bCs w:val="1"/>
                <w:color w:val="auto"/>
              </w:rPr>
              <w:t>(0.27)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240" w:type="dxa"/>
            <w:vAlign w:val="bottom"/>
          </w:tcPr>
          <w:p>
            <w:pPr>
              <w:ind w:left="500"/>
              <w:spacing w:after="0"/>
              <w:rPr>
                <w:sz w:val="20"/>
                <w:szCs w:val="20"/>
                <w:color w:val="auto"/>
              </w:rPr>
            </w:pPr>
            <w:r>
              <w:rPr>
                <w:rFonts w:ascii="Arial" w:cs="Arial" w:eastAsia="Arial" w:hAnsi="Arial"/>
                <w:sz w:val="15"/>
                <w:szCs w:val="15"/>
                <w:color w:val="auto"/>
              </w:rPr>
              <w:t>Investment in affiliates impairment charges</w:t>
            </w: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0.72</w:t>
            </w: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240" w:type="dxa"/>
            <w:vAlign w:val="bottom"/>
          </w:tcPr>
          <w:p>
            <w:pPr>
              <w:spacing w:after="0" w:line="168" w:lineRule="exact"/>
              <w:rPr>
                <w:sz w:val="20"/>
                <w:szCs w:val="20"/>
                <w:color w:val="auto"/>
              </w:rPr>
            </w:pPr>
            <w:r>
              <w:rPr>
                <w:rFonts w:ascii="Arial" w:cs="Arial" w:eastAsia="Arial" w:hAnsi="Arial"/>
                <w:sz w:val="15"/>
                <w:szCs w:val="15"/>
                <w:color w:val="auto"/>
              </w:rPr>
              <w:t>Diluted income per common share from continuing operations,</w:t>
            </w:r>
          </w:p>
        </w:tc>
        <w:tc>
          <w:tcPr>
            <w:tcW w:w="1340" w:type="dxa"/>
            <w:vAlign w:val="bottom"/>
            <w:vMerge w:val="restart"/>
          </w:tcPr>
          <w:p>
            <w:pPr>
              <w:jc w:val="right"/>
              <w:ind w:right="268"/>
              <w:spacing w:after="0"/>
              <w:rPr>
                <w:sz w:val="20"/>
                <w:szCs w:val="20"/>
                <w:color w:val="auto"/>
              </w:rPr>
            </w:pPr>
            <w:r>
              <w:rPr>
                <w:rFonts w:ascii="Arial" w:cs="Arial" w:eastAsia="Arial" w:hAnsi="Arial"/>
                <w:sz w:val="15"/>
                <w:szCs w:val="15"/>
                <w:b w:val="1"/>
                <w:bCs w:val="1"/>
                <w:color w:val="auto"/>
              </w:rPr>
              <w:t>$ 6.79</w:t>
            </w:r>
          </w:p>
        </w:tc>
        <w:tc>
          <w:tcPr>
            <w:tcW w:w="1480" w:type="dxa"/>
            <w:vAlign w:val="bottom"/>
          </w:tcPr>
          <w:p>
            <w:pPr>
              <w:spacing w:after="0"/>
              <w:rPr>
                <w:sz w:val="14"/>
                <w:szCs w:val="14"/>
                <w:color w:val="auto"/>
              </w:rPr>
            </w:pPr>
          </w:p>
        </w:tc>
        <w:tc>
          <w:tcPr>
            <w:tcW w:w="1080" w:type="dxa"/>
            <w:vAlign w:val="bottom"/>
            <w:vMerge w:val="restart"/>
          </w:tcPr>
          <w:p>
            <w:pPr>
              <w:jc w:val="right"/>
              <w:ind w:right="228"/>
              <w:spacing w:after="0"/>
              <w:rPr>
                <w:sz w:val="20"/>
                <w:szCs w:val="20"/>
                <w:color w:val="auto"/>
              </w:rPr>
            </w:pPr>
            <w:r>
              <w:rPr>
                <w:rFonts w:ascii="Arial" w:cs="Arial" w:eastAsia="Arial" w:hAnsi="Arial"/>
                <w:sz w:val="15"/>
                <w:szCs w:val="15"/>
                <w:b w:val="1"/>
                <w:bCs w:val="1"/>
                <w:color w:val="auto"/>
              </w:rPr>
              <w:t>$ 13.48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40" w:type="dxa"/>
            <w:vAlign w:val="bottom"/>
          </w:tcPr>
          <w:p>
            <w:pPr>
              <w:ind w:left="260"/>
              <w:spacing w:after="0"/>
              <w:rPr>
                <w:sz w:val="20"/>
                <w:szCs w:val="20"/>
                <w:color w:val="auto"/>
              </w:rPr>
            </w:pPr>
            <w:r>
              <w:rPr>
                <w:rFonts w:ascii="Arial" w:cs="Arial" w:eastAsia="Arial" w:hAnsi="Arial"/>
                <w:sz w:val="15"/>
                <w:szCs w:val="15"/>
                <w:color w:val="auto"/>
              </w:rPr>
              <w:t>adjusted (non-GAAP)</w:t>
            </w:r>
          </w:p>
        </w:tc>
        <w:tc>
          <w:tcPr>
            <w:tcW w:w="134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$ 5.18</w:t>
            </w:r>
          </w:p>
        </w:tc>
        <w:tc>
          <w:tcPr>
            <w:tcW w:w="10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5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25" w:right="1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2019-12-09T07:42:43Z</dcterms:created>
  <dcterms:modified xsi:type="dcterms:W3CDTF">2019-12-09T07:42:43Z</dcterms:modified>
</cp:coreProperties>
</file>